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2"/>
          <w:szCs w:val="22"/>
          <w:color w:val="auto"/>
        </w:rPr>
        <w:t>UNITED STATES SECURITIES AND EXCHANGE COMMISSION</w:t>
      </w:r>
    </w:p>
    <w:p>
      <w:pPr>
        <w:spacing w:after="0" w:line="37" w:lineRule="exact"/>
        <w:rPr>
          <w:sz w:val="24"/>
          <w:szCs w:val="24"/>
          <w:color w:val="auto"/>
        </w:rPr>
      </w:pPr>
    </w:p>
    <w:p>
      <w:pPr>
        <w:jc w:val="center"/>
        <w:ind w:right="80"/>
        <w:spacing w:after="0"/>
        <w:rPr>
          <w:sz w:val="20"/>
          <w:szCs w:val="20"/>
          <w:color w:val="auto"/>
        </w:rPr>
      </w:pPr>
      <w:r>
        <w:rPr>
          <w:rFonts w:ascii="Arial" w:cs="Arial" w:eastAsia="Arial" w:hAnsi="Arial"/>
          <w:sz w:val="18"/>
          <w:szCs w:val="18"/>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13970</wp:posOffset>
            </wp:positionH>
            <wp:positionV relativeFrom="paragraph">
              <wp:posOffset>169545</wp:posOffset>
            </wp:positionV>
            <wp:extent cx="72294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pacing w:after="0" w:line="253"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FORM 10-K</w:t>
      </w:r>
    </w:p>
    <w:p>
      <w:pPr>
        <w:spacing w:after="0" w:line="75" w:lineRule="exact"/>
        <w:rPr>
          <w:sz w:val="24"/>
          <w:szCs w:val="24"/>
          <w:color w:val="auto"/>
        </w:rPr>
      </w:pPr>
    </w:p>
    <w:p>
      <w:pPr>
        <w:ind w:left="1300"/>
        <w:spacing w:after="0"/>
        <w:rPr>
          <w:sz w:val="20"/>
          <w:szCs w:val="20"/>
          <w:color w:val="auto"/>
        </w:rPr>
      </w:pPr>
      <w:r>
        <w:rPr>
          <w:rFonts w:ascii="Arial" w:cs="Arial" w:eastAsia="Arial" w:hAnsi="Arial"/>
          <w:sz w:val="18"/>
          <w:szCs w:val="18"/>
          <w:color w:val="auto"/>
        </w:rPr>
        <w:t>ANNUAL REPORT PURSUANT TO SECTION 13 OR 15(d) OF THE SECURITIES EXCHANGE ACT OF 1934</w:t>
      </w:r>
    </w:p>
    <w:p>
      <w:pPr>
        <w:spacing w:after="0" w:line="61" w:lineRule="exact"/>
        <w:rPr>
          <w:sz w:val="24"/>
          <w:szCs w:val="24"/>
          <w:color w:val="auto"/>
        </w:rPr>
      </w:pPr>
    </w:p>
    <w:p>
      <w:pPr>
        <w:ind w:left="3520"/>
        <w:spacing w:after="0"/>
        <w:rPr>
          <w:sz w:val="20"/>
          <w:szCs w:val="20"/>
          <w:color w:val="auto"/>
        </w:rPr>
      </w:pPr>
      <w:r>
        <w:rPr>
          <w:rFonts w:ascii="Arial" w:cs="Arial" w:eastAsia="Arial" w:hAnsi="Arial"/>
          <w:sz w:val="18"/>
          <w:szCs w:val="18"/>
          <w:b w:val="1"/>
          <w:bCs w:val="1"/>
          <w:color w:val="auto"/>
        </w:rPr>
        <w:t>FOR THE FISCAL YEAR ENDED December 31, 2016</w:t>
      </w:r>
    </w:p>
    <w:p>
      <w:pPr>
        <w:spacing w:after="0" w:line="4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Commission file number 1-6714</w:t>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Graham Holdings Company</w:t>
      </w:r>
    </w:p>
    <w:p>
      <w:pPr>
        <w:spacing w:after="0" w:line="59"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(Exact name of registrant as specified in its charter)</w:t>
      </w:r>
    </w:p>
    <w:p>
      <w:pPr>
        <w:spacing w:after="0" w:line="145" w:lineRule="exact"/>
        <w:rPr>
          <w:sz w:val="24"/>
          <w:szCs w:val="24"/>
          <w:color w:val="auto"/>
        </w:rPr>
      </w:pPr>
    </w:p>
    <w:tbl>
      <w:tblPr>
        <w:tblLayout w:type="fixed"/>
        <w:tblInd w:w="740" w:type="dxa"/>
        <w:tblCellMar>
          <w:top w:w="0" w:type="dxa"/>
          <w:left w:w="0" w:type="dxa"/>
          <w:bottom w:w="0" w:type="dxa"/>
          <w:right w:w="0" w:type="dxa"/>
        </w:tblCellMar>
      </w:tblPr>
      <w:tr>
        <w:trPr>
          <w:trHeight w:val="243"/>
        </w:trPr>
        <w:tc>
          <w:tcPr>
            <w:tcW w:w="5460" w:type="dxa"/>
            <w:vAlign w:val="bottom"/>
          </w:tcPr>
          <w:p>
            <w:pPr>
              <w:jc w:val="center"/>
              <w:ind w:right="1174"/>
              <w:spacing w:after="0"/>
              <w:rPr>
                <w:sz w:val="20"/>
                <w:szCs w:val="20"/>
                <w:color w:val="auto"/>
              </w:rPr>
            </w:pPr>
            <w:r>
              <w:rPr>
                <w:rFonts w:ascii="Arial" w:cs="Arial" w:eastAsia="Arial" w:hAnsi="Arial"/>
                <w:sz w:val="18"/>
                <w:szCs w:val="18"/>
                <w:color w:val="auto"/>
                <w:w w:val="99"/>
              </w:rPr>
              <w:t>Delaware</w:t>
            </w:r>
          </w:p>
        </w:tc>
        <w:tc>
          <w:tcPr>
            <w:tcW w:w="3760" w:type="dxa"/>
            <w:vAlign w:val="bottom"/>
          </w:tcPr>
          <w:p>
            <w:pPr>
              <w:jc w:val="right"/>
              <w:ind w:right="674"/>
              <w:spacing w:after="0"/>
              <w:rPr>
                <w:sz w:val="20"/>
                <w:szCs w:val="20"/>
                <w:color w:val="auto"/>
              </w:rPr>
            </w:pPr>
            <w:r>
              <w:rPr>
                <w:rFonts w:ascii="Arial" w:cs="Arial" w:eastAsia="Arial" w:hAnsi="Arial"/>
                <w:sz w:val="18"/>
                <w:szCs w:val="18"/>
                <w:color w:val="auto"/>
              </w:rPr>
              <w:t>53-0182885</w:t>
            </w:r>
          </w:p>
        </w:tc>
      </w:tr>
      <w:tr>
        <w:trPr>
          <w:trHeight w:val="251"/>
        </w:trPr>
        <w:tc>
          <w:tcPr>
            <w:tcW w:w="5460" w:type="dxa"/>
            <w:vAlign w:val="bottom"/>
          </w:tcPr>
          <w:p>
            <w:pPr>
              <w:jc w:val="center"/>
              <w:ind w:right="1194"/>
              <w:spacing w:after="0"/>
              <w:rPr>
                <w:sz w:val="20"/>
                <w:szCs w:val="20"/>
                <w:color w:val="auto"/>
              </w:rPr>
            </w:pPr>
            <w:r>
              <w:rPr>
                <w:rFonts w:ascii="Arial" w:cs="Arial" w:eastAsia="Arial" w:hAnsi="Arial"/>
                <w:sz w:val="16"/>
                <w:szCs w:val="16"/>
                <w:color w:val="auto"/>
              </w:rPr>
              <w:t>(State or other jurisdiction of incorporation or organization)</w:t>
            </w:r>
          </w:p>
        </w:tc>
        <w:tc>
          <w:tcPr>
            <w:tcW w:w="3760" w:type="dxa"/>
            <w:vAlign w:val="bottom"/>
          </w:tcPr>
          <w:p>
            <w:pPr>
              <w:jc w:val="center"/>
              <w:ind w:left="1194"/>
              <w:spacing w:after="0"/>
              <w:rPr>
                <w:sz w:val="20"/>
                <w:szCs w:val="20"/>
                <w:color w:val="auto"/>
              </w:rPr>
            </w:pPr>
            <w:r>
              <w:rPr>
                <w:rFonts w:ascii="Arial" w:cs="Arial" w:eastAsia="Arial" w:hAnsi="Arial"/>
                <w:sz w:val="16"/>
                <w:szCs w:val="16"/>
                <w:color w:val="auto"/>
              </w:rPr>
              <w:t>(I.R.S. Employer Identification No.)</w:t>
            </w:r>
          </w:p>
        </w:tc>
      </w:tr>
      <w:tr>
        <w:trPr>
          <w:trHeight w:val="398"/>
        </w:trPr>
        <w:tc>
          <w:tcPr>
            <w:tcW w:w="5460" w:type="dxa"/>
            <w:vAlign w:val="bottom"/>
          </w:tcPr>
          <w:p>
            <w:pPr>
              <w:jc w:val="center"/>
              <w:ind w:right="1194"/>
              <w:spacing w:after="0"/>
              <w:rPr>
                <w:sz w:val="20"/>
                <w:szCs w:val="20"/>
                <w:color w:val="auto"/>
              </w:rPr>
            </w:pPr>
            <w:r>
              <w:rPr>
                <w:rFonts w:ascii="Arial" w:cs="Arial" w:eastAsia="Arial" w:hAnsi="Arial"/>
                <w:sz w:val="18"/>
                <w:szCs w:val="18"/>
                <w:color w:val="auto"/>
              </w:rPr>
              <w:t>1300 North 17th Street, Arlington, Virginia</w:t>
            </w:r>
          </w:p>
        </w:tc>
        <w:tc>
          <w:tcPr>
            <w:tcW w:w="3760" w:type="dxa"/>
            <w:vAlign w:val="bottom"/>
          </w:tcPr>
          <w:p>
            <w:pPr>
              <w:jc w:val="right"/>
              <w:ind w:right="914"/>
              <w:spacing w:after="0"/>
              <w:rPr>
                <w:sz w:val="20"/>
                <w:szCs w:val="20"/>
                <w:color w:val="auto"/>
              </w:rPr>
            </w:pPr>
            <w:r>
              <w:rPr>
                <w:rFonts w:ascii="Arial" w:cs="Arial" w:eastAsia="Arial" w:hAnsi="Arial"/>
                <w:sz w:val="18"/>
                <w:szCs w:val="18"/>
                <w:color w:val="auto"/>
              </w:rPr>
              <w:t>22209</w:t>
            </w:r>
          </w:p>
        </w:tc>
      </w:tr>
      <w:tr>
        <w:trPr>
          <w:trHeight w:val="251"/>
        </w:trPr>
        <w:tc>
          <w:tcPr>
            <w:tcW w:w="5460" w:type="dxa"/>
            <w:vAlign w:val="bottom"/>
          </w:tcPr>
          <w:p>
            <w:pPr>
              <w:jc w:val="center"/>
              <w:ind w:right="1194"/>
              <w:spacing w:after="0"/>
              <w:rPr>
                <w:sz w:val="20"/>
                <w:szCs w:val="20"/>
                <w:color w:val="auto"/>
              </w:rPr>
            </w:pPr>
            <w:r>
              <w:rPr>
                <w:rFonts w:ascii="Arial" w:cs="Arial" w:eastAsia="Arial" w:hAnsi="Arial"/>
                <w:sz w:val="16"/>
                <w:szCs w:val="16"/>
                <w:color w:val="auto"/>
              </w:rPr>
              <w:t>(Address of principal executive offices)</w:t>
            </w:r>
          </w:p>
        </w:tc>
        <w:tc>
          <w:tcPr>
            <w:tcW w:w="3760" w:type="dxa"/>
            <w:vAlign w:val="bottom"/>
          </w:tcPr>
          <w:p>
            <w:pPr>
              <w:jc w:val="center"/>
              <w:ind w:left="1194"/>
              <w:spacing w:after="0"/>
              <w:rPr>
                <w:sz w:val="20"/>
                <w:szCs w:val="20"/>
                <w:color w:val="auto"/>
              </w:rPr>
            </w:pPr>
            <w:r>
              <w:rPr>
                <w:rFonts w:ascii="Arial" w:cs="Arial" w:eastAsia="Arial" w:hAnsi="Arial"/>
                <w:sz w:val="16"/>
                <w:szCs w:val="16"/>
                <w:color w:val="auto"/>
              </w:rPr>
              <w:t>(Zip Code)</w:t>
            </w:r>
          </w:p>
        </w:tc>
      </w:tr>
    </w:tbl>
    <w:p>
      <w:pPr>
        <w:spacing w:after="0" w:line="11"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Registrant’s Telephone Number, Including Area Code: (703) 345-6300</w:t>
      </w:r>
    </w:p>
    <w:p>
      <w:pPr>
        <w:spacing w:after="0" w:line="25"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Securities Registered Pursuant to Section 12(b) of the Act:</w:t>
      </w:r>
    </w:p>
    <w:p>
      <w:pPr>
        <w:spacing w:after="0" w:line="156" w:lineRule="exact"/>
        <w:rPr>
          <w:sz w:val="24"/>
          <w:szCs w:val="24"/>
          <w:color w:val="auto"/>
        </w:rPr>
      </w:pPr>
    </w:p>
    <w:tbl>
      <w:tblPr>
        <w:tblLayout w:type="fixed"/>
        <w:tblInd w:w="20" w:type="dxa"/>
        <w:tblCellMar>
          <w:top w:w="0" w:type="dxa"/>
          <w:left w:w="0" w:type="dxa"/>
          <w:bottom w:w="0" w:type="dxa"/>
          <w:right w:w="0" w:type="dxa"/>
        </w:tblCellMar>
      </w:tblPr>
      <w:tr>
        <w:trPr>
          <w:trHeight w:val="248"/>
        </w:trPr>
        <w:tc>
          <w:tcPr>
            <w:tcW w:w="56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Title of each class</w:t>
            </w:r>
          </w:p>
        </w:tc>
        <w:tc>
          <w:tcPr>
            <w:tcW w:w="440" w:type="dxa"/>
            <w:vAlign w:val="bottom"/>
          </w:tcPr>
          <w:p>
            <w:pPr>
              <w:spacing w:after="0"/>
              <w:rPr>
                <w:sz w:val="21"/>
                <w:szCs w:val="21"/>
                <w:color w:val="auto"/>
              </w:rPr>
            </w:pPr>
          </w:p>
        </w:tc>
        <w:tc>
          <w:tcPr>
            <w:tcW w:w="53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Name of each exchange on which registered</w:t>
            </w:r>
          </w:p>
        </w:tc>
      </w:tr>
      <w:tr>
        <w:trPr>
          <w:trHeight w:val="205"/>
        </w:trPr>
        <w:tc>
          <w:tcPr>
            <w:tcW w:w="6040" w:type="dxa"/>
            <w:vAlign w:val="bottom"/>
            <w:gridSpan w:val="2"/>
          </w:tcPr>
          <w:p>
            <w:pPr>
              <w:jc w:val="center"/>
              <w:ind w:right="460"/>
              <w:spacing w:after="0" w:line="205" w:lineRule="exact"/>
              <w:rPr>
                <w:sz w:val="20"/>
                <w:szCs w:val="20"/>
                <w:color w:val="auto"/>
              </w:rPr>
            </w:pPr>
            <w:r>
              <w:rPr>
                <w:rFonts w:ascii="Arial" w:cs="Arial" w:eastAsia="Arial" w:hAnsi="Arial"/>
                <w:sz w:val="18"/>
                <w:szCs w:val="18"/>
                <w:color w:val="auto"/>
                <w:w w:val="99"/>
              </w:rPr>
              <w:t>Class B Common Stock, par value</w:t>
            </w:r>
          </w:p>
        </w:tc>
        <w:tc>
          <w:tcPr>
            <w:tcW w:w="5340" w:type="dxa"/>
            <w:vAlign w:val="bottom"/>
          </w:tcPr>
          <w:p>
            <w:pPr>
              <w:jc w:val="center"/>
              <w:spacing w:after="0" w:line="205" w:lineRule="exact"/>
              <w:rPr>
                <w:sz w:val="20"/>
                <w:szCs w:val="20"/>
                <w:color w:val="auto"/>
              </w:rPr>
            </w:pPr>
            <w:r>
              <w:rPr>
                <w:rFonts w:ascii="Arial" w:cs="Arial" w:eastAsia="Arial" w:hAnsi="Arial"/>
                <w:sz w:val="18"/>
                <w:szCs w:val="18"/>
                <w:color w:val="auto"/>
                <w:w w:val="98"/>
              </w:rPr>
              <w:t>New York Stock Exchange</w:t>
            </w:r>
          </w:p>
        </w:tc>
      </w:tr>
      <w:tr>
        <w:trPr>
          <w:trHeight w:val="243"/>
        </w:trPr>
        <w:tc>
          <w:tcPr>
            <w:tcW w:w="6040" w:type="dxa"/>
            <w:vAlign w:val="bottom"/>
            <w:gridSpan w:val="2"/>
          </w:tcPr>
          <w:p>
            <w:pPr>
              <w:jc w:val="center"/>
              <w:ind w:right="460"/>
              <w:spacing w:after="0"/>
              <w:rPr>
                <w:sz w:val="20"/>
                <w:szCs w:val="20"/>
                <w:color w:val="auto"/>
              </w:rPr>
            </w:pPr>
            <w:r>
              <w:rPr>
                <w:rFonts w:ascii="Arial" w:cs="Arial" w:eastAsia="Arial" w:hAnsi="Arial"/>
                <w:sz w:val="18"/>
                <w:szCs w:val="18"/>
                <w:color w:val="auto"/>
                <w:w w:val="99"/>
              </w:rPr>
              <w:t>$1.00 per share</w:t>
            </w:r>
          </w:p>
        </w:tc>
        <w:tc>
          <w:tcPr>
            <w:tcW w:w="5340" w:type="dxa"/>
            <w:vAlign w:val="bottom"/>
          </w:tcPr>
          <w:p>
            <w:pPr>
              <w:spacing w:after="0"/>
              <w:rPr>
                <w:sz w:val="21"/>
                <w:szCs w:val="21"/>
                <w:color w:val="auto"/>
              </w:rPr>
            </w:pPr>
          </w:p>
        </w:tc>
      </w:tr>
    </w:tbl>
    <w:p>
      <w:pPr>
        <w:spacing w:after="0" w:line="44" w:lineRule="exact"/>
        <w:rPr>
          <w:sz w:val="24"/>
          <w:szCs w:val="24"/>
          <w:color w:val="auto"/>
        </w:rPr>
      </w:pPr>
    </w:p>
    <w:p>
      <w:pPr>
        <w:ind w:right="1000"/>
        <w:spacing w:after="0" w:line="276" w:lineRule="exact"/>
        <w:rPr>
          <w:sz w:val="20"/>
          <w:szCs w:val="20"/>
          <w:color w:val="auto"/>
        </w:rPr>
      </w:pPr>
      <w:r>
        <w:rPr>
          <w:rFonts w:ascii="Arial" w:cs="Arial" w:eastAsia="Arial" w:hAnsi="Arial"/>
          <w:sz w:val="18"/>
          <w:szCs w:val="18"/>
          <w:color w:val="auto"/>
        </w:rPr>
        <w:t xml:space="preserve">Indicate by check mark if the registrant is a well-known seasoned issuer, as defined in Rule 405 of the Securities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 xml:space="preserve"> Indicate by check mark if the registrant is not required to file reports pursuant to Section 13 or 15(d) of the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2" w:lineRule="exact"/>
        <w:rPr>
          <w:sz w:val="24"/>
          <w:szCs w:val="24"/>
          <w:color w:val="auto"/>
        </w:rPr>
      </w:pPr>
    </w:p>
    <w:p>
      <w:pPr>
        <w:ind w:right="60"/>
        <w:spacing w:after="0" w:line="231"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1" w:lineRule="exact"/>
        <w:rPr>
          <w:sz w:val="24"/>
          <w:szCs w:val="24"/>
          <w:color w:val="auto"/>
        </w:rPr>
      </w:pPr>
    </w:p>
    <w:p>
      <w:pPr>
        <w:ind w:right="40"/>
        <w:spacing w:after="0" w:line="231"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1" w:lineRule="exact"/>
        <w:rPr>
          <w:sz w:val="24"/>
          <w:szCs w:val="24"/>
          <w:color w:val="auto"/>
        </w:rPr>
      </w:pPr>
    </w:p>
    <w:p>
      <w:pPr>
        <w:ind w:right="160"/>
        <w:spacing w:after="0" w:line="231"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(§229.405 of this chapter)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11" w:lineRule="exact"/>
        <w:rPr>
          <w:sz w:val="24"/>
          <w:szCs w:val="24"/>
          <w:color w:val="auto"/>
        </w:rPr>
      </w:pPr>
    </w:p>
    <w:p>
      <w:pPr>
        <w:ind w:right="140"/>
        <w:spacing w:after="0" w:line="271"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the definition of “large accelerated filer,” “accelerated filer” and “smaller reporting company” in Rule 12b-2 of the Exchange Act. (Check one):</w:t>
      </w:r>
    </w:p>
    <w:p>
      <w:pPr>
        <w:spacing w:after="0" w:line="85" w:lineRule="exact"/>
        <w:rPr>
          <w:sz w:val="24"/>
          <w:szCs w:val="24"/>
          <w:color w:val="auto"/>
        </w:rPr>
      </w:pPr>
    </w:p>
    <w:p>
      <w:pPr>
        <w:ind w:right="740" w:firstLine="41"/>
        <w:spacing w:after="0" w:line="290" w:lineRule="exact"/>
        <w:rPr>
          <w:sz w:val="20"/>
          <w:szCs w:val="20"/>
          <w:color w:val="auto"/>
        </w:rPr>
      </w:pPr>
      <w:r>
        <w:rPr>
          <w:rFonts w:ascii="Arial" w:cs="Arial" w:eastAsia="Arial" w:hAnsi="Arial"/>
          <w:sz w:val="18"/>
          <w:szCs w:val="18"/>
          <w:color w:val="auto"/>
        </w:rPr>
        <w:t xml:space="preserve">Large accelerated filer </w:t>
      </w:r>
      <w:r>
        <w:rPr>
          <w:rFonts w:ascii="Times New Roman" w:cs="Times New Roman" w:eastAsia="Times New Roman" w:hAnsi="Times New Roman"/>
          <w:sz w:val="18"/>
          <w:szCs w:val="18"/>
          <w:color w:val="auto"/>
        </w:rPr>
        <w:t>x</w:t>
      </w:r>
      <w:r>
        <w:rPr>
          <w:rFonts w:ascii="Arial" w:cs="Arial" w:eastAsia="Arial" w:hAnsi="Arial"/>
          <w:sz w:val="18"/>
          <w:szCs w:val="18"/>
          <w:color w:val="auto"/>
        </w:rPr>
        <w:t xml:space="preserve"> 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Non-accelerated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Smaller reporting company </w:t>
      </w:r>
      <w:r>
        <w:rPr>
          <w:rFonts w:ascii="MS PGothic" w:cs="MS PGothic" w:eastAsia="MS PGothic" w:hAnsi="MS PGothic"/>
          <w:sz w:val="18"/>
          <w:szCs w:val="18"/>
          <w:color w:val="auto"/>
        </w:rPr>
        <w:t>☐</w:t>
      </w:r>
      <w:r>
        <w:rPr>
          <w:rFonts w:ascii="Arial" w:cs="Arial" w:eastAsia="Arial" w:hAnsi="Arial"/>
          <w:sz w:val="18"/>
          <w:szCs w:val="18"/>
          <w:color w:val="auto"/>
        </w:rPr>
        <w:t xml:space="preserve"> Indicate by check mark whether the registrant is a shell company (as defined in Rule 12b-2 of the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2" w:lineRule="exact"/>
        <w:rPr>
          <w:sz w:val="24"/>
          <w:szCs w:val="24"/>
          <w:color w:val="auto"/>
        </w:rPr>
      </w:pPr>
    </w:p>
    <w:p>
      <w:pPr>
        <w:ind w:right="900"/>
        <w:spacing w:after="0" w:line="281" w:lineRule="auto"/>
        <w:rPr>
          <w:sz w:val="20"/>
          <w:szCs w:val="20"/>
          <w:color w:val="auto"/>
        </w:rPr>
      </w:pPr>
      <w:r>
        <w:rPr>
          <w:rFonts w:ascii="Arial" w:cs="Arial" w:eastAsia="Arial" w:hAnsi="Arial"/>
          <w:sz w:val="18"/>
          <w:szCs w:val="18"/>
          <w:color w:val="auto"/>
        </w:rPr>
        <w:t>Aggregate market value of the registrant’s common equity held by non-affiliates on June 30, 2016, based on the closing price for the Company’s Class B Common Stock on the New York Stock Exchange on such date: approximately $2,200,000,000.</w:t>
      </w:r>
    </w:p>
    <w:p>
      <w:pPr>
        <w:spacing w:after="0" w:line="2" w:lineRule="exact"/>
        <w:rPr>
          <w:sz w:val="24"/>
          <w:szCs w:val="24"/>
          <w:color w:val="auto"/>
        </w:rPr>
      </w:pPr>
    </w:p>
    <w:p>
      <w:pPr>
        <w:spacing w:after="0"/>
        <w:rPr>
          <w:sz w:val="20"/>
          <w:szCs w:val="20"/>
          <w:color w:val="auto"/>
        </w:rPr>
      </w:pPr>
      <w:r>
        <w:rPr>
          <w:rFonts w:ascii="Arial" w:cs="Arial" w:eastAsia="Arial" w:hAnsi="Arial"/>
          <w:sz w:val="18"/>
          <w:szCs w:val="18"/>
          <w:color w:val="auto"/>
        </w:rPr>
        <w:t>Shares of common stock outstanding at February 17, 2017:</w:t>
      </w:r>
    </w:p>
    <w:p>
      <w:pPr>
        <w:spacing w:after="0" w:line="6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Class A Common Stock – 964,001 shares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Class B Common Stock – 4,627,585 shares</w:t>
      </w:r>
    </w:p>
    <w:p>
      <w:pPr>
        <w:spacing w:after="0" w:line="4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Documents partially incorporated by reference:</w:t>
      </w:r>
    </w:p>
    <w:p>
      <w:pPr>
        <w:spacing w:after="0" w:line="63" w:lineRule="exact"/>
        <w:rPr>
          <w:sz w:val="24"/>
          <w:szCs w:val="24"/>
          <w:color w:val="auto"/>
        </w:rPr>
      </w:pPr>
    </w:p>
    <w:p>
      <w:pPr>
        <w:jc w:val="both"/>
        <w:ind w:left="2340" w:right="2360" w:firstLine="48"/>
        <w:spacing w:after="0" w:line="323" w:lineRule="auto"/>
        <w:rPr>
          <w:sz w:val="20"/>
          <w:szCs w:val="20"/>
          <w:color w:val="auto"/>
        </w:rPr>
      </w:pPr>
      <w:r>
        <w:rPr>
          <w:rFonts w:ascii="Arial" w:cs="Arial" w:eastAsia="Arial" w:hAnsi="Arial"/>
          <w:sz w:val="17"/>
          <w:szCs w:val="17"/>
          <w:color w:val="auto"/>
        </w:rPr>
        <w:t>Definitive Proxy Statement for the registrant’s 2017 Annual Meeting of Stockholders (incorporated in Part III to the extent provided in Items 10, 11, 12, 13 and 14 hereof).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13970</wp:posOffset>
            </wp:positionH>
            <wp:positionV relativeFrom="paragraph">
              <wp:posOffset>117475</wp:posOffset>
            </wp:positionV>
            <wp:extent cx="72294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ectPr>
          <w:pgSz w:w="11900" w:h="16838" w:orient="portrait"/>
          <w:cols w:equalWidth="0" w:num="1">
            <w:col w:w="11400"/>
          </w:cols>
          <w:pgMar w:left="240" w:top="848" w:right="259" w:bottom="1440" w:gutter="0" w:footer="0" w:header="0"/>
        </w:sectPr>
      </w:pPr>
    </w:p>
    <w:bookmarkStart w:id="1" w:name="page2"/>
    <w:bookmarkEnd w:id="1"/>
    <w:p>
      <w:pPr>
        <w:jc w:val="center"/>
        <w:ind w:left="980"/>
        <w:spacing w:after="0"/>
        <w:rPr>
          <w:sz w:val="20"/>
          <w:szCs w:val="20"/>
          <w:color w:val="auto"/>
        </w:rPr>
      </w:pPr>
      <w:r>
        <w:rPr>
          <w:rFonts w:ascii="Arial" w:cs="Arial" w:eastAsia="Arial" w:hAnsi="Arial"/>
          <w:sz w:val="18"/>
          <w:szCs w:val="18"/>
          <w:color w:val="auto"/>
        </w:rPr>
        <w:t>GRAHAM HOLDINGS COMPANY 2016 FORM 10-K</w:t>
      </w:r>
    </w:p>
    <w:p>
      <w:pPr>
        <w:spacing w:after="0" w:line="200" w:lineRule="exact"/>
        <w:rPr>
          <w:sz w:val="20"/>
          <w:szCs w:val="20"/>
          <w:color w:val="auto"/>
        </w:rPr>
      </w:pPr>
    </w:p>
    <w:p>
      <w:pPr>
        <w:spacing w:after="0" w:line="227" w:lineRule="exact"/>
        <w:rPr>
          <w:sz w:val="20"/>
          <w:szCs w:val="20"/>
          <w:color w:val="auto"/>
        </w:rPr>
      </w:pPr>
    </w:p>
    <w:p>
      <w:pPr>
        <w:spacing w:after="0"/>
        <w:tabs>
          <w:tab w:leader="none" w:pos="1020" w:val="left"/>
        </w:tabs>
        <w:rPr>
          <w:sz w:val="20"/>
          <w:szCs w:val="20"/>
          <w:color w:val="auto"/>
        </w:rPr>
      </w:pPr>
      <w:r>
        <w:rPr>
          <w:rFonts w:ascii="Arial" w:cs="Arial" w:eastAsia="Arial" w:hAnsi="Arial"/>
          <w:sz w:val="15"/>
          <w:szCs w:val="15"/>
          <w:color w:val="auto"/>
        </w:rPr>
        <w:t>Item 1.</w:t>
      </w:r>
      <w:r>
        <w:rPr>
          <w:sz w:val="20"/>
          <w:szCs w:val="20"/>
          <w:color w:val="auto"/>
        </w:rPr>
        <w:tab/>
      </w:r>
      <w:r>
        <w:rPr>
          <w:rFonts w:ascii="Arial" w:cs="Arial" w:eastAsia="Arial" w:hAnsi="Arial"/>
          <w:sz w:val="15"/>
          <w:szCs w:val="15"/>
          <w:color w:val="auto"/>
        </w:rPr>
        <w:t>Business</w:t>
      </w:r>
    </w:p>
    <w:p>
      <w:pPr>
        <w:spacing w:after="0" w:line="98" w:lineRule="exact"/>
        <w:rPr>
          <w:sz w:val="20"/>
          <w:szCs w:val="20"/>
          <w:color w:val="auto"/>
        </w:rPr>
      </w:pPr>
    </w:p>
    <w:p>
      <w:pPr>
        <w:ind w:left="1040"/>
        <w:spacing w:after="0"/>
        <w:rPr>
          <w:sz w:val="20"/>
          <w:szCs w:val="20"/>
          <w:color w:val="auto"/>
        </w:rPr>
      </w:pPr>
      <w:r>
        <w:rPr>
          <w:rFonts w:ascii="Arial" w:cs="Arial" w:eastAsia="Arial" w:hAnsi="Arial"/>
          <w:sz w:val="15"/>
          <w:szCs w:val="15"/>
          <w:color w:val="auto"/>
        </w:rPr>
        <w:t>Education</w:t>
      </w:r>
    </w:p>
    <w:p>
      <w:pPr>
        <w:spacing w:after="0" w:line="98" w:lineRule="exact"/>
        <w:rPr>
          <w:sz w:val="20"/>
          <w:szCs w:val="20"/>
          <w:color w:val="auto"/>
        </w:rPr>
      </w:pPr>
    </w:p>
    <w:p>
      <w:pPr>
        <w:ind w:left="1040"/>
        <w:spacing w:after="0"/>
        <w:rPr>
          <w:sz w:val="20"/>
          <w:szCs w:val="20"/>
          <w:color w:val="auto"/>
        </w:rPr>
      </w:pPr>
      <w:r>
        <w:rPr>
          <w:rFonts w:ascii="Arial" w:cs="Arial" w:eastAsia="Arial" w:hAnsi="Arial"/>
          <w:sz w:val="15"/>
          <w:szCs w:val="15"/>
          <w:color w:val="auto"/>
        </w:rPr>
        <w:t>Television Broadcasting</w:t>
      </w:r>
    </w:p>
    <w:p>
      <w:pPr>
        <w:spacing w:after="0" w:line="98" w:lineRule="exact"/>
        <w:rPr>
          <w:sz w:val="20"/>
          <w:szCs w:val="20"/>
          <w:color w:val="auto"/>
        </w:rPr>
      </w:pPr>
    </w:p>
    <w:p>
      <w:pPr>
        <w:ind w:left="1040"/>
        <w:spacing w:after="0"/>
        <w:rPr>
          <w:sz w:val="20"/>
          <w:szCs w:val="20"/>
          <w:color w:val="auto"/>
        </w:rPr>
      </w:pPr>
      <w:r>
        <w:rPr>
          <w:rFonts w:ascii="Arial" w:cs="Arial" w:eastAsia="Arial" w:hAnsi="Arial"/>
          <w:sz w:val="15"/>
          <w:szCs w:val="15"/>
          <w:color w:val="auto"/>
        </w:rPr>
        <w:t>Other Activities</w:t>
      </w:r>
    </w:p>
    <w:p>
      <w:pPr>
        <w:spacing w:after="0" w:line="98" w:lineRule="exact"/>
        <w:rPr>
          <w:sz w:val="20"/>
          <w:szCs w:val="20"/>
          <w:color w:val="auto"/>
        </w:rPr>
      </w:pPr>
    </w:p>
    <w:p>
      <w:pPr>
        <w:ind w:left="1040"/>
        <w:spacing w:after="0"/>
        <w:rPr>
          <w:sz w:val="20"/>
          <w:szCs w:val="20"/>
          <w:color w:val="auto"/>
        </w:rPr>
      </w:pPr>
      <w:r>
        <w:rPr>
          <w:rFonts w:ascii="Arial" w:cs="Arial" w:eastAsia="Arial" w:hAnsi="Arial"/>
          <w:sz w:val="15"/>
          <w:szCs w:val="15"/>
          <w:color w:val="auto"/>
        </w:rPr>
        <w:t>Competition</w:t>
      </w:r>
    </w:p>
    <w:p>
      <w:pPr>
        <w:spacing w:after="0" w:line="98" w:lineRule="exact"/>
        <w:rPr>
          <w:sz w:val="20"/>
          <w:szCs w:val="20"/>
          <w:color w:val="auto"/>
        </w:rPr>
      </w:pPr>
    </w:p>
    <w:p>
      <w:pPr>
        <w:ind w:left="1040"/>
        <w:spacing w:after="0"/>
        <w:rPr>
          <w:sz w:val="20"/>
          <w:szCs w:val="20"/>
          <w:color w:val="auto"/>
        </w:rPr>
      </w:pPr>
      <w:r>
        <w:rPr>
          <w:rFonts w:ascii="Arial" w:cs="Arial" w:eastAsia="Arial" w:hAnsi="Arial"/>
          <w:sz w:val="15"/>
          <w:szCs w:val="15"/>
          <w:color w:val="auto"/>
        </w:rPr>
        <w:t>Executive Officers</w:t>
      </w:r>
    </w:p>
    <w:p>
      <w:pPr>
        <w:spacing w:after="0" w:line="98" w:lineRule="exact"/>
        <w:rPr>
          <w:sz w:val="20"/>
          <w:szCs w:val="20"/>
          <w:color w:val="auto"/>
        </w:rPr>
      </w:pPr>
    </w:p>
    <w:p>
      <w:pPr>
        <w:ind w:left="1040"/>
        <w:spacing w:after="0"/>
        <w:rPr>
          <w:sz w:val="20"/>
          <w:szCs w:val="20"/>
          <w:color w:val="auto"/>
        </w:rPr>
      </w:pPr>
      <w:r>
        <w:rPr>
          <w:rFonts w:ascii="Arial" w:cs="Arial" w:eastAsia="Arial" w:hAnsi="Arial"/>
          <w:sz w:val="15"/>
          <w:szCs w:val="15"/>
          <w:color w:val="auto"/>
        </w:rPr>
        <w:t>Employees</w:t>
      </w:r>
    </w:p>
    <w:p>
      <w:pPr>
        <w:spacing w:after="0" w:line="98" w:lineRule="exact"/>
        <w:rPr>
          <w:sz w:val="20"/>
          <w:szCs w:val="20"/>
          <w:color w:val="auto"/>
        </w:rPr>
      </w:pPr>
    </w:p>
    <w:p>
      <w:pPr>
        <w:ind w:left="1040"/>
        <w:spacing w:after="0"/>
        <w:rPr>
          <w:sz w:val="20"/>
          <w:szCs w:val="20"/>
          <w:color w:val="auto"/>
        </w:rPr>
      </w:pPr>
      <w:r>
        <w:rPr>
          <w:rFonts w:ascii="Arial" w:cs="Arial" w:eastAsia="Arial" w:hAnsi="Arial"/>
          <w:sz w:val="15"/>
          <w:szCs w:val="15"/>
          <w:color w:val="auto"/>
        </w:rPr>
        <w:t>Forward-Looking Statements</w:t>
      </w:r>
    </w:p>
    <w:p>
      <w:pPr>
        <w:spacing w:after="0" w:line="98" w:lineRule="exact"/>
        <w:rPr>
          <w:sz w:val="20"/>
          <w:szCs w:val="20"/>
          <w:color w:val="auto"/>
        </w:rPr>
      </w:pPr>
    </w:p>
    <w:p>
      <w:pPr>
        <w:ind w:left="1040"/>
        <w:spacing w:after="0"/>
        <w:rPr>
          <w:sz w:val="20"/>
          <w:szCs w:val="20"/>
          <w:color w:val="auto"/>
        </w:rPr>
      </w:pPr>
      <w:r>
        <w:rPr>
          <w:rFonts w:ascii="Arial" w:cs="Arial" w:eastAsia="Arial" w:hAnsi="Arial"/>
          <w:sz w:val="15"/>
          <w:szCs w:val="15"/>
          <w:color w:val="auto"/>
        </w:rPr>
        <w:t>Available Information</w:t>
      </w:r>
    </w:p>
    <w:p>
      <w:pPr>
        <w:spacing w:after="0" w:line="98" w:lineRule="exact"/>
        <w:rPr>
          <w:sz w:val="20"/>
          <w:szCs w:val="20"/>
          <w:color w:val="auto"/>
        </w:rPr>
      </w:pPr>
    </w:p>
    <w:p>
      <w:pPr>
        <w:spacing w:after="0"/>
        <w:tabs>
          <w:tab w:leader="none" w:pos="1020" w:val="left"/>
        </w:tabs>
        <w:rPr>
          <w:sz w:val="20"/>
          <w:szCs w:val="20"/>
          <w:color w:val="auto"/>
        </w:rPr>
      </w:pPr>
      <w:r>
        <w:rPr>
          <w:rFonts w:ascii="Arial" w:cs="Arial" w:eastAsia="Arial" w:hAnsi="Arial"/>
          <w:sz w:val="15"/>
          <w:szCs w:val="15"/>
          <w:color w:val="auto"/>
        </w:rPr>
        <w:t>Item 1A.</w:t>
      </w:r>
      <w:r>
        <w:rPr>
          <w:sz w:val="20"/>
          <w:szCs w:val="20"/>
          <w:color w:val="auto"/>
        </w:rPr>
        <w:tab/>
      </w:r>
      <w:r>
        <w:rPr>
          <w:rFonts w:ascii="Arial" w:cs="Arial" w:eastAsia="Arial" w:hAnsi="Arial"/>
          <w:sz w:val="15"/>
          <w:szCs w:val="15"/>
          <w:color w:val="auto"/>
        </w:rPr>
        <w:t>Risk Factors</w:t>
      </w:r>
    </w:p>
    <w:p>
      <w:pPr>
        <w:spacing w:after="0" w:line="98" w:lineRule="exact"/>
        <w:rPr>
          <w:sz w:val="20"/>
          <w:szCs w:val="20"/>
          <w:color w:val="auto"/>
        </w:rPr>
      </w:pPr>
    </w:p>
    <w:p>
      <w:pPr>
        <w:spacing w:after="0"/>
        <w:tabs>
          <w:tab w:leader="none" w:pos="1020" w:val="left"/>
        </w:tabs>
        <w:rPr>
          <w:sz w:val="20"/>
          <w:szCs w:val="20"/>
          <w:color w:val="auto"/>
        </w:rPr>
      </w:pPr>
      <w:r>
        <w:rPr>
          <w:rFonts w:ascii="Arial" w:cs="Arial" w:eastAsia="Arial" w:hAnsi="Arial"/>
          <w:sz w:val="15"/>
          <w:szCs w:val="15"/>
          <w:color w:val="auto"/>
        </w:rPr>
        <w:t>Item 1B.</w:t>
      </w:r>
      <w:r>
        <w:rPr>
          <w:sz w:val="20"/>
          <w:szCs w:val="20"/>
          <w:color w:val="auto"/>
        </w:rPr>
        <w:tab/>
      </w:r>
      <w:r>
        <w:rPr>
          <w:rFonts w:ascii="Arial" w:cs="Arial" w:eastAsia="Arial" w:hAnsi="Arial"/>
          <w:sz w:val="15"/>
          <w:szCs w:val="15"/>
          <w:color w:val="auto"/>
        </w:rPr>
        <w:t>Unresolved Staff Comments</w:t>
      </w:r>
    </w:p>
    <w:p>
      <w:pPr>
        <w:spacing w:after="0" w:line="98" w:lineRule="exact"/>
        <w:rPr>
          <w:sz w:val="20"/>
          <w:szCs w:val="20"/>
          <w:color w:val="auto"/>
        </w:rPr>
      </w:pPr>
    </w:p>
    <w:p>
      <w:pPr>
        <w:spacing w:after="0"/>
        <w:tabs>
          <w:tab w:leader="none" w:pos="1020" w:val="left"/>
        </w:tabs>
        <w:rPr>
          <w:sz w:val="20"/>
          <w:szCs w:val="20"/>
          <w:color w:val="auto"/>
        </w:rPr>
      </w:pPr>
      <w:r>
        <w:rPr>
          <w:rFonts w:ascii="Arial" w:cs="Arial" w:eastAsia="Arial" w:hAnsi="Arial"/>
          <w:sz w:val="15"/>
          <w:szCs w:val="15"/>
          <w:color w:val="auto"/>
        </w:rPr>
        <w:t>Item 2.</w:t>
      </w:r>
      <w:r>
        <w:rPr>
          <w:sz w:val="20"/>
          <w:szCs w:val="20"/>
          <w:color w:val="auto"/>
        </w:rPr>
        <w:tab/>
      </w:r>
      <w:r>
        <w:rPr>
          <w:rFonts w:ascii="Arial" w:cs="Arial" w:eastAsia="Arial" w:hAnsi="Arial"/>
          <w:sz w:val="15"/>
          <w:szCs w:val="15"/>
          <w:color w:val="auto"/>
        </w:rPr>
        <w:t>Properties</w:t>
      </w:r>
    </w:p>
    <w:p>
      <w:pPr>
        <w:spacing w:after="0" w:line="98" w:lineRule="exact"/>
        <w:rPr>
          <w:sz w:val="20"/>
          <w:szCs w:val="20"/>
          <w:color w:val="auto"/>
        </w:rPr>
      </w:pPr>
    </w:p>
    <w:p>
      <w:pPr>
        <w:spacing w:after="0"/>
        <w:tabs>
          <w:tab w:leader="none" w:pos="1020" w:val="left"/>
        </w:tabs>
        <w:rPr>
          <w:sz w:val="20"/>
          <w:szCs w:val="20"/>
          <w:color w:val="auto"/>
        </w:rPr>
      </w:pPr>
      <w:r>
        <w:rPr>
          <w:rFonts w:ascii="Arial" w:cs="Arial" w:eastAsia="Arial" w:hAnsi="Arial"/>
          <w:sz w:val="15"/>
          <w:szCs w:val="15"/>
          <w:color w:val="auto"/>
        </w:rPr>
        <w:t>Item 3.</w:t>
      </w:r>
      <w:r>
        <w:rPr>
          <w:sz w:val="20"/>
          <w:szCs w:val="20"/>
          <w:color w:val="auto"/>
        </w:rPr>
        <w:tab/>
      </w:r>
      <w:r>
        <w:rPr>
          <w:rFonts w:ascii="Arial" w:cs="Arial" w:eastAsia="Arial" w:hAnsi="Arial"/>
          <w:sz w:val="15"/>
          <w:szCs w:val="15"/>
          <w:color w:val="auto"/>
        </w:rPr>
        <w:t>Legal Proceedings</w:t>
      </w:r>
    </w:p>
    <w:p>
      <w:pPr>
        <w:spacing w:after="0" w:line="98" w:lineRule="exact"/>
        <w:rPr>
          <w:sz w:val="20"/>
          <w:szCs w:val="20"/>
          <w:color w:val="auto"/>
        </w:rPr>
      </w:pPr>
    </w:p>
    <w:p>
      <w:pPr>
        <w:spacing w:after="0"/>
        <w:tabs>
          <w:tab w:leader="none" w:pos="1020" w:val="left"/>
        </w:tabs>
        <w:rPr>
          <w:sz w:val="20"/>
          <w:szCs w:val="20"/>
          <w:color w:val="auto"/>
        </w:rPr>
      </w:pPr>
      <w:r>
        <w:rPr>
          <w:rFonts w:ascii="Arial" w:cs="Arial" w:eastAsia="Arial" w:hAnsi="Arial"/>
          <w:sz w:val="15"/>
          <w:szCs w:val="15"/>
          <w:color w:val="auto"/>
        </w:rPr>
        <w:t>Item 4.</w:t>
      </w:r>
      <w:r>
        <w:rPr>
          <w:sz w:val="20"/>
          <w:szCs w:val="20"/>
          <w:color w:val="auto"/>
        </w:rPr>
        <w:tab/>
      </w:r>
      <w:r>
        <w:rPr>
          <w:rFonts w:ascii="Arial" w:cs="Arial" w:eastAsia="Arial" w:hAnsi="Arial"/>
          <w:sz w:val="15"/>
          <w:szCs w:val="15"/>
          <w:color w:val="auto"/>
        </w:rPr>
        <w:t>Mine Safety Disclosures</w:t>
      </w:r>
    </w:p>
    <w:p>
      <w:pPr>
        <w:spacing w:after="0" w:line="98" w:lineRule="exact"/>
        <w:rPr>
          <w:sz w:val="20"/>
          <w:szCs w:val="20"/>
          <w:color w:val="auto"/>
        </w:rPr>
      </w:pPr>
    </w:p>
    <w:p>
      <w:pPr>
        <w:spacing w:after="0"/>
        <w:tabs>
          <w:tab w:leader="none" w:pos="1020" w:val="left"/>
        </w:tabs>
        <w:rPr>
          <w:sz w:val="20"/>
          <w:szCs w:val="20"/>
          <w:color w:val="auto"/>
        </w:rPr>
      </w:pPr>
      <w:r>
        <w:rPr>
          <w:rFonts w:ascii="Arial" w:cs="Arial" w:eastAsia="Arial" w:hAnsi="Arial"/>
          <w:sz w:val="15"/>
          <w:szCs w:val="15"/>
          <w:color w:val="auto"/>
        </w:rPr>
        <w:t>Item 5.</w:t>
      </w:r>
      <w:r>
        <w:rPr>
          <w:sz w:val="20"/>
          <w:szCs w:val="20"/>
          <w:color w:val="auto"/>
        </w:rPr>
        <w:tab/>
      </w:r>
      <w:r>
        <w:rPr>
          <w:rFonts w:ascii="Arial" w:cs="Arial" w:eastAsia="Arial" w:hAnsi="Arial"/>
          <w:sz w:val="15"/>
          <w:szCs w:val="15"/>
          <w:color w:val="auto"/>
        </w:rPr>
        <w:t>Market for the Registrant’s Common Equity, Related Stockholder Matters and Issuer Purchases of Equity Securities</w:t>
      </w:r>
    </w:p>
    <w:p>
      <w:pPr>
        <w:spacing w:after="0" w:line="98" w:lineRule="exact"/>
        <w:rPr>
          <w:sz w:val="20"/>
          <w:szCs w:val="20"/>
          <w:color w:val="auto"/>
        </w:rPr>
      </w:pPr>
    </w:p>
    <w:p>
      <w:pPr>
        <w:spacing w:after="0"/>
        <w:tabs>
          <w:tab w:leader="none" w:pos="1020" w:val="left"/>
        </w:tabs>
        <w:rPr>
          <w:sz w:val="20"/>
          <w:szCs w:val="20"/>
          <w:color w:val="auto"/>
        </w:rPr>
      </w:pPr>
      <w:r>
        <w:rPr>
          <w:rFonts w:ascii="Arial" w:cs="Arial" w:eastAsia="Arial" w:hAnsi="Arial"/>
          <w:sz w:val="15"/>
          <w:szCs w:val="15"/>
          <w:color w:val="auto"/>
        </w:rPr>
        <w:t>Item 6.</w:t>
      </w:r>
      <w:r>
        <w:rPr>
          <w:sz w:val="20"/>
          <w:szCs w:val="20"/>
          <w:color w:val="auto"/>
        </w:rPr>
        <w:tab/>
      </w:r>
      <w:r>
        <w:rPr>
          <w:rFonts w:ascii="Arial" w:cs="Arial" w:eastAsia="Arial" w:hAnsi="Arial"/>
          <w:sz w:val="15"/>
          <w:szCs w:val="15"/>
          <w:color w:val="auto"/>
        </w:rPr>
        <w:t>Selected Financial Data</w:t>
      </w:r>
    </w:p>
    <w:p>
      <w:pPr>
        <w:spacing w:after="0" w:line="98" w:lineRule="exact"/>
        <w:rPr>
          <w:sz w:val="20"/>
          <w:szCs w:val="20"/>
          <w:color w:val="auto"/>
        </w:rPr>
      </w:pPr>
    </w:p>
    <w:p>
      <w:pPr>
        <w:spacing w:after="0"/>
        <w:tabs>
          <w:tab w:leader="none" w:pos="1020" w:val="left"/>
        </w:tabs>
        <w:rPr>
          <w:sz w:val="20"/>
          <w:szCs w:val="20"/>
          <w:color w:val="auto"/>
        </w:rPr>
      </w:pPr>
      <w:r>
        <w:rPr>
          <w:rFonts w:ascii="Arial" w:cs="Arial" w:eastAsia="Arial" w:hAnsi="Arial"/>
          <w:sz w:val="15"/>
          <w:szCs w:val="15"/>
          <w:color w:val="auto"/>
        </w:rPr>
        <w:t>Item 7.</w:t>
      </w:r>
      <w:r>
        <w:rPr>
          <w:sz w:val="20"/>
          <w:szCs w:val="20"/>
          <w:color w:val="auto"/>
        </w:rPr>
        <w:tab/>
      </w:r>
      <w:r>
        <w:rPr>
          <w:rFonts w:ascii="Arial" w:cs="Arial" w:eastAsia="Arial" w:hAnsi="Arial"/>
          <w:sz w:val="15"/>
          <w:szCs w:val="15"/>
          <w:color w:val="auto"/>
        </w:rPr>
        <w:t>Management’s Discussion and Analysis of Financial Condition and Results of Operations</w:t>
      </w:r>
    </w:p>
    <w:p>
      <w:pPr>
        <w:spacing w:after="0" w:line="98" w:lineRule="exact"/>
        <w:rPr>
          <w:sz w:val="20"/>
          <w:szCs w:val="20"/>
          <w:color w:val="auto"/>
        </w:rPr>
      </w:pPr>
    </w:p>
    <w:p>
      <w:pPr>
        <w:spacing w:after="0"/>
        <w:tabs>
          <w:tab w:leader="none" w:pos="1020" w:val="left"/>
        </w:tabs>
        <w:rPr>
          <w:sz w:val="20"/>
          <w:szCs w:val="20"/>
          <w:color w:val="auto"/>
        </w:rPr>
      </w:pPr>
      <w:r>
        <w:rPr>
          <w:rFonts w:ascii="Arial" w:cs="Arial" w:eastAsia="Arial" w:hAnsi="Arial"/>
          <w:sz w:val="15"/>
          <w:szCs w:val="15"/>
          <w:color w:val="auto"/>
        </w:rPr>
        <w:t>Item 7A.</w:t>
      </w:r>
      <w:r>
        <w:rPr>
          <w:sz w:val="20"/>
          <w:szCs w:val="20"/>
          <w:color w:val="auto"/>
        </w:rPr>
        <w:tab/>
      </w:r>
      <w:r>
        <w:rPr>
          <w:rFonts w:ascii="Arial" w:cs="Arial" w:eastAsia="Arial" w:hAnsi="Arial"/>
          <w:sz w:val="15"/>
          <w:szCs w:val="15"/>
          <w:color w:val="auto"/>
        </w:rPr>
        <w:t>Quantitative and Qualitative Disclosures About Market Risk</w:t>
      </w:r>
    </w:p>
    <w:p>
      <w:pPr>
        <w:spacing w:after="0" w:line="98" w:lineRule="exact"/>
        <w:rPr>
          <w:sz w:val="20"/>
          <w:szCs w:val="20"/>
          <w:color w:val="auto"/>
        </w:rPr>
      </w:pPr>
    </w:p>
    <w:p>
      <w:pPr>
        <w:spacing w:after="0"/>
        <w:tabs>
          <w:tab w:leader="none" w:pos="1020" w:val="left"/>
        </w:tabs>
        <w:rPr>
          <w:sz w:val="20"/>
          <w:szCs w:val="20"/>
          <w:color w:val="auto"/>
        </w:rPr>
      </w:pPr>
      <w:r>
        <w:rPr>
          <w:rFonts w:ascii="Arial" w:cs="Arial" w:eastAsia="Arial" w:hAnsi="Arial"/>
          <w:sz w:val="15"/>
          <w:szCs w:val="15"/>
          <w:color w:val="auto"/>
        </w:rPr>
        <w:t>Item 8.</w:t>
      </w:r>
      <w:r>
        <w:rPr>
          <w:sz w:val="20"/>
          <w:szCs w:val="20"/>
          <w:color w:val="auto"/>
        </w:rPr>
        <w:tab/>
      </w:r>
      <w:r>
        <w:rPr>
          <w:rFonts w:ascii="Arial" w:cs="Arial" w:eastAsia="Arial" w:hAnsi="Arial"/>
          <w:sz w:val="15"/>
          <w:szCs w:val="15"/>
          <w:color w:val="auto"/>
        </w:rPr>
        <w:t>Financial Statements and Supplementary Data</w:t>
      </w:r>
    </w:p>
    <w:p>
      <w:pPr>
        <w:spacing w:after="0" w:line="98" w:lineRule="exact"/>
        <w:rPr>
          <w:sz w:val="20"/>
          <w:szCs w:val="20"/>
          <w:color w:val="auto"/>
        </w:rPr>
      </w:pPr>
    </w:p>
    <w:p>
      <w:pPr>
        <w:spacing w:after="0"/>
        <w:tabs>
          <w:tab w:leader="none" w:pos="1020" w:val="left"/>
        </w:tabs>
        <w:rPr>
          <w:sz w:val="20"/>
          <w:szCs w:val="20"/>
          <w:color w:val="auto"/>
        </w:rPr>
      </w:pPr>
      <w:r>
        <w:rPr>
          <w:rFonts w:ascii="Arial" w:cs="Arial" w:eastAsia="Arial" w:hAnsi="Arial"/>
          <w:sz w:val="15"/>
          <w:szCs w:val="15"/>
          <w:color w:val="auto"/>
        </w:rPr>
        <w:t>Item 9.</w:t>
      </w:r>
      <w:r>
        <w:rPr>
          <w:sz w:val="20"/>
          <w:szCs w:val="20"/>
          <w:color w:val="auto"/>
        </w:rPr>
        <w:tab/>
      </w:r>
      <w:r>
        <w:rPr>
          <w:rFonts w:ascii="Arial" w:cs="Arial" w:eastAsia="Arial" w:hAnsi="Arial"/>
          <w:sz w:val="15"/>
          <w:szCs w:val="15"/>
          <w:color w:val="auto"/>
        </w:rPr>
        <w:t>Changes in and Disagreements with Accountants on Accounting and Financial Disclosure</w:t>
      </w:r>
    </w:p>
    <w:p>
      <w:pPr>
        <w:spacing w:after="0" w:line="98" w:lineRule="exact"/>
        <w:rPr>
          <w:sz w:val="20"/>
          <w:szCs w:val="20"/>
          <w:color w:val="auto"/>
        </w:rPr>
      </w:pPr>
    </w:p>
    <w:p>
      <w:pPr>
        <w:spacing w:after="0"/>
        <w:tabs>
          <w:tab w:leader="none" w:pos="1020" w:val="left"/>
        </w:tabs>
        <w:rPr>
          <w:sz w:val="20"/>
          <w:szCs w:val="20"/>
          <w:color w:val="auto"/>
        </w:rPr>
      </w:pPr>
      <w:r>
        <w:rPr>
          <w:rFonts w:ascii="Arial" w:cs="Arial" w:eastAsia="Arial" w:hAnsi="Arial"/>
          <w:sz w:val="15"/>
          <w:szCs w:val="15"/>
          <w:color w:val="auto"/>
        </w:rPr>
        <w:t>Item 9A.</w:t>
      </w:r>
      <w:r>
        <w:rPr>
          <w:sz w:val="20"/>
          <w:szCs w:val="20"/>
          <w:color w:val="auto"/>
        </w:rPr>
        <w:tab/>
      </w:r>
      <w:r>
        <w:rPr>
          <w:rFonts w:ascii="Arial" w:cs="Arial" w:eastAsia="Arial" w:hAnsi="Arial"/>
          <w:sz w:val="15"/>
          <w:szCs w:val="15"/>
          <w:color w:val="auto"/>
        </w:rPr>
        <w:t>Controls and Procedures</w:t>
      </w:r>
    </w:p>
    <w:p>
      <w:pPr>
        <w:spacing w:after="0" w:line="98" w:lineRule="exact"/>
        <w:rPr>
          <w:sz w:val="20"/>
          <w:szCs w:val="20"/>
          <w:color w:val="auto"/>
        </w:rPr>
      </w:pPr>
    </w:p>
    <w:p>
      <w:pPr>
        <w:spacing w:after="0"/>
        <w:tabs>
          <w:tab w:leader="none" w:pos="1020" w:val="left"/>
        </w:tabs>
        <w:rPr>
          <w:sz w:val="20"/>
          <w:szCs w:val="20"/>
          <w:color w:val="auto"/>
        </w:rPr>
      </w:pPr>
      <w:r>
        <w:rPr>
          <w:rFonts w:ascii="Arial" w:cs="Arial" w:eastAsia="Arial" w:hAnsi="Arial"/>
          <w:sz w:val="15"/>
          <w:szCs w:val="15"/>
          <w:color w:val="auto"/>
        </w:rPr>
        <w:t>Item 9B.</w:t>
      </w:r>
      <w:r>
        <w:rPr>
          <w:sz w:val="20"/>
          <w:szCs w:val="20"/>
          <w:color w:val="auto"/>
        </w:rPr>
        <w:tab/>
      </w:r>
      <w:r>
        <w:rPr>
          <w:rFonts w:ascii="Arial" w:cs="Arial" w:eastAsia="Arial" w:hAnsi="Arial"/>
          <w:sz w:val="15"/>
          <w:szCs w:val="15"/>
          <w:color w:val="auto"/>
        </w:rPr>
        <w:t>Other Information</w:t>
      </w:r>
    </w:p>
    <w:p>
      <w:pPr>
        <w:spacing w:after="0" w:line="98" w:lineRule="exact"/>
        <w:rPr>
          <w:sz w:val="20"/>
          <w:szCs w:val="20"/>
          <w:color w:val="auto"/>
        </w:rPr>
      </w:pPr>
    </w:p>
    <w:p>
      <w:pPr>
        <w:spacing w:after="0"/>
        <w:tabs>
          <w:tab w:leader="none" w:pos="1020" w:val="left"/>
        </w:tabs>
        <w:rPr>
          <w:sz w:val="20"/>
          <w:szCs w:val="20"/>
          <w:color w:val="auto"/>
        </w:rPr>
      </w:pPr>
      <w:r>
        <w:rPr>
          <w:rFonts w:ascii="Arial" w:cs="Arial" w:eastAsia="Arial" w:hAnsi="Arial"/>
          <w:sz w:val="15"/>
          <w:szCs w:val="15"/>
          <w:color w:val="auto"/>
        </w:rPr>
        <w:t>Item 10.</w:t>
      </w:r>
      <w:r>
        <w:rPr>
          <w:sz w:val="20"/>
          <w:szCs w:val="20"/>
          <w:color w:val="auto"/>
        </w:rPr>
        <w:tab/>
      </w:r>
      <w:r>
        <w:rPr>
          <w:rFonts w:ascii="Arial" w:cs="Arial" w:eastAsia="Arial" w:hAnsi="Arial"/>
          <w:sz w:val="15"/>
          <w:szCs w:val="15"/>
          <w:color w:val="auto"/>
        </w:rPr>
        <w:t>Directors, Executive Officers and Corporate Governance</w:t>
      </w:r>
    </w:p>
    <w:p>
      <w:pPr>
        <w:spacing w:after="0" w:line="98" w:lineRule="exact"/>
        <w:rPr>
          <w:sz w:val="20"/>
          <w:szCs w:val="20"/>
          <w:color w:val="auto"/>
        </w:rPr>
      </w:pPr>
    </w:p>
    <w:p>
      <w:pPr>
        <w:spacing w:after="0"/>
        <w:tabs>
          <w:tab w:leader="none" w:pos="1020" w:val="left"/>
        </w:tabs>
        <w:rPr>
          <w:sz w:val="20"/>
          <w:szCs w:val="20"/>
          <w:color w:val="auto"/>
        </w:rPr>
      </w:pPr>
      <w:r>
        <w:rPr>
          <w:rFonts w:ascii="Arial" w:cs="Arial" w:eastAsia="Arial" w:hAnsi="Arial"/>
          <w:sz w:val="15"/>
          <w:szCs w:val="15"/>
          <w:color w:val="auto"/>
        </w:rPr>
        <w:t>Item 11.</w:t>
      </w:r>
      <w:r>
        <w:rPr>
          <w:sz w:val="20"/>
          <w:szCs w:val="20"/>
          <w:color w:val="auto"/>
        </w:rPr>
        <w:tab/>
      </w:r>
      <w:r>
        <w:rPr>
          <w:rFonts w:ascii="Arial" w:cs="Arial" w:eastAsia="Arial" w:hAnsi="Arial"/>
          <w:sz w:val="15"/>
          <w:szCs w:val="15"/>
          <w:color w:val="auto"/>
        </w:rPr>
        <w:t>Executive Compensation</w:t>
      </w:r>
    </w:p>
    <w:p>
      <w:pPr>
        <w:spacing w:after="0" w:line="98" w:lineRule="exact"/>
        <w:rPr>
          <w:sz w:val="20"/>
          <w:szCs w:val="20"/>
          <w:color w:val="auto"/>
        </w:rPr>
      </w:pPr>
    </w:p>
    <w:p>
      <w:pPr>
        <w:spacing w:after="0"/>
        <w:tabs>
          <w:tab w:leader="none" w:pos="1020" w:val="left"/>
        </w:tabs>
        <w:rPr>
          <w:sz w:val="20"/>
          <w:szCs w:val="20"/>
          <w:color w:val="auto"/>
        </w:rPr>
      </w:pPr>
      <w:r>
        <w:rPr>
          <w:rFonts w:ascii="Arial" w:cs="Arial" w:eastAsia="Arial" w:hAnsi="Arial"/>
          <w:sz w:val="15"/>
          <w:szCs w:val="15"/>
          <w:color w:val="auto"/>
        </w:rPr>
        <w:t>Item 12.</w:t>
      </w:r>
      <w:r>
        <w:rPr>
          <w:sz w:val="20"/>
          <w:szCs w:val="20"/>
          <w:color w:val="auto"/>
        </w:rPr>
        <w:tab/>
      </w:r>
      <w:r>
        <w:rPr>
          <w:rFonts w:ascii="Arial" w:cs="Arial" w:eastAsia="Arial" w:hAnsi="Arial"/>
          <w:sz w:val="15"/>
          <w:szCs w:val="15"/>
          <w:color w:val="auto"/>
        </w:rPr>
        <w:t>Security Ownership of Certain Beneficial Owners and Management and Related Stockholder Matters</w:t>
      </w:r>
    </w:p>
    <w:p>
      <w:pPr>
        <w:spacing w:after="0" w:line="98" w:lineRule="exact"/>
        <w:rPr>
          <w:sz w:val="20"/>
          <w:szCs w:val="20"/>
          <w:color w:val="auto"/>
        </w:rPr>
      </w:pPr>
    </w:p>
    <w:p>
      <w:pPr>
        <w:spacing w:after="0"/>
        <w:tabs>
          <w:tab w:leader="none" w:pos="1020" w:val="left"/>
        </w:tabs>
        <w:rPr>
          <w:sz w:val="20"/>
          <w:szCs w:val="20"/>
          <w:color w:val="auto"/>
        </w:rPr>
      </w:pPr>
      <w:r>
        <w:rPr>
          <w:rFonts w:ascii="Arial" w:cs="Arial" w:eastAsia="Arial" w:hAnsi="Arial"/>
          <w:sz w:val="15"/>
          <w:szCs w:val="15"/>
          <w:color w:val="auto"/>
        </w:rPr>
        <w:t>Item 13.</w:t>
      </w:r>
      <w:r>
        <w:rPr>
          <w:sz w:val="20"/>
          <w:szCs w:val="20"/>
          <w:color w:val="auto"/>
        </w:rPr>
        <w:tab/>
      </w:r>
      <w:r>
        <w:rPr>
          <w:rFonts w:ascii="Arial" w:cs="Arial" w:eastAsia="Arial" w:hAnsi="Arial"/>
          <w:sz w:val="15"/>
          <w:szCs w:val="15"/>
          <w:color w:val="auto"/>
        </w:rPr>
        <w:t>Certain Relationships and Related Transactions and Director Independence</w:t>
      </w:r>
    </w:p>
    <w:p>
      <w:pPr>
        <w:spacing w:after="0" w:line="98" w:lineRule="exact"/>
        <w:rPr>
          <w:sz w:val="20"/>
          <w:szCs w:val="20"/>
          <w:color w:val="auto"/>
        </w:rPr>
      </w:pPr>
    </w:p>
    <w:p>
      <w:pPr>
        <w:spacing w:after="0"/>
        <w:tabs>
          <w:tab w:leader="none" w:pos="1020" w:val="left"/>
        </w:tabs>
        <w:rPr>
          <w:sz w:val="20"/>
          <w:szCs w:val="20"/>
          <w:color w:val="auto"/>
        </w:rPr>
      </w:pPr>
      <w:r>
        <w:rPr>
          <w:rFonts w:ascii="Arial" w:cs="Arial" w:eastAsia="Arial" w:hAnsi="Arial"/>
          <w:sz w:val="15"/>
          <w:szCs w:val="15"/>
          <w:color w:val="auto"/>
        </w:rPr>
        <w:t>Item 14.</w:t>
      </w:r>
      <w:r>
        <w:rPr>
          <w:sz w:val="20"/>
          <w:szCs w:val="20"/>
          <w:color w:val="auto"/>
        </w:rPr>
        <w:tab/>
      </w:r>
      <w:r>
        <w:rPr>
          <w:rFonts w:ascii="Arial" w:cs="Arial" w:eastAsia="Arial" w:hAnsi="Arial"/>
          <w:sz w:val="15"/>
          <w:szCs w:val="15"/>
          <w:color w:val="auto"/>
        </w:rPr>
        <w:t>Principal Accounting Fees and Services</w:t>
      </w:r>
    </w:p>
    <w:p>
      <w:pPr>
        <w:spacing w:after="0" w:line="98" w:lineRule="exact"/>
        <w:rPr>
          <w:sz w:val="20"/>
          <w:szCs w:val="20"/>
          <w:color w:val="auto"/>
        </w:rPr>
      </w:pPr>
    </w:p>
    <w:p>
      <w:pPr>
        <w:spacing w:after="0"/>
        <w:tabs>
          <w:tab w:leader="none" w:pos="1020" w:val="left"/>
        </w:tabs>
        <w:rPr>
          <w:sz w:val="20"/>
          <w:szCs w:val="20"/>
          <w:color w:val="auto"/>
        </w:rPr>
      </w:pPr>
      <w:r>
        <w:rPr>
          <w:rFonts w:ascii="Arial" w:cs="Arial" w:eastAsia="Arial" w:hAnsi="Arial"/>
          <w:sz w:val="15"/>
          <w:szCs w:val="15"/>
          <w:color w:val="auto"/>
        </w:rPr>
        <w:t>Item 15.</w:t>
      </w:r>
      <w:r>
        <w:rPr>
          <w:sz w:val="20"/>
          <w:szCs w:val="20"/>
          <w:color w:val="auto"/>
        </w:rPr>
        <w:tab/>
      </w:r>
      <w:r>
        <w:rPr>
          <w:rFonts w:ascii="Arial" w:cs="Arial" w:eastAsia="Arial" w:hAnsi="Arial"/>
          <w:sz w:val="15"/>
          <w:szCs w:val="15"/>
          <w:color w:val="auto"/>
        </w:rPr>
        <w:t>Exhibits, Financial Statement Schedules</w:t>
      </w:r>
    </w:p>
    <w:p>
      <w:pPr>
        <w:spacing w:after="0" w:line="98" w:lineRule="exact"/>
        <w:rPr>
          <w:sz w:val="20"/>
          <w:szCs w:val="20"/>
          <w:color w:val="auto"/>
        </w:rPr>
      </w:pPr>
    </w:p>
    <w:p>
      <w:pPr>
        <w:spacing w:after="0"/>
        <w:tabs>
          <w:tab w:leader="none" w:pos="1020" w:val="left"/>
        </w:tabs>
        <w:rPr>
          <w:sz w:val="20"/>
          <w:szCs w:val="20"/>
          <w:color w:val="auto"/>
        </w:rPr>
      </w:pPr>
      <w:r>
        <w:rPr>
          <w:rFonts w:ascii="Arial" w:cs="Arial" w:eastAsia="Arial" w:hAnsi="Arial"/>
          <w:sz w:val="15"/>
          <w:szCs w:val="15"/>
          <w:color w:val="auto"/>
        </w:rPr>
        <w:t>Item 16.</w:t>
      </w:r>
      <w:r>
        <w:rPr>
          <w:sz w:val="20"/>
          <w:szCs w:val="20"/>
          <w:color w:val="auto"/>
        </w:rPr>
        <w:tab/>
      </w:r>
      <w:r>
        <w:rPr>
          <w:rFonts w:ascii="Arial" w:cs="Arial" w:eastAsia="Arial" w:hAnsi="Arial"/>
          <w:sz w:val="15"/>
          <w:szCs w:val="15"/>
          <w:color w:val="auto"/>
        </w:rPr>
        <w:t>Form 10-K Summary</w:t>
      </w:r>
    </w:p>
    <w:p>
      <w:pPr>
        <w:spacing w:after="0" w:line="98" w:lineRule="exact"/>
        <w:rPr>
          <w:sz w:val="20"/>
          <w:szCs w:val="20"/>
          <w:color w:val="auto"/>
        </w:rPr>
      </w:pPr>
    </w:p>
    <w:p>
      <w:pPr>
        <w:spacing w:after="0"/>
        <w:rPr>
          <w:sz w:val="20"/>
          <w:szCs w:val="20"/>
          <w:color w:val="auto"/>
        </w:rPr>
      </w:pPr>
      <w:r>
        <w:rPr>
          <w:rFonts w:ascii="Arial" w:cs="Arial" w:eastAsia="Arial" w:hAnsi="Arial"/>
          <w:sz w:val="15"/>
          <w:szCs w:val="15"/>
          <w:color w:val="auto"/>
        </w:rPr>
        <w:t>SIGNATURES</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INDEX TO FINANCIAL INFORMATION</w:t>
      </w:r>
    </w:p>
    <w:p>
      <w:pPr>
        <w:spacing w:after="0" w:line="44" w:lineRule="exact"/>
        <w:rPr>
          <w:sz w:val="20"/>
          <w:szCs w:val="20"/>
          <w:color w:val="auto"/>
        </w:rPr>
      </w:pPr>
    </w:p>
    <w:p>
      <w:pPr>
        <w:ind w:left="140"/>
        <w:spacing w:after="0"/>
        <w:rPr>
          <w:sz w:val="20"/>
          <w:szCs w:val="20"/>
          <w:color w:val="auto"/>
        </w:rPr>
      </w:pPr>
      <w:r>
        <w:rPr>
          <w:rFonts w:ascii="Arial" w:cs="Arial" w:eastAsia="Arial" w:hAnsi="Arial"/>
          <w:sz w:val="15"/>
          <w:szCs w:val="15"/>
          <w:color w:val="auto"/>
        </w:rPr>
        <w:t>Management’s Discussion and Analysis of Results of Operations and Financial Condition (Unaudited)</w:t>
      </w:r>
    </w:p>
    <w:p>
      <w:pPr>
        <w:spacing w:after="0" w:line="44" w:lineRule="exact"/>
        <w:rPr>
          <w:sz w:val="20"/>
          <w:szCs w:val="20"/>
          <w:color w:val="auto"/>
        </w:rPr>
      </w:pPr>
    </w:p>
    <w:p>
      <w:pPr>
        <w:ind w:left="140"/>
        <w:spacing w:after="0"/>
        <w:rPr>
          <w:sz w:val="20"/>
          <w:szCs w:val="20"/>
          <w:color w:val="auto"/>
        </w:rPr>
      </w:pPr>
      <w:r>
        <w:rPr>
          <w:rFonts w:ascii="Arial" w:cs="Arial" w:eastAsia="Arial" w:hAnsi="Arial"/>
          <w:sz w:val="15"/>
          <w:szCs w:val="15"/>
          <w:color w:val="auto"/>
        </w:rPr>
        <w:t>Financial Statements:</w:t>
      </w:r>
    </w:p>
    <w:p>
      <w:pPr>
        <w:spacing w:after="0" w:line="44" w:lineRule="exact"/>
        <w:rPr>
          <w:sz w:val="20"/>
          <w:szCs w:val="20"/>
          <w:color w:val="auto"/>
        </w:rPr>
      </w:pPr>
    </w:p>
    <w:p>
      <w:pPr>
        <w:ind w:left="240"/>
        <w:spacing w:after="0"/>
        <w:rPr>
          <w:sz w:val="20"/>
          <w:szCs w:val="20"/>
          <w:color w:val="auto"/>
        </w:rPr>
      </w:pPr>
      <w:r>
        <w:rPr>
          <w:rFonts w:ascii="Arial" w:cs="Arial" w:eastAsia="Arial" w:hAnsi="Arial"/>
          <w:sz w:val="15"/>
          <w:szCs w:val="15"/>
          <w:color w:val="auto"/>
        </w:rPr>
        <w:t>Management’s Report on Internal Control Over Financial Reporting</w:t>
      </w:r>
    </w:p>
    <w:p>
      <w:pPr>
        <w:spacing w:after="0" w:line="44" w:lineRule="exact"/>
        <w:rPr>
          <w:sz w:val="20"/>
          <w:szCs w:val="20"/>
          <w:color w:val="auto"/>
        </w:rPr>
      </w:pPr>
    </w:p>
    <w:p>
      <w:pPr>
        <w:ind w:left="240"/>
        <w:spacing w:after="0"/>
        <w:rPr>
          <w:sz w:val="20"/>
          <w:szCs w:val="20"/>
          <w:color w:val="auto"/>
        </w:rPr>
      </w:pPr>
      <w:r>
        <w:rPr>
          <w:rFonts w:ascii="Arial" w:cs="Arial" w:eastAsia="Arial" w:hAnsi="Arial"/>
          <w:sz w:val="15"/>
          <w:szCs w:val="15"/>
          <w:color w:val="auto"/>
        </w:rPr>
        <w:t>Report of Independent Registered Public Accounting Firm</w:t>
      </w:r>
    </w:p>
    <w:p>
      <w:pPr>
        <w:spacing w:after="0" w:line="44" w:lineRule="exact"/>
        <w:rPr>
          <w:sz w:val="20"/>
          <w:szCs w:val="20"/>
          <w:color w:val="auto"/>
        </w:rPr>
      </w:pPr>
    </w:p>
    <w:p>
      <w:pPr>
        <w:ind w:left="240" w:right="3380"/>
        <w:spacing w:after="0" w:line="300" w:lineRule="auto"/>
        <w:rPr>
          <w:sz w:val="20"/>
          <w:szCs w:val="20"/>
          <w:color w:val="auto"/>
        </w:rPr>
      </w:pPr>
      <w:r>
        <w:rPr>
          <w:rFonts w:ascii="Arial" w:cs="Arial" w:eastAsia="Arial" w:hAnsi="Arial"/>
          <w:sz w:val="15"/>
          <w:szCs w:val="15"/>
          <w:color w:val="auto"/>
        </w:rPr>
        <w:t>Consolidated Statements of Operations for the Three Years Ended December 31, 2016 Consolidated Statements of Comprehensive Income for the Three Years Ended December 31, 2016 Consolidated Balance Sheets at December 31, 2016 and 2015</w:t>
      </w:r>
    </w:p>
    <w:p>
      <w:pPr>
        <w:spacing w:after="0" w:line="1" w:lineRule="exact"/>
        <w:rPr>
          <w:sz w:val="20"/>
          <w:szCs w:val="20"/>
          <w:color w:val="auto"/>
        </w:rPr>
      </w:pPr>
    </w:p>
    <w:p>
      <w:pPr>
        <w:ind w:left="240"/>
        <w:spacing w:after="0"/>
        <w:rPr>
          <w:sz w:val="20"/>
          <w:szCs w:val="20"/>
          <w:color w:val="auto"/>
        </w:rPr>
      </w:pPr>
      <w:r>
        <w:rPr>
          <w:rFonts w:ascii="Arial" w:cs="Arial" w:eastAsia="Arial" w:hAnsi="Arial"/>
          <w:sz w:val="15"/>
          <w:szCs w:val="15"/>
          <w:color w:val="auto"/>
        </w:rPr>
        <w:t>Consolidated Statements of Cash Flows for the Three Years Ended December 31, 2016</w:t>
      </w:r>
    </w:p>
    <w:p>
      <w:pPr>
        <w:spacing w:after="0" w:line="44" w:lineRule="exact"/>
        <w:rPr>
          <w:sz w:val="20"/>
          <w:szCs w:val="20"/>
          <w:color w:val="auto"/>
        </w:rPr>
      </w:pPr>
    </w:p>
    <w:p>
      <w:pPr>
        <w:ind w:left="240" w:right="2140"/>
        <w:spacing w:after="0" w:line="300" w:lineRule="auto"/>
        <w:rPr>
          <w:sz w:val="20"/>
          <w:szCs w:val="20"/>
          <w:color w:val="auto"/>
        </w:rPr>
      </w:pPr>
      <w:r>
        <w:rPr>
          <w:rFonts w:ascii="Arial" w:cs="Arial" w:eastAsia="Arial" w:hAnsi="Arial"/>
          <w:sz w:val="15"/>
          <w:szCs w:val="15"/>
          <w:color w:val="auto"/>
        </w:rPr>
        <w:t>Consolidated Statements of Changes in Common Stockholders’ Equity for the Three Years Ended December 31, 2016 Notes to Consolidated Financial Statements</w:t>
      </w:r>
    </w:p>
    <w:p>
      <w:pPr>
        <w:spacing w:after="0" w:line="1" w:lineRule="exact"/>
        <w:rPr>
          <w:sz w:val="20"/>
          <w:szCs w:val="20"/>
          <w:color w:val="auto"/>
        </w:rPr>
      </w:pPr>
    </w:p>
    <w:p>
      <w:pPr>
        <w:ind w:left="140"/>
        <w:spacing w:after="0"/>
        <w:rPr>
          <w:sz w:val="20"/>
          <w:szCs w:val="20"/>
          <w:color w:val="auto"/>
        </w:rPr>
      </w:pPr>
      <w:r>
        <w:rPr>
          <w:rFonts w:ascii="Arial" w:cs="Arial" w:eastAsia="Arial" w:hAnsi="Arial"/>
          <w:sz w:val="15"/>
          <w:szCs w:val="15"/>
          <w:color w:val="auto"/>
        </w:rPr>
        <w:t>Five-Year Summary of Selected Historical Financial Data (Unaudited)</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INDEX TO EXHIBITS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160"/>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1</w:t>
        </w:r>
      </w:hyperlink>
    </w:p>
    <w:p>
      <w:pPr>
        <w:spacing w:after="0" w:line="98" w:lineRule="exact"/>
        <w:rPr>
          <w:sz w:val="20"/>
          <w:szCs w:val="20"/>
          <w:color w:val="auto"/>
        </w:rPr>
      </w:pPr>
    </w:p>
    <w:p>
      <w:pPr>
        <w:ind w:left="160"/>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1</w:t>
        </w:r>
      </w:hyperlink>
    </w:p>
    <w:p>
      <w:pPr>
        <w:spacing w:after="0" w:line="98" w:lineRule="exact"/>
        <w:rPr>
          <w:sz w:val="20"/>
          <w:szCs w:val="20"/>
          <w:color w:val="auto"/>
        </w:rPr>
      </w:pPr>
    </w:p>
    <w:p>
      <w:pPr>
        <w:ind w:left="80"/>
        <w:spacing w:after="0"/>
        <w:rPr>
          <w:rFonts w:ascii="Arial" w:cs="Arial" w:eastAsia="Arial" w:hAnsi="Arial"/>
          <w:sz w:val="15"/>
          <w:szCs w:val="15"/>
          <w:u w:val="single" w:color="auto"/>
          <w:color w:val="0000EE"/>
        </w:rPr>
      </w:pPr>
      <w:hyperlink w:anchor="page16">
        <w:r>
          <w:rPr>
            <w:rFonts w:ascii="Arial" w:cs="Arial" w:eastAsia="Arial" w:hAnsi="Arial"/>
            <w:sz w:val="15"/>
            <w:szCs w:val="15"/>
            <w:u w:val="single" w:color="auto"/>
            <w:color w:val="0000EE"/>
          </w:rPr>
          <w:t>14</w:t>
        </w:r>
      </w:hyperlink>
    </w:p>
    <w:p>
      <w:pPr>
        <w:spacing w:after="0" w:line="98" w:lineRule="exact"/>
        <w:rPr>
          <w:sz w:val="20"/>
          <w:szCs w:val="20"/>
          <w:color w:val="auto"/>
        </w:rPr>
      </w:pPr>
    </w:p>
    <w:p>
      <w:pPr>
        <w:ind w:left="80"/>
        <w:spacing w:after="0"/>
        <w:rPr>
          <w:rFonts w:ascii="Arial" w:cs="Arial" w:eastAsia="Arial" w:hAnsi="Arial"/>
          <w:sz w:val="15"/>
          <w:szCs w:val="15"/>
          <w:u w:val="single" w:color="auto"/>
          <w:color w:val="0000EE"/>
        </w:rPr>
      </w:pPr>
      <w:hyperlink w:anchor="page19">
        <w:r>
          <w:rPr>
            <w:rFonts w:ascii="Arial" w:cs="Arial" w:eastAsia="Arial" w:hAnsi="Arial"/>
            <w:sz w:val="15"/>
            <w:szCs w:val="15"/>
            <w:u w:val="single" w:color="auto"/>
            <w:color w:val="0000EE"/>
          </w:rPr>
          <w:t>17</w:t>
        </w:r>
      </w:hyperlink>
    </w:p>
    <w:p>
      <w:pPr>
        <w:spacing w:after="0" w:line="98" w:lineRule="exact"/>
        <w:rPr>
          <w:sz w:val="20"/>
          <w:szCs w:val="20"/>
          <w:color w:val="auto"/>
        </w:rPr>
      </w:pPr>
    </w:p>
    <w:p>
      <w:pPr>
        <w:ind w:left="80"/>
        <w:spacing w:after="0"/>
        <w:rPr>
          <w:rFonts w:ascii="Arial" w:cs="Arial" w:eastAsia="Arial" w:hAnsi="Arial"/>
          <w:sz w:val="15"/>
          <w:szCs w:val="15"/>
          <w:u w:val="single" w:color="auto"/>
          <w:color w:val="0000EE"/>
        </w:rPr>
      </w:pPr>
      <w:hyperlink w:anchor="page20">
        <w:r>
          <w:rPr>
            <w:rFonts w:ascii="Arial" w:cs="Arial" w:eastAsia="Arial" w:hAnsi="Arial"/>
            <w:sz w:val="15"/>
            <w:szCs w:val="15"/>
            <w:u w:val="single" w:color="auto"/>
            <w:color w:val="0000EE"/>
          </w:rPr>
          <w:t>18</w:t>
        </w:r>
      </w:hyperlink>
    </w:p>
    <w:p>
      <w:pPr>
        <w:spacing w:after="0" w:line="98" w:lineRule="exact"/>
        <w:rPr>
          <w:sz w:val="20"/>
          <w:szCs w:val="20"/>
          <w:color w:val="auto"/>
        </w:rPr>
      </w:pPr>
    </w:p>
    <w:p>
      <w:pPr>
        <w:ind w:left="80"/>
        <w:spacing w:after="0"/>
        <w:rPr>
          <w:rFonts w:ascii="Arial" w:cs="Arial" w:eastAsia="Arial" w:hAnsi="Arial"/>
          <w:sz w:val="15"/>
          <w:szCs w:val="15"/>
          <w:u w:val="single" w:color="auto"/>
          <w:color w:val="0000EE"/>
        </w:rPr>
      </w:pPr>
      <w:hyperlink w:anchor="page21">
        <w:r>
          <w:rPr>
            <w:rFonts w:ascii="Arial" w:cs="Arial" w:eastAsia="Arial" w:hAnsi="Arial"/>
            <w:sz w:val="15"/>
            <w:szCs w:val="15"/>
            <w:u w:val="single" w:color="auto"/>
            <w:color w:val="0000EE"/>
          </w:rPr>
          <w:t>19</w:t>
        </w:r>
      </w:hyperlink>
    </w:p>
    <w:p>
      <w:pPr>
        <w:spacing w:after="0" w:line="98" w:lineRule="exact"/>
        <w:rPr>
          <w:sz w:val="20"/>
          <w:szCs w:val="20"/>
          <w:color w:val="auto"/>
        </w:rPr>
      </w:pPr>
    </w:p>
    <w:p>
      <w:pPr>
        <w:ind w:left="80"/>
        <w:spacing w:after="0"/>
        <w:rPr>
          <w:rFonts w:ascii="Arial" w:cs="Arial" w:eastAsia="Arial" w:hAnsi="Arial"/>
          <w:sz w:val="15"/>
          <w:szCs w:val="15"/>
          <w:u w:val="single" w:color="auto"/>
          <w:color w:val="0000EE"/>
        </w:rPr>
      </w:pPr>
      <w:hyperlink w:anchor="page21">
        <w:r>
          <w:rPr>
            <w:rFonts w:ascii="Arial" w:cs="Arial" w:eastAsia="Arial" w:hAnsi="Arial"/>
            <w:sz w:val="15"/>
            <w:szCs w:val="15"/>
            <w:u w:val="single" w:color="auto"/>
            <w:color w:val="0000EE"/>
          </w:rPr>
          <w:t>19</w:t>
        </w:r>
      </w:hyperlink>
    </w:p>
    <w:p>
      <w:pPr>
        <w:spacing w:after="0" w:line="98" w:lineRule="exact"/>
        <w:rPr>
          <w:sz w:val="20"/>
          <w:szCs w:val="20"/>
          <w:color w:val="auto"/>
        </w:rPr>
      </w:pPr>
    </w:p>
    <w:p>
      <w:pPr>
        <w:ind w:left="80"/>
        <w:spacing w:after="0"/>
        <w:rPr>
          <w:rFonts w:ascii="Arial" w:cs="Arial" w:eastAsia="Arial" w:hAnsi="Arial"/>
          <w:sz w:val="15"/>
          <w:szCs w:val="15"/>
          <w:u w:val="single" w:color="auto"/>
          <w:color w:val="0000EE"/>
        </w:rPr>
      </w:pPr>
      <w:hyperlink w:anchor="page22">
        <w:r>
          <w:rPr>
            <w:rFonts w:ascii="Arial" w:cs="Arial" w:eastAsia="Arial" w:hAnsi="Arial"/>
            <w:sz w:val="15"/>
            <w:szCs w:val="15"/>
            <w:u w:val="single" w:color="auto"/>
            <w:color w:val="0000EE"/>
          </w:rPr>
          <w:t>20</w:t>
        </w:r>
      </w:hyperlink>
    </w:p>
    <w:p>
      <w:pPr>
        <w:spacing w:after="0" w:line="98" w:lineRule="exact"/>
        <w:rPr>
          <w:sz w:val="20"/>
          <w:szCs w:val="20"/>
          <w:color w:val="auto"/>
        </w:rPr>
      </w:pPr>
    </w:p>
    <w:p>
      <w:pPr>
        <w:ind w:left="80"/>
        <w:spacing w:after="0"/>
        <w:rPr>
          <w:rFonts w:ascii="Arial" w:cs="Arial" w:eastAsia="Arial" w:hAnsi="Arial"/>
          <w:sz w:val="15"/>
          <w:szCs w:val="15"/>
          <w:u w:val="single" w:color="auto"/>
          <w:color w:val="0000EE"/>
        </w:rPr>
      </w:pPr>
      <w:hyperlink w:anchor="page22">
        <w:r>
          <w:rPr>
            <w:rFonts w:ascii="Arial" w:cs="Arial" w:eastAsia="Arial" w:hAnsi="Arial"/>
            <w:sz w:val="15"/>
            <w:szCs w:val="15"/>
            <w:u w:val="single" w:color="auto"/>
            <w:color w:val="0000EE"/>
          </w:rPr>
          <w:t>20</w:t>
        </w:r>
      </w:hyperlink>
    </w:p>
    <w:p>
      <w:pPr>
        <w:spacing w:after="0" w:line="98" w:lineRule="exact"/>
        <w:rPr>
          <w:sz w:val="20"/>
          <w:szCs w:val="20"/>
          <w:color w:val="auto"/>
        </w:rPr>
      </w:pPr>
    </w:p>
    <w:p>
      <w:pPr>
        <w:ind w:left="80"/>
        <w:spacing w:after="0"/>
        <w:rPr>
          <w:rFonts w:ascii="Arial" w:cs="Arial" w:eastAsia="Arial" w:hAnsi="Arial"/>
          <w:sz w:val="15"/>
          <w:szCs w:val="15"/>
          <w:u w:val="single" w:color="auto"/>
          <w:color w:val="0000EE"/>
        </w:rPr>
      </w:pPr>
      <w:hyperlink w:anchor="page22">
        <w:r>
          <w:rPr>
            <w:rFonts w:ascii="Arial" w:cs="Arial" w:eastAsia="Arial" w:hAnsi="Arial"/>
            <w:sz w:val="15"/>
            <w:szCs w:val="15"/>
            <w:u w:val="single" w:color="auto"/>
            <w:color w:val="0000EE"/>
          </w:rPr>
          <w:t>20</w:t>
        </w:r>
      </w:hyperlink>
    </w:p>
    <w:p>
      <w:pPr>
        <w:spacing w:after="0" w:line="98" w:lineRule="exact"/>
        <w:rPr>
          <w:sz w:val="20"/>
          <w:szCs w:val="20"/>
          <w:color w:val="auto"/>
        </w:rPr>
      </w:pPr>
    </w:p>
    <w:p>
      <w:pPr>
        <w:ind w:left="80"/>
        <w:spacing w:after="0"/>
        <w:rPr>
          <w:rFonts w:ascii="Arial" w:cs="Arial" w:eastAsia="Arial" w:hAnsi="Arial"/>
          <w:sz w:val="15"/>
          <w:szCs w:val="15"/>
          <w:u w:val="single" w:color="auto"/>
          <w:color w:val="0000EE"/>
        </w:rPr>
      </w:pPr>
      <w:hyperlink w:anchor="page32">
        <w:r>
          <w:rPr>
            <w:rFonts w:ascii="Arial" w:cs="Arial" w:eastAsia="Arial" w:hAnsi="Arial"/>
            <w:sz w:val="15"/>
            <w:szCs w:val="15"/>
            <w:u w:val="single" w:color="auto"/>
            <w:color w:val="0000EE"/>
          </w:rPr>
          <w:t>30</w:t>
        </w:r>
      </w:hyperlink>
    </w:p>
    <w:p>
      <w:pPr>
        <w:spacing w:after="0" w:line="98" w:lineRule="exact"/>
        <w:rPr>
          <w:sz w:val="20"/>
          <w:szCs w:val="20"/>
          <w:color w:val="auto"/>
        </w:rPr>
      </w:pPr>
    </w:p>
    <w:p>
      <w:pPr>
        <w:ind w:left="80"/>
        <w:spacing w:after="0"/>
        <w:rPr>
          <w:rFonts w:ascii="Arial" w:cs="Arial" w:eastAsia="Arial" w:hAnsi="Arial"/>
          <w:sz w:val="15"/>
          <w:szCs w:val="15"/>
          <w:u w:val="single" w:color="auto"/>
          <w:color w:val="0000EE"/>
        </w:rPr>
      </w:pPr>
      <w:hyperlink w:anchor="page32">
        <w:r>
          <w:rPr>
            <w:rFonts w:ascii="Arial" w:cs="Arial" w:eastAsia="Arial" w:hAnsi="Arial"/>
            <w:sz w:val="15"/>
            <w:szCs w:val="15"/>
            <w:u w:val="single" w:color="auto"/>
            <w:color w:val="0000EE"/>
          </w:rPr>
          <w:t>30</w:t>
        </w:r>
      </w:hyperlink>
    </w:p>
    <w:p>
      <w:pPr>
        <w:spacing w:after="0" w:line="98" w:lineRule="exact"/>
        <w:rPr>
          <w:sz w:val="20"/>
          <w:szCs w:val="20"/>
          <w:color w:val="auto"/>
        </w:rPr>
      </w:pPr>
    </w:p>
    <w:p>
      <w:pPr>
        <w:ind w:left="80"/>
        <w:spacing w:after="0"/>
        <w:rPr>
          <w:rFonts w:ascii="Arial" w:cs="Arial" w:eastAsia="Arial" w:hAnsi="Arial"/>
          <w:sz w:val="15"/>
          <w:szCs w:val="15"/>
          <w:u w:val="single" w:color="auto"/>
          <w:color w:val="0000EE"/>
        </w:rPr>
      </w:pPr>
      <w:hyperlink w:anchor="page33">
        <w:r>
          <w:rPr>
            <w:rFonts w:ascii="Arial" w:cs="Arial" w:eastAsia="Arial" w:hAnsi="Arial"/>
            <w:sz w:val="15"/>
            <w:szCs w:val="15"/>
            <w:u w:val="single" w:color="auto"/>
            <w:color w:val="0000EE"/>
          </w:rPr>
          <w:t>31</w:t>
        </w:r>
      </w:hyperlink>
    </w:p>
    <w:p>
      <w:pPr>
        <w:spacing w:after="0" w:line="98" w:lineRule="exact"/>
        <w:rPr>
          <w:sz w:val="20"/>
          <w:szCs w:val="20"/>
          <w:color w:val="auto"/>
        </w:rPr>
      </w:pPr>
    </w:p>
    <w:p>
      <w:pPr>
        <w:ind w:left="80"/>
        <w:spacing w:after="0"/>
        <w:rPr>
          <w:rFonts w:ascii="Arial" w:cs="Arial" w:eastAsia="Arial" w:hAnsi="Arial"/>
          <w:sz w:val="15"/>
          <w:szCs w:val="15"/>
          <w:u w:val="single" w:color="auto"/>
          <w:color w:val="0000EE"/>
        </w:rPr>
      </w:pPr>
      <w:hyperlink w:anchor="page35">
        <w:r>
          <w:rPr>
            <w:rFonts w:ascii="Arial" w:cs="Arial" w:eastAsia="Arial" w:hAnsi="Arial"/>
            <w:sz w:val="15"/>
            <w:szCs w:val="15"/>
            <w:u w:val="single" w:color="auto"/>
            <w:color w:val="0000EE"/>
          </w:rPr>
          <w:t>33</w:t>
        </w:r>
      </w:hyperlink>
    </w:p>
    <w:p>
      <w:pPr>
        <w:spacing w:after="0" w:line="98" w:lineRule="exact"/>
        <w:rPr>
          <w:sz w:val="20"/>
          <w:szCs w:val="20"/>
          <w:color w:val="auto"/>
        </w:rPr>
      </w:pPr>
    </w:p>
    <w:p>
      <w:pPr>
        <w:ind w:left="80"/>
        <w:spacing w:after="0"/>
        <w:rPr>
          <w:rFonts w:ascii="Arial" w:cs="Arial" w:eastAsia="Arial" w:hAnsi="Arial"/>
          <w:sz w:val="15"/>
          <w:szCs w:val="15"/>
          <w:u w:val="single" w:color="auto"/>
          <w:color w:val="0000EE"/>
        </w:rPr>
      </w:pPr>
      <w:hyperlink w:anchor="page35">
        <w:r>
          <w:rPr>
            <w:rFonts w:ascii="Arial" w:cs="Arial" w:eastAsia="Arial" w:hAnsi="Arial"/>
            <w:sz w:val="15"/>
            <w:szCs w:val="15"/>
            <w:u w:val="single" w:color="auto"/>
            <w:color w:val="0000EE"/>
          </w:rPr>
          <w:t>33</w:t>
        </w:r>
      </w:hyperlink>
    </w:p>
    <w:p>
      <w:pPr>
        <w:spacing w:after="0" w:line="98" w:lineRule="exact"/>
        <w:rPr>
          <w:sz w:val="20"/>
          <w:szCs w:val="20"/>
          <w:color w:val="auto"/>
        </w:rPr>
      </w:pPr>
    </w:p>
    <w:p>
      <w:pPr>
        <w:ind w:left="80"/>
        <w:spacing w:after="0"/>
        <w:rPr>
          <w:rFonts w:ascii="Arial" w:cs="Arial" w:eastAsia="Arial" w:hAnsi="Arial"/>
          <w:sz w:val="15"/>
          <w:szCs w:val="15"/>
          <w:u w:val="single" w:color="auto"/>
          <w:color w:val="0000EE"/>
        </w:rPr>
      </w:pPr>
      <w:hyperlink w:anchor="page37">
        <w:r>
          <w:rPr>
            <w:rFonts w:ascii="Arial" w:cs="Arial" w:eastAsia="Arial" w:hAnsi="Arial"/>
            <w:sz w:val="15"/>
            <w:szCs w:val="15"/>
            <w:u w:val="single" w:color="auto"/>
            <w:color w:val="0000EE"/>
          </w:rPr>
          <w:t>35</w:t>
        </w:r>
      </w:hyperlink>
    </w:p>
    <w:p>
      <w:pPr>
        <w:spacing w:after="0" w:line="98" w:lineRule="exact"/>
        <w:rPr>
          <w:sz w:val="20"/>
          <w:szCs w:val="20"/>
          <w:color w:val="auto"/>
        </w:rPr>
      </w:pPr>
    </w:p>
    <w:p>
      <w:pPr>
        <w:ind w:left="80"/>
        <w:spacing w:after="0"/>
        <w:rPr>
          <w:rFonts w:ascii="Arial" w:cs="Arial" w:eastAsia="Arial" w:hAnsi="Arial"/>
          <w:sz w:val="15"/>
          <w:szCs w:val="15"/>
          <w:u w:val="single" w:color="auto"/>
          <w:color w:val="0000EE"/>
        </w:rPr>
      </w:pPr>
      <w:hyperlink w:anchor="page37">
        <w:r>
          <w:rPr>
            <w:rFonts w:ascii="Arial" w:cs="Arial" w:eastAsia="Arial" w:hAnsi="Arial"/>
            <w:sz w:val="15"/>
            <w:szCs w:val="15"/>
            <w:u w:val="single" w:color="auto"/>
            <w:color w:val="0000EE"/>
          </w:rPr>
          <w:t>35</w:t>
        </w:r>
      </w:hyperlink>
    </w:p>
    <w:p>
      <w:pPr>
        <w:spacing w:after="0" w:line="98" w:lineRule="exact"/>
        <w:rPr>
          <w:sz w:val="20"/>
          <w:szCs w:val="20"/>
          <w:color w:val="auto"/>
        </w:rPr>
      </w:pPr>
    </w:p>
    <w:p>
      <w:pPr>
        <w:ind w:left="80"/>
        <w:spacing w:after="0"/>
        <w:rPr>
          <w:rFonts w:ascii="Arial" w:cs="Arial" w:eastAsia="Arial" w:hAnsi="Arial"/>
          <w:sz w:val="15"/>
          <w:szCs w:val="15"/>
          <w:u w:val="single" w:color="auto"/>
          <w:color w:val="0000EE"/>
        </w:rPr>
      </w:pPr>
      <w:hyperlink w:anchor="page37">
        <w:r>
          <w:rPr>
            <w:rFonts w:ascii="Arial" w:cs="Arial" w:eastAsia="Arial" w:hAnsi="Arial"/>
            <w:sz w:val="15"/>
            <w:szCs w:val="15"/>
            <w:u w:val="single" w:color="auto"/>
            <w:color w:val="0000EE"/>
          </w:rPr>
          <w:t>35</w:t>
        </w:r>
      </w:hyperlink>
    </w:p>
    <w:p>
      <w:pPr>
        <w:spacing w:after="0" w:line="98" w:lineRule="exact"/>
        <w:rPr>
          <w:sz w:val="20"/>
          <w:szCs w:val="20"/>
          <w:color w:val="auto"/>
        </w:rPr>
      </w:pPr>
    </w:p>
    <w:p>
      <w:pPr>
        <w:ind w:left="80"/>
        <w:spacing w:after="0"/>
        <w:rPr>
          <w:rFonts w:ascii="Arial" w:cs="Arial" w:eastAsia="Arial" w:hAnsi="Arial"/>
          <w:sz w:val="15"/>
          <w:szCs w:val="15"/>
          <w:u w:val="single" w:color="auto"/>
          <w:color w:val="0000EE"/>
        </w:rPr>
      </w:pPr>
      <w:hyperlink w:anchor="page38">
        <w:r>
          <w:rPr>
            <w:rFonts w:ascii="Arial" w:cs="Arial" w:eastAsia="Arial" w:hAnsi="Arial"/>
            <w:sz w:val="15"/>
            <w:szCs w:val="15"/>
            <w:u w:val="single" w:color="auto"/>
            <w:color w:val="0000EE"/>
          </w:rPr>
          <w:t>36</w:t>
        </w:r>
      </w:hyperlink>
    </w:p>
    <w:p>
      <w:pPr>
        <w:spacing w:after="0" w:line="98" w:lineRule="exact"/>
        <w:rPr>
          <w:sz w:val="20"/>
          <w:szCs w:val="20"/>
          <w:color w:val="auto"/>
        </w:rPr>
      </w:pPr>
    </w:p>
    <w:p>
      <w:pPr>
        <w:ind w:left="80"/>
        <w:spacing w:after="0"/>
        <w:rPr>
          <w:rFonts w:ascii="Arial" w:cs="Arial" w:eastAsia="Arial" w:hAnsi="Arial"/>
          <w:sz w:val="15"/>
          <w:szCs w:val="15"/>
          <w:u w:val="single" w:color="auto"/>
          <w:color w:val="0000EE"/>
        </w:rPr>
      </w:pPr>
      <w:hyperlink w:anchor="page38">
        <w:r>
          <w:rPr>
            <w:rFonts w:ascii="Arial" w:cs="Arial" w:eastAsia="Arial" w:hAnsi="Arial"/>
            <w:sz w:val="15"/>
            <w:szCs w:val="15"/>
            <w:u w:val="single" w:color="auto"/>
            <w:color w:val="0000EE"/>
          </w:rPr>
          <w:t>36</w:t>
        </w:r>
      </w:hyperlink>
    </w:p>
    <w:p>
      <w:pPr>
        <w:spacing w:after="0" w:line="98" w:lineRule="exact"/>
        <w:rPr>
          <w:sz w:val="20"/>
          <w:szCs w:val="20"/>
          <w:color w:val="auto"/>
        </w:rPr>
      </w:pPr>
    </w:p>
    <w:p>
      <w:pPr>
        <w:ind w:left="80"/>
        <w:spacing w:after="0"/>
        <w:rPr>
          <w:rFonts w:ascii="Arial" w:cs="Arial" w:eastAsia="Arial" w:hAnsi="Arial"/>
          <w:sz w:val="15"/>
          <w:szCs w:val="15"/>
          <w:u w:val="single" w:color="auto"/>
          <w:color w:val="0000EE"/>
        </w:rPr>
      </w:pPr>
      <w:hyperlink w:anchor="page38">
        <w:r>
          <w:rPr>
            <w:rFonts w:ascii="Arial" w:cs="Arial" w:eastAsia="Arial" w:hAnsi="Arial"/>
            <w:sz w:val="15"/>
            <w:szCs w:val="15"/>
            <w:u w:val="single" w:color="auto"/>
            <w:color w:val="0000EE"/>
          </w:rPr>
          <w:t>36</w:t>
        </w:r>
      </w:hyperlink>
    </w:p>
    <w:p>
      <w:pPr>
        <w:spacing w:after="0" w:line="98" w:lineRule="exact"/>
        <w:rPr>
          <w:sz w:val="20"/>
          <w:szCs w:val="20"/>
          <w:color w:val="auto"/>
        </w:rPr>
      </w:pPr>
    </w:p>
    <w:p>
      <w:pPr>
        <w:ind w:left="80"/>
        <w:spacing w:after="0"/>
        <w:rPr>
          <w:rFonts w:ascii="Arial" w:cs="Arial" w:eastAsia="Arial" w:hAnsi="Arial"/>
          <w:sz w:val="15"/>
          <w:szCs w:val="15"/>
          <w:u w:val="single" w:color="auto"/>
          <w:color w:val="0000EE"/>
        </w:rPr>
      </w:pPr>
      <w:hyperlink w:anchor="page39">
        <w:r>
          <w:rPr>
            <w:rFonts w:ascii="Arial" w:cs="Arial" w:eastAsia="Arial" w:hAnsi="Arial"/>
            <w:sz w:val="15"/>
            <w:szCs w:val="15"/>
            <w:u w:val="single" w:color="auto"/>
            <w:color w:val="0000EE"/>
          </w:rPr>
          <w:t>37</w:t>
        </w:r>
      </w:hyperlink>
    </w:p>
    <w:p>
      <w:pPr>
        <w:spacing w:after="0" w:line="98" w:lineRule="exact"/>
        <w:rPr>
          <w:sz w:val="20"/>
          <w:szCs w:val="20"/>
          <w:color w:val="auto"/>
        </w:rPr>
      </w:pPr>
    </w:p>
    <w:p>
      <w:pPr>
        <w:ind w:left="80"/>
        <w:spacing w:after="0"/>
        <w:rPr>
          <w:rFonts w:ascii="Arial" w:cs="Arial" w:eastAsia="Arial" w:hAnsi="Arial"/>
          <w:sz w:val="15"/>
          <w:szCs w:val="15"/>
          <w:u w:val="single" w:color="auto"/>
          <w:color w:val="0000EE"/>
        </w:rPr>
      </w:pPr>
      <w:hyperlink w:anchor="page39">
        <w:r>
          <w:rPr>
            <w:rFonts w:ascii="Arial" w:cs="Arial" w:eastAsia="Arial" w:hAnsi="Arial"/>
            <w:sz w:val="15"/>
            <w:szCs w:val="15"/>
            <w:u w:val="single" w:color="auto"/>
            <w:color w:val="0000EE"/>
          </w:rPr>
          <w:t>37</w:t>
        </w:r>
      </w:hyperlink>
    </w:p>
    <w:p>
      <w:pPr>
        <w:spacing w:after="0" w:line="98" w:lineRule="exact"/>
        <w:rPr>
          <w:sz w:val="20"/>
          <w:szCs w:val="20"/>
          <w:color w:val="auto"/>
        </w:rPr>
      </w:pPr>
    </w:p>
    <w:p>
      <w:pPr>
        <w:ind w:left="80"/>
        <w:spacing w:after="0"/>
        <w:rPr>
          <w:rFonts w:ascii="Arial" w:cs="Arial" w:eastAsia="Arial" w:hAnsi="Arial"/>
          <w:sz w:val="15"/>
          <w:szCs w:val="15"/>
          <w:u w:val="single" w:color="auto"/>
          <w:color w:val="0000EE"/>
        </w:rPr>
      </w:pPr>
      <w:hyperlink w:anchor="page39">
        <w:r>
          <w:rPr>
            <w:rFonts w:ascii="Arial" w:cs="Arial" w:eastAsia="Arial" w:hAnsi="Arial"/>
            <w:sz w:val="15"/>
            <w:szCs w:val="15"/>
            <w:u w:val="single" w:color="auto"/>
            <w:color w:val="0000EE"/>
          </w:rPr>
          <w:t>37</w:t>
        </w:r>
      </w:hyperlink>
    </w:p>
    <w:p>
      <w:pPr>
        <w:spacing w:after="0" w:line="98" w:lineRule="exact"/>
        <w:rPr>
          <w:sz w:val="20"/>
          <w:szCs w:val="20"/>
          <w:color w:val="auto"/>
        </w:rPr>
      </w:pPr>
    </w:p>
    <w:p>
      <w:pPr>
        <w:ind w:left="80"/>
        <w:spacing w:after="0"/>
        <w:rPr>
          <w:rFonts w:ascii="Arial" w:cs="Arial" w:eastAsia="Arial" w:hAnsi="Arial"/>
          <w:sz w:val="15"/>
          <w:szCs w:val="15"/>
          <w:u w:val="single" w:color="auto"/>
          <w:color w:val="0000EE"/>
        </w:rPr>
      </w:pPr>
      <w:hyperlink w:anchor="page39">
        <w:r>
          <w:rPr>
            <w:rFonts w:ascii="Arial" w:cs="Arial" w:eastAsia="Arial" w:hAnsi="Arial"/>
            <w:sz w:val="15"/>
            <w:szCs w:val="15"/>
            <w:u w:val="single" w:color="auto"/>
            <w:color w:val="0000EE"/>
          </w:rPr>
          <w:t>37</w:t>
        </w:r>
      </w:hyperlink>
    </w:p>
    <w:p>
      <w:pPr>
        <w:spacing w:after="0" w:line="98" w:lineRule="exact"/>
        <w:rPr>
          <w:sz w:val="20"/>
          <w:szCs w:val="20"/>
          <w:color w:val="auto"/>
        </w:rPr>
      </w:pPr>
    </w:p>
    <w:p>
      <w:pPr>
        <w:ind w:left="80"/>
        <w:spacing w:after="0"/>
        <w:rPr>
          <w:rFonts w:ascii="Arial" w:cs="Arial" w:eastAsia="Arial" w:hAnsi="Arial"/>
          <w:sz w:val="15"/>
          <w:szCs w:val="15"/>
          <w:u w:val="single" w:color="auto"/>
          <w:color w:val="0000EE"/>
        </w:rPr>
      </w:pPr>
      <w:hyperlink w:anchor="page39">
        <w:r>
          <w:rPr>
            <w:rFonts w:ascii="Arial" w:cs="Arial" w:eastAsia="Arial" w:hAnsi="Arial"/>
            <w:sz w:val="15"/>
            <w:szCs w:val="15"/>
            <w:u w:val="single" w:color="auto"/>
            <w:color w:val="0000EE"/>
          </w:rPr>
          <w:t>37</w:t>
        </w:r>
      </w:hyperlink>
    </w:p>
    <w:p>
      <w:pPr>
        <w:spacing w:after="0" w:line="98" w:lineRule="exact"/>
        <w:rPr>
          <w:sz w:val="20"/>
          <w:szCs w:val="20"/>
          <w:color w:val="auto"/>
        </w:rPr>
      </w:pPr>
    </w:p>
    <w:p>
      <w:pPr>
        <w:ind w:left="80"/>
        <w:spacing w:after="0"/>
        <w:rPr>
          <w:rFonts w:ascii="Arial" w:cs="Arial" w:eastAsia="Arial" w:hAnsi="Arial"/>
          <w:sz w:val="15"/>
          <w:szCs w:val="15"/>
          <w:u w:val="single" w:color="auto"/>
          <w:color w:val="0000EE"/>
        </w:rPr>
      </w:pPr>
      <w:hyperlink w:anchor="page39">
        <w:r>
          <w:rPr>
            <w:rFonts w:ascii="Arial" w:cs="Arial" w:eastAsia="Arial" w:hAnsi="Arial"/>
            <w:sz w:val="15"/>
            <w:szCs w:val="15"/>
            <w:u w:val="single" w:color="auto"/>
            <w:color w:val="0000EE"/>
          </w:rPr>
          <w:t>37</w:t>
        </w:r>
      </w:hyperlink>
    </w:p>
    <w:p>
      <w:pPr>
        <w:spacing w:after="0" w:line="98" w:lineRule="exact"/>
        <w:rPr>
          <w:sz w:val="20"/>
          <w:szCs w:val="20"/>
          <w:color w:val="auto"/>
        </w:rPr>
      </w:pPr>
    </w:p>
    <w:p>
      <w:pPr>
        <w:ind w:left="80"/>
        <w:spacing w:after="0"/>
        <w:rPr>
          <w:rFonts w:ascii="Arial" w:cs="Arial" w:eastAsia="Arial" w:hAnsi="Arial"/>
          <w:sz w:val="15"/>
          <w:szCs w:val="15"/>
          <w:u w:val="single" w:color="auto"/>
          <w:color w:val="0000EE"/>
        </w:rPr>
      </w:pPr>
      <w:hyperlink w:anchor="page40">
        <w:r>
          <w:rPr>
            <w:rFonts w:ascii="Arial" w:cs="Arial" w:eastAsia="Arial" w:hAnsi="Arial"/>
            <w:sz w:val="15"/>
            <w:szCs w:val="15"/>
            <w:u w:val="single" w:color="auto"/>
            <w:color w:val="0000EE"/>
          </w:rPr>
          <w:t>38</w:t>
        </w:r>
      </w:hyperlink>
    </w:p>
    <w:p>
      <w:pPr>
        <w:spacing w:after="0" w:line="98" w:lineRule="exact"/>
        <w:rPr>
          <w:sz w:val="20"/>
          <w:szCs w:val="20"/>
          <w:color w:val="auto"/>
        </w:rPr>
      </w:pPr>
    </w:p>
    <w:p>
      <w:pPr>
        <w:ind w:left="80"/>
        <w:spacing w:after="0"/>
        <w:rPr>
          <w:rFonts w:ascii="Arial" w:cs="Arial" w:eastAsia="Arial" w:hAnsi="Arial"/>
          <w:sz w:val="15"/>
          <w:szCs w:val="15"/>
          <w:u w:val="single" w:color="auto"/>
          <w:color w:val="0000EE"/>
        </w:rPr>
      </w:pPr>
      <w:hyperlink w:anchor="page40">
        <w:r>
          <w:rPr>
            <w:rFonts w:ascii="Arial" w:cs="Arial" w:eastAsia="Arial" w:hAnsi="Arial"/>
            <w:sz w:val="15"/>
            <w:szCs w:val="15"/>
            <w:u w:val="single" w:color="auto"/>
            <w:color w:val="0000EE"/>
          </w:rPr>
          <w:t>38</w:t>
        </w:r>
      </w:hyperlink>
    </w:p>
    <w:p>
      <w:pPr>
        <w:spacing w:after="0" w:line="44" w:lineRule="exact"/>
        <w:rPr>
          <w:sz w:val="20"/>
          <w:szCs w:val="20"/>
          <w:color w:val="auto"/>
        </w:rPr>
      </w:pPr>
    </w:p>
    <w:p>
      <w:pPr>
        <w:ind w:left="80"/>
        <w:spacing w:after="0"/>
        <w:rPr>
          <w:rFonts w:ascii="Arial" w:cs="Arial" w:eastAsia="Arial" w:hAnsi="Arial"/>
          <w:sz w:val="15"/>
          <w:szCs w:val="15"/>
          <w:u w:val="single" w:color="auto"/>
          <w:color w:val="0000EE"/>
        </w:rPr>
      </w:pPr>
      <w:hyperlink w:anchor="page41">
        <w:r>
          <w:rPr>
            <w:rFonts w:ascii="Arial" w:cs="Arial" w:eastAsia="Arial" w:hAnsi="Arial"/>
            <w:sz w:val="15"/>
            <w:szCs w:val="15"/>
            <w:u w:val="single" w:color="auto"/>
            <w:color w:val="0000EE"/>
          </w:rPr>
          <w:t>39</w:t>
        </w:r>
      </w:hyperlink>
    </w:p>
    <w:p>
      <w:pPr>
        <w:spacing w:after="0" w:line="44" w:lineRule="exact"/>
        <w:rPr>
          <w:sz w:val="20"/>
          <w:szCs w:val="20"/>
          <w:color w:val="auto"/>
        </w:rPr>
      </w:pPr>
    </w:p>
    <w:p>
      <w:pPr>
        <w:ind w:left="80"/>
        <w:spacing w:after="0"/>
        <w:rPr>
          <w:rFonts w:ascii="Arial" w:cs="Arial" w:eastAsia="Arial" w:hAnsi="Arial"/>
          <w:sz w:val="15"/>
          <w:szCs w:val="15"/>
          <w:u w:val="single" w:color="auto"/>
          <w:color w:val="0000EE"/>
        </w:rPr>
      </w:pPr>
      <w:hyperlink w:anchor="page42">
        <w:r>
          <w:rPr>
            <w:rFonts w:ascii="Arial" w:cs="Arial" w:eastAsia="Arial" w:hAnsi="Arial"/>
            <w:sz w:val="15"/>
            <w:szCs w:val="15"/>
            <w:u w:val="single" w:color="auto"/>
            <w:color w:val="0000EE"/>
          </w:rPr>
          <w:t>40</w:t>
        </w:r>
      </w:hyperlink>
    </w:p>
    <w:p>
      <w:pPr>
        <w:spacing w:after="0" w:line="44" w:lineRule="exact"/>
        <w:rPr>
          <w:sz w:val="20"/>
          <w:szCs w:val="20"/>
          <w:color w:val="auto"/>
        </w:rPr>
      </w:pPr>
    </w:p>
    <w:p>
      <w:pPr>
        <w:ind w:left="80"/>
        <w:spacing w:after="0"/>
        <w:rPr>
          <w:rFonts w:ascii="Arial" w:cs="Arial" w:eastAsia="Arial" w:hAnsi="Arial"/>
          <w:sz w:val="15"/>
          <w:szCs w:val="15"/>
          <w:u w:val="single" w:color="auto"/>
          <w:color w:val="0000EE"/>
        </w:rPr>
      </w:pPr>
      <w:hyperlink w:anchor="page43">
        <w:r>
          <w:rPr>
            <w:rFonts w:ascii="Arial" w:cs="Arial" w:eastAsia="Arial" w:hAnsi="Arial"/>
            <w:sz w:val="15"/>
            <w:szCs w:val="15"/>
            <w:u w:val="single" w:color="auto"/>
            <w:color w:val="0000EE"/>
          </w:rPr>
          <w:t>41</w:t>
        </w:r>
      </w:hyperlink>
    </w:p>
    <w:p>
      <w:pPr>
        <w:spacing w:after="0" w:line="260" w:lineRule="exact"/>
        <w:rPr>
          <w:sz w:val="20"/>
          <w:szCs w:val="20"/>
          <w:color w:val="auto"/>
        </w:rPr>
      </w:pPr>
    </w:p>
    <w:p>
      <w:pPr>
        <w:jc w:val="right"/>
        <w:spacing w:after="0"/>
        <w:rPr>
          <w:rFonts w:ascii="Arial" w:cs="Arial" w:eastAsia="Arial" w:hAnsi="Arial"/>
          <w:sz w:val="15"/>
          <w:szCs w:val="15"/>
          <w:u w:val="single" w:color="auto"/>
          <w:color w:val="0000EE"/>
        </w:rPr>
      </w:pPr>
      <w:hyperlink w:anchor="page63">
        <w:r>
          <w:rPr>
            <w:rFonts w:ascii="Arial" w:cs="Arial" w:eastAsia="Arial" w:hAnsi="Arial"/>
            <w:sz w:val="15"/>
            <w:szCs w:val="15"/>
            <w:u w:val="single" w:color="auto"/>
            <w:color w:val="0000EE"/>
          </w:rPr>
          <w:t>61</w:t>
        </w:r>
      </w:hyperlink>
    </w:p>
    <w:p>
      <w:pPr>
        <w:spacing w:after="0" w:line="44" w:lineRule="exact"/>
        <w:rPr>
          <w:sz w:val="20"/>
          <w:szCs w:val="20"/>
          <w:color w:val="auto"/>
        </w:rPr>
      </w:pPr>
    </w:p>
    <w:p>
      <w:pPr>
        <w:jc w:val="right"/>
        <w:spacing w:after="0"/>
        <w:rPr>
          <w:rFonts w:ascii="Arial" w:cs="Arial" w:eastAsia="Arial" w:hAnsi="Arial"/>
          <w:sz w:val="15"/>
          <w:szCs w:val="15"/>
          <w:u w:val="single" w:color="auto"/>
          <w:color w:val="0000EE"/>
        </w:rPr>
      </w:pPr>
      <w:hyperlink w:anchor="page64">
        <w:r>
          <w:rPr>
            <w:rFonts w:ascii="Arial" w:cs="Arial" w:eastAsia="Arial" w:hAnsi="Arial"/>
            <w:sz w:val="15"/>
            <w:szCs w:val="15"/>
            <w:u w:val="single" w:color="auto"/>
            <w:color w:val="0000EE"/>
          </w:rPr>
          <w:t>62</w:t>
        </w:r>
      </w:hyperlink>
    </w:p>
    <w:p>
      <w:pPr>
        <w:spacing w:after="0" w:line="44" w:lineRule="exact"/>
        <w:rPr>
          <w:sz w:val="20"/>
          <w:szCs w:val="20"/>
          <w:color w:val="auto"/>
        </w:rPr>
      </w:pPr>
    </w:p>
    <w:p>
      <w:pPr>
        <w:jc w:val="right"/>
        <w:spacing w:after="0"/>
        <w:rPr>
          <w:rFonts w:ascii="Arial" w:cs="Arial" w:eastAsia="Arial" w:hAnsi="Arial"/>
          <w:sz w:val="15"/>
          <w:szCs w:val="15"/>
          <w:u w:val="single" w:color="auto"/>
          <w:color w:val="0000EE"/>
        </w:rPr>
      </w:pPr>
      <w:hyperlink w:anchor="page65">
        <w:r>
          <w:rPr>
            <w:rFonts w:ascii="Arial" w:cs="Arial" w:eastAsia="Arial" w:hAnsi="Arial"/>
            <w:sz w:val="15"/>
            <w:szCs w:val="15"/>
            <w:u w:val="single" w:color="auto"/>
            <w:color w:val="0000EE"/>
          </w:rPr>
          <w:t>63</w:t>
        </w:r>
      </w:hyperlink>
    </w:p>
    <w:p>
      <w:pPr>
        <w:spacing w:after="0" w:line="44" w:lineRule="exact"/>
        <w:rPr>
          <w:sz w:val="20"/>
          <w:szCs w:val="20"/>
          <w:color w:val="auto"/>
        </w:rPr>
      </w:pPr>
    </w:p>
    <w:p>
      <w:pPr>
        <w:jc w:val="right"/>
        <w:spacing w:after="0"/>
        <w:rPr>
          <w:rFonts w:ascii="Arial" w:cs="Arial" w:eastAsia="Arial" w:hAnsi="Arial"/>
          <w:sz w:val="15"/>
          <w:szCs w:val="15"/>
          <w:u w:val="single" w:color="auto"/>
          <w:color w:val="0000EE"/>
        </w:rPr>
      </w:pPr>
      <w:hyperlink w:anchor="page66">
        <w:r>
          <w:rPr>
            <w:rFonts w:ascii="Arial" w:cs="Arial" w:eastAsia="Arial" w:hAnsi="Arial"/>
            <w:sz w:val="15"/>
            <w:szCs w:val="15"/>
            <w:u w:val="single" w:color="auto"/>
            <w:color w:val="0000EE"/>
          </w:rPr>
          <w:t>64</w:t>
        </w:r>
      </w:hyperlink>
    </w:p>
    <w:p>
      <w:pPr>
        <w:spacing w:after="0" w:line="44" w:lineRule="exact"/>
        <w:rPr>
          <w:sz w:val="20"/>
          <w:szCs w:val="20"/>
          <w:color w:val="auto"/>
        </w:rPr>
      </w:pPr>
    </w:p>
    <w:p>
      <w:pPr>
        <w:jc w:val="right"/>
        <w:spacing w:after="0"/>
        <w:rPr>
          <w:rFonts w:ascii="Arial" w:cs="Arial" w:eastAsia="Arial" w:hAnsi="Arial"/>
          <w:sz w:val="15"/>
          <w:szCs w:val="15"/>
          <w:u w:val="single" w:color="auto"/>
          <w:color w:val="0000EE"/>
        </w:rPr>
      </w:pPr>
      <w:hyperlink w:anchor="page67">
        <w:r>
          <w:rPr>
            <w:rFonts w:ascii="Arial" w:cs="Arial" w:eastAsia="Arial" w:hAnsi="Arial"/>
            <w:sz w:val="15"/>
            <w:szCs w:val="15"/>
            <w:u w:val="single" w:color="auto"/>
            <w:color w:val="0000EE"/>
          </w:rPr>
          <w:t>65</w:t>
        </w:r>
      </w:hyperlink>
    </w:p>
    <w:p>
      <w:pPr>
        <w:spacing w:after="0" w:line="44" w:lineRule="exact"/>
        <w:rPr>
          <w:sz w:val="20"/>
          <w:szCs w:val="20"/>
          <w:color w:val="auto"/>
        </w:rPr>
      </w:pPr>
    </w:p>
    <w:p>
      <w:pPr>
        <w:jc w:val="right"/>
        <w:spacing w:after="0"/>
        <w:rPr>
          <w:rFonts w:ascii="Arial" w:cs="Arial" w:eastAsia="Arial" w:hAnsi="Arial"/>
          <w:sz w:val="15"/>
          <w:szCs w:val="15"/>
          <w:u w:val="single" w:color="auto"/>
          <w:color w:val="0000EE"/>
        </w:rPr>
      </w:pPr>
      <w:hyperlink w:anchor="page68">
        <w:r>
          <w:rPr>
            <w:rFonts w:ascii="Arial" w:cs="Arial" w:eastAsia="Arial" w:hAnsi="Arial"/>
            <w:sz w:val="15"/>
            <w:szCs w:val="15"/>
            <w:u w:val="single" w:color="auto"/>
            <w:color w:val="0000EE"/>
          </w:rPr>
          <w:t>66</w:t>
        </w:r>
      </w:hyperlink>
    </w:p>
    <w:p>
      <w:pPr>
        <w:spacing w:after="0" w:line="44" w:lineRule="exact"/>
        <w:rPr>
          <w:sz w:val="20"/>
          <w:szCs w:val="20"/>
          <w:color w:val="auto"/>
        </w:rPr>
      </w:pPr>
    </w:p>
    <w:p>
      <w:pPr>
        <w:jc w:val="right"/>
        <w:spacing w:after="0"/>
        <w:rPr>
          <w:rFonts w:ascii="Arial" w:cs="Arial" w:eastAsia="Arial" w:hAnsi="Arial"/>
          <w:sz w:val="15"/>
          <w:szCs w:val="15"/>
          <w:u w:val="single" w:color="auto"/>
          <w:color w:val="0000EE"/>
        </w:rPr>
      </w:pPr>
      <w:hyperlink w:anchor="page70">
        <w:r>
          <w:rPr>
            <w:rFonts w:ascii="Arial" w:cs="Arial" w:eastAsia="Arial" w:hAnsi="Arial"/>
            <w:sz w:val="15"/>
            <w:szCs w:val="15"/>
            <w:u w:val="single" w:color="auto"/>
            <w:color w:val="0000EE"/>
          </w:rPr>
          <w:t>67</w:t>
        </w:r>
      </w:hyperlink>
    </w:p>
    <w:p>
      <w:pPr>
        <w:spacing w:after="0" w:line="44" w:lineRule="exact"/>
        <w:rPr>
          <w:sz w:val="20"/>
          <w:szCs w:val="20"/>
          <w:color w:val="auto"/>
        </w:rPr>
      </w:pPr>
    </w:p>
    <w:p>
      <w:pPr>
        <w:jc w:val="right"/>
        <w:spacing w:after="0"/>
        <w:rPr>
          <w:rFonts w:ascii="Arial" w:cs="Arial" w:eastAsia="Arial" w:hAnsi="Arial"/>
          <w:sz w:val="15"/>
          <w:szCs w:val="15"/>
          <w:u w:val="single" w:color="auto"/>
          <w:color w:val="0000EE"/>
        </w:rPr>
      </w:pPr>
      <w:hyperlink w:anchor="page71">
        <w:r>
          <w:rPr>
            <w:rFonts w:ascii="Arial" w:cs="Arial" w:eastAsia="Arial" w:hAnsi="Arial"/>
            <w:sz w:val="15"/>
            <w:szCs w:val="15"/>
            <w:u w:val="single" w:color="auto"/>
            <w:color w:val="0000EE"/>
          </w:rPr>
          <w:t>68</w:t>
        </w:r>
      </w:hyperlink>
    </w:p>
    <w:p>
      <w:pPr>
        <w:spacing w:after="0" w:line="44" w:lineRule="exact"/>
        <w:rPr>
          <w:sz w:val="20"/>
          <w:szCs w:val="20"/>
          <w:color w:val="auto"/>
        </w:rPr>
      </w:pPr>
    </w:p>
    <w:p>
      <w:pPr>
        <w:jc w:val="right"/>
        <w:spacing w:after="0"/>
        <w:rPr>
          <w:rFonts w:ascii="Arial" w:cs="Arial" w:eastAsia="Arial" w:hAnsi="Arial"/>
          <w:sz w:val="15"/>
          <w:szCs w:val="15"/>
          <w:u w:val="single" w:color="auto"/>
          <w:color w:val="0000EE"/>
        </w:rPr>
      </w:pPr>
      <w:hyperlink w:anchor="page119">
        <w:r>
          <w:rPr>
            <w:rFonts w:ascii="Arial" w:cs="Arial" w:eastAsia="Arial" w:hAnsi="Arial"/>
            <w:sz w:val="15"/>
            <w:szCs w:val="15"/>
            <w:u w:val="single" w:color="auto"/>
            <w:color w:val="0000EE"/>
          </w:rPr>
          <w:t>115</w:t>
        </w:r>
      </w:hyperlink>
    </w:p>
    <w:p>
      <w:pPr>
        <w:spacing w:after="0" w:line="44" w:lineRule="exact"/>
        <w:rPr>
          <w:sz w:val="20"/>
          <w:szCs w:val="20"/>
          <w:color w:val="auto"/>
        </w:rPr>
      </w:pPr>
    </w:p>
    <w:p>
      <w:pPr>
        <w:jc w:val="right"/>
        <w:spacing w:after="0"/>
        <w:rPr>
          <w:rFonts w:ascii="Arial" w:cs="Arial" w:eastAsia="Arial" w:hAnsi="Arial"/>
          <w:sz w:val="15"/>
          <w:szCs w:val="15"/>
          <w:u w:val="single" w:color="auto"/>
          <w:color w:val="0000EE"/>
        </w:rPr>
      </w:pPr>
      <w:hyperlink w:anchor="page120">
        <w:r>
          <w:rPr>
            <w:rFonts w:ascii="Arial" w:cs="Arial" w:eastAsia="Arial" w:hAnsi="Arial"/>
            <w:sz w:val="15"/>
            <w:szCs w:val="15"/>
            <w:u w:val="single" w:color="auto"/>
            <w:color w:val="0000EE"/>
          </w:rPr>
          <w:t>116</w:t>
        </w:r>
      </w:hyperlink>
    </w:p>
    <w:p>
      <w:pPr>
        <w:sectPr>
          <w:pgSz w:w="11900" w:h="16838" w:orient="portrait"/>
          <w:cols w:equalWidth="0" w:num="2">
            <w:col w:w="10380" w:space="720"/>
            <w:col w:w="260"/>
          </w:cols>
          <w:pgMar w:left="280" w:top="738" w:right="2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146" w:lineRule="exact"/>
        <w:rPr>
          <w:sz w:val="20"/>
          <w:szCs w:val="20"/>
          <w:color w:val="auto"/>
        </w:rPr>
      </w:pPr>
    </w:p>
    <w:p>
      <w:pPr>
        <w:ind w:right="20"/>
        <w:spacing w:after="0" w:line="231" w:lineRule="auto"/>
        <w:rPr>
          <w:sz w:val="20"/>
          <w:szCs w:val="20"/>
          <w:color w:val="auto"/>
        </w:rPr>
      </w:pPr>
      <w:r>
        <w:rPr>
          <w:rFonts w:ascii="Arial" w:cs="Arial" w:eastAsia="Arial" w:hAnsi="Arial"/>
          <w:sz w:val="18"/>
          <w:szCs w:val="18"/>
          <w:color w:val="auto"/>
        </w:rPr>
        <w:t>Graham Holdings Company (the Company) is primarily a diversified education and media company. The Company’s Kaplan subsidiary provides a wide variety of educational services, both domestically and outside the United States. The Company’s media operations comprise the ownership and operation of television broadcasting (through the ownership and operation of seven television broadcast stations), plus Slate and Foreign Policy magazines. The Company also owns home health and hospice providers, three industrial companies and Social Code LLC, a marketing solutions provider.</w:t>
      </w:r>
    </w:p>
    <w:p>
      <w:pPr>
        <w:spacing w:after="0" w:line="111" w:lineRule="exact"/>
        <w:rPr>
          <w:sz w:val="20"/>
          <w:szCs w:val="20"/>
          <w:color w:val="auto"/>
        </w:rPr>
      </w:pPr>
    </w:p>
    <w:p>
      <w:pPr>
        <w:ind w:right="20"/>
        <w:spacing w:after="0" w:line="234" w:lineRule="auto"/>
        <w:rPr>
          <w:sz w:val="20"/>
          <w:szCs w:val="20"/>
          <w:color w:val="auto"/>
        </w:rPr>
      </w:pPr>
      <w:r>
        <w:rPr>
          <w:rFonts w:ascii="Arial" w:cs="Arial" w:eastAsia="Arial" w:hAnsi="Arial"/>
          <w:sz w:val="18"/>
          <w:szCs w:val="18"/>
          <w:color w:val="auto"/>
        </w:rPr>
        <w:t>Financial information concerning the principal segments of the Company’s business for the past three fiscal years is contained in Note 19 to the Company’s Consolidated Financial Statements appearing elsewhere in this Annual Report on Form 10-K. Revenues for each segment are shown in Note 19 gross of intersegment sales. Consolidated revenues are reported net of intersegment sales, which did not exceed 0.1% of consolidated operating revenues.</w:t>
      </w:r>
    </w:p>
    <w:p>
      <w:pPr>
        <w:spacing w:after="0" w:line="111" w:lineRule="exact"/>
        <w:rPr>
          <w:sz w:val="20"/>
          <w:szCs w:val="20"/>
          <w:color w:val="auto"/>
        </w:rPr>
      </w:pPr>
    </w:p>
    <w:p>
      <w:pPr>
        <w:ind w:right="500"/>
        <w:spacing w:after="0" w:line="234" w:lineRule="auto"/>
        <w:rPr>
          <w:sz w:val="20"/>
          <w:szCs w:val="20"/>
          <w:color w:val="auto"/>
        </w:rPr>
      </w:pPr>
      <w:r>
        <w:rPr>
          <w:rFonts w:ascii="Arial" w:cs="Arial" w:eastAsia="Arial" w:hAnsi="Arial"/>
          <w:sz w:val="18"/>
          <w:szCs w:val="18"/>
          <w:color w:val="auto"/>
        </w:rPr>
        <w:t>The Company’s operations in geographic areas outside the U.S. consist primarily of Kaplan’s non-U.S. operations. During the fiscal years 2016, 2015 and 2014, these operations accounted for approximately 25%, 26% and 26%, respectively, of the Company’s consolidated revenues, and the identifiable assets attributable to non-U.S. operations represented approximately 20% and 18% of the Company’s consolidated assets at December 31, 2016 and 2015, respectively.</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Education</w:t>
      </w:r>
    </w:p>
    <w:p>
      <w:pPr>
        <w:spacing w:after="0" w:line="146" w:lineRule="exact"/>
        <w:rPr>
          <w:sz w:val="20"/>
          <w:szCs w:val="20"/>
          <w:color w:val="auto"/>
        </w:rPr>
      </w:pPr>
    </w:p>
    <w:p>
      <w:pPr>
        <w:ind w:right="320"/>
        <w:spacing w:after="0" w:line="234" w:lineRule="auto"/>
        <w:rPr>
          <w:sz w:val="20"/>
          <w:szCs w:val="20"/>
          <w:color w:val="auto"/>
        </w:rPr>
      </w:pPr>
      <w:r>
        <w:rPr>
          <w:rFonts w:ascii="Arial" w:cs="Arial" w:eastAsia="Arial" w:hAnsi="Arial"/>
          <w:sz w:val="18"/>
          <w:szCs w:val="18"/>
          <w:color w:val="auto"/>
        </w:rPr>
        <w:t>Kaplan, Inc., a subsidiary of the Company, provides an extensive range of education and related services worldwide for students and professionals. Kaplan conducts its operations through three segments: Kaplan Higher Education, Kaplan Test Preparation and Kaplan International. In addition, the results of the Kaplan Corporate segment include investment activities, identifying and investing in high-growth-potential education technology companies.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revenues for each of Kaplan’s segments: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4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740" w:type="dxa"/>
            <w:vAlign w:val="bottom"/>
            <w:tcBorders>
              <w:bottom w:val="single" w:sz="8" w:color="auto"/>
            </w:tcBorders>
            <w:gridSpan w:val="4"/>
          </w:tcPr>
          <w:p>
            <w:pPr>
              <w:jc w:val="right"/>
              <w:ind w:right="59"/>
              <w:spacing w:after="0"/>
              <w:rPr>
                <w:sz w:val="20"/>
                <w:szCs w:val="20"/>
                <w:color w:val="auto"/>
              </w:rPr>
            </w:pPr>
            <w:r>
              <w:rPr>
                <w:rFonts w:ascii="Arial" w:cs="Arial" w:eastAsia="Arial" w:hAnsi="Arial"/>
                <w:sz w:val="14"/>
                <w:szCs w:val="14"/>
                <w:b w:val="1"/>
                <w:bCs w:val="1"/>
                <w:color w:val="auto"/>
              </w:rPr>
              <w:t>Year Ended December 31</w:t>
            </w:r>
          </w:p>
        </w:tc>
        <w:tc>
          <w:tcPr>
            <w:tcW w:w="980" w:type="dxa"/>
            <w:vAlign w:val="bottom"/>
            <w:tcBorders>
              <w:bottom w:val="single" w:sz="8" w:color="auto"/>
            </w:tcBorders>
          </w:tcPr>
          <w:p>
            <w:pPr>
              <w:spacing w:after="0"/>
              <w:rPr>
                <w:sz w:val="17"/>
                <w:szCs w:val="17"/>
                <w:color w:val="auto"/>
              </w:rPr>
            </w:pPr>
          </w:p>
        </w:tc>
      </w:tr>
      <w:tr>
        <w:trPr>
          <w:trHeight w:val="264"/>
        </w:trPr>
        <w:tc>
          <w:tcPr>
            <w:tcW w:w="74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42"/>
              <w:spacing w:after="0"/>
              <w:rPr>
                <w:sz w:val="20"/>
                <w:szCs w:val="20"/>
                <w:color w:val="auto"/>
              </w:rPr>
            </w:pPr>
            <w:r>
              <w:rPr>
                <w:rFonts w:ascii="Arial" w:cs="Arial" w:eastAsia="Arial" w:hAnsi="Arial"/>
                <w:sz w:val="14"/>
                <w:szCs w:val="14"/>
                <w:b w:val="1"/>
                <w:bCs w:val="1"/>
                <w:color w:val="auto"/>
              </w:rPr>
              <w:t>2016</w:t>
            </w:r>
          </w:p>
        </w:tc>
        <w:tc>
          <w:tcPr>
            <w:tcW w:w="3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color w:val="auto"/>
              </w:rPr>
              <w:t>2015</w:t>
            </w:r>
          </w:p>
        </w:tc>
        <w:tc>
          <w:tcPr>
            <w:tcW w:w="3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color w:val="auto"/>
              </w:rPr>
              <w:t>2014</w:t>
            </w:r>
          </w:p>
        </w:tc>
      </w:tr>
      <w:tr>
        <w:trPr>
          <w:trHeight w:val="257"/>
        </w:trPr>
        <w:tc>
          <w:tcPr>
            <w:tcW w:w="7440" w:type="dxa"/>
            <w:vAlign w:val="bottom"/>
          </w:tcPr>
          <w:p>
            <w:pPr>
              <w:ind w:left="40"/>
              <w:spacing w:after="0"/>
              <w:rPr>
                <w:sz w:val="20"/>
                <w:szCs w:val="20"/>
                <w:color w:val="auto"/>
              </w:rPr>
            </w:pPr>
            <w:r>
              <w:rPr>
                <w:rFonts w:ascii="Arial" w:cs="Arial" w:eastAsia="Arial" w:hAnsi="Arial"/>
                <w:sz w:val="16"/>
                <w:szCs w:val="16"/>
                <w:color w:val="auto"/>
              </w:rPr>
              <w:t>Kaplan Higher Education</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1040" w:type="dxa"/>
            <w:vAlign w:val="bottom"/>
          </w:tcPr>
          <w:p>
            <w:pPr>
              <w:jc w:val="right"/>
              <w:ind w:right="82"/>
              <w:spacing w:after="0"/>
              <w:rPr>
                <w:sz w:val="20"/>
                <w:szCs w:val="20"/>
                <w:color w:val="auto"/>
              </w:rPr>
            </w:pPr>
            <w:r>
              <w:rPr>
                <w:rFonts w:ascii="Arial" w:cs="Arial" w:eastAsia="Arial" w:hAnsi="Arial"/>
                <w:sz w:val="16"/>
                <w:szCs w:val="16"/>
                <w:b w:val="1"/>
                <w:bCs w:val="1"/>
                <w:color w:val="auto"/>
              </w:rPr>
              <w:t>617,047</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849,625</w:t>
            </w:r>
          </w:p>
        </w:tc>
        <w:tc>
          <w:tcPr>
            <w:tcW w:w="3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1,010,058</w:t>
            </w:r>
          </w:p>
        </w:tc>
      </w:tr>
      <w:tr>
        <w:trPr>
          <w:trHeight w:val="270"/>
        </w:trPr>
        <w:tc>
          <w:tcPr>
            <w:tcW w:w="7440" w:type="dxa"/>
            <w:vAlign w:val="bottom"/>
          </w:tcPr>
          <w:p>
            <w:pPr>
              <w:ind w:left="40"/>
              <w:spacing w:after="0"/>
              <w:rPr>
                <w:sz w:val="20"/>
                <w:szCs w:val="20"/>
                <w:color w:val="auto"/>
              </w:rPr>
            </w:pPr>
            <w:r>
              <w:rPr>
                <w:rFonts w:ascii="Arial" w:cs="Arial" w:eastAsia="Arial" w:hAnsi="Arial"/>
                <w:sz w:val="16"/>
                <w:szCs w:val="16"/>
                <w:color w:val="auto"/>
              </w:rPr>
              <w:t>Kaplan Test Preparation</w:t>
            </w:r>
          </w:p>
        </w:tc>
        <w:tc>
          <w:tcPr>
            <w:tcW w:w="260" w:type="dxa"/>
            <w:vAlign w:val="bottom"/>
          </w:tcPr>
          <w:p>
            <w:pPr>
              <w:spacing w:after="0"/>
              <w:rPr>
                <w:sz w:val="23"/>
                <w:szCs w:val="23"/>
                <w:color w:val="auto"/>
              </w:rPr>
            </w:pPr>
          </w:p>
        </w:tc>
        <w:tc>
          <w:tcPr>
            <w:tcW w:w="1040" w:type="dxa"/>
            <w:vAlign w:val="bottom"/>
          </w:tcPr>
          <w:p>
            <w:pPr>
              <w:jc w:val="right"/>
              <w:ind w:right="82"/>
              <w:spacing w:after="0"/>
              <w:rPr>
                <w:sz w:val="20"/>
                <w:szCs w:val="20"/>
                <w:color w:val="auto"/>
              </w:rPr>
            </w:pPr>
            <w:r>
              <w:rPr>
                <w:rFonts w:ascii="Arial" w:cs="Arial" w:eastAsia="Arial" w:hAnsi="Arial"/>
                <w:sz w:val="16"/>
                <w:szCs w:val="16"/>
                <w:b w:val="1"/>
                <w:bCs w:val="1"/>
                <w:color w:val="auto"/>
              </w:rPr>
              <w:t>286,556</w:t>
            </w:r>
          </w:p>
        </w:tc>
        <w:tc>
          <w:tcPr>
            <w:tcW w:w="340" w:type="dxa"/>
            <w:vAlign w:val="bottom"/>
          </w:tcPr>
          <w:p>
            <w:pPr>
              <w:spacing w:after="0"/>
              <w:rPr>
                <w:sz w:val="23"/>
                <w:szCs w:val="23"/>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301,607</w:t>
            </w:r>
          </w:p>
        </w:tc>
        <w:tc>
          <w:tcPr>
            <w:tcW w:w="380" w:type="dxa"/>
            <w:vAlign w:val="bottom"/>
          </w:tcPr>
          <w:p>
            <w:pPr>
              <w:spacing w:after="0"/>
              <w:rPr>
                <w:sz w:val="23"/>
                <w:szCs w:val="23"/>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304,662</w:t>
            </w:r>
          </w:p>
        </w:tc>
      </w:tr>
      <w:tr>
        <w:trPr>
          <w:trHeight w:val="270"/>
        </w:trPr>
        <w:tc>
          <w:tcPr>
            <w:tcW w:w="7440" w:type="dxa"/>
            <w:vAlign w:val="bottom"/>
          </w:tcPr>
          <w:p>
            <w:pPr>
              <w:ind w:left="40"/>
              <w:spacing w:after="0"/>
              <w:rPr>
                <w:sz w:val="20"/>
                <w:szCs w:val="20"/>
                <w:color w:val="auto"/>
              </w:rPr>
            </w:pPr>
            <w:r>
              <w:rPr>
                <w:rFonts w:ascii="Arial" w:cs="Arial" w:eastAsia="Arial" w:hAnsi="Arial"/>
                <w:sz w:val="16"/>
                <w:szCs w:val="16"/>
                <w:color w:val="auto"/>
              </w:rPr>
              <w:t>Kaplan International</w:t>
            </w:r>
          </w:p>
        </w:tc>
        <w:tc>
          <w:tcPr>
            <w:tcW w:w="260" w:type="dxa"/>
            <w:vAlign w:val="bottom"/>
          </w:tcPr>
          <w:p>
            <w:pPr>
              <w:spacing w:after="0"/>
              <w:rPr>
                <w:sz w:val="23"/>
                <w:szCs w:val="23"/>
                <w:color w:val="auto"/>
              </w:rPr>
            </w:pPr>
          </w:p>
        </w:tc>
        <w:tc>
          <w:tcPr>
            <w:tcW w:w="1040" w:type="dxa"/>
            <w:vAlign w:val="bottom"/>
          </w:tcPr>
          <w:p>
            <w:pPr>
              <w:jc w:val="right"/>
              <w:ind w:right="82"/>
              <w:spacing w:after="0"/>
              <w:rPr>
                <w:sz w:val="20"/>
                <w:szCs w:val="20"/>
                <w:color w:val="auto"/>
              </w:rPr>
            </w:pPr>
            <w:r>
              <w:rPr>
                <w:rFonts w:ascii="Arial" w:cs="Arial" w:eastAsia="Arial" w:hAnsi="Arial"/>
                <w:sz w:val="16"/>
                <w:szCs w:val="16"/>
                <w:b w:val="1"/>
                <w:bCs w:val="1"/>
                <w:color w:val="auto"/>
              </w:rPr>
              <w:t>696,362</w:t>
            </w:r>
          </w:p>
        </w:tc>
        <w:tc>
          <w:tcPr>
            <w:tcW w:w="340" w:type="dxa"/>
            <w:vAlign w:val="bottom"/>
          </w:tcPr>
          <w:p>
            <w:pPr>
              <w:spacing w:after="0"/>
              <w:rPr>
                <w:sz w:val="23"/>
                <w:szCs w:val="23"/>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770,273</w:t>
            </w:r>
          </w:p>
        </w:tc>
        <w:tc>
          <w:tcPr>
            <w:tcW w:w="380" w:type="dxa"/>
            <w:vAlign w:val="bottom"/>
          </w:tcPr>
          <w:p>
            <w:pPr>
              <w:spacing w:after="0"/>
              <w:rPr>
                <w:sz w:val="23"/>
                <w:szCs w:val="23"/>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840,915</w:t>
            </w:r>
          </w:p>
        </w:tc>
      </w:tr>
      <w:tr>
        <w:trPr>
          <w:trHeight w:val="274"/>
        </w:trPr>
        <w:tc>
          <w:tcPr>
            <w:tcW w:w="7440" w:type="dxa"/>
            <w:vAlign w:val="bottom"/>
          </w:tcPr>
          <w:p>
            <w:pPr>
              <w:ind w:left="40"/>
              <w:spacing w:after="0"/>
              <w:rPr>
                <w:sz w:val="20"/>
                <w:szCs w:val="20"/>
                <w:color w:val="auto"/>
              </w:rPr>
            </w:pPr>
            <w:r>
              <w:rPr>
                <w:rFonts w:ascii="Arial" w:cs="Arial" w:eastAsia="Arial" w:hAnsi="Arial"/>
                <w:sz w:val="16"/>
                <w:szCs w:val="16"/>
                <w:color w:val="auto"/>
              </w:rPr>
              <w:t>Kaplan Corporate and Intersegment Eliminations</w:t>
            </w:r>
          </w:p>
        </w:tc>
        <w:tc>
          <w:tcPr>
            <w:tcW w:w="26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b w:val="1"/>
                <w:bCs w:val="1"/>
                <w:color w:val="auto"/>
              </w:rPr>
              <w:t>(1,504)</w:t>
            </w:r>
          </w:p>
        </w:tc>
        <w:tc>
          <w:tcPr>
            <w:tcW w:w="34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6,016</w:t>
            </w:r>
          </w:p>
        </w:tc>
        <w:tc>
          <w:tcPr>
            <w:tcW w:w="38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4,782</w:t>
            </w:r>
          </w:p>
        </w:tc>
      </w:tr>
      <w:tr>
        <w:trPr>
          <w:trHeight w:val="266"/>
        </w:trPr>
        <w:tc>
          <w:tcPr>
            <w:tcW w:w="7440" w:type="dxa"/>
            <w:vAlign w:val="bottom"/>
          </w:tcPr>
          <w:p>
            <w:pPr>
              <w:ind w:left="280"/>
              <w:spacing w:after="0"/>
              <w:rPr>
                <w:sz w:val="20"/>
                <w:szCs w:val="20"/>
                <w:color w:val="auto"/>
              </w:rPr>
            </w:pPr>
            <w:r>
              <w:rPr>
                <w:rFonts w:ascii="Arial" w:cs="Arial" w:eastAsia="Arial" w:hAnsi="Arial"/>
                <w:sz w:val="16"/>
                <w:szCs w:val="16"/>
                <w:color w:val="auto"/>
              </w:rPr>
              <w:t>Total Kaplan Revenue</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104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b w:val="1"/>
                <w:bCs w:val="1"/>
                <w:color w:val="auto"/>
              </w:rPr>
              <w:t>1,598,461</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1,927,521</w:t>
            </w:r>
          </w:p>
        </w:tc>
        <w:tc>
          <w:tcPr>
            <w:tcW w:w="3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2,160,417</w:t>
            </w:r>
          </w:p>
        </w:tc>
      </w:tr>
      <w:tr>
        <w:trPr>
          <w:trHeight w:val="20"/>
        </w:trPr>
        <w:tc>
          <w:tcPr>
            <w:tcW w:w="74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Kaplan Higher Education</w:t>
      </w:r>
    </w:p>
    <w:p>
      <w:pPr>
        <w:spacing w:after="0" w:line="146" w:lineRule="exact"/>
        <w:rPr>
          <w:sz w:val="20"/>
          <w:szCs w:val="20"/>
          <w:color w:val="auto"/>
        </w:rPr>
      </w:pPr>
    </w:p>
    <w:p>
      <w:pPr>
        <w:ind w:right="440"/>
        <w:spacing w:after="0" w:line="260" w:lineRule="auto"/>
        <w:rPr>
          <w:sz w:val="20"/>
          <w:szCs w:val="20"/>
          <w:color w:val="auto"/>
        </w:rPr>
      </w:pPr>
      <w:r>
        <w:rPr>
          <w:rFonts w:ascii="Arial" w:cs="Arial" w:eastAsia="Arial" w:hAnsi="Arial"/>
          <w:sz w:val="18"/>
          <w:szCs w:val="18"/>
          <w:color w:val="auto"/>
        </w:rPr>
        <w:t>Kaplan Higher Education (KHE) currently consists of Kaplan University. Kaplan University provides a wide array of certificate, diploma and degree programs designed to meet the needs of students seeking to advance their education and career goals.</w:t>
      </w:r>
    </w:p>
    <w:p>
      <w:pPr>
        <w:spacing w:after="0" w:line="92" w:lineRule="exact"/>
        <w:rPr>
          <w:sz w:val="20"/>
          <w:szCs w:val="20"/>
          <w:color w:val="auto"/>
        </w:rPr>
      </w:pPr>
    </w:p>
    <w:p>
      <w:pPr>
        <w:ind w:right="100"/>
        <w:spacing w:after="0" w:line="231" w:lineRule="auto"/>
        <w:rPr>
          <w:sz w:val="20"/>
          <w:szCs w:val="20"/>
          <w:color w:val="auto"/>
        </w:rPr>
      </w:pPr>
      <w:r>
        <w:rPr>
          <w:rFonts w:ascii="Arial" w:cs="Arial" w:eastAsia="Arial" w:hAnsi="Arial"/>
          <w:sz w:val="18"/>
          <w:szCs w:val="18"/>
          <w:color w:val="auto"/>
        </w:rPr>
        <w:t>In 2015 Kaplan sold substantially all of the assets of its KHE Campuses business, which consisted of 38 nationally accredited ground campuses and certain related assets. Kaplan's Bauder College campus in Atlanta and Mount Washington College in New Hampshire were not part of this sale, however Kaplan ceased enrollment in its Bauder College campus and Mount Washington College campus in 2014 and 2015, respectively, and each school completed the teach-out of its students and closed during 2016. In 2016, Kaplan’s U.S.-based KHE division consisted primarily of Kaplan University.</w:t>
      </w:r>
    </w:p>
    <w:p>
      <w:pPr>
        <w:spacing w:after="0" w:line="111" w:lineRule="exact"/>
        <w:rPr>
          <w:sz w:val="20"/>
          <w:szCs w:val="20"/>
          <w:color w:val="auto"/>
        </w:rPr>
      </w:pPr>
    </w:p>
    <w:p>
      <w:pPr>
        <w:jc w:val="both"/>
        <w:ind w:right="40"/>
        <w:spacing w:after="0" w:line="231" w:lineRule="auto"/>
        <w:rPr>
          <w:sz w:val="20"/>
          <w:szCs w:val="20"/>
          <w:color w:val="auto"/>
        </w:rPr>
      </w:pPr>
      <w:r>
        <w:rPr>
          <w:rFonts w:ascii="Arial" w:cs="Arial" w:eastAsia="Arial" w:hAnsi="Arial"/>
          <w:sz w:val="18"/>
          <w:szCs w:val="18"/>
          <w:b w:val="1"/>
          <w:bCs w:val="1"/>
          <w:i w:val="1"/>
          <w:iCs w:val="1"/>
          <w:color w:val="auto"/>
        </w:rPr>
        <w:t xml:space="preserve">Kaplan University. </w:t>
      </w:r>
      <w:r>
        <w:rPr>
          <w:rFonts w:ascii="Arial" w:cs="Arial" w:eastAsia="Arial" w:hAnsi="Arial"/>
          <w:sz w:val="18"/>
          <w:szCs w:val="18"/>
          <w:color w:val="auto"/>
        </w:rPr>
        <w:t>Kaplan University specializes in online education, is accredited by the Higher Learning Commission of the North Central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Association of Colleges and Schools (HLC), a regional accreditor approved by the U.S. Secretary of Education, and holds other programmatic accreditations. Most of Kaplan University’s programs are offered online, while some are offered in a traditional classroom format at 15 locations in Iowa, Indiana, Maine, Maryland, Missouri, Nebraska and Wisconsin. Kaplan University also includes Concord Law School, a fully online law school. At year-end 2016, Kaplan University had approximately 32,000 students enrolled.</w:t>
      </w:r>
    </w:p>
    <w:p>
      <w:pPr>
        <w:spacing w:after="0" w:line="111" w:lineRule="exact"/>
        <w:rPr>
          <w:sz w:val="20"/>
          <w:szCs w:val="20"/>
          <w:color w:val="auto"/>
        </w:rPr>
      </w:pPr>
    </w:p>
    <w:p>
      <w:pPr>
        <w:ind w:right="160"/>
        <w:spacing w:after="0" w:line="231" w:lineRule="auto"/>
        <w:rPr>
          <w:sz w:val="20"/>
          <w:szCs w:val="20"/>
          <w:color w:val="auto"/>
        </w:rPr>
      </w:pPr>
      <w:r>
        <w:rPr>
          <w:rFonts w:ascii="Arial" w:cs="Arial" w:eastAsia="Arial" w:hAnsi="Arial"/>
          <w:sz w:val="18"/>
          <w:szCs w:val="18"/>
          <w:color w:val="auto"/>
        </w:rPr>
        <w:t>Also residing within Kaplan University is the School of Professional and Continuing Education (PACE). PACE offers a wide range of education solutions to assist professionals in advancing their careers by obtaining professional licenses, designations and certifications. This includes solutions for insurance, securities, mortgage and appraisal licensing exams and for advanced designations, such as CFA</w:t>
      </w:r>
      <w:r>
        <w:rPr>
          <w:rFonts w:ascii="Arial" w:cs="Arial" w:eastAsia="Arial" w:hAnsi="Arial"/>
          <w:sz w:val="10"/>
          <w:szCs w:val="10"/>
          <w:color w:val="auto"/>
        </w:rPr>
        <w:t>®</w:t>
      </w:r>
      <w:r>
        <w:rPr>
          <w:rFonts w:ascii="Arial" w:cs="Arial" w:eastAsia="Arial" w:hAnsi="Arial"/>
          <w:sz w:val="18"/>
          <w:szCs w:val="18"/>
          <w:color w:val="auto"/>
        </w:rPr>
        <w:t xml:space="preserve"> and CPA exams. PACE serves approximately 3,700 business-to-business clients, including 125 Fortune 500 companies. In 2016, over 460,000 students used PACE’s exam preparation offerings.</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736"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Program Offerings and Enrollment</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Kaplan University offers certificate and degree programs in a variety of subject areas. Among them are the following:</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40" w:type="dxa"/>
            <w:vAlign w:val="bottom"/>
            <w:tcBorders>
              <w:bottom w:val="single" w:sz="8" w:color="auto"/>
            </w:tcBorders>
          </w:tcPr>
          <w:p>
            <w:pPr>
              <w:spacing w:after="0"/>
              <w:rPr>
                <w:sz w:val="17"/>
                <w:szCs w:val="17"/>
                <w:color w:val="auto"/>
              </w:rPr>
            </w:pPr>
          </w:p>
        </w:tc>
        <w:tc>
          <w:tcPr>
            <w:tcW w:w="2640" w:type="dxa"/>
            <w:vAlign w:val="bottom"/>
            <w:tcBorders>
              <w:bottom w:val="single" w:sz="8" w:color="auto"/>
            </w:tcBorders>
          </w:tcPr>
          <w:p>
            <w:pPr>
              <w:ind w:left="920"/>
              <w:spacing w:after="0"/>
              <w:rPr>
                <w:sz w:val="20"/>
                <w:szCs w:val="20"/>
                <w:color w:val="auto"/>
              </w:rPr>
            </w:pPr>
            <w:r>
              <w:rPr>
                <w:rFonts w:ascii="Arial" w:cs="Arial" w:eastAsia="Arial" w:hAnsi="Arial"/>
                <w:sz w:val="14"/>
                <w:szCs w:val="14"/>
                <w:b w:val="1"/>
                <w:bCs w:val="1"/>
                <w:color w:val="auto"/>
              </w:rPr>
              <w:t>Certificate</w:t>
            </w:r>
          </w:p>
        </w:tc>
        <w:tc>
          <w:tcPr>
            <w:tcW w:w="180" w:type="dxa"/>
            <w:vAlign w:val="bottom"/>
            <w:tcBorders>
              <w:bottom w:val="single" w:sz="8" w:color="auto"/>
            </w:tcBorders>
          </w:tcPr>
          <w:p>
            <w:pPr>
              <w:spacing w:after="0"/>
              <w:rPr>
                <w:sz w:val="17"/>
                <w:szCs w:val="17"/>
                <w:color w:val="auto"/>
              </w:rPr>
            </w:pPr>
          </w:p>
        </w:tc>
        <w:tc>
          <w:tcPr>
            <w:tcW w:w="2560" w:type="dxa"/>
            <w:vAlign w:val="bottom"/>
            <w:tcBorders>
              <w:bottom w:val="single" w:sz="8" w:color="auto"/>
            </w:tcBorders>
          </w:tcPr>
          <w:p>
            <w:pPr>
              <w:ind w:left="860"/>
              <w:spacing w:after="0"/>
              <w:rPr>
                <w:sz w:val="20"/>
                <w:szCs w:val="20"/>
                <w:color w:val="auto"/>
              </w:rPr>
            </w:pPr>
            <w:r>
              <w:rPr>
                <w:rFonts w:ascii="Arial" w:cs="Arial" w:eastAsia="Arial" w:hAnsi="Arial"/>
                <w:sz w:val="14"/>
                <w:szCs w:val="14"/>
                <w:b w:val="1"/>
                <w:bCs w:val="1"/>
                <w:color w:val="auto"/>
              </w:rPr>
              <w:t>Associate’s</w:t>
            </w:r>
          </w:p>
        </w:tc>
        <w:tc>
          <w:tcPr>
            <w:tcW w:w="240" w:type="dxa"/>
            <w:vAlign w:val="bottom"/>
            <w:tcBorders>
              <w:bottom w:val="single" w:sz="8" w:color="auto"/>
            </w:tcBorders>
          </w:tcPr>
          <w:p>
            <w:pPr>
              <w:spacing w:after="0"/>
              <w:rPr>
                <w:sz w:val="17"/>
                <w:szCs w:val="17"/>
                <w:color w:val="auto"/>
              </w:rPr>
            </w:pPr>
          </w:p>
        </w:tc>
        <w:tc>
          <w:tcPr>
            <w:tcW w:w="2560" w:type="dxa"/>
            <w:vAlign w:val="bottom"/>
            <w:tcBorders>
              <w:bottom w:val="single" w:sz="8" w:color="auto"/>
            </w:tcBorders>
            <w:gridSpan w:val="2"/>
          </w:tcPr>
          <w:p>
            <w:pPr>
              <w:ind w:left="900"/>
              <w:spacing w:after="0"/>
              <w:rPr>
                <w:sz w:val="20"/>
                <w:szCs w:val="20"/>
                <w:color w:val="auto"/>
              </w:rPr>
            </w:pPr>
            <w:r>
              <w:rPr>
                <w:rFonts w:ascii="Arial" w:cs="Arial" w:eastAsia="Arial" w:hAnsi="Arial"/>
                <w:sz w:val="14"/>
                <w:szCs w:val="14"/>
                <w:b w:val="1"/>
                <w:bCs w:val="1"/>
                <w:color w:val="auto"/>
              </w:rPr>
              <w:t>Bachelor’s</w:t>
            </w:r>
          </w:p>
        </w:tc>
        <w:tc>
          <w:tcPr>
            <w:tcW w:w="2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Master’s</w:t>
            </w:r>
          </w:p>
        </w:tc>
        <w:tc>
          <w:tcPr>
            <w:tcW w:w="54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0" w:type="dxa"/>
            <w:vAlign w:val="bottom"/>
          </w:tcPr>
          <w:p>
            <w:pPr>
              <w:ind w:left="40"/>
              <w:spacing w:after="0"/>
              <w:rPr>
                <w:sz w:val="20"/>
                <w:szCs w:val="20"/>
                <w:color w:val="auto"/>
              </w:rPr>
            </w:pPr>
            <w:r>
              <w:rPr>
                <w:rFonts w:ascii="Arial" w:cs="Arial" w:eastAsia="Arial" w:hAnsi="Arial"/>
                <w:sz w:val="14"/>
                <w:szCs w:val="14"/>
                <w:color w:val="auto"/>
              </w:rPr>
              <w:t>•</w:t>
            </w:r>
          </w:p>
        </w:tc>
        <w:tc>
          <w:tcPr>
            <w:tcW w:w="2640" w:type="dxa"/>
            <w:vAlign w:val="bottom"/>
          </w:tcPr>
          <w:p>
            <w:pPr>
              <w:ind w:left="60"/>
              <w:spacing w:after="0"/>
              <w:rPr>
                <w:sz w:val="20"/>
                <w:szCs w:val="20"/>
                <w:color w:val="auto"/>
              </w:rPr>
            </w:pPr>
            <w:r>
              <w:rPr>
                <w:rFonts w:ascii="Arial" w:cs="Arial" w:eastAsia="Arial" w:hAnsi="Arial"/>
                <w:sz w:val="14"/>
                <w:szCs w:val="14"/>
                <w:color w:val="auto"/>
              </w:rPr>
              <w:t>Arts and Sciences</w:t>
            </w:r>
          </w:p>
        </w:tc>
        <w:tc>
          <w:tcPr>
            <w:tcW w:w="180" w:type="dxa"/>
            <w:vAlign w:val="bottom"/>
          </w:tcPr>
          <w:p>
            <w:pPr>
              <w:ind w:left="60"/>
              <w:spacing w:after="0"/>
              <w:rPr>
                <w:sz w:val="20"/>
                <w:szCs w:val="20"/>
                <w:color w:val="auto"/>
              </w:rPr>
            </w:pPr>
            <w:r>
              <w:rPr>
                <w:rFonts w:ascii="Arial" w:cs="Arial" w:eastAsia="Arial" w:hAnsi="Arial"/>
                <w:sz w:val="14"/>
                <w:szCs w:val="14"/>
                <w:color w:val="auto"/>
              </w:rPr>
              <w:t>•</w:t>
            </w:r>
          </w:p>
        </w:tc>
        <w:tc>
          <w:tcPr>
            <w:tcW w:w="2560" w:type="dxa"/>
            <w:vAlign w:val="bottom"/>
          </w:tcPr>
          <w:p>
            <w:pPr>
              <w:ind w:left="60"/>
              <w:spacing w:after="0"/>
              <w:rPr>
                <w:sz w:val="20"/>
                <w:szCs w:val="20"/>
                <w:color w:val="auto"/>
              </w:rPr>
            </w:pPr>
            <w:r>
              <w:rPr>
                <w:rFonts w:ascii="Arial" w:cs="Arial" w:eastAsia="Arial" w:hAnsi="Arial"/>
                <w:sz w:val="14"/>
                <w:szCs w:val="14"/>
                <w:color w:val="auto"/>
              </w:rPr>
              <w:t>Arts and Sciences</w:t>
            </w:r>
          </w:p>
        </w:tc>
        <w:tc>
          <w:tcPr>
            <w:tcW w:w="240" w:type="dxa"/>
            <w:vAlign w:val="bottom"/>
          </w:tcPr>
          <w:p>
            <w:pPr>
              <w:ind w:left="140"/>
              <w:spacing w:after="0"/>
              <w:rPr>
                <w:sz w:val="20"/>
                <w:szCs w:val="20"/>
                <w:color w:val="auto"/>
              </w:rPr>
            </w:pPr>
            <w:r>
              <w:rPr>
                <w:rFonts w:ascii="Arial" w:cs="Arial" w:eastAsia="Arial" w:hAnsi="Arial"/>
                <w:sz w:val="14"/>
                <w:szCs w:val="14"/>
                <w:color w:val="auto"/>
              </w:rPr>
              <w:t>•</w:t>
            </w:r>
          </w:p>
        </w:tc>
        <w:tc>
          <w:tcPr>
            <w:tcW w:w="2560" w:type="dxa"/>
            <w:vAlign w:val="bottom"/>
            <w:gridSpan w:val="2"/>
          </w:tcPr>
          <w:p>
            <w:pPr>
              <w:ind w:left="60"/>
              <w:spacing w:after="0"/>
              <w:rPr>
                <w:sz w:val="20"/>
                <w:szCs w:val="20"/>
                <w:color w:val="auto"/>
              </w:rPr>
            </w:pPr>
            <w:r>
              <w:rPr>
                <w:rFonts w:ascii="Arial" w:cs="Arial" w:eastAsia="Arial" w:hAnsi="Arial"/>
                <w:sz w:val="14"/>
                <w:szCs w:val="14"/>
                <w:color w:val="auto"/>
              </w:rPr>
              <w:t>Arts and Sciences</w:t>
            </w:r>
          </w:p>
        </w:tc>
        <w:tc>
          <w:tcPr>
            <w:tcW w:w="220" w:type="dxa"/>
            <w:vAlign w:val="bottom"/>
          </w:tcPr>
          <w:p>
            <w:pPr>
              <w:ind w:left="140"/>
              <w:spacing w:after="0"/>
              <w:rPr>
                <w:sz w:val="20"/>
                <w:szCs w:val="20"/>
                <w:color w:val="auto"/>
              </w:rPr>
            </w:pPr>
            <w:r>
              <w:rPr>
                <w:rFonts w:ascii="Arial" w:cs="Arial" w:eastAsia="Arial" w:hAnsi="Arial"/>
                <w:sz w:val="14"/>
                <w:szCs w:val="14"/>
                <w:color w:val="auto"/>
              </w:rPr>
              <w:t>•</w:t>
            </w:r>
          </w:p>
        </w:tc>
        <w:tc>
          <w:tcPr>
            <w:tcW w:w="2160" w:type="dxa"/>
            <w:vAlign w:val="bottom"/>
            <w:gridSpan w:val="2"/>
          </w:tcPr>
          <w:p>
            <w:pPr>
              <w:ind w:left="80"/>
              <w:spacing w:after="0"/>
              <w:rPr>
                <w:sz w:val="20"/>
                <w:szCs w:val="20"/>
                <w:color w:val="auto"/>
              </w:rPr>
            </w:pPr>
            <w:r>
              <w:rPr>
                <w:rFonts w:ascii="Arial" w:cs="Arial" w:eastAsia="Arial" w:hAnsi="Arial"/>
                <w:sz w:val="14"/>
                <w:szCs w:val="14"/>
                <w:color w:val="auto"/>
              </w:rPr>
              <w:t>Arts and Sciences</w:t>
            </w: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780" w:type="dxa"/>
            <w:vAlign w:val="bottom"/>
            <w:gridSpan w:val="2"/>
          </w:tcPr>
          <w:p>
            <w:pPr>
              <w:ind w:left="40"/>
              <w:spacing w:after="0"/>
              <w:rPr>
                <w:sz w:val="20"/>
                <w:szCs w:val="20"/>
                <w:color w:val="auto"/>
              </w:rPr>
            </w:pPr>
            <w:r>
              <w:rPr>
                <w:rFonts w:ascii="Arial" w:cs="Arial" w:eastAsia="Arial" w:hAnsi="Arial"/>
                <w:sz w:val="14"/>
                <w:szCs w:val="14"/>
                <w:color w:val="auto"/>
              </w:rPr>
              <w:t>• Criminal Justice~</w:t>
            </w:r>
          </w:p>
        </w:tc>
        <w:tc>
          <w:tcPr>
            <w:tcW w:w="180" w:type="dxa"/>
            <w:vAlign w:val="bottom"/>
          </w:tcPr>
          <w:p>
            <w:pPr>
              <w:ind w:left="60"/>
              <w:spacing w:after="0"/>
              <w:rPr>
                <w:sz w:val="20"/>
                <w:szCs w:val="20"/>
                <w:color w:val="auto"/>
              </w:rPr>
            </w:pPr>
            <w:r>
              <w:rPr>
                <w:rFonts w:ascii="Arial" w:cs="Arial" w:eastAsia="Arial" w:hAnsi="Arial"/>
                <w:sz w:val="14"/>
                <w:szCs w:val="14"/>
                <w:color w:val="auto"/>
              </w:rPr>
              <w:t>•</w:t>
            </w:r>
          </w:p>
        </w:tc>
        <w:tc>
          <w:tcPr>
            <w:tcW w:w="2560" w:type="dxa"/>
            <w:vAlign w:val="bottom"/>
          </w:tcPr>
          <w:p>
            <w:pPr>
              <w:ind w:left="60"/>
              <w:spacing w:after="0"/>
              <w:rPr>
                <w:sz w:val="20"/>
                <w:szCs w:val="20"/>
                <w:color w:val="auto"/>
              </w:rPr>
            </w:pPr>
            <w:r>
              <w:rPr>
                <w:rFonts w:ascii="Arial" w:cs="Arial" w:eastAsia="Arial" w:hAnsi="Arial"/>
                <w:sz w:val="14"/>
                <w:szCs w:val="14"/>
                <w:color w:val="auto"/>
              </w:rPr>
              <w:t>Business/Management</w:t>
            </w:r>
          </w:p>
        </w:tc>
        <w:tc>
          <w:tcPr>
            <w:tcW w:w="240" w:type="dxa"/>
            <w:vAlign w:val="bottom"/>
          </w:tcPr>
          <w:p>
            <w:pPr>
              <w:ind w:left="140"/>
              <w:spacing w:after="0"/>
              <w:rPr>
                <w:sz w:val="20"/>
                <w:szCs w:val="20"/>
                <w:color w:val="auto"/>
              </w:rPr>
            </w:pPr>
            <w:r>
              <w:rPr>
                <w:rFonts w:ascii="Arial" w:cs="Arial" w:eastAsia="Arial" w:hAnsi="Arial"/>
                <w:sz w:val="14"/>
                <w:szCs w:val="14"/>
                <w:color w:val="auto"/>
              </w:rPr>
              <w:t>•</w:t>
            </w:r>
          </w:p>
        </w:tc>
        <w:tc>
          <w:tcPr>
            <w:tcW w:w="2560" w:type="dxa"/>
            <w:vAlign w:val="bottom"/>
            <w:gridSpan w:val="2"/>
          </w:tcPr>
          <w:p>
            <w:pPr>
              <w:ind w:left="60"/>
              <w:spacing w:after="0"/>
              <w:rPr>
                <w:sz w:val="20"/>
                <w:szCs w:val="20"/>
                <w:color w:val="auto"/>
              </w:rPr>
            </w:pPr>
            <w:r>
              <w:rPr>
                <w:rFonts w:ascii="Arial" w:cs="Arial" w:eastAsia="Arial" w:hAnsi="Arial"/>
                <w:sz w:val="14"/>
                <w:szCs w:val="14"/>
                <w:color w:val="auto"/>
              </w:rPr>
              <w:t>Business/Management</w:t>
            </w:r>
          </w:p>
        </w:tc>
        <w:tc>
          <w:tcPr>
            <w:tcW w:w="220" w:type="dxa"/>
            <w:vAlign w:val="bottom"/>
          </w:tcPr>
          <w:p>
            <w:pPr>
              <w:ind w:left="140"/>
              <w:spacing w:after="0"/>
              <w:rPr>
                <w:sz w:val="20"/>
                <w:szCs w:val="20"/>
                <w:color w:val="auto"/>
              </w:rPr>
            </w:pPr>
            <w:r>
              <w:rPr>
                <w:rFonts w:ascii="Arial" w:cs="Arial" w:eastAsia="Arial" w:hAnsi="Arial"/>
                <w:sz w:val="14"/>
                <w:szCs w:val="14"/>
                <w:color w:val="auto"/>
              </w:rPr>
              <w:t>•</w:t>
            </w:r>
          </w:p>
        </w:tc>
        <w:tc>
          <w:tcPr>
            <w:tcW w:w="2160" w:type="dxa"/>
            <w:vAlign w:val="bottom"/>
            <w:gridSpan w:val="2"/>
          </w:tcPr>
          <w:p>
            <w:pPr>
              <w:ind w:left="100"/>
              <w:spacing w:after="0"/>
              <w:rPr>
                <w:sz w:val="20"/>
                <w:szCs w:val="20"/>
                <w:color w:val="auto"/>
              </w:rPr>
            </w:pPr>
            <w:r>
              <w:rPr>
                <w:rFonts w:ascii="Arial" w:cs="Arial" w:eastAsia="Arial" w:hAnsi="Arial"/>
                <w:sz w:val="14"/>
                <w:szCs w:val="14"/>
                <w:color w:val="auto"/>
              </w:rPr>
              <w:t>Business/Management</w:t>
            </w: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40" w:type="dxa"/>
            <w:vAlign w:val="bottom"/>
          </w:tcPr>
          <w:p>
            <w:pPr>
              <w:ind w:left="40"/>
              <w:spacing w:after="0"/>
              <w:rPr>
                <w:sz w:val="20"/>
                <w:szCs w:val="20"/>
                <w:color w:val="auto"/>
              </w:rPr>
            </w:pPr>
            <w:r>
              <w:rPr>
                <w:rFonts w:ascii="Arial" w:cs="Arial" w:eastAsia="Arial" w:hAnsi="Arial"/>
                <w:sz w:val="14"/>
                <w:szCs w:val="14"/>
                <w:color w:val="auto"/>
              </w:rPr>
              <w:t>•</w:t>
            </w:r>
          </w:p>
        </w:tc>
        <w:tc>
          <w:tcPr>
            <w:tcW w:w="2640" w:type="dxa"/>
            <w:vAlign w:val="bottom"/>
          </w:tcPr>
          <w:p>
            <w:pPr>
              <w:ind w:left="60"/>
              <w:spacing w:after="0"/>
              <w:rPr>
                <w:sz w:val="20"/>
                <w:szCs w:val="20"/>
                <w:color w:val="auto"/>
              </w:rPr>
            </w:pPr>
            <w:r>
              <w:rPr>
                <w:rFonts w:ascii="Arial" w:cs="Arial" w:eastAsia="Arial" w:hAnsi="Arial"/>
                <w:sz w:val="14"/>
                <w:szCs w:val="14"/>
                <w:color w:val="auto"/>
              </w:rPr>
              <w:t>Education Studies*</w:t>
            </w:r>
          </w:p>
        </w:tc>
        <w:tc>
          <w:tcPr>
            <w:tcW w:w="180" w:type="dxa"/>
            <w:vAlign w:val="bottom"/>
          </w:tcPr>
          <w:p>
            <w:pPr>
              <w:ind w:left="60"/>
              <w:spacing w:after="0"/>
              <w:rPr>
                <w:sz w:val="20"/>
                <w:szCs w:val="20"/>
                <w:color w:val="auto"/>
              </w:rPr>
            </w:pPr>
            <w:r>
              <w:rPr>
                <w:rFonts w:ascii="Arial" w:cs="Arial" w:eastAsia="Arial" w:hAnsi="Arial"/>
                <w:sz w:val="14"/>
                <w:szCs w:val="14"/>
                <w:color w:val="auto"/>
              </w:rPr>
              <w:t>•</w:t>
            </w:r>
          </w:p>
        </w:tc>
        <w:tc>
          <w:tcPr>
            <w:tcW w:w="2560" w:type="dxa"/>
            <w:vAlign w:val="bottom"/>
          </w:tcPr>
          <w:p>
            <w:pPr>
              <w:ind w:left="60"/>
              <w:spacing w:after="0"/>
              <w:rPr>
                <w:sz w:val="20"/>
                <w:szCs w:val="20"/>
                <w:color w:val="auto"/>
              </w:rPr>
            </w:pPr>
            <w:r>
              <w:rPr>
                <w:rFonts w:ascii="Arial" w:cs="Arial" w:eastAsia="Arial" w:hAnsi="Arial"/>
                <w:sz w:val="14"/>
                <w:szCs w:val="14"/>
                <w:color w:val="auto"/>
              </w:rPr>
              <w:t>Criminal Justice</w:t>
            </w:r>
          </w:p>
        </w:tc>
        <w:tc>
          <w:tcPr>
            <w:tcW w:w="240" w:type="dxa"/>
            <w:vAlign w:val="bottom"/>
          </w:tcPr>
          <w:p>
            <w:pPr>
              <w:ind w:left="140"/>
              <w:spacing w:after="0"/>
              <w:rPr>
                <w:sz w:val="20"/>
                <w:szCs w:val="20"/>
                <w:color w:val="auto"/>
              </w:rPr>
            </w:pPr>
            <w:r>
              <w:rPr>
                <w:rFonts w:ascii="Arial" w:cs="Arial" w:eastAsia="Arial" w:hAnsi="Arial"/>
                <w:sz w:val="14"/>
                <w:szCs w:val="14"/>
                <w:color w:val="auto"/>
              </w:rPr>
              <w:t>•</w:t>
            </w:r>
          </w:p>
        </w:tc>
        <w:tc>
          <w:tcPr>
            <w:tcW w:w="2560" w:type="dxa"/>
            <w:vAlign w:val="bottom"/>
            <w:gridSpan w:val="2"/>
          </w:tcPr>
          <w:p>
            <w:pPr>
              <w:ind w:left="60"/>
              <w:spacing w:after="0"/>
              <w:rPr>
                <w:sz w:val="20"/>
                <w:szCs w:val="20"/>
                <w:color w:val="auto"/>
              </w:rPr>
            </w:pPr>
            <w:r>
              <w:rPr>
                <w:rFonts w:ascii="Arial" w:cs="Arial" w:eastAsia="Arial" w:hAnsi="Arial"/>
                <w:sz w:val="14"/>
                <w:szCs w:val="14"/>
                <w:color w:val="auto"/>
              </w:rPr>
              <w:t>Criminal Justice</w:t>
            </w:r>
          </w:p>
        </w:tc>
        <w:tc>
          <w:tcPr>
            <w:tcW w:w="220" w:type="dxa"/>
            <w:vAlign w:val="bottom"/>
          </w:tcPr>
          <w:p>
            <w:pPr>
              <w:ind w:left="140"/>
              <w:spacing w:after="0"/>
              <w:rPr>
                <w:sz w:val="20"/>
                <w:szCs w:val="20"/>
                <w:color w:val="auto"/>
              </w:rPr>
            </w:pPr>
            <w:r>
              <w:rPr>
                <w:rFonts w:ascii="Arial" w:cs="Arial" w:eastAsia="Arial" w:hAnsi="Arial"/>
                <w:sz w:val="14"/>
                <w:szCs w:val="14"/>
                <w:color w:val="auto"/>
              </w:rPr>
              <w:t>•</w:t>
            </w:r>
          </w:p>
        </w:tc>
        <w:tc>
          <w:tcPr>
            <w:tcW w:w="2160" w:type="dxa"/>
            <w:vAlign w:val="bottom"/>
            <w:gridSpan w:val="2"/>
          </w:tcPr>
          <w:p>
            <w:pPr>
              <w:ind w:left="100"/>
              <w:spacing w:after="0"/>
              <w:rPr>
                <w:sz w:val="20"/>
                <w:szCs w:val="20"/>
                <w:color w:val="auto"/>
              </w:rPr>
            </w:pPr>
            <w:r>
              <w:rPr>
                <w:rFonts w:ascii="Arial" w:cs="Arial" w:eastAsia="Arial" w:hAnsi="Arial"/>
                <w:sz w:val="14"/>
                <w:szCs w:val="14"/>
                <w:color w:val="auto"/>
              </w:rPr>
              <w:t>Criminal Justice</w:t>
            </w: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7"/>
        </w:trPr>
        <w:tc>
          <w:tcPr>
            <w:tcW w:w="140" w:type="dxa"/>
            <w:vAlign w:val="bottom"/>
          </w:tcPr>
          <w:p>
            <w:pPr>
              <w:ind w:left="40"/>
              <w:spacing w:after="0"/>
              <w:rPr>
                <w:sz w:val="20"/>
                <w:szCs w:val="20"/>
                <w:color w:val="auto"/>
              </w:rPr>
            </w:pPr>
            <w:r>
              <w:rPr>
                <w:rFonts w:ascii="Arial" w:cs="Arial" w:eastAsia="Arial" w:hAnsi="Arial"/>
                <w:sz w:val="14"/>
                <w:szCs w:val="14"/>
                <w:color w:val="auto"/>
              </w:rPr>
              <w:t>•</w:t>
            </w:r>
          </w:p>
        </w:tc>
        <w:tc>
          <w:tcPr>
            <w:tcW w:w="2640" w:type="dxa"/>
            <w:vAlign w:val="bottom"/>
          </w:tcPr>
          <w:p>
            <w:pPr>
              <w:ind w:left="60"/>
              <w:spacing w:after="0"/>
              <w:rPr>
                <w:sz w:val="20"/>
                <w:szCs w:val="20"/>
                <w:color w:val="auto"/>
              </w:rPr>
            </w:pPr>
            <w:r>
              <w:rPr>
                <w:rFonts w:ascii="Arial" w:cs="Arial" w:eastAsia="Arial" w:hAnsi="Arial"/>
                <w:sz w:val="14"/>
                <w:szCs w:val="14"/>
                <w:color w:val="auto"/>
              </w:rPr>
              <w:t>Health Sciences</w:t>
            </w:r>
          </w:p>
        </w:tc>
        <w:tc>
          <w:tcPr>
            <w:tcW w:w="180" w:type="dxa"/>
            <w:vAlign w:val="bottom"/>
          </w:tcPr>
          <w:p>
            <w:pPr>
              <w:ind w:left="60"/>
              <w:spacing w:after="0"/>
              <w:rPr>
                <w:sz w:val="20"/>
                <w:szCs w:val="20"/>
                <w:color w:val="auto"/>
              </w:rPr>
            </w:pPr>
            <w:r>
              <w:rPr>
                <w:rFonts w:ascii="Arial" w:cs="Arial" w:eastAsia="Arial" w:hAnsi="Arial"/>
                <w:sz w:val="14"/>
                <w:szCs w:val="14"/>
                <w:color w:val="auto"/>
              </w:rPr>
              <w:t>•</w:t>
            </w:r>
          </w:p>
        </w:tc>
        <w:tc>
          <w:tcPr>
            <w:tcW w:w="2560" w:type="dxa"/>
            <w:vAlign w:val="bottom"/>
          </w:tcPr>
          <w:p>
            <w:pPr>
              <w:ind w:left="60"/>
              <w:spacing w:after="0"/>
              <w:rPr>
                <w:sz w:val="20"/>
                <w:szCs w:val="20"/>
                <w:color w:val="auto"/>
              </w:rPr>
            </w:pPr>
            <w:r>
              <w:rPr>
                <w:rFonts w:ascii="Arial" w:cs="Arial" w:eastAsia="Arial" w:hAnsi="Arial"/>
                <w:sz w:val="14"/>
                <w:szCs w:val="14"/>
                <w:color w:val="auto"/>
              </w:rPr>
              <w:t>Fire Safety and Emergency</w:t>
            </w:r>
          </w:p>
        </w:tc>
        <w:tc>
          <w:tcPr>
            <w:tcW w:w="240" w:type="dxa"/>
            <w:vAlign w:val="bottom"/>
          </w:tcPr>
          <w:p>
            <w:pPr>
              <w:ind w:left="140"/>
              <w:spacing w:after="0"/>
              <w:rPr>
                <w:sz w:val="20"/>
                <w:szCs w:val="20"/>
                <w:color w:val="auto"/>
              </w:rPr>
            </w:pPr>
            <w:r>
              <w:rPr>
                <w:rFonts w:ascii="Arial" w:cs="Arial" w:eastAsia="Arial" w:hAnsi="Arial"/>
                <w:sz w:val="14"/>
                <w:szCs w:val="14"/>
                <w:color w:val="auto"/>
              </w:rPr>
              <w:t>•</w:t>
            </w:r>
          </w:p>
        </w:tc>
        <w:tc>
          <w:tcPr>
            <w:tcW w:w="2560" w:type="dxa"/>
            <w:vAlign w:val="bottom"/>
            <w:gridSpan w:val="2"/>
          </w:tcPr>
          <w:p>
            <w:pPr>
              <w:ind w:left="60"/>
              <w:spacing w:after="0"/>
              <w:rPr>
                <w:sz w:val="20"/>
                <w:szCs w:val="20"/>
                <w:color w:val="auto"/>
              </w:rPr>
            </w:pPr>
            <w:r>
              <w:rPr>
                <w:rFonts w:ascii="Arial" w:cs="Arial" w:eastAsia="Arial" w:hAnsi="Arial"/>
                <w:sz w:val="14"/>
                <w:szCs w:val="14"/>
                <w:color w:val="auto"/>
              </w:rPr>
              <w:t>Fire Safety and Emergency</w:t>
            </w:r>
          </w:p>
        </w:tc>
        <w:tc>
          <w:tcPr>
            <w:tcW w:w="220" w:type="dxa"/>
            <w:vAlign w:val="bottom"/>
          </w:tcPr>
          <w:p>
            <w:pPr>
              <w:ind w:left="140"/>
              <w:spacing w:after="0"/>
              <w:rPr>
                <w:sz w:val="20"/>
                <w:szCs w:val="20"/>
                <w:color w:val="auto"/>
              </w:rPr>
            </w:pPr>
            <w:r>
              <w:rPr>
                <w:rFonts w:ascii="Arial" w:cs="Arial" w:eastAsia="Arial" w:hAnsi="Arial"/>
                <w:sz w:val="14"/>
                <w:szCs w:val="14"/>
                <w:color w:val="auto"/>
              </w:rPr>
              <w:t>•</w:t>
            </w:r>
          </w:p>
        </w:tc>
        <w:tc>
          <w:tcPr>
            <w:tcW w:w="2160" w:type="dxa"/>
            <w:vAlign w:val="bottom"/>
            <w:gridSpan w:val="2"/>
          </w:tcPr>
          <w:p>
            <w:pPr>
              <w:ind w:left="100"/>
              <w:spacing w:after="0"/>
              <w:rPr>
                <w:sz w:val="20"/>
                <w:szCs w:val="20"/>
                <w:color w:val="auto"/>
              </w:rPr>
            </w:pPr>
            <w:r>
              <w:rPr>
                <w:rFonts w:ascii="Arial" w:cs="Arial" w:eastAsia="Arial" w:hAnsi="Arial"/>
                <w:sz w:val="14"/>
                <w:szCs w:val="14"/>
                <w:color w:val="auto"/>
              </w:rPr>
              <w:t>Health Sciences</w:t>
            </w: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2780" w:type="dxa"/>
            <w:vAlign w:val="bottom"/>
            <w:gridSpan w:val="2"/>
            <w:vMerge w:val="restart"/>
          </w:tcPr>
          <w:p>
            <w:pPr>
              <w:ind w:left="40"/>
              <w:spacing w:after="0"/>
              <w:rPr>
                <w:sz w:val="20"/>
                <w:szCs w:val="20"/>
                <w:color w:val="auto"/>
              </w:rPr>
            </w:pPr>
            <w:r>
              <w:rPr>
                <w:rFonts w:ascii="Arial" w:cs="Arial" w:eastAsia="Arial" w:hAnsi="Arial"/>
                <w:sz w:val="14"/>
                <w:szCs w:val="14"/>
                <w:color w:val="auto"/>
              </w:rPr>
              <w:t>•  Information Systems and Technology*+</w:t>
            </w:r>
          </w:p>
        </w:tc>
        <w:tc>
          <w:tcPr>
            <w:tcW w:w="180" w:type="dxa"/>
            <w:vAlign w:val="bottom"/>
          </w:tcPr>
          <w:p>
            <w:pPr>
              <w:spacing w:after="0"/>
              <w:rPr>
                <w:sz w:val="16"/>
                <w:szCs w:val="16"/>
                <w:color w:val="auto"/>
              </w:rPr>
            </w:pPr>
          </w:p>
        </w:tc>
        <w:tc>
          <w:tcPr>
            <w:tcW w:w="2560" w:type="dxa"/>
            <w:vAlign w:val="bottom"/>
          </w:tcPr>
          <w:p>
            <w:pPr>
              <w:ind w:left="40"/>
              <w:spacing w:after="0"/>
              <w:rPr>
                <w:sz w:val="20"/>
                <w:szCs w:val="20"/>
                <w:color w:val="auto"/>
              </w:rPr>
            </w:pPr>
            <w:r>
              <w:rPr>
                <w:rFonts w:ascii="Arial" w:cs="Arial" w:eastAsia="Arial" w:hAnsi="Arial"/>
                <w:sz w:val="14"/>
                <w:szCs w:val="14"/>
                <w:color w:val="auto"/>
              </w:rPr>
              <w:t>Management</w:t>
            </w:r>
          </w:p>
        </w:tc>
        <w:tc>
          <w:tcPr>
            <w:tcW w:w="240" w:type="dxa"/>
            <w:vAlign w:val="bottom"/>
          </w:tcPr>
          <w:p>
            <w:pPr>
              <w:spacing w:after="0"/>
              <w:rPr>
                <w:sz w:val="16"/>
                <w:szCs w:val="16"/>
                <w:color w:val="auto"/>
              </w:rPr>
            </w:pPr>
          </w:p>
        </w:tc>
        <w:tc>
          <w:tcPr>
            <w:tcW w:w="2560" w:type="dxa"/>
            <w:vAlign w:val="bottom"/>
            <w:gridSpan w:val="2"/>
          </w:tcPr>
          <w:p>
            <w:pPr>
              <w:ind w:left="60"/>
              <w:spacing w:after="0"/>
              <w:rPr>
                <w:sz w:val="20"/>
                <w:szCs w:val="20"/>
                <w:color w:val="auto"/>
              </w:rPr>
            </w:pPr>
            <w:r>
              <w:rPr>
                <w:rFonts w:ascii="Arial" w:cs="Arial" w:eastAsia="Arial" w:hAnsi="Arial"/>
                <w:sz w:val="14"/>
                <w:szCs w:val="14"/>
                <w:color w:val="auto"/>
              </w:rPr>
              <w:t>Management</w:t>
            </w:r>
          </w:p>
        </w:tc>
        <w:tc>
          <w:tcPr>
            <w:tcW w:w="220" w:type="dxa"/>
            <w:vAlign w:val="bottom"/>
            <w:vMerge w:val="restart"/>
          </w:tcPr>
          <w:p>
            <w:pPr>
              <w:ind w:left="140"/>
              <w:spacing w:after="0"/>
              <w:rPr>
                <w:sz w:val="20"/>
                <w:szCs w:val="20"/>
                <w:color w:val="auto"/>
              </w:rPr>
            </w:pPr>
            <w:r>
              <w:rPr>
                <w:rFonts w:ascii="Arial" w:cs="Arial" w:eastAsia="Arial" w:hAnsi="Arial"/>
                <w:sz w:val="14"/>
                <w:szCs w:val="14"/>
                <w:color w:val="auto"/>
              </w:rPr>
              <w:t>•</w:t>
            </w:r>
          </w:p>
        </w:tc>
        <w:tc>
          <w:tcPr>
            <w:tcW w:w="2160" w:type="dxa"/>
            <w:vAlign w:val="bottom"/>
            <w:gridSpan w:val="2"/>
            <w:vMerge w:val="restart"/>
          </w:tcPr>
          <w:p>
            <w:pPr>
              <w:ind w:left="100"/>
              <w:spacing w:after="0"/>
              <w:rPr>
                <w:sz w:val="20"/>
                <w:szCs w:val="20"/>
                <w:color w:val="auto"/>
              </w:rPr>
            </w:pPr>
            <w:r>
              <w:rPr>
                <w:rFonts w:ascii="Arial" w:cs="Arial" w:eastAsia="Arial" w:hAnsi="Arial"/>
                <w:sz w:val="14"/>
                <w:szCs w:val="14"/>
                <w:color w:val="auto"/>
              </w:rPr>
              <w:t>Education Studies</w:t>
            </w:r>
          </w:p>
        </w:tc>
        <w:tc>
          <w:tcPr>
            <w:tcW w:w="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780" w:type="dxa"/>
            <w:vAlign w:val="bottom"/>
            <w:gridSpan w:val="2"/>
            <w:vMerge w:val="continue"/>
          </w:tcPr>
          <w:p>
            <w:pPr>
              <w:spacing w:after="0"/>
              <w:rPr>
                <w:sz w:val="5"/>
                <w:szCs w:val="5"/>
                <w:color w:val="auto"/>
              </w:rPr>
            </w:pPr>
          </w:p>
        </w:tc>
        <w:tc>
          <w:tcPr>
            <w:tcW w:w="180" w:type="dxa"/>
            <w:vAlign w:val="bottom"/>
            <w:vMerge w:val="restart"/>
          </w:tcPr>
          <w:p>
            <w:pPr>
              <w:ind w:left="60"/>
              <w:spacing w:after="0"/>
              <w:rPr>
                <w:sz w:val="20"/>
                <w:szCs w:val="20"/>
                <w:color w:val="auto"/>
              </w:rPr>
            </w:pPr>
            <w:r>
              <w:rPr>
                <w:rFonts w:ascii="Arial" w:cs="Arial" w:eastAsia="Arial" w:hAnsi="Arial"/>
                <w:sz w:val="14"/>
                <w:szCs w:val="14"/>
                <w:color w:val="auto"/>
              </w:rPr>
              <w:t>•</w:t>
            </w:r>
          </w:p>
        </w:tc>
        <w:tc>
          <w:tcPr>
            <w:tcW w:w="2560" w:type="dxa"/>
            <w:vAlign w:val="bottom"/>
            <w:vMerge w:val="restart"/>
          </w:tcPr>
          <w:p>
            <w:pPr>
              <w:ind w:left="60"/>
              <w:spacing w:after="0"/>
              <w:rPr>
                <w:sz w:val="20"/>
                <w:szCs w:val="20"/>
                <w:color w:val="auto"/>
              </w:rPr>
            </w:pPr>
            <w:r>
              <w:rPr>
                <w:rFonts w:ascii="Arial" w:cs="Arial" w:eastAsia="Arial" w:hAnsi="Arial"/>
                <w:sz w:val="14"/>
                <w:szCs w:val="14"/>
                <w:color w:val="auto"/>
              </w:rPr>
              <w:t>Health Sciences</w:t>
            </w:r>
          </w:p>
        </w:tc>
        <w:tc>
          <w:tcPr>
            <w:tcW w:w="240" w:type="dxa"/>
            <w:vAlign w:val="bottom"/>
            <w:vMerge w:val="restart"/>
          </w:tcPr>
          <w:p>
            <w:pPr>
              <w:ind w:left="140"/>
              <w:spacing w:after="0"/>
              <w:rPr>
                <w:sz w:val="20"/>
                <w:szCs w:val="20"/>
                <w:color w:val="auto"/>
              </w:rPr>
            </w:pPr>
            <w:r>
              <w:rPr>
                <w:rFonts w:ascii="Arial" w:cs="Arial" w:eastAsia="Arial" w:hAnsi="Arial"/>
                <w:sz w:val="14"/>
                <w:szCs w:val="14"/>
                <w:color w:val="auto"/>
              </w:rPr>
              <w:t>•</w:t>
            </w:r>
          </w:p>
        </w:tc>
        <w:tc>
          <w:tcPr>
            <w:tcW w:w="2560" w:type="dxa"/>
            <w:vAlign w:val="bottom"/>
            <w:gridSpan w:val="2"/>
            <w:vMerge w:val="restart"/>
          </w:tcPr>
          <w:p>
            <w:pPr>
              <w:ind w:left="60"/>
              <w:spacing w:after="0"/>
              <w:rPr>
                <w:sz w:val="20"/>
                <w:szCs w:val="20"/>
                <w:color w:val="auto"/>
              </w:rPr>
            </w:pPr>
            <w:r>
              <w:rPr>
                <w:rFonts w:ascii="Arial" w:cs="Arial" w:eastAsia="Arial" w:hAnsi="Arial"/>
                <w:sz w:val="14"/>
                <w:szCs w:val="14"/>
                <w:color w:val="auto"/>
              </w:rPr>
              <w:t>Health Sciences</w:t>
            </w:r>
          </w:p>
        </w:tc>
        <w:tc>
          <w:tcPr>
            <w:tcW w:w="220" w:type="dxa"/>
            <w:vAlign w:val="bottom"/>
            <w:vMerge w:val="continue"/>
          </w:tcPr>
          <w:p>
            <w:pPr>
              <w:spacing w:after="0"/>
              <w:rPr>
                <w:sz w:val="5"/>
                <w:szCs w:val="5"/>
                <w:color w:val="auto"/>
              </w:rPr>
            </w:pPr>
          </w:p>
        </w:tc>
        <w:tc>
          <w:tcPr>
            <w:tcW w:w="2160" w:type="dxa"/>
            <w:vAlign w:val="bottom"/>
            <w:gridSpan w:val="2"/>
            <w:vMerge w:val="continue"/>
          </w:tcPr>
          <w:p>
            <w:pPr>
              <w:spacing w:after="0"/>
              <w:rPr>
                <w:sz w:val="5"/>
                <w:szCs w:val="5"/>
                <w:color w:val="auto"/>
              </w:rPr>
            </w:pPr>
          </w:p>
        </w:tc>
        <w:tc>
          <w:tcPr>
            <w:tcW w:w="540" w:type="dxa"/>
            <w:vAlign w:val="bottom"/>
          </w:tcPr>
          <w:p>
            <w:pPr>
              <w:spacing w:after="0"/>
              <w:rPr>
                <w:sz w:val="5"/>
                <w:szCs w:val="5"/>
                <w:color w:val="auto"/>
              </w:rPr>
            </w:pPr>
          </w:p>
        </w:tc>
        <w:tc>
          <w:tcPr>
            <w:tcW w:w="1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2780" w:type="dxa"/>
            <w:vAlign w:val="bottom"/>
            <w:gridSpan w:val="2"/>
            <w:vMerge w:val="restart"/>
          </w:tcPr>
          <w:p>
            <w:pPr>
              <w:ind w:left="40"/>
              <w:spacing w:after="0"/>
              <w:rPr>
                <w:sz w:val="20"/>
                <w:szCs w:val="20"/>
                <w:color w:val="auto"/>
              </w:rPr>
            </w:pPr>
            <w:r>
              <w:rPr>
                <w:rFonts w:ascii="Arial" w:cs="Arial" w:eastAsia="Arial" w:hAnsi="Arial"/>
                <w:sz w:val="14"/>
                <w:szCs w:val="14"/>
                <w:color w:val="auto"/>
              </w:rPr>
              <w:t>•  Legal and Paralegal Studies+</w:t>
            </w:r>
          </w:p>
        </w:tc>
        <w:tc>
          <w:tcPr>
            <w:tcW w:w="180" w:type="dxa"/>
            <w:vAlign w:val="bottom"/>
            <w:vMerge w:val="continue"/>
          </w:tcPr>
          <w:p>
            <w:pPr>
              <w:spacing w:after="0"/>
              <w:rPr>
                <w:sz w:val="14"/>
                <w:szCs w:val="14"/>
                <w:color w:val="auto"/>
              </w:rPr>
            </w:pPr>
          </w:p>
        </w:tc>
        <w:tc>
          <w:tcPr>
            <w:tcW w:w="2560" w:type="dxa"/>
            <w:vAlign w:val="bottom"/>
            <w:vMerge w:val="continue"/>
          </w:tcPr>
          <w:p>
            <w:pPr>
              <w:spacing w:after="0"/>
              <w:rPr>
                <w:sz w:val="14"/>
                <w:szCs w:val="14"/>
                <w:color w:val="auto"/>
              </w:rPr>
            </w:pPr>
          </w:p>
        </w:tc>
        <w:tc>
          <w:tcPr>
            <w:tcW w:w="240" w:type="dxa"/>
            <w:vAlign w:val="bottom"/>
            <w:vMerge w:val="continue"/>
          </w:tcPr>
          <w:p>
            <w:pPr>
              <w:spacing w:after="0"/>
              <w:rPr>
                <w:sz w:val="14"/>
                <w:szCs w:val="14"/>
                <w:color w:val="auto"/>
              </w:rPr>
            </w:pPr>
          </w:p>
        </w:tc>
        <w:tc>
          <w:tcPr>
            <w:tcW w:w="2560" w:type="dxa"/>
            <w:vAlign w:val="bottom"/>
            <w:gridSpan w:val="2"/>
            <w:vMerge w:val="continue"/>
          </w:tcPr>
          <w:p>
            <w:pPr>
              <w:spacing w:after="0"/>
              <w:rPr>
                <w:sz w:val="14"/>
                <w:szCs w:val="14"/>
                <w:color w:val="auto"/>
              </w:rPr>
            </w:pPr>
          </w:p>
        </w:tc>
        <w:tc>
          <w:tcPr>
            <w:tcW w:w="3100" w:type="dxa"/>
            <w:vAlign w:val="bottom"/>
            <w:gridSpan w:val="5"/>
            <w:vMerge w:val="restart"/>
          </w:tcPr>
          <w:p>
            <w:pPr>
              <w:ind w:left="140"/>
              <w:spacing w:after="0"/>
              <w:rPr>
                <w:sz w:val="20"/>
                <w:szCs w:val="20"/>
                <w:color w:val="auto"/>
              </w:rPr>
            </w:pPr>
            <w:r>
              <w:rPr>
                <w:rFonts w:ascii="Arial" w:cs="Arial" w:eastAsia="Arial" w:hAnsi="Arial"/>
                <w:sz w:val="14"/>
                <w:szCs w:val="14"/>
                <w:color w:val="auto"/>
              </w:rPr>
              <w:t>•  Information Systems and Technology</w:t>
            </w:r>
          </w:p>
        </w:tc>
        <w:tc>
          <w:tcPr>
            <w:tcW w:w="0" w:type="dxa"/>
            <w:vAlign w:val="bottom"/>
          </w:tcPr>
          <w:p>
            <w:pPr>
              <w:spacing w:after="0"/>
              <w:rPr>
                <w:sz w:val="1"/>
                <w:szCs w:val="1"/>
                <w:color w:val="auto"/>
              </w:rPr>
            </w:pPr>
          </w:p>
        </w:tc>
      </w:tr>
      <w:tr>
        <w:trPr>
          <w:trHeight w:val="68"/>
        </w:trPr>
        <w:tc>
          <w:tcPr>
            <w:tcW w:w="2780" w:type="dxa"/>
            <w:vAlign w:val="bottom"/>
            <w:gridSpan w:val="2"/>
            <w:vMerge w:val="continue"/>
          </w:tcPr>
          <w:p>
            <w:pPr>
              <w:spacing w:after="0"/>
              <w:rPr>
                <w:sz w:val="5"/>
                <w:szCs w:val="5"/>
                <w:color w:val="auto"/>
              </w:rPr>
            </w:pPr>
          </w:p>
        </w:tc>
        <w:tc>
          <w:tcPr>
            <w:tcW w:w="2740" w:type="dxa"/>
            <w:vAlign w:val="bottom"/>
            <w:gridSpan w:val="2"/>
            <w:vMerge w:val="restart"/>
          </w:tcPr>
          <w:p>
            <w:pPr>
              <w:ind w:left="60"/>
              <w:spacing w:after="0"/>
              <w:rPr>
                <w:sz w:val="20"/>
                <w:szCs w:val="20"/>
                <w:color w:val="auto"/>
              </w:rPr>
            </w:pPr>
            <w:r>
              <w:rPr>
                <w:rFonts w:ascii="Arial" w:cs="Arial" w:eastAsia="Arial" w:hAnsi="Arial"/>
                <w:sz w:val="14"/>
                <w:szCs w:val="14"/>
                <w:color w:val="auto"/>
              </w:rPr>
              <w:t>•  Information Systems and Technology</w:t>
            </w:r>
          </w:p>
        </w:tc>
        <w:tc>
          <w:tcPr>
            <w:tcW w:w="2800" w:type="dxa"/>
            <w:vAlign w:val="bottom"/>
            <w:gridSpan w:val="3"/>
            <w:vMerge w:val="restart"/>
          </w:tcPr>
          <w:p>
            <w:pPr>
              <w:ind w:left="140"/>
              <w:spacing w:after="0"/>
              <w:rPr>
                <w:sz w:val="20"/>
                <w:szCs w:val="20"/>
                <w:color w:val="auto"/>
              </w:rPr>
            </w:pPr>
            <w:r>
              <w:rPr>
                <w:rFonts w:ascii="Arial" w:cs="Arial" w:eastAsia="Arial" w:hAnsi="Arial"/>
                <w:sz w:val="14"/>
                <w:szCs w:val="14"/>
                <w:color w:val="auto"/>
              </w:rPr>
              <w:t>•  Information Systems and Technology</w:t>
            </w:r>
          </w:p>
        </w:tc>
        <w:tc>
          <w:tcPr>
            <w:tcW w:w="310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140" w:type="dxa"/>
            <w:vAlign w:val="bottom"/>
            <w:vMerge w:val="restart"/>
          </w:tcPr>
          <w:p>
            <w:pPr>
              <w:ind w:left="40"/>
              <w:spacing w:after="0"/>
              <w:rPr>
                <w:sz w:val="20"/>
                <w:szCs w:val="20"/>
                <w:color w:val="auto"/>
              </w:rPr>
            </w:pPr>
            <w:r>
              <w:rPr>
                <w:rFonts w:ascii="Arial" w:cs="Arial" w:eastAsia="Arial" w:hAnsi="Arial"/>
                <w:sz w:val="14"/>
                <w:szCs w:val="14"/>
                <w:color w:val="auto"/>
              </w:rPr>
              <w:t>•</w:t>
            </w:r>
          </w:p>
        </w:tc>
        <w:tc>
          <w:tcPr>
            <w:tcW w:w="2640" w:type="dxa"/>
            <w:vAlign w:val="bottom"/>
            <w:vMerge w:val="restart"/>
          </w:tcPr>
          <w:p>
            <w:pPr>
              <w:ind w:left="60"/>
              <w:spacing w:after="0"/>
              <w:rPr>
                <w:sz w:val="20"/>
                <w:szCs w:val="20"/>
                <w:color w:val="auto"/>
              </w:rPr>
            </w:pPr>
            <w:r>
              <w:rPr>
                <w:rFonts w:ascii="Arial" w:cs="Arial" w:eastAsia="Arial" w:hAnsi="Arial"/>
                <w:sz w:val="14"/>
                <w:szCs w:val="14"/>
                <w:color w:val="auto"/>
              </w:rPr>
              <w:t>Nursing~+</w:t>
            </w:r>
          </w:p>
        </w:tc>
        <w:tc>
          <w:tcPr>
            <w:tcW w:w="2740" w:type="dxa"/>
            <w:vAlign w:val="bottom"/>
            <w:gridSpan w:val="2"/>
            <w:vMerge w:val="continue"/>
          </w:tcPr>
          <w:p>
            <w:pPr>
              <w:spacing w:after="0"/>
              <w:rPr>
                <w:sz w:val="14"/>
                <w:szCs w:val="14"/>
                <w:color w:val="auto"/>
              </w:rPr>
            </w:pPr>
          </w:p>
        </w:tc>
        <w:tc>
          <w:tcPr>
            <w:tcW w:w="2800" w:type="dxa"/>
            <w:vAlign w:val="bottom"/>
            <w:gridSpan w:val="3"/>
            <w:vMerge w:val="continue"/>
          </w:tcPr>
          <w:p>
            <w:pPr>
              <w:spacing w:after="0"/>
              <w:rPr>
                <w:sz w:val="14"/>
                <w:szCs w:val="14"/>
                <w:color w:val="auto"/>
              </w:rPr>
            </w:pPr>
          </w:p>
        </w:tc>
        <w:tc>
          <w:tcPr>
            <w:tcW w:w="2380" w:type="dxa"/>
            <w:vAlign w:val="bottom"/>
            <w:gridSpan w:val="3"/>
            <w:vMerge w:val="restart"/>
          </w:tcPr>
          <w:p>
            <w:pPr>
              <w:ind w:left="140"/>
              <w:spacing w:after="0"/>
              <w:rPr>
                <w:sz w:val="20"/>
                <w:szCs w:val="20"/>
                <w:color w:val="auto"/>
              </w:rPr>
            </w:pPr>
            <w:r>
              <w:rPr>
                <w:rFonts w:ascii="Arial" w:cs="Arial" w:eastAsia="Arial" w:hAnsi="Arial"/>
                <w:sz w:val="14"/>
                <w:szCs w:val="14"/>
                <w:color w:val="auto"/>
              </w:rPr>
              <w:t>•  Legal and Paralegal Studies</w:t>
            </w: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140" w:type="dxa"/>
            <w:vAlign w:val="bottom"/>
            <w:vMerge w:val="continue"/>
          </w:tcPr>
          <w:p>
            <w:pPr>
              <w:spacing w:after="0"/>
              <w:rPr>
                <w:sz w:val="5"/>
                <w:szCs w:val="5"/>
                <w:color w:val="auto"/>
              </w:rPr>
            </w:pPr>
          </w:p>
        </w:tc>
        <w:tc>
          <w:tcPr>
            <w:tcW w:w="2640" w:type="dxa"/>
            <w:vAlign w:val="bottom"/>
            <w:vMerge w:val="continue"/>
          </w:tcPr>
          <w:p>
            <w:pPr>
              <w:spacing w:after="0"/>
              <w:rPr>
                <w:sz w:val="5"/>
                <w:szCs w:val="5"/>
                <w:color w:val="auto"/>
              </w:rPr>
            </w:pPr>
          </w:p>
        </w:tc>
        <w:tc>
          <w:tcPr>
            <w:tcW w:w="2740" w:type="dxa"/>
            <w:vAlign w:val="bottom"/>
            <w:gridSpan w:val="2"/>
            <w:vMerge w:val="restart"/>
          </w:tcPr>
          <w:p>
            <w:pPr>
              <w:ind w:left="60"/>
              <w:spacing w:after="0"/>
              <w:rPr>
                <w:sz w:val="20"/>
                <w:szCs w:val="20"/>
                <w:color w:val="auto"/>
              </w:rPr>
            </w:pPr>
            <w:r>
              <w:rPr>
                <w:rFonts w:ascii="Arial" w:cs="Arial" w:eastAsia="Arial" w:hAnsi="Arial"/>
                <w:sz w:val="14"/>
                <w:szCs w:val="14"/>
                <w:color w:val="auto"/>
              </w:rPr>
              <w:t>•  Legal and Paralegal Studies</w:t>
            </w:r>
          </w:p>
        </w:tc>
        <w:tc>
          <w:tcPr>
            <w:tcW w:w="2800" w:type="dxa"/>
            <w:vAlign w:val="bottom"/>
            <w:gridSpan w:val="3"/>
            <w:vMerge w:val="restart"/>
          </w:tcPr>
          <w:p>
            <w:pPr>
              <w:ind w:left="140"/>
              <w:spacing w:after="0"/>
              <w:rPr>
                <w:sz w:val="20"/>
                <w:szCs w:val="20"/>
                <w:color w:val="auto"/>
              </w:rPr>
            </w:pPr>
            <w:r>
              <w:rPr>
                <w:rFonts w:ascii="Arial" w:cs="Arial" w:eastAsia="Arial" w:hAnsi="Arial"/>
                <w:sz w:val="14"/>
                <w:szCs w:val="14"/>
                <w:color w:val="auto"/>
              </w:rPr>
              <w:t>•  Legal and Paralegal Studies</w:t>
            </w:r>
          </w:p>
        </w:tc>
        <w:tc>
          <w:tcPr>
            <w:tcW w:w="2380" w:type="dxa"/>
            <w:vAlign w:val="bottom"/>
            <w:gridSpan w:val="3"/>
            <w:vMerge w:val="continue"/>
          </w:tcPr>
          <w:p>
            <w:pPr>
              <w:spacing w:after="0"/>
              <w:rPr>
                <w:sz w:val="5"/>
                <w:szCs w:val="5"/>
                <w:color w:val="auto"/>
              </w:rPr>
            </w:pPr>
          </w:p>
        </w:tc>
        <w:tc>
          <w:tcPr>
            <w:tcW w:w="540" w:type="dxa"/>
            <w:vAlign w:val="bottom"/>
          </w:tcPr>
          <w:p>
            <w:pPr>
              <w:spacing w:after="0"/>
              <w:rPr>
                <w:sz w:val="5"/>
                <w:szCs w:val="5"/>
                <w:color w:val="auto"/>
              </w:rPr>
            </w:pPr>
          </w:p>
        </w:tc>
        <w:tc>
          <w:tcPr>
            <w:tcW w:w="1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14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2740" w:type="dxa"/>
            <w:vAlign w:val="bottom"/>
            <w:gridSpan w:val="2"/>
            <w:vMerge w:val="continue"/>
          </w:tcPr>
          <w:p>
            <w:pPr>
              <w:spacing w:after="0"/>
              <w:rPr>
                <w:sz w:val="14"/>
                <w:szCs w:val="14"/>
                <w:color w:val="auto"/>
              </w:rPr>
            </w:pPr>
          </w:p>
        </w:tc>
        <w:tc>
          <w:tcPr>
            <w:tcW w:w="2800" w:type="dxa"/>
            <w:vAlign w:val="bottom"/>
            <w:gridSpan w:val="3"/>
            <w:vMerge w:val="continue"/>
          </w:tcPr>
          <w:p>
            <w:pPr>
              <w:spacing w:after="0"/>
              <w:rPr>
                <w:sz w:val="14"/>
                <w:szCs w:val="14"/>
                <w:color w:val="auto"/>
              </w:rPr>
            </w:pPr>
          </w:p>
        </w:tc>
        <w:tc>
          <w:tcPr>
            <w:tcW w:w="220" w:type="dxa"/>
            <w:vAlign w:val="bottom"/>
            <w:vMerge w:val="restart"/>
          </w:tcPr>
          <w:p>
            <w:pPr>
              <w:ind w:left="140"/>
              <w:spacing w:after="0"/>
              <w:rPr>
                <w:sz w:val="20"/>
                <w:szCs w:val="20"/>
                <w:color w:val="auto"/>
              </w:rPr>
            </w:pPr>
            <w:r>
              <w:rPr>
                <w:rFonts w:ascii="Arial" w:cs="Arial" w:eastAsia="Arial" w:hAnsi="Arial"/>
                <w:sz w:val="14"/>
                <w:szCs w:val="14"/>
                <w:color w:val="auto"/>
              </w:rPr>
              <w:t>•</w:t>
            </w:r>
          </w:p>
        </w:tc>
        <w:tc>
          <w:tcPr>
            <w:tcW w:w="600" w:type="dxa"/>
            <w:vAlign w:val="bottom"/>
            <w:vMerge w:val="restart"/>
          </w:tcPr>
          <w:p>
            <w:pPr>
              <w:ind w:left="100"/>
              <w:spacing w:after="0"/>
              <w:rPr>
                <w:sz w:val="20"/>
                <w:szCs w:val="20"/>
                <w:color w:val="auto"/>
              </w:rPr>
            </w:pPr>
            <w:r>
              <w:rPr>
                <w:rFonts w:ascii="Arial" w:cs="Arial" w:eastAsia="Arial" w:hAnsi="Arial"/>
                <w:sz w:val="14"/>
                <w:szCs w:val="14"/>
                <w:color w:val="auto"/>
                <w:w w:val="99"/>
              </w:rPr>
              <w:t>Nursing</w:t>
            </w:r>
          </w:p>
        </w:tc>
        <w:tc>
          <w:tcPr>
            <w:tcW w:w="15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140" w:type="dxa"/>
            <w:vAlign w:val="bottom"/>
          </w:tcPr>
          <w:p>
            <w:pPr>
              <w:spacing w:after="0"/>
              <w:rPr>
                <w:sz w:val="5"/>
                <w:szCs w:val="5"/>
                <w:color w:val="auto"/>
              </w:rPr>
            </w:pPr>
          </w:p>
        </w:tc>
        <w:tc>
          <w:tcPr>
            <w:tcW w:w="2640" w:type="dxa"/>
            <w:vAlign w:val="bottom"/>
          </w:tcPr>
          <w:p>
            <w:pPr>
              <w:spacing w:after="0"/>
              <w:rPr>
                <w:sz w:val="5"/>
                <w:szCs w:val="5"/>
                <w:color w:val="auto"/>
              </w:rPr>
            </w:pPr>
          </w:p>
        </w:tc>
        <w:tc>
          <w:tcPr>
            <w:tcW w:w="180" w:type="dxa"/>
            <w:vAlign w:val="bottom"/>
            <w:vMerge w:val="restart"/>
          </w:tcPr>
          <w:p>
            <w:pPr>
              <w:ind w:left="60"/>
              <w:spacing w:after="0"/>
              <w:rPr>
                <w:sz w:val="20"/>
                <w:szCs w:val="20"/>
                <w:color w:val="auto"/>
              </w:rPr>
            </w:pPr>
            <w:r>
              <w:rPr>
                <w:rFonts w:ascii="Arial" w:cs="Arial" w:eastAsia="Arial" w:hAnsi="Arial"/>
                <w:sz w:val="14"/>
                <w:szCs w:val="14"/>
                <w:color w:val="auto"/>
              </w:rPr>
              <w:t>•</w:t>
            </w:r>
          </w:p>
        </w:tc>
        <w:tc>
          <w:tcPr>
            <w:tcW w:w="2560" w:type="dxa"/>
            <w:vAlign w:val="bottom"/>
            <w:vMerge w:val="restart"/>
          </w:tcPr>
          <w:p>
            <w:pPr>
              <w:ind w:left="60"/>
              <w:spacing w:after="0"/>
              <w:rPr>
                <w:sz w:val="20"/>
                <w:szCs w:val="20"/>
                <w:color w:val="auto"/>
              </w:rPr>
            </w:pPr>
            <w:r>
              <w:rPr>
                <w:rFonts w:ascii="Arial" w:cs="Arial" w:eastAsia="Arial" w:hAnsi="Arial"/>
                <w:sz w:val="14"/>
                <w:szCs w:val="14"/>
                <w:color w:val="auto"/>
              </w:rPr>
              <w:t>Nursing</w:t>
            </w:r>
          </w:p>
        </w:tc>
        <w:tc>
          <w:tcPr>
            <w:tcW w:w="240" w:type="dxa"/>
            <w:vAlign w:val="bottom"/>
            <w:vMerge w:val="restart"/>
          </w:tcPr>
          <w:p>
            <w:pPr>
              <w:ind w:left="140"/>
              <w:spacing w:after="0"/>
              <w:rPr>
                <w:sz w:val="20"/>
                <w:szCs w:val="20"/>
                <w:color w:val="auto"/>
              </w:rPr>
            </w:pPr>
            <w:r>
              <w:rPr>
                <w:rFonts w:ascii="Arial" w:cs="Arial" w:eastAsia="Arial" w:hAnsi="Arial"/>
                <w:sz w:val="14"/>
                <w:szCs w:val="14"/>
                <w:color w:val="auto"/>
              </w:rPr>
              <w:t>•</w:t>
            </w:r>
          </w:p>
        </w:tc>
        <w:tc>
          <w:tcPr>
            <w:tcW w:w="2560" w:type="dxa"/>
            <w:vAlign w:val="bottom"/>
            <w:gridSpan w:val="2"/>
            <w:vMerge w:val="restart"/>
          </w:tcPr>
          <w:p>
            <w:pPr>
              <w:ind w:left="60"/>
              <w:spacing w:after="0"/>
              <w:rPr>
                <w:sz w:val="20"/>
                <w:szCs w:val="20"/>
                <w:color w:val="auto"/>
              </w:rPr>
            </w:pPr>
            <w:r>
              <w:rPr>
                <w:rFonts w:ascii="Arial" w:cs="Arial" w:eastAsia="Arial" w:hAnsi="Arial"/>
                <w:sz w:val="14"/>
                <w:szCs w:val="14"/>
                <w:color w:val="auto"/>
              </w:rPr>
              <w:t>Nursing</w:t>
            </w:r>
          </w:p>
        </w:tc>
        <w:tc>
          <w:tcPr>
            <w:tcW w:w="22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1560" w:type="dxa"/>
            <w:vAlign w:val="bottom"/>
          </w:tcPr>
          <w:p>
            <w:pPr>
              <w:spacing w:after="0"/>
              <w:rPr>
                <w:sz w:val="5"/>
                <w:szCs w:val="5"/>
                <w:color w:val="auto"/>
              </w:rPr>
            </w:pPr>
          </w:p>
        </w:tc>
        <w:tc>
          <w:tcPr>
            <w:tcW w:w="540" w:type="dxa"/>
            <w:vAlign w:val="bottom"/>
          </w:tcPr>
          <w:p>
            <w:pPr>
              <w:spacing w:after="0"/>
              <w:rPr>
                <w:sz w:val="5"/>
                <w:szCs w:val="5"/>
                <w:color w:val="auto"/>
              </w:rPr>
            </w:pPr>
          </w:p>
        </w:tc>
        <w:tc>
          <w:tcPr>
            <w:tcW w:w="1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2780" w:type="dxa"/>
            <w:vAlign w:val="bottom"/>
            <w:gridSpan w:val="2"/>
            <w:vMerge w:val="restart"/>
          </w:tcPr>
          <w:p>
            <w:pPr>
              <w:ind w:left="40"/>
              <w:spacing w:after="0"/>
              <w:rPr>
                <w:sz w:val="20"/>
                <w:szCs w:val="20"/>
                <w:color w:val="auto"/>
              </w:rPr>
            </w:pPr>
            <w:r>
              <w:rPr>
                <w:rFonts w:ascii="Arial" w:cs="Arial" w:eastAsia="Arial" w:hAnsi="Arial"/>
                <w:sz w:val="14"/>
                <w:szCs w:val="14"/>
                <w:color w:val="auto"/>
              </w:rPr>
              <w:t>~certificate/diploma</w:t>
            </w:r>
          </w:p>
        </w:tc>
        <w:tc>
          <w:tcPr>
            <w:tcW w:w="180" w:type="dxa"/>
            <w:vAlign w:val="bottom"/>
            <w:vMerge w:val="continue"/>
          </w:tcPr>
          <w:p>
            <w:pPr>
              <w:spacing w:after="0"/>
              <w:rPr>
                <w:sz w:val="14"/>
                <w:szCs w:val="14"/>
                <w:color w:val="auto"/>
              </w:rPr>
            </w:pPr>
          </w:p>
        </w:tc>
        <w:tc>
          <w:tcPr>
            <w:tcW w:w="2560" w:type="dxa"/>
            <w:vAlign w:val="bottom"/>
            <w:vMerge w:val="continue"/>
          </w:tcPr>
          <w:p>
            <w:pPr>
              <w:spacing w:after="0"/>
              <w:rPr>
                <w:sz w:val="14"/>
                <w:szCs w:val="14"/>
                <w:color w:val="auto"/>
              </w:rPr>
            </w:pPr>
          </w:p>
        </w:tc>
        <w:tc>
          <w:tcPr>
            <w:tcW w:w="240" w:type="dxa"/>
            <w:vAlign w:val="bottom"/>
            <w:vMerge w:val="continue"/>
          </w:tcPr>
          <w:p>
            <w:pPr>
              <w:spacing w:after="0"/>
              <w:rPr>
                <w:sz w:val="14"/>
                <w:szCs w:val="14"/>
                <w:color w:val="auto"/>
              </w:rPr>
            </w:pPr>
          </w:p>
        </w:tc>
        <w:tc>
          <w:tcPr>
            <w:tcW w:w="2560" w:type="dxa"/>
            <w:vAlign w:val="bottom"/>
            <w:gridSpan w:val="2"/>
            <w:vMerge w:val="continue"/>
          </w:tcPr>
          <w:p>
            <w:pPr>
              <w:spacing w:after="0"/>
              <w:rPr>
                <w:sz w:val="14"/>
                <w:szCs w:val="14"/>
                <w:color w:val="auto"/>
              </w:rPr>
            </w:pPr>
          </w:p>
        </w:tc>
        <w:tc>
          <w:tcPr>
            <w:tcW w:w="2380" w:type="dxa"/>
            <w:vAlign w:val="bottom"/>
            <w:gridSpan w:val="3"/>
            <w:vMerge w:val="restart"/>
          </w:tcPr>
          <w:p>
            <w:pPr>
              <w:ind w:left="140"/>
              <w:spacing w:after="0"/>
              <w:rPr>
                <w:sz w:val="20"/>
                <w:szCs w:val="20"/>
                <w:color w:val="auto"/>
              </w:rPr>
            </w:pPr>
            <w:r>
              <w:rPr>
                <w:rFonts w:ascii="Arial" w:cs="Arial" w:eastAsia="Arial" w:hAnsi="Arial"/>
                <w:sz w:val="14"/>
                <w:szCs w:val="14"/>
                <w:color w:val="auto"/>
              </w:rPr>
              <w:t>•  Public and Environmental Policy</w:t>
            </w: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2780" w:type="dxa"/>
            <w:vAlign w:val="bottom"/>
            <w:gridSpan w:val="2"/>
            <w:vMerge w:val="continue"/>
          </w:tcPr>
          <w:p>
            <w:pPr>
              <w:spacing w:after="0"/>
              <w:rPr>
                <w:sz w:val="5"/>
                <w:szCs w:val="5"/>
                <w:color w:val="auto"/>
              </w:rPr>
            </w:pPr>
          </w:p>
        </w:tc>
        <w:tc>
          <w:tcPr>
            <w:tcW w:w="180" w:type="dxa"/>
            <w:vAlign w:val="bottom"/>
            <w:vMerge w:val="restart"/>
          </w:tcPr>
          <w:p>
            <w:pPr>
              <w:ind w:left="60"/>
              <w:spacing w:after="0"/>
              <w:rPr>
                <w:sz w:val="20"/>
                <w:szCs w:val="20"/>
                <w:color w:val="auto"/>
              </w:rPr>
            </w:pPr>
            <w:r>
              <w:rPr>
                <w:rFonts w:ascii="Arial" w:cs="Arial" w:eastAsia="Arial" w:hAnsi="Arial"/>
                <w:sz w:val="14"/>
                <w:szCs w:val="14"/>
                <w:color w:val="auto"/>
              </w:rPr>
              <w:t>•</w:t>
            </w:r>
          </w:p>
        </w:tc>
        <w:tc>
          <w:tcPr>
            <w:tcW w:w="2560" w:type="dxa"/>
            <w:vAlign w:val="bottom"/>
            <w:vMerge w:val="restart"/>
          </w:tcPr>
          <w:p>
            <w:pPr>
              <w:ind w:left="60"/>
              <w:spacing w:after="0"/>
              <w:rPr>
                <w:sz w:val="20"/>
                <w:szCs w:val="20"/>
                <w:color w:val="auto"/>
              </w:rPr>
            </w:pPr>
            <w:r>
              <w:rPr>
                <w:rFonts w:ascii="Arial" w:cs="Arial" w:eastAsia="Arial" w:hAnsi="Arial"/>
                <w:sz w:val="14"/>
                <w:szCs w:val="14"/>
                <w:color w:val="auto"/>
              </w:rPr>
              <w:t>Public Administration</w:t>
            </w:r>
          </w:p>
        </w:tc>
        <w:tc>
          <w:tcPr>
            <w:tcW w:w="2800" w:type="dxa"/>
            <w:vAlign w:val="bottom"/>
            <w:gridSpan w:val="3"/>
            <w:vMerge w:val="restart"/>
          </w:tcPr>
          <w:p>
            <w:pPr>
              <w:ind w:left="140"/>
              <w:spacing w:after="0"/>
              <w:rPr>
                <w:sz w:val="20"/>
                <w:szCs w:val="20"/>
                <w:color w:val="auto"/>
              </w:rPr>
            </w:pPr>
            <w:r>
              <w:rPr>
                <w:rFonts w:ascii="Arial" w:cs="Arial" w:eastAsia="Arial" w:hAnsi="Arial"/>
                <w:sz w:val="14"/>
                <w:szCs w:val="14"/>
                <w:color w:val="auto"/>
              </w:rPr>
              <w:t>•  Political Science and Public</w:t>
            </w:r>
          </w:p>
        </w:tc>
        <w:tc>
          <w:tcPr>
            <w:tcW w:w="2380" w:type="dxa"/>
            <w:vAlign w:val="bottom"/>
            <w:gridSpan w:val="3"/>
            <w:vMerge w:val="continue"/>
          </w:tcPr>
          <w:p>
            <w:pPr>
              <w:spacing w:after="0"/>
              <w:rPr>
                <w:sz w:val="5"/>
                <w:szCs w:val="5"/>
                <w:color w:val="auto"/>
              </w:rPr>
            </w:pPr>
          </w:p>
        </w:tc>
        <w:tc>
          <w:tcPr>
            <w:tcW w:w="540" w:type="dxa"/>
            <w:vAlign w:val="bottom"/>
          </w:tcPr>
          <w:p>
            <w:pPr>
              <w:spacing w:after="0"/>
              <w:rPr>
                <w:sz w:val="5"/>
                <w:szCs w:val="5"/>
                <w:color w:val="auto"/>
              </w:rPr>
            </w:pPr>
          </w:p>
        </w:tc>
        <w:tc>
          <w:tcPr>
            <w:tcW w:w="1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2"/>
        </w:trPr>
        <w:tc>
          <w:tcPr>
            <w:tcW w:w="2780" w:type="dxa"/>
            <w:vAlign w:val="bottom"/>
            <w:gridSpan w:val="2"/>
            <w:vMerge w:val="continue"/>
          </w:tcPr>
          <w:p>
            <w:pPr>
              <w:spacing w:after="0"/>
              <w:rPr>
                <w:sz w:val="5"/>
                <w:szCs w:val="5"/>
                <w:color w:val="auto"/>
              </w:rPr>
            </w:pPr>
          </w:p>
        </w:tc>
        <w:tc>
          <w:tcPr>
            <w:tcW w:w="180" w:type="dxa"/>
            <w:vAlign w:val="bottom"/>
            <w:vMerge w:val="continue"/>
          </w:tcPr>
          <w:p>
            <w:pPr>
              <w:spacing w:after="0"/>
              <w:rPr>
                <w:sz w:val="5"/>
                <w:szCs w:val="5"/>
                <w:color w:val="auto"/>
              </w:rPr>
            </w:pPr>
          </w:p>
        </w:tc>
        <w:tc>
          <w:tcPr>
            <w:tcW w:w="2560" w:type="dxa"/>
            <w:vAlign w:val="bottom"/>
            <w:vMerge w:val="continue"/>
          </w:tcPr>
          <w:p>
            <w:pPr>
              <w:spacing w:after="0"/>
              <w:rPr>
                <w:sz w:val="5"/>
                <w:szCs w:val="5"/>
                <w:color w:val="auto"/>
              </w:rPr>
            </w:pPr>
          </w:p>
        </w:tc>
        <w:tc>
          <w:tcPr>
            <w:tcW w:w="2800" w:type="dxa"/>
            <w:vAlign w:val="bottom"/>
            <w:gridSpan w:val="3"/>
            <w:vMerge w:val="continue"/>
          </w:tcPr>
          <w:p>
            <w:pPr>
              <w:spacing w:after="0"/>
              <w:rPr>
                <w:sz w:val="5"/>
                <w:szCs w:val="5"/>
                <w:color w:val="auto"/>
              </w:rPr>
            </w:pPr>
          </w:p>
        </w:tc>
        <w:tc>
          <w:tcPr>
            <w:tcW w:w="220" w:type="dxa"/>
            <w:vAlign w:val="bottom"/>
          </w:tcPr>
          <w:p>
            <w:pPr>
              <w:spacing w:after="0"/>
              <w:rPr>
                <w:sz w:val="5"/>
                <w:szCs w:val="5"/>
                <w:color w:val="auto"/>
              </w:rPr>
            </w:pPr>
          </w:p>
        </w:tc>
        <w:tc>
          <w:tcPr>
            <w:tcW w:w="600" w:type="dxa"/>
            <w:vAlign w:val="bottom"/>
          </w:tcPr>
          <w:p>
            <w:pPr>
              <w:spacing w:after="0"/>
              <w:rPr>
                <w:sz w:val="5"/>
                <w:szCs w:val="5"/>
                <w:color w:val="auto"/>
              </w:rPr>
            </w:pPr>
          </w:p>
        </w:tc>
        <w:tc>
          <w:tcPr>
            <w:tcW w:w="1560" w:type="dxa"/>
            <w:vAlign w:val="bottom"/>
          </w:tcPr>
          <w:p>
            <w:pPr>
              <w:spacing w:after="0"/>
              <w:rPr>
                <w:sz w:val="5"/>
                <w:szCs w:val="5"/>
                <w:color w:val="auto"/>
              </w:rPr>
            </w:pPr>
          </w:p>
        </w:tc>
        <w:tc>
          <w:tcPr>
            <w:tcW w:w="540" w:type="dxa"/>
            <w:vAlign w:val="bottom"/>
          </w:tcPr>
          <w:p>
            <w:pPr>
              <w:spacing w:after="0"/>
              <w:rPr>
                <w:sz w:val="5"/>
                <w:szCs w:val="5"/>
                <w:color w:val="auto"/>
              </w:rPr>
            </w:pPr>
          </w:p>
        </w:tc>
        <w:tc>
          <w:tcPr>
            <w:tcW w:w="1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2780" w:type="dxa"/>
            <w:vAlign w:val="bottom"/>
            <w:gridSpan w:val="2"/>
            <w:vMerge w:val="restart"/>
          </w:tcPr>
          <w:p>
            <w:pPr>
              <w:ind w:left="40"/>
              <w:spacing w:after="0"/>
              <w:rPr>
                <w:sz w:val="20"/>
                <w:szCs w:val="20"/>
                <w:color w:val="auto"/>
              </w:rPr>
            </w:pPr>
            <w:r>
              <w:rPr>
                <w:rFonts w:ascii="Arial" w:cs="Arial" w:eastAsia="Arial" w:hAnsi="Arial"/>
                <w:sz w:val="14"/>
                <w:szCs w:val="14"/>
                <w:color w:val="auto"/>
              </w:rPr>
              <w:t>*graduate certificate</w:t>
            </w:r>
          </w:p>
        </w:tc>
        <w:tc>
          <w:tcPr>
            <w:tcW w:w="180" w:type="dxa"/>
            <w:vAlign w:val="bottom"/>
            <w:vMerge w:val="continue"/>
          </w:tcPr>
          <w:p>
            <w:pPr>
              <w:spacing w:after="0"/>
              <w:rPr>
                <w:sz w:val="5"/>
                <w:szCs w:val="5"/>
                <w:color w:val="auto"/>
              </w:rPr>
            </w:pPr>
          </w:p>
        </w:tc>
        <w:tc>
          <w:tcPr>
            <w:tcW w:w="2560" w:type="dxa"/>
            <w:vAlign w:val="bottom"/>
            <w:vMerge w:val="continue"/>
          </w:tcPr>
          <w:p>
            <w:pPr>
              <w:spacing w:after="0"/>
              <w:rPr>
                <w:sz w:val="5"/>
                <w:szCs w:val="5"/>
                <w:color w:val="auto"/>
              </w:rPr>
            </w:pPr>
          </w:p>
        </w:tc>
        <w:tc>
          <w:tcPr>
            <w:tcW w:w="2800" w:type="dxa"/>
            <w:vAlign w:val="bottom"/>
            <w:gridSpan w:val="3"/>
            <w:vMerge w:val="continue"/>
          </w:tcPr>
          <w:p>
            <w:pPr>
              <w:spacing w:after="0"/>
              <w:rPr>
                <w:sz w:val="5"/>
                <w:szCs w:val="5"/>
                <w:color w:val="auto"/>
              </w:rPr>
            </w:pPr>
          </w:p>
        </w:tc>
        <w:tc>
          <w:tcPr>
            <w:tcW w:w="220" w:type="dxa"/>
            <w:vAlign w:val="bottom"/>
          </w:tcPr>
          <w:p>
            <w:pPr>
              <w:spacing w:after="0"/>
              <w:rPr>
                <w:sz w:val="5"/>
                <w:szCs w:val="5"/>
                <w:color w:val="auto"/>
              </w:rPr>
            </w:pPr>
          </w:p>
        </w:tc>
        <w:tc>
          <w:tcPr>
            <w:tcW w:w="600" w:type="dxa"/>
            <w:vAlign w:val="bottom"/>
          </w:tcPr>
          <w:p>
            <w:pPr>
              <w:spacing w:after="0"/>
              <w:rPr>
                <w:sz w:val="5"/>
                <w:szCs w:val="5"/>
                <w:color w:val="auto"/>
              </w:rPr>
            </w:pPr>
          </w:p>
        </w:tc>
        <w:tc>
          <w:tcPr>
            <w:tcW w:w="1560" w:type="dxa"/>
            <w:vAlign w:val="bottom"/>
          </w:tcPr>
          <w:p>
            <w:pPr>
              <w:spacing w:after="0"/>
              <w:rPr>
                <w:sz w:val="5"/>
                <w:szCs w:val="5"/>
                <w:color w:val="auto"/>
              </w:rPr>
            </w:pPr>
          </w:p>
        </w:tc>
        <w:tc>
          <w:tcPr>
            <w:tcW w:w="540" w:type="dxa"/>
            <w:vAlign w:val="bottom"/>
          </w:tcPr>
          <w:p>
            <w:pPr>
              <w:spacing w:after="0"/>
              <w:rPr>
                <w:sz w:val="5"/>
                <w:szCs w:val="5"/>
                <w:color w:val="auto"/>
              </w:rPr>
            </w:pPr>
          </w:p>
        </w:tc>
        <w:tc>
          <w:tcPr>
            <w:tcW w:w="1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5"/>
        </w:trPr>
        <w:tc>
          <w:tcPr>
            <w:tcW w:w="278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2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560" w:type="dxa"/>
            <w:vAlign w:val="bottom"/>
            <w:gridSpan w:val="2"/>
            <w:vMerge w:val="restart"/>
          </w:tcPr>
          <w:p>
            <w:pPr>
              <w:ind w:left="60"/>
              <w:spacing w:after="0"/>
              <w:rPr>
                <w:sz w:val="20"/>
                <w:szCs w:val="20"/>
                <w:color w:val="auto"/>
              </w:rPr>
            </w:pPr>
            <w:r>
              <w:rPr>
                <w:rFonts w:ascii="Arial" w:cs="Arial" w:eastAsia="Arial" w:hAnsi="Arial"/>
                <w:sz w:val="14"/>
                <w:szCs w:val="14"/>
                <w:color w:val="auto"/>
              </w:rPr>
              <w:t>and Environmental Policy</w:t>
            </w:r>
          </w:p>
        </w:tc>
        <w:tc>
          <w:tcPr>
            <w:tcW w:w="2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5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780" w:type="dxa"/>
            <w:vAlign w:val="bottom"/>
            <w:gridSpan w:val="2"/>
            <w:vMerge w:val="restart"/>
          </w:tcPr>
          <w:p>
            <w:pPr>
              <w:ind w:left="40"/>
              <w:spacing w:after="0"/>
              <w:rPr>
                <w:sz w:val="20"/>
                <w:szCs w:val="20"/>
                <w:color w:val="auto"/>
              </w:rPr>
            </w:pPr>
            <w:r>
              <w:rPr>
                <w:rFonts w:ascii="Arial" w:cs="Arial" w:eastAsia="Arial" w:hAnsi="Arial"/>
                <w:sz w:val="14"/>
                <w:szCs w:val="14"/>
                <w:color w:val="auto"/>
              </w:rPr>
              <w:t>+post-baccalaureate certificate</w:t>
            </w:r>
          </w:p>
        </w:tc>
        <w:tc>
          <w:tcPr>
            <w:tcW w:w="180" w:type="dxa"/>
            <w:vAlign w:val="bottom"/>
          </w:tcPr>
          <w:p>
            <w:pPr>
              <w:spacing w:after="0"/>
              <w:rPr>
                <w:sz w:val="8"/>
                <w:szCs w:val="8"/>
                <w:color w:val="auto"/>
              </w:rPr>
            </w:pPr>
          </w:p>
        </w:tc>
        <w:tc>
          <w:tcPr>
            <w:tcW w:w="2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56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5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78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2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5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77"/>
        </w:trPr>
        <w:tc>
          <w:tcPr>
            <w:tcW w:w="8320" w:type="dxa"/>
            <w:vAlign w:val="bottom"/>
            <w:gridSpan w:val="7"/>
          </w:tcPr>
          <w:p>
            <w:pPr>
              <w:spacing w:after="0"/>
              <w:rPr>
                <w:sz w:val="20"/>
                <w:szCs w:val="20"/>
                <w:color w:val="auto"/>
              </w:rPr>
            </w:pPr>
            <w:r>
              <w:rPr>
                <w:rFonts w:ascii="Arial" w:cs="Arial" w:eastAsia="Arial" w:hAnsi="Arial"/>
                <w:sz w:val="18"/>
                <w:szCs w:val="18"/>
                <w:color w:val="auto"/>
                <w:w w:val="99"/>
              </w:rPr>
              <w:t>Kaplan University</w:t>
            </w:r>
            <w:r>
              <w:rPr>
                <w:rFonts w:ascii="Arial" w:cs="Arial" w:eastAsia="Arial" w:hAnsi="Arial"/>
                <w:sz w:val="14"/>
                <w:szCs w:val="14"/>
                <w:b w:val="1"/>
                <w:bCs w:val="1"/>
                <w:color w:val="auto"/>
                <w:w w:val="99"/>
              </w:rPr>
              <w:t>’</w:t>
            </w:r>
            <w:r>
              <w:rPr>
                <w:rFonts w:ascii="Arial" w:cs="Arial" w:eastAsia="Arial" w:hAnsi="Arial"/>
                <w:sz w:val="18"/>
                <w:szCs w:val="18"/>
                <w:color w:val="auto"/>
                <w:w w:val="99"/>
              </w:rPr>
              <w:t>s higher education enrollments by certificate and degree programs are set forth below:</w:t>
            </w: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3"/>
        </w:trPr>
        <w:tc>
          <w:tcPr>
            <w:tcW w:w="14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jc w:val="right"/>
              <w:ind w:right="382"/>
              <w:spacing w:after="0"/>
              <w:rPr>
                <w:sz w:val="20"/>
                <w:szCs w:val="20"/>
                <w:color w:val="auto"/>
              </w:rPr>
            </w:pPr>
            <w:r>
              <w:rPr>
                <w:rFonts w:ascii="Arial" w:cs="Arial" w:eastAsia="Arial" w:hAnsi="Arial"/>
                <w:sz w:val="14"/>
                <w:szCs w:val="14"/>
                <w:b w:val="1"/>
                <w:bCs w:val="1"/>
                <w:color w:val="auto"/>
              </w:rPr>
              <w:t>At December 31</w:t>
            </w:r>
          </w:p>
        </w:tc>
        <w:tc>
          <w:tcPr>
            <w:tcW w:w="5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140" w:type="dxa"/>
            <w:vAlign w:val="bottom"/>
            <w:tcBorders>
              <w:bottom w:val="single" w:sz="8" w:color="auto"/>
            </w:tcBorders>
          </w:tcPr>
          <w:p>
            <w:pPr>
              <w:spacing w:after="0"/>
              <w:rPr>
                <w:sz w:val="22"/>
                <w:szCs w:val="22"/>
                <w:color w:val="auto"/>
              </w:rPr>
            </w:pPr>
          </w:p>
        </w:tc>
        <w:tc>
          <w:tcPr>
            <w:tcW w:w="264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256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22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2016</w:t>
            </w:r>
          </w:p>
        </w:tc>
        <w:tc>
          <w:tcPr>
            <w:tcW w:w="1560" w:type="dxa"/>
            <w:vAlign w:val="bottom"/>
            <w:tcBorders>
              <w:bottom w:val="single" w:sz="8" w:color="auto"/>
            </w:tcBorders>
          </w:tcPr>
          <w:p>
            <w:pPr>
              <w:jc w:val="right"/>
              <w:ind w:right="762"/>
              <w:spacing w:after="0"/>
              <w:rPr>
                <w:sz w:val="20"/>
                <w:szCs w:val="20"/>
                <w:color w:val="auto"/>
              </w:rPr>
            </w:pPr>
            <w:r>
              <w:rPr>
                <w:rFonts w:ascii="Arial" w:cs="Arial" w:eastAsia="Arial" w:hAnsi="Arial"/>
                <w:sz w:val="14"/>
                <w:szCs w:val="14"/>
                <w:color w:val="auto"/>
              </w:rPr>
              <w:t>2015</w:t>
            </w:r>
          </w:p>
        </w:tc>
        <w:tc>
          <w:tcPr>
            <w:tcW w:w="540" w:type="dxa"/>
            <w:vAlign w:val="bottom"/>
            <w:tcBorders>
              <w:bottom w:val="single" w:sz="8" w:color="auto"/>
            </w:tcBorders>
          </w:tcPr>
          <w:p>
            <w:pPr>
              <w:jc w:val="right"/>
              <w:ind w:right="120"/>
              <w:spacing w:after="0"/>
              <w:rPr>
                <w:sz w:val="20"/>
                <w:szCs w:val="20"/>
                <w:color w:val="auto"/>
              </w:rPr>
            </w:pPr>
            <w:r>
              <w:rPr>
                <w:rFonts w:ascii="Arial" w:cs="Arial" w:eastAsia="Arial" w:hAnsi="Arial"/>
                <w:sz w:val="14"/>
                <w:szCs w:val="14"/>
                <w:color w:val="auto"/>
              </w:rPr>
              <w:t>2014</w:t>
            </w:r>
          </w:p>
        </w:tc>
        <w:tc>
          <w:tcPr>
            <w:tcW w:w="1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780" w:type="dxa"/>
            <w:vAlign w:val="bottom"/>
            <w:gridSpan w:val="2"/>
          </w:tcPr>
          <w:p>
            <w:pPr>
              <w:ind w:left="40"/>
              <w:spacing w:after="0"/>
              <w:rPr>
                <w:sz w:val="20"/>
                <w:szCs w:val="20"/>
                <w:color w:val="auto"/>
              </w:rPr>
            </w:pPr>
            <w:r>
              <w:rPr>
                <w:rFonts w:ascii="Arial" w:cs="Arial" w:eastAsia="Arial" w:hAnsi="Arial"/>
                <w:sz w:val="16"/>
                <w:szCs w:val="16"/>
                <w:color w:val="auto"/>
              </w:rPr>
              <w:t>Certificate</w:t>
            </w:r>
          </w:p>
        </w:tc>
        <w:tc>
          <w:tcPr>
            <w:tcW w:w="180" w:type="dxa"/>
            <w:vAlign w:val="bottom"/>
          </w:tcPr>
          <w:p>
            <w:pPr>
              <w:spacing w:after="0"/>
              <w:rPr>
                <w:sz w:val="22"/>
                <w:szCs w:val="22"/>
                <w:color w:val="auto"/>
              </w:rPr>
            </w:pPr>
          </w:p>
        </w:tc>
        <w:tc>
          <w:tcPr>
            <w:tcW w:w="25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2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00" w:type="dxa"/>
            <w:vAlign w:val="bottom"/>
          </w:tcPr>
          <w:p>
            <w:pPr>
              <w:jc w:val="right"/>
              <w:ind w:right="44"/>
              <w:spacing w:after="0"/>
              <w:rPr>
                <w:sz w:val="20"/>
                <w:szCs w:val="20"/>
                <w:color w:val="auto"/>
              </w:rPr>
            </w:pPr>
            <w:r>
              <w:rPr>
                <w:rFonts w:ascii="Arial" w:cs="Arial" w:eastAsia="Arial" w:hAnsi="Arial"/>
                <w:sz w:val="16"/>
                <w:szCs w:val="16"/>
                <w:b w:val="1"/>
                <w:bCs w:val="1"/>
                <w:color w:val="auto"/>
              </w:rPr>
              <w:t>7.7%</w:t>
            </w:r>
          </w:p>
        </w:tc>
        <w:tc>
          <w:tcPr>
            <w:tcW w:w="1560" w:type="dxa"/>
            <w:vAlign w:val="bottom"/>
          </w:tcPr>
          <w:p>
            <w:pPr>
              <w:jc w:val="right"/>
              <w:ind w:right="422"/>
              <w:spacing w:after="0"/>
              <w:rPr>
                <w:sz w:val="20"/>
                <w:szCs w:val="20"/>
                <w:color w:val="auto"/>
              </w:rPr>
            </w:pPr>
            <w:r>
              <w:rPr>
                <w:rFonts w:ascii="Arial" w:cs="Arial" w:eastAsia="Arial" w:hAnsi="Arial"/>
                <w:sz w:val="16"/>
                <w:szCs w:val="16"/>
                <w:color w:val="auto"/>
              </w:rPr>
              <w:t>4.4%</w:t>
            </w:r>
          </w:p>
        </w:tc>
        <w:tc>
          <w:tcPr>
            <w:tcW w:w="720" w:type="dxa"/>
            <w:vAlign w:val="bottom"/>
            <w:gridSpan w:val="2"/>
          </w:tcPr>
          <w:p>
            <w:pPr>
              <w:jc w:val="right"/>
              <w:ind w:right="40"/>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270"/>
        </w:trPr>
        <w:tc>
          <w:tcPr>
            <w:tcW w:w="2780" w:type="dxa"/>
            <w:vAlign w:val="bottom"/>
            <w:gridSpan w:val="2"/>
          </w:tcPr>
          <w:p>
            <w:pPr>
              <w:ind w:left="40"/>
              <w:spacing w:after="0"/>
              <w:rPr>
                <w:sz w:val="20"/>
                <w:szCs w:val="20"/>
                <w:color w:val="auto"/>
              </w:rPr>
            </w:pPr>
            <w:r>
              <w:rPr>
                <w:rFonts w:ascii="Arial" w:cs="Arial" w:eastAsia="Arial" w:hAnsi="Arial"/>
                <w:sz w:val="16"/>
                <w:szCs w:val="16"/>
                <w:color w:val="auto"/>
              </w:rPr>
              <w:t>Associate</w:t>
            </w:r>
            <w:r>
              <w:rPr>
                <w:rFonts w:ascii="Arial" w:cs="Arial" w:eastAsia="Arial" w:hAnsi="Arial"/>
                <w:sz w:val="14"/>
                <w:szCs w:val="14"/>
                <w:b w:val="1"/>
                <w:bCs w:val="1"/>
                <w:color w:val="auto"/>
              </w:rPr>
              <w:t>’</w:t>
            </w:r>
            <w:r>
              <w:rPr>
                <w:rFonts w:ascii="Arial" w:cs="Arial" w:eastAsia="Arial" w:hAnsi="Arial"/>
                <w:sz w:val="16"/>
                <w:szCs w:val="16"/>
                <w:color w:val="auto"/>
              </w:rPr>
              <w:t>s</w:t>
            </w:r>
          </w:p>
        </w:tc>
        <w:tc>
          <w:tcPr>
            <w:tcW w:w="180" w:type="dxa"/>
            <w:vAlign w:val="bottom"/>
          </w:tcPr>
          <w:p>
            <w:pPr>
              <w:spacing w:after="0"/>
              <w:rPr>
                <w:sz w:val="23"/>
                <w:szCs w:val="23"/>
                <w:color w:val="auto"/>
              </w:rPr>
            </w:pPr>
          </w:p>
        </w:tc>
        <w:tc>
          <w:tcPr>
            <w:tcW w:w="25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2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00" w:type="dxa"/>
            <w:vAlign w:val="bottom"/>
          </w:tcPr>
          <w:p>
            <w:pPr>
              <w:jc w:val="right"/>
              <w:ind w:right="44"/>
              <w:spacing w:after="0"/>
              <w:rPr>
                <w:sz w:val="20"/>
                <w:szCs w:val="20"/>
                <w:color w:val="auto"/>
              </w:rPr>
            </w:pPr>
            <w:r>
              <w:rPr>
                <w:rFonts w:ascii="Arial" w:cs="Arial" w:eastAsia="Arial" w:hAnsi="Arial"/>
                <w:sz w:val="16"/>
                <w:szCs w:val="16"/>
                <w:b w:val="1"/>
                <w:bCs w:val="1"/>
                <w:color w:val="auto"/>
              </w:rPr>
              <w:t>18.1%</w:t>
            </w:r>
          </w:p>
        </w:tc>
        <w:tc>
          <w:tcPr>
            <w:tcW w:w="1560" w:type="dxa"/>
            <w:vAlign w:val="bottom"/>
          </w:tcPr>
          <w:p>
            <w:pPr>
              <w:jc w:val="right"/>
              <w:ind w:right="422"/>
              <w:spacing w:after="0"/>
              <w:rPr>
                <w:sz w:val="20"/>
                <w:szCs w:val="20"/>
                <w:color w:val="auto"/>
              </w:rPr>
            </w:pPr>
            <w:r>
              <w:rPr>
                <w:rFonts w:ascii="Arial" w:cs="Arial" w:eastAsia="Arial" w:hAnsi="Arial"/>
                <w:sz w:val="16"/>
                <w:szCs w:val="16"/>
                <w:color w:val="auto"/>
              </w:rPr>
              <w:t>25.0%</w:t>
            </w:r>
          </w:p>
        </w:tc>
        <w:tc>
          <w:tcPr>
            <w:tcW w:w="720" w:type="dxa"/>
            <w:vAlign w:val="bottom"/>
            <w:gridSpan w:val="2"/>
          </w:tcPr>
          <w:p>
            <w:pPr>
              <w:jc w:val="right"/>
              <w:ind w:right="40"/>
              <w:spacing w:after="0"/>
              <w:rPr>
                <w:sz w:val="20"/>
                <w:szCs w:val="20"/>
                <w:color w:val="auto"/>
              </w:rPr>
            </w:pPr>
            <w:r>
              <w:rPr>
                <w:rFonts w:ascii="Arial" w:cs="Arial" w:eastAsia="Arial" w:hAnsi="Arial"/>
                <w:sz w:val="16"/>
                <w:szCs w:val="16"/>
                <w:color w:val="auto"/>
              </w:rPr>
              <w:t>29.6%</w:t>
            </w:r>
          </w:p>
        </w:tc>
        <w:tc>
          <w:tcPr>
            <w:tcW w:w="0" w:type="dxa"/>
            <w:vAlign w:val="bottom"/>
          </w:tcPr>
          <w:p>
            <w:pPr>
              <w:spacing w:after="0"/>
              <w:rPr>
                <w:sz w:val="1"/>
                <w:szCs w:val="1"/>
                <w:color w:val="auto"/>
              </w:rPr>
            </w:pPr>
          </w:p>
        </w:tc>
      </w:tr>
      <w:tr>
        <w:trPr>
          <w:trHeight w:val="270"/>
        </w:trPr>
        <w:tc>
          <w:tcPr>
            <w:tcW w:w="2780" w:type="dxa"/>
            <w:vAlign w:val="bottom"/>
            <w:gridSpan w:val="2"/>
          </w:tcPr>
          <w:p>
            <w:pPr>
              <w:ind w:left="40"/>
              <w:spacing w:after="0"/>
              <w:rPr>
                <w:sz w:val="20"/>
                <w:szCs w:val="20"/>
                <w:color w:val="auto"/>
              </w:rPr>
            </w:pPr>
            <w:r>
              <w:rPr>
                <w:rFonts w:ascii="Arial" w:cs="Arial" w:eastAsia="Arial" w:hAnsi="Arial"/>
                <w:sz w:val="16"/>
                <w:szCs w:val="16"/>
                <w:color w:val="auto"/>
              </w:rPr>
              <w:t>Bachelor</w:t>
            </w:r>
            <w:r>
              <w:rPr>
                <w:rFonts w:ascii="Arial" w:cs="Arial" w:eastAsia="Arial" w:hAnsi="Arial"/>
                <w:sz w:val="14"/>
                <w:szCs w:val="14"/>
                <w:b w:val="1"/>
                <w:bCs w:val="1"/>
                <w:color w:val="auto"/>
              </w:rPr>
              <w:t>’</w:t>
            </w:r>
            <w:r>
              <w:rPr>
                <w:rFonts w:ascii="Arial" w:cs="Arial" w:eastAsia="Arial" w:hAnsi="Arial"/>
                <w:sz w:val="16"/>
                <w:szCs w:val="16"/>
                <w:color w:val="auto"/>
              </w:rPr>
              <w:t>s</w:t>
            </w:r>
          </w:p>
        </w:tc>
        <w:tc>
          <w:tcPr>
            <w:tcW w:w="180" w:type="dxa"/>
            <w:vAlign w:val="bottom"/>
          </w:tcPr>
          <w:p>
            <w:pPr>
              <w:spacing w:after="0"/>
              <w:rPr>
                <w:sz w:val="23"/>
                <w:szCs w:val="23"/>
                <w:color w:val="auto"/>
              </w:rPr>
            </w:pPr>
          </w:p>
        </w:tc>
        <w:tc>
          <w:tcPr>
            <w:tcW w:w="25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2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00" w:type="dxa"/>
            <w:vAlign w:val="bottom"/>
          </w:tcPr>
          <w:p>
            <w:pPr>
              <w:jc w:val="right"/>
              <w:ind w:right="44"/>
              <w:spacing w:after="0"/>
              <w:rPr>
                <w:sz w:val="20"/>
                <w:szCs w:val="20"/>
                <w:color w:val="auto"/>
              </w:rPr>
            </w:pPr>
            <w:r>
              <w:rPr>
                <w:rFonts w:ascii="Arial" w:cs="Arial" w:eastAsia="Arial" w:hAnsi="Arial"/>
                <w:sz w:val="16"/>
                <w:szCs w:val="16"/>
                <w:b w:val="1"/>
                <w:bCs w:val="1"/>
                <w:color w:val="auto"/>
              </w:rPr>
              <w:t>50.9%</w:t>
            </w:r>
          </w:p>
        </w:tc>
        <w:tc>
          <w:tcPr>
            <w:tcW w:w="1560" w:type="dxa"/>
            <w:vAlign w:val="bottom"/>
          </w:tcPr>
          <w:p>
            <w:pPr>
              <w:jc w:val="right"/>
              <w:ind w:right="422"/>
              <w:spacing w:after="0"/>
              <w:rPr>
                <w:sz w:val="20"/>
                <w:szCs w:val="20"/>
                <w:color w:val="auto"/>
              </w:rPr>
            </w:pPr>
            <w:r>
              <w:rPr>
                <w:rFonts w:ascii="Arial" w:cs="Arial" w:eastAsia="Arial" w:hAnsi="Arial"/>
                <w:sz w:val="16"/>
                <w:szCs w:val="16"/>
                <w:color w:val="auto"/>
              </w:rPr>
              <w:t>48.4%</w:t>
            </w:r>
          </w:p>
        </w:tc>
        <w:tc>
          <w:tcPr>
            <w:tcW w:w="720" w:type="dxa"/>
            <w:vAlign w:val="bottom"/>
            <w:gridSpan w:val="2"/>
          </w:tcPr>
          <w:p>
            <w:pPr>
              <w:jc w:val="right"/>
              <w:ind w:right="40"/>
              <w:spacing w:after="0"/>
              <w:rPr>
                <w:sz w:val="20"/>
                <w:szCs w:val="20"/>
                <w:color w:val="auto"/>
              </w:rPr>
            </w:pPr>
            <w:r>
              <w:rPr>
                <w:rFonts w:ascii="Arial" w:cs="Arial" w:eastAsia="Arial" w:hAnsi="Arial"/>
                <w:sz w:val="16"/>
                <w:szCs w:val="16"/>
                <w:color w:val="auto"/>
              </w:rPr>
              <w:t>44.3%</w:t>
            </w:r>
          </w:p>
        </w:tc>
        <w:tc>
          <w:tcPr>
            <w:tcW w:w="0" w:type="dxa"/>
            <w:vAlign w:val="bottom"/>
          </w:tcPr>
          <w:p>
            <w:pPr>
              <w:spacing w:after="0"/>
              <w:rPr>
                <w:sz w:val="1"/>
                <w:szCs w:val="1"/>
                <w:color w:val="auto"/>
              </w:rPr>
            </w:pPr>
          </w:p>
        </w:tc>
      </w:tr>
      <w:tr>
        <w:trPr>
          <w:trHeight w:val="274"/>
        </w:trPr>
        <w:tc>
          <w:tcPr>
            <w:tcW w:w="2780" w:type="dxa"/>
            <w:vAlign w:val="bottom"/>
            <w:gridSpan w:val="2"/>
          </w:tcPr>
          <w:p>
            <w:pPr>
              <w:ind w:left="40"/>
              <w:spacing w:after="0"/>
              <w:rPr>
                <w:sz w:val="20"/>
                <w:szCs w:val="20"/>
                <w:color w:val="auto"/>
              </w:rPr>
            </w:pPr>
            <w:r>
              <w:rPr>
                <w:rFonts w:ascii="Arial" w:cs="Arial" w:eastAsia="Arial" w:hAnsi="Arial"/>
                <w:sz w:val="16"/>
                <w:szCs w:val="16"/>
                <w:color w:val="auto"/>
              </w:rPr>
              <w:t>Master</w:t>
            </w:r>
            <w:r>
              <w:rPr>
                <w:rFonts w:ascii="Arial" w:cs="Arial" w:eastAsia="Arial" w:hAnsi="Arial"/>
                <w:sz w:val="14"/>
                <w:szCs w:val="14"/>
                <w:b w:val="1"/>
                <w:bCs w:val="1"/>
                <w:color w:val="auto"/>
              </w:rPr>
              <w:t>’</w:t>
            </w:r>
            <w:r>
              <w:rPr>
                <w:rFonts w:ascii="Arial" w:cs="Arial" w:eastAsia="Arial" w:hAnsi="Arial"/>
                <w:sz w:val="16"/>
                <w:szCs w:val="16"/>
                <w:color w:val="auto"/>
              </w:rPr>
              <w:t>s</w:t>
            </w:r>
          </w:p>
        </w:tc>
        <w:tc>
          <w:tcPr>
            <w:tcW w:w="180" w:type="dxa"/>
            <w:vAlign w:val="bottom"/>
          </w:tcPr>
          <w:p>
            <w:pPr>
              <w:spacing w:after="0"/>
              <w:rPr>
                <w:sz w:val="23"/>
                <w:szCs w:val="23"/>
                <w:color w:val="auto"/>
              </w:rPr>
            </w:pPr>
          </w:p>
        </w:tc>
        <w:tc>
          <w:tcPr>
            <w:tcW w:w="25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200" w:type="dxa"/>
            <w:vAlign w:val="bottom"/>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600" w:type="dxa"/>
            <w:vAlign w:val="bottom"/>
            <w:tcBorders>
              <w:bottom w:val="single" w:sz="8" w:color="auto"/>
            </w:tcBorders>
          </w:tcPr>
          <w:p>
            <w:pPr>
              <w:jc w:val="right"/>
              <w:ind w:right="44"/>
              <w:spacing w:after="0"/>
              <w:rPr>
                <w:sz w:val="20"/>
                <w:szCs w:val="20"/>
                <w:color w:val="auto"/>
              </w:rPr>
            </w:pPr>
            <w:r>
              <w:rPr>
                <w:rFonts w:ascii="Arial" w:cs="Arial" w:eastAsia="Arial" w:hAnsi="Arial"/>
                <w:sz w:val="16"/>
                <w:szCs w:val="16"/>
                <w:b w:val="1"/>
                <w:bCs w:val="1"/>
                <w:color w:val="auto"/>
              </w:rPr>
              <w:t>23.3%</w:t>
            </w:r>
          </w:p>
        </w:tc>
        <w:tc>
          <w:tcPr>
            <w:tcW w:w="1560" w:type="dxa"/>
            <w:vAlign w:val="bottom"/>
            <w:tcBorders>
              <w:bottom w:val="single" w:sz="8" w:color="auto"/>
            </w:tcBorders>
          </w:tcPr>
          <w:p>
            <w:pPr>
              <w:jc w:val="right"/>
              <w:ind w:right="422"/>
              <w:spacing w:after="0"/>
              <w:rPr>
                <w:sz w:val="20"/>
                <w:szCs w:val="20"/>
                <w:color w:val="auto"/>
              </w:rPr>
            </w:pPr>
            <w:r>
              <w:rPr>
                <w:rFonts w:ascii="Arial" w:cs="Arial" w:eastAsia="Arial" w:hAnsi="Arial"/>
                <w:sz w:val="16"/>
                <w:szCs w:val="16"/>
                <w:color w:val="auto"/>
              </w:rPr>
              <w:t>22.2%</w:t>
            </w:r>
          </w:p>
        </w:tc>
        <w:tc>
          <w:tcPr>
            <w:tcW w:w="7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6"/>
                <w:szCs w:val="16"/>
                <w:color w:val="auto"/>
              </w:rPr>
              <w:t>23.8%</w:t>
            </w:r>
          </w:p>
        </w:tc>
        <w:tc>
          <w:tcPr>
            <w:tcW w:w="0" w:type="dxa"/>
            <w:vAlign w:val="bottom"/>
          </w:tcPr>
          <w:p>
            <w:pPr>
              <w:spacing w:after="0"/>
              <w:rPr>
                <w:sz w:val="1"/>
                <w:szCs w:val="1"/>
                <w:color w:val="auto"/>
              </w:rPr>
            </w:pPr>
          </w:p>
        </w:tc>
      </w:tr>
      <w:tr>
        <w:trPr>
          <w:trHeight w:val="266"/>
        </w:trPr>
        <w:tc>
          <w:tcPr>
            <w:tcW w:w="140" w:type="dxa"/>
            <w:vAlign w:val="bottom"/>
          </w:tcPr>
          <w:p>
            <w:pPr>
              <w:spacing w:after="0"/>
              <w:rPr>
                <w:sz w:val="23"/>
                <w:szCs w:val="23"/>
                <w:color w:val="auto"/>
              </w:rPr>
            </w:pPr>
          </w:p>
        </w:tc>
        <w:tc>
          <w:tcPr>
            <w:tcW w:w="2640" w:type="dxa"/>
            <w:vAlign w:val="bottom"/>
          </w:tcPr>
          <w:p>
            <w:pPr>
              <w:ind w:left="140"/>
              <w:spacing w:after="0"/>
              <w:rPr>
                <w:sz w:val="20"/>
                <w:szCs w:val="20"/>
                <w:color w:val="auto"/>
              </w:rPr>
            </w:pPr>
            <w:r>
              <w:rPr>
                <w:rFonts w:ascii="Arial" w:cs="Arial" w:eastAsia="Arial" w:hAnsi="Arial"/>
                <w:sz w:val="16"/>
                <w:szCs w:val="16"/>
                <w:color w:val="auto"/>
              </w:rPr>
              <w:t>Total</w:t>
            </w:r>
          </w:p>
        </w:tc>
        <w:tc>
          <w:tcPr>
            <w:tcW w:w="180" w:type="dxa"/>
            <w:vAlign w:val="bottom"/>
          </w:tcPr>
          <w:p>
            <w:pPr>
              <w:spacing w:after="0"/>
              <w:rPr>
                <w:sz w:val="23"/>
                <w:szCs w:val="23"/>
                <w:color w:val="auto"/>
              </w:rPr>
            </w:pPr>
          </w:p>
        </w:tc>
        <w:tc>
          <w:tcPr>
            <w:tcW w:w="25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200" w:type="dxa"/>
            <w:vAlign w:val="bottom"/>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gridSpan w:val="2"/>
          </w:tcPr>
          <w:p>
            <w:pPr>
              <w:ind w:left="140"/>
              <w:spacing w:after="0"/>
              <w:rPr>
                <w:sz w:val="20"/>
                <w:szCs w:val="20"/>
                <w:color w:val="auto"/>
              </w:rPr>
            </w:pPr>
            <w:r>
              <w:rPr>
                <w:rFonts w:ascii="Arial" w:cs="Arial" w:eastAsia="Arial" w:hAnsi="Arial"/>
                <w:sz w:val="16"/>
                <w:szCs w:val="16"/>
                <w:b w:val="1"/>
                <w:bCs w:val="1"/>
                <w:color w:val="auto"/>
              </w:rPr>
              <w:t>100.0%</w:t>
            </w:r>
          </w:p>
        </w:tc>
        <w:tc>
          <w:tcPr>
            <w:tcW w:w="1560" w:type="dxa"/>
            <w:vAlign w:val="bottom"/>
            <w:tcBorders>
              <w:bottom w:val="single" w:sz="8" w:color="auto"/>
            </w:tcBorders>
          </w:tcPr>
          <w:p>
            <w:pPr>
              <w:jc w:val="right"/>
              <w:ind w:right="422"/>
              <w:spacing w:after="0"/>
              <w:rPr>
                <w:sz w:val="20"/>
                <w:szCs w:val="20"/>
                <w:color w:val="auto"/>
              </w:rPr>
            </w:pPr>
            <w:r>
              <w:rPr>
                <w:rFonts w:ascii="Arial" w:cs="Arial" w:eastAsia="Arial" w:hAnsi="Arial"/>
                <w:sz w:val="16"/>
                <w:szCs w:val="16"/>
                <w:color w:val="auto"/>
              </w:rPr>
              <w:t>100.0%</w:t>
            </w:r>
          </w:p>
        </w:tc>
        <w:tc>
          <w:tcPr>
            <w:tcW w:w="7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6"/>
                <w:szCs w:val="16"/>
                <w:color w:val="auto"/>
              </w:rPr>
              <w:t>100.0%</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Aid Programs and Regulatory Environment</w:t>
      </w:r>
    </w:p>
    <w:p>
      <w:pPr>
        <w:spacing w:after="0" w:line="146" w:lineRule="exact"/>
        <w:rPr>
          <w:sz w:val="20"/>
          <w:szCs w:val="20"/>
          <w:color w:val="auto"/>
        </w:rPr>
      </w:pPr>
    </w:p>
    <w:p>
      <w:pPr>
        <w:ind w:right="20"/>
        <w:spacing w:after="0" w:line="228" w:lineRule="auto"/>
        <w:rPr>
          <w:sz w:val="20"/>
          <w:szCs w:val="20"/>
          <w:color w:val="auto"/>
        </w:rPr>
      </w:pPr>
      <w:r>
        <w:rPr>
          <w:rFonts w:ascii="Arial" w:cs="Arial" w:eastAsia="Arial" w:hAnsi="Arial"/>
          <w:sz w:val="18"/>
          <w:szCs w:val="18"/>
          <w:color w:val="auto"/>
        </w:rPr>
        <w:t>Funds provided under the U.S. Federal student financial aid programs that have been created under Title IV of the U.S. Federal Higher Education Act of 1965, as amended (Higher Education Act), historically have been responsible for a majority of KHE revenues. During 2016, funds received under Title IV programs accounted for approximately $437 million, or approximately 71%, of total KHE revenues, and 27% of Kaplan, Inc. revenues. The Company estimates that funds received from students borrowing under third-party private loan programs comprised less than 1% of KHE revenues. Direct student payments, funds received under various state and federal agency grant programs and corporate reimbursement under tuition assistance programs accounted for most of the remaining 2016 KHE revenues. The significant role of Title IV funding in the operations of KHE is expected to continue.</w:t>
      </w:r>
    </w:p>
    <w:p>
      <w:pPr>
        <w:spacing w:after="0" w:line="109" w:lineRule="exact"/>
        <w:rPr>
          <w:sz w:val="20"/>
          <w:szCs w:val="20"/>
          <w:color w:val="auto"/>
        </w:rPr>
      </w:pPr>
    </w:p>
    <w:p>
      <w:pPr>
        <w:ind w:right="280"/>
        <w:spacing w:after="0" w:line="234" w:lineRule="auto"/>
        <w:rPr>
          <w:sz w:val="20"/>
          <w:szCs w:val="20"/>
          <w:color w:val="auto"/>
        </w:rPr>
      </w:pPr>
      <w:r>
        <w:rPr>
          <w:rFonts w:ascii="Arial" w:cs="Arial" w:eastAsia="Arial" w:hAnsi="Arial"/>
          <w:sz w:val="18"/>
          <w:szCs w:val="18"/>
          <w:color w:val="auto"/>
        </w:rPr>
        <w:t>Title IV programs encompass various forms of student loans and non-repayable grants. In some cases, the U.S. Federal government subsidizes a portion of the student interest expense of Title IV loans. Subsidized loans and grants are only available to students who can demonstrate financial need. During 2016, approximately 87% of the $437 million of Title IV funds received by KHE came from student loans, and approximately 13% of such funds came from grants.</w:t>
      </w:r>
    </w:p>
    <w:p>
      <w:pPr>
        <w:spacing w:after="0" w:line="111" w:lineRule="exact"/>
        <w:rPr>
          <w:sz w:val="20"/>
          <w:szCs w:val="20"/>
          <w:color w:val="auto"/>
        </w:rPr>
      </w:pPr>
    </w:p>
    <w:p>
      <w:pPr>
        <w:spacing w:after="0" w:line="224" w:lineRule="auto"/>
        <w:rPr>
          <w:sz w:val="20"/>
          <w:szCs w:val="20"/>
          <w:color w:val="auto"/>
        </w:rPr>
      </w:pPr>
      <w:r>
        <w:rPr>
          <w:rFonts w:ascii="Arial" w:cs="Arial" w:eastAsia="Arial" w:hAnsi="Arial"/>
          <w:sz w:val="18"/>
          <w:szCs w:val="18"/>
          <w:b w:val="1"/>
          <w:bCs w:val="1"/>
          <w:i w:val="1"/>
          <w:iCs w:val="1"/>
          <w:color w:val="auto"/>
        </w:rPr>
        <w:t xml:space="preserve">Title IV Eligibility and Compliance With Title IV Program Requirements. </w:t>
      </w:r>
      <w:r>
        <w:rPr>
          <w:rFonts w:ascii="Arial" w:cs="Arial" w:eastAsia="Arial" w:hAnsi="Arial"/>
          <w:sz w:val="18"/>
          <w:szCs w:val="18"/>
          <w:color w:val="auto"/>
        </w:rPr>
        <w:t>To maintain eligibility to participate in Title IV programs, a school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must comply with extensive statutory and regulatory requirements relating to its financial aid management, educational programs, financial strength, administrative capability, compensation practices, facilities, recruiting practices, representations made to current and prospective students, and various other matters. In addition, the school must be licensed, or otherwise legally authorized, to offer postsecondary educational programs by the appropriate governmental body in the state or states in which it is physically located or is otherwise subject to state authorization requirements, be accredited by an accrediting agency recognized by the U.S. Department of Education (ED) and be certified to participate in the Title IV programs by the ED. Schools are required periodically to apply for renewal of their authorization, accreditation or certification with the applicable state governmental bodies, accrediting agencies and the ED. In accordance with ED regulations, our campuses are grouped into a main campus and additional campus locations. Kaplan University is assigned its own identification number, known as an OPEID number, for the purpose of determining compliance with certain Title IV requirements. No assurance can be given that Kaplan University or its individual programs will maintain their Title IV eligibility, accreditation and state authorization in the future or that the ED might not successfully assert that Kaplan University has previously failed to comply with Title IV requirements.</w:t>
      </w:r>
    </w:p>
    <w:p>
      <w:pPr>
        <w:spacing w:after="0" w:line="113" w:lineRule="exact"/>
        <w:rPr>
          <w:sz w:val="20"/>
          <w:szCs w:val="20"/>
          <w:color w:val="auto"/>
        </w:rPr>
      </w:pPr>
    </w:p>
    <w:p>
      <w:pPr>
        <w:ind w:right="80"/>
        <w:spacing w:after="0" w:line="260" w:lineRule="auto"/>
        <w:rPr>
          <w:sz w:val="20"/>
          <w:szCs w:val="20"/>
          <w:color w:val="auto"/>
        </w:rPr>
      </w:pPr>
      <w:r>
        <w:rPr>
          <w:rFonts w:ascii="Arial" w:cs="Arial" w:eastAsia="Arial" w:hAnsi="Arial"/>
          <w:sz w:val="18"/>
          <w:szCs w:val="18"/>
          <w:color w:val="auto"/>
        </w:rPr>
        <w:t>The ED may place a school on provisional certification status under certain circumstances, including, but not limited to, failure to satisfy certain standards of financial responsibility or administrative capability, or upon a change in</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722" w:right="239" w:bottom="1440" w:gutter="0" w:footer="0" w:header="0"/>
        </w:sectPr>
      </w:pPr>
    </w:p>
    <w:bookmarkStart w:id="4" w:name="page5"/>
    <w:bookmarkEnd w:id="4"/>
    <w:p>
      <w:pPr>
        <w:ind w:right="60"/>
        <w:spacing w:after="0" w:line="225" w:lineRule="auto"/>
        <w:rPr>
          <w:sz w:val="20"/>
          <w:szCs w:val="20"/>
          <w:color w:val="auto"/>
        </w:rPr>
      </w:pPr>
      <w:r>
        <w:rPr>
          <w:rFonts w:ascii="Arial" w:cs="Arial" w:eastAsia="Arial" w:hAnsi="Arial"/>
          <w:sz w:val="18"/>
          <w:szCs w:val="18"/>
          <w:color w:val="auto"/>
        </w:rPr>
        <w:t>ownership resulting in a change of control. Provisional certification status carries fewer due process protections than full certification. As a result, the ED may withdraw an institution’s provisional certification more easily than if it is fully certified. In addition, the ED may subject an institution on provisional certification status to greater scrutiny in some instances, for example, when it applies for approval to add a new location or program or makes another substantive program change. Provisional certification does not otherwise limit access to Title IV program funds by students attending the institution. On December 17, 2015, Kaplan University, in connection with the renewal of its U.S. Department of Education Program Participation Agreement, received notice from the ED that it had been placed on provisional certification status until September 30, 2018, in relation to an open and ongoing ED program review. The ED has not notified Kaplan University of any negative findings. However, at this time we cannot predict the outcome of the program review. During the period of provisional certification, Kaplan University must obtain prior ED approval to open a new location, add an educational program, acquire another school or make any other significant change.</w:t>
      </w:r>
    </w:p>
    <w:p>
      <w:pPr>
        <w:spacing w:after="0" w:line="112" w:lineRule="exact"/>
        <w:rPr>
          <w:sz w:val="20"/>
          <w:szCs w:val="20"/>
          <w:color w:val="auto"/>
        </w:rPr>
      </w:pPr>
    </w:p>
    <w:p>
      <w:pPr>
        <w:spacing w:after="0" w:line="224" w:lineRule="auto"/>
        <w:rPr>
          <w:sz w:val="20"/>
          <w:szCs w:val="20"/>
          <w:color w:val="auto"/>
        </w:rPr>
      </w:pPr>
      <w:r>
        <w:rPr>
          <w:rFonts w:ascii="Arial" w:cs="Arial" w:eastAsia="Arial" w:hAnsi="Arial"/>
          <w:sz w:val="18"/>
          <w:szCs w:val="18"/>
          <w:color w:val="auto"/>
        </w:rPr>
        <w:t>In addition, if the ED finds that a school has failed to comply with Title IV requirements or improperly disbursed or retained Title IV program funds, it may take one or more of a number of actions, including fining the school, requiring the school to repay Title IV program funds, limiting or terminating the school’s eligibility to participate in Title IV programs, initiating an emergency action to suspend the school’s participation in the Title IV programs without prior notice or opportunity for a hearing, transferring the school to a method of Title IV payment that would adversely affect the timing of the institution’s receipt of Title IV funds, requiring the submission of a letter of credit, denying or refusing to consider the school’s application for renewal of its certification to participate in the Title IV programs or for approval to add a new campus or educational program and referring the matter for possible civil or criminal investigation. There can be no assurance that the ED will not take any of these or other actions in the future, whether as a result of a lawsuit, program review or otherwise. This list is not exhaustive. There may be other actions the ED may take and other legal theories under which a school could be sued as a result of alleged irregularities in the administration of student financial aid. See Item 1A. Risk Factors, including Failure to Comply With Statutory and Regulatory Requirements Could Result in Loss of Access to U.S. Federal Student Loans and Grants Under Title IV, a Requirement to Pay Fines or Monetary Liabilities or Other Sanctions.</w:t>
      </w:r>
    </w:p>
    <w:p>
      <w:pPr>
        <w:spacing w:after="0" w:line="113" w:lineRule="exact"/>
        <w:rPr>
          <w:sz w:val="20"/>
          <w:szCs w:val="20"/>
          <w:color w:val="auto"/>
        </w:rPr>
      </w:pPr>
    </w:p>
    <w:p>
      <w:pPr>
        <w:spacing w:after="0" w:line="227" w:lineRule="auto"/>
        <w:rPr>
          <w:sz w:val="20"/>
          <w:szCs w:val="20"/>
          <w:color w:val="auto"/>
        </w:rPr>
      </w:pPr>
      <w:r>
        <w:rPr>
          <w:rFonts w:ascii="Arial" w:cs="Arial" w:eastAsia="Arial" w:hAnsi="Arial"/>
          <w:sz w:val="18"/>
          <w:szCs w:val="18"/>
          <w:b w:val="1"/>
          <w:bCs w:val="1"/>
          <w:i w:val="1"/>
          <w:iCs w:val="1"/>
          <w:color w:val="auto"/>
        </w:rPr>
        <w:t xml:space="preserve">Student Default Rates. </w:t>
      </w:r>
      <w:r>
        <w:rPr>
          <w:rFonts w:ascii="Arial" w:cs="Arial" w:eastAsia="Arial" w:hAnsi="Arial"/>
          <w:sz w:val="18"/>
          <w:szCs w:val="18"/>
          <w:color w:val="auto"/>
        </w:rPr>
        <w:t>A school may lose its eligibility to participate in Title IV programs if student defaults on the repayment of Title IV loans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exceed specified rates, referred to as “cohort default rates.” The ED calculates a cohort default rate for each OPEID number. If a school</w:t>
      </w:r>
      <w:r>
        <w:rPr>
          <w:rFonts w:ascii="Arial" w:cs="Arial" w:eastAsia="Arial" w:hAnsi="Arial"/>
          <w:sz w:val="14"/>
          <w:szCs w:val="14"/>
          <w:b w:val="1"/>
          <w:bCs w:val="1"/>
          <w:color w:val="auto"/>
        </w:rPr>
        <w:t>’</w:t>
      </w:r>
      <w:r>
        <w:rPr>
          <w:rFonts w:ascii="Arial" w:cs="Arial" w:eastAsia="Arial" w:hAnsi="Arial"/>
          <w:sz w:val="18"/>
          <w:szCs w:val="18"/>
          <w:color w:val="auto"/>
        </w:rPr>
        <w:t>s cohort default rate exceeds 40% for any single year, it will lose its eligibility to participate in the Direct Loan programs for at least two fiscal years, effective 30 days after notification from the ED. If a school</w:t>
      </w:r>
      <w:r>
        <w:rPr>
          <w:rFonts w:ascii="Arial" w:cs="Arial" w:eastAsia="Arial" w:hAnsi="Arial"/>
          <w:sz w:val="14"/>
          <w:szCs w:val="14"/>
          <w:b w:val="1"/>
          <w:bCs w:val="1"/>
          <w:color w:val="auto"/>
        </w:rPr>
        <w:t>’</w:t>
      </w:r>
      <w:r>
        <w:rPr>
          <w:rFonts w:ascii="Arial" w:cs="Arial" w:eastAsia="Arial" w:hAnsi="Arial"/>
          <w:sz w:val="18"/>
          <w:szCs w:val="18"/>
          <w:color w:val="auto"/>
        </w:rPr>
        <w:t>s cohort default rate equals or exceeds 30% for three consecutive years, it will lose its Title IV eligibility to participate in the Direct Loan and U.S. Federal Pell Grant programs effective 30 days after notification from the ED and will remain ineligible for at least two fiscal years. If a school</w:t>
      </w:r>
      <w:r>
        <w:rPr>
          <w:rFonts w:ascii="Arial" w:cs="Arial" w:eastAsia="Arial" w:hAnsi="Arial"/>
          <w:sz w:val="14"/>
          <w:szCs w:val="14"/>
          <w:b w:val="1"/>
          <w:bCs w:val="1"/>
          <w:color w:val="auto"/>
        </w:rPr>
        <w:t>’</w:t>
      </w:r>
      <w:r>
        <w:rPr>
          <w:rFonts w:ascii="Arial" w:cs="Arial" w:eastAsia="Arial" w:hAnsi="Arial"/>
          <w:sz w:val="18"/>
          <w:szCs w:val="18"/>
          <w:color w:val="auto"/>
        </w:rPr>
        <w:t>s cohort default rate equals or exceeds 30% in two of the three most recent fiscal years for which rates have been issued by the ED, it may be placed on provisional certification by the ED and, under new regulations that take effect on July 1, 2017, may be required to submit a letter of credit to the ED.</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The three-year cohort default rates for Kaplan University, the only OPEID unit that continued operations through the end of 2016, for the U.S.</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Federal fiscal years ending September 30, 2013, 2012 and 2011, were 12.4%, 12.9% and 20%, respectively.</w:t>
      </w:r>
    </w:p>
    <w:p>
      <w:pPr>
        <w:spacing w:after="0" w:line="122" w:lineRule="exact"/>
        <w:rPr>
          <w:sz w:val="20"/>
          <w:szCs w:val="20"/>
          <w:color w:val="auto"/>
        </w:rPr>
      </w:pPr>
    </w:p>
    <w:p>
      <w:pPr>
        <w:ind w:right="60"/>
        <w:spacing w:after="0" w:line="260" w:lineRule="auto"/>
        <w:rPr>
          <w:sz w:val="20"/>
          <w:szCs w:val="20"/>
          <w:color w:val="auto"/>
        </w:rPr>
      </w:pPr>
      <w:r>
        <w:rPr>
          <w:rFonts w:ascii="Arial" w:cs="Arial" w:eastAsia="Arial" w:hAnsi="Arial"/>
          <w:sz w:val="18"/>
          <w:szCs w:val="18"/>
          <w:color w:val="auto"/>
        </w:rPr>
        <w:t>Because Kaplan University receives a significantly lower level of taxpayer-funded grants and subsidies than community colleges, state schools and not-for-profit schools, Kaplan University is more dependent on tuition, and its students are more dependent on loans.</w:t>
      </w:r>
    </w:p>
    <w:p>
      <w:pPr>
        <w:spacing w:after="0" w:line="92" w:lineRule="exact"/>
        <w:rPr>
          <w:sz w:val="20"/>
          <w:szCs w:val="20"/>
          <w:color w:val="auto"/>
        </w:rPr>
      </w:pPr>
    </w:p>
    <w:p>
      <w:pPr>
        <w:ind w:right="120"/>
        <w:spacing w:after="0" w:line="228" w:lineRule="auto"/>
        <w:rPr>
          <w:sz w:val="20"/>
          <w:szCs w:val="20"/>
          <w:color w:val="auto"/>
        </w:rPr>
      </w:pPr>
      <w:r>
        <w:rPr>
          <w:rFonts w:ascii="Arial" w:cs="Arial" w:eastAsia="Arial" w:hAnsi="Arial"/>
          <w:sz w:val="18"/>
          <w:szCs w:val="18"/>
          <w:color w:val="auto"/>
        </w:rPr>
        <w:t>Kaplan has dedicated resources to help students who are at risk of default. Kaplan personnel contact students and provide assistance, which includes providing students with specific loan repayment information, lender contact information and debt counseling. Kaplan has also implemented a financial literacy and counseling program for current students and provides career counseling services. In addition, Kaplan implemented the Kaplan Commitment program in 2010, which provides first-time undergraduate students with a risk-free trial period. Students who withdraw or are subject to dismissal during the risk-free trial period do not incur any significant financial obligation. However, no assurances can be given that these resources or programs will enable Kaplan’s schools to maintain cohort default rates below the thresholds for sanctions.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Federal Rulemaking</w:t>
      </w:r>
    </w:p>
    <w:p>
      <w:pPr>
        <w:spacing w:after="0" w:line="146" w:lineRule="exact"/>
        <w:rPr>
          <w:sz w:val="20"/>
          <w:szCs w:val="20"/>
          <w:color w:val="auto"/>
        </w:rPr>
      </w:pPr>
    </w:p>
    <w:p>
      <w:pPr>
        <w:ind w:right="280"/>
        <w:spacing w:after="0"/>
        <w:rPr>
          <w:sz w:val="20"/>
          <w:szCs w:val="20"/>
          <w:color w:val="auto"/>
        </w:rPr>
      </w:pPr>
      <w:r>
        <w:rPr>
          <w:rFonts w:ascii="Arial" w:cs="Arial" w:eastAsia="Arial" w:hAnsi="Arial"/>
          <w:sz w:val="18"/>
          <w:szCs w:val="18"/>
          <w:b w:val="1"/>
          <w:bCs w:val="1"/>
          <w:i w:val="1"/>
          <w:iCs w:val="1"/>
          <w:color w:val="auto"/>
        </w:rPr>
        <w:t xml:space="preserve">Borrower Defense to Repayment Regulations. </w:t>
      </w:r>
      <w:r>
        <w:rPr>
          <w:rFonts w:ascii="Arial" w:cs="Arial" w:eastAsia="Arial" w:hAnsi="Arial"/>
          <w:sz w:val="18"/>
          <w:szCs w:val="18"/>
          <w:color w:val="auto"/>
        </w:rPr>
        <w:t>On November 1, 2016, the ED issued final rules, effective July 1, 2017, that expand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bases on which borrowers may obtain a discharge of their federal financial aid loans and that establish a process for the ED to commence a separate proceeding against the institution to recover the discharged amounts.</w:t>
      </w:r>
    </w:p>
    <w:p>
      <w:pPr>
        <w:spacing w:after="0" w:line="108" w:lineRule="exact"/>
        <w:rPr>
          <w:sz w:val="20"/>
          <w:szCs w:val="20"/>
          <w:color w:val="auto"/>
        </w:rPr>
      </w:pPr>
    </w:p>
    <w:p>
      <w:pPr>
        <w:ind w:right="300"/>
        <w:spacing w:after="0" w:line="260" w:lineRule="auto"/>
        <w:rPr>
          <w:sz w:val="20"/>
          <w:szCs w:val="20"/>
          <w:color w:val="auto"/>
        </w:rPr>
      </w:pPr>
      <w:r>
        <w:rPr>
          <w:rFonts w:ascii="Arial" w:cs="Arial" w:eastAsia="Arial" w:hAnsi="Arial"/>
          <w:sz w:val="18"/>
          <w:szCs w:val="18"/>
          <w:color w:val="auto"/>
        </w:rPr>
        <w:t>The final rules amend existing procedures and standards for borrowers seeking the discharge of certain Title IV loans first disbursed prior to July 1, 2017, based on certain acts or omissions of the institution. The final rules also</w:t>
      </w: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724" w:right="259" w:bottom="1440" w:gutter="0" w:footer="0" w:header="0"/>
        </w:sectPr>
      </w:pPr>
    </w:p>
    <w:bookmarkStart w:id="5" w:name="page6"/>
    <w:bookmarkEnd w:id="5"/>
    <w:p>
      <w:pPr>
        <w:spacing w:after="0" w:line="228" w:lineRule="auto"/>
        <w:rPr>
          <w:sz w:val="20"/>
          <w:szCs w:val="20"/>
          <w:color w:val="auto"/>
        </w:rPr>
      </w:pPr>
      <w:r>
        <w:rPr>
          <w:rFonts w:ascii="Arial" w:cs="Arial" w:eastAsia="Arial" w:hAnsi="Arial"/>
          <w:sz w:val="18"/>
          <w:szCs w:val="18"/>
          <w:color w:val="auto"/>
        </w:rPr>
        <w:t>expand the bases for borrowers to obtain discharges of certain Title IV loans first disbursed on or after July 1, 2017, including any substantial misrepresentations by the school or any of its representatives or individuals or entities with whom the institution has an agreement, certain breaches of contract and certain favorable judgments against the school. The final rules include procedures for borrowers to assert discharge claims as a group rather than individually and create extended and, in some cases, unlimited statutes of limitation for the submission of discharge claims. The final rules also establish procedures for the evaluation of claims, for minimal school participation in the process and for the ED to consolidate and present borrower claims during the process. If the borrower discharge claims are approved, the ED may discharge some or all of the loans and initiate a separate proceeding to recover any discharged loans from the institution.</w:t>
      </w:r>
    </w:p>
    <w:p>
      <w:pPr>
        <w:spacing w:after="0" w:line="109" w:lineRule="exact"/>
        <w:rPr>
          <w:sz w:val="20"/>
          <w:szCs w:val="20"/>
          <w:color w:val="auto"/>
        </w:rPr>
      </w:pPr>
    </w:p>
    <w:p>
      <w:pPr>
        <w:ind w:right="80"/>
        <w:spacing w:after="0"/>
        <w:rPr>
          <w:sz w:val="20"/>
          <w:szCs w:val="20"/>
          <w:color w:val="auto"/>
        </w:rPr>
      </w:pPr>
      <w:r>
        <w:rPr>
          <w:rFonts w:ascii="Arial" w:cs="Arial" w:eastAsia="Arial" w:hAnsi="Arial"/>
          <w:sz w:val="18"/>
          <w:szCs w:val="18"/>
          <w:color w:val="auto"/>
        </w:rPr>
        <w:t>In addition, the final rules also amend the ED’s financial responsibility regulations by, among other things, imposing two sets of triggers for determining whether the ED may require the institution to furnish the ED with a letter of credit or other form of acceptable financial protection and to accept other requirements the ED might impose. The first set of triggers includes the following:</w:t>
      </w:r>
    </w:p>
    <w:p>
      <w:pPr>
        <w:spacing w:after="0" w:line="108" w:lineRule="exact"/>
        <w:rPr>
          <w:sz w:val="20"/>
          <w:szCs w:val="20"/>
          <w:color w:val="auto"/>
        </w:rPr>
      </w:pPr>
    </w:p>
    <w:p>
      <w:pPr>
        <w:ind w:left="980" w:right="60" w:hanging="324"/>
        <w:spacing w:after="0" w:line="259" w:lineRule="auto"/>
        <w:tabs>
          <w:tab w:leader="none" w:pos="980" w:val="left"/>
        </w:tabs>
        <w:numPr>
          <w:ilvl w:val="0"/>
          <w:numId w:val="1"/>
        </w:numPr>
        <w:rPr>
          <w:rFonts w:ascii="Times New Roman" w:cs="Times New Roman" w:eastAsia="Times New Roman" w:hAnsi="Times New Roman"/>
          <w:sz w:val="18"/>
          <w:szCs w:val="18"/>
          <w:color w:val="auto"/>
        </w:rPr>
      </w:pPr>
      <w:r>
        <w:rPr>
          <w:rFonts w:ascii="Arial" w:cs="Arial" w:eastAsia="Arial" w:hAnsi="Arial"/>
          <w:sz w:val="18"/>
          <w:szCs w:val="18"/>
          <w:color w:val="auto"/>
        </w:rPr>
        <w:t>a requirement to pay any debt or incur any liability arising from a final judgment in a judicial proceeding or from an administrative proceeding or determination, or from a settlement;</w:t>
      </w:r>
    </w:p>
    <w:p>
      <w:pPr>
        <w:spacing w:after="0" w:line="38" w:lineRule="exact"/>
        <w:rPr>
          <w:rFonts w:ascii="Times New Roman" w:cs="Times New Roman" w:eastAsia="Times New Roman" w:hAnsi="Times New Roman"/>
          <w:sz w:val="18"/>
          <w:szCs w:val="18"/>
          <w:color w:val="auto"/>
        </w:rPr>
      </w:pPr>
    </w:p>
    <w:p>
      <w:pPr>
        <w:ind w:left="980" w:right="360" w:hanging="324"/>
        <w:spacing w:after="0" w:line="259" w:lineRule="auto"/>
        <w:tabs>
          <w:tab w:leader="none" w:pos="980" w:val="left"/>
        </w:tabs>
        <w:numPr>
          <w:ilvl w:val="0"/>
          <w:numId w:val="1"/>
        </w:numPr>
        <w:rPr>
          <w:rFonts w:ascii="Times New Roman" w:cs="Times New Roman" w:eastAsia="Times New Roman" w:hAnsi="Times New Roman"/>
          <w:sz w:val="18"/>
          <w:szCs w:val="18"/>
          <w:color w:val="auto"/>
        </w:rPr>
      </w:pPr>
      <w:r>
        <w:rPr>
          <w:rFonts w:ascii="Arial" w:cs="Arial" w:eastAsia="Arial" w:hAnsi="Arial"/>
          <w:sz w:val="18"/>
          <w:szCs w:val="18"/>
          <w:color w:val="auto"/>
        </w:rPr>
        <w:t>a lawsuit that has been pending for 120 days and that was brought by a federal or state authority for financial relief on claims related to making a Direct Loan for enrollment at the institution or the provision of educational services;</w:t>
      </w:r>
    </w:p>
    <w:p>
      <w:pPr>
        <w:spacing w:after="0" w:line="38"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
        </w:numPr>
        <w:rPr>
          <w:rFonts w:ascii="Times New Roman" w:cs="Times New Roman" w:eastAsia="Times New Roman" w:hAnsi="Times New Roman"/>
          <w:sz w:val="18"/>
          <w:szCs w:val="18"/>
          <w:color w:val="auto"/>
        </w:rPr>
      </w:pPr>
      <w:r>
        <w:rPr>
          <w:rFonts w:ascii="Arial" w:cs="Arial" w:eastAsia="Arial" w:hAnsi="Arial"/>
          <w:sz w:val="18"/>
          <w:szCs w:val="18"/>
          <w:color w:val="auto"/>
        </w:rPr>
        <w:t>other lawsuits in which the institution’s summary judgment motion was denied or not filed;</w:t>
      </w:r>
    </w:p>
    <w:p>
      <w:pPr>
        <w:spacing w:after="0" w:line="8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
        </w:numPr>
        <w:rPr>
          <w:rFonts w:ascii="Times New Roman" w:cs="Times New Roman" w:eastAsia="Times New Roman" w:hAnsi="Times New Roman"/>
          <w:sz w:val="18"/>
          <w:szCs w:val="18"/>
          <w:color w:val="auto"/>
        </w:rPr>
      </w:pPr>
      <w:r>
        <w:rPr>
          <w:rFonts w:ascii="Arial" w:cs="Arial" w:eastAsia="Arial" w:hAnsi="Arial"/>
          <w:sz w:val="18"/>
          <w:szCs w:val="18"/>
          <w:color w:val="auto"/>
        </w:rPr>
        <w:t>an accrediting agency requirement to submit a teach-out plan in connection with closing one or more of the institution’s locations;</w:t>
      </w:r>
    </w:p>
    <w:p>
      <w:pPr>
        <w:spacing w:after="0" w:line="8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
        </w:numPr>
        <w:rPr>
          <w:rFonts w:ascii="Times New Roman" w:cs="Times New Roman" w:eastAsia="Times New Roman" w:hAnsi="Times New Roman"/>
          <w:sz w:val="18"/>
          <w:szCs w:val="18"/>
          <w:color w:val="auto"/>
        </w:rPr>
      </w:pPr>
      <w:r>
        <w:rPr>
          <w:rFonts w:ascii="Arial" w:cs="Arial" w:eastAsia="Arial" w:hAnsi="Arial"/>
          <w:sz w:val="18"/>
          <w:szCs w:val="18"/>
          <w:color w:val="auto"/>
        </w:rPr>
        <w:t>having one or more programs that could lose Title IV eligibility based on rates for next award year; and</w:t>
      </w:r>
    </w:p>
    <w:p>
      <w:pPr>
        <w:spacing w:after="0" w:line="8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
        </w:numPr>
        <w:rPr>
          <w:rFonts w:ascii="Times New Roman" w:cs="Times New Roman" w:eastAsia="Times New Roman" w:hAnsi="Times New Roman"/>
          <w:sz w:val="18"/>
          <w:szCs w:val="18"/>
          <w:color w:val="auto"/>
        </w:rPr>
      </w:pPr>
      <w:r>
        <w:rPr>
          <w:rFonts w:ascii="Arial" w:cs="Arial" w:eastAsia="Arial" w:hAnsi="Arial"/>
          <w:sz w:val="18"/>
          <w:szCs w:val="18"/>
          <w:color w:val="auto"/>
        </w:rPr>
        <w:t>certain withdrawals of owner’s equity from the institution.</w:t>
      </w:r>
    </w:p>
    <w:p>
      <w:pPr>
        <w:spacing w:after="0" w:line="143" w:lineRule="exact"/>
        <w:rPr>
          <w:sz w:val="20"/>
          <w:szCs w:val="20"/>
          <w:color w:val="auto"/>
        </w:rPr>
      </w:pPr>
    </w:p>
    <w:p>
      <w:pPr>
        <w:spacing w:after="0" w:line="229" w:lineRule="auto"/>
        <w:rPr>
          <w:sz w:val="20"/>
          <w:szCs w:val="20"/>
          <w:color w:val="auto"/>
        </w:rPr>
      </w:pPr>
      <w:r>
        <w:rPr>
          <w:rFonts w:ascii="Arial" w:cs="Arial" w:eastAsia="Arial" w:hAnsi="Arial"/>
          <w:sz w:val="18"/>
          <w:szCs w:val="18"/>
          <w:color w:val="auto"/>
        </w:rPr>
        <w:t>An institution participating in Title IV programs must maintain a certain level of financial responsibility as reflected by a composite score that incorporates various financial data from annual financial statements submitted to the ED. If one of the above triggers occurs, the ED would recalculate the institution’s composite score by estimating the amount of actual and potential losses resulting from the triggering event and determining whether the recalculated composite score results in the institution failing the financial responsibility standards. The rules for estimating potential losses are broad. For example, the rules generally presume that potential losses from pending lawsuits equal the amount sought in the complaint or in any final demand letter.</w:t>
      </w:r>
    </w:p>
    <w:p>
      <w:pPr>
        <w:spacing w:after="0" w:line="112" w:lineRule="exact"/>
        <w:rPr>
          <w:sz w:val="20"/>
          <w:szCs w:val="20"/>
          <w:color w:val="auto"/>
        </w:rPr>
      </w:pPr>
    </w:p>
    <w:p>
      <w:pPr>
        <w:ind w:right="60"/>
        <w:spacing w:after="0" w:line="260" w:lineRule="auto"/>
        <w:rPr>
          <w:sz w:val="20"/>
          <w:szCs w:val="20"/>
          <w:color w:val="auto"/>
        </w:rPr>
      </w:pPr>
      <w:r>
        <w:rPr>
          <w:rFonts w:ascii="Arial" w:cs="Arial" w:eastAsia="Arial" w:hAnsi="Arial"/>
          <w:sz w:val="18"/>
          <w:szCs w:val="18"/>
          <w:color w:val="auto"/>
        </w:rPr>
        <w:t>The second set of triggers that could result in the ED imposing a letter of credit requirement and other conditions or requirements include the following:</w:t>
      </w:r>
    </w:p>
    <w:p>
      <w:pPr>
        <w:spacing w:after="0" w:line="92" w:lineRule="exact"/>
        <w:rPr>
          <w:sz w:val="20"/>
          <w:szCs w:val="20"/>
          <w:color w:val="auto"/>
        </w:rPr>
      </w:pPr>
    </w:p>
    <w:p>
      <w:pPr>
        <w:ind w:left="980" w:right="400" w:hanging="324"/>
        <w:spacing w:after="0" w:line="259" w:lineRule="auto"/>
        <w:tabs>
          <w:tab w:leader="none" w:pos="980" w:val="left"/>
        </w:tabs>
        <w:numPr>
          <w:ilvl w:val="0"/>
          <w:numId w:val="2"/>
        </w:numPr>
        <w:rPr>
          <w:rFonts w:ascii="Times New Roman" w:cs="Times New Roman" w:eastAsia="Times New Roman" w:hAnsi="Times New Roman"/>
          <w:sz w:val="18"/>
          <w:szCs w:val="18"/>
          <w:color w:val="auto"/>
        </w:rPr>
      </w:pPr>
      <w:r>
        <w:rPr>
          <w:rFonts w:ascii="Arial" w:cs="Arial" w:eastAsia="Arial" w:hAnsi="Arial"/>
          <w:sz w:val="18"/>
          <w:szCs w:val="18"/>
          <w:color w:val="auto"/>
        </w:rPr>
        <w:t>the failure to comply for the most recently completed fiscal year with the 90/10 rule requiring less than 90% of an institution's receipts be derived from Title IV programs;</w:t>
      </w:r>
    </w:p>
    <w:p>
      <w:pPr>
        <w:spacing w:after="0" w:line="38"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Arial" w:cs="Arial" w:eastAsia="Arial" w:hAnsi="Arial"/>
          <w:sz w:val="18"/>
          <w:szCs w:val="18"/>
          <w:color w:val="auto"/>
        </w:rPr>
        <w:t>an SEC warning that it may suspend trading on the institution’s stock;</w:t>
      </w:r>
    </w:p>
    <w:p>
      <w:pPr>
        <w:spacing w:after="0" w:line="8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Arial" w:cs="Arial" w:eastAsia="Arial" w:hAnsi="Arial"/>
          <w:sz w:val="18"/>
          <w:szCs w:val="18"/>
          <w:color w:val="auto"/>
        </w:rPr>
        <w:t>the failure to file certain reports with the SEC;</w:t>
      </w:r>
    </w:p>
    <w:p>
      <w:pPr>
        <w:spacing w:after="0" w:line="8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Arial" w:cs="Arial" w:eastAsia="Arial" w:hAnsi="Arial"/>
          <w:sz w:val="18"/>
          <w:szCs w:val="18"/>
          <w:color w:val="auto"/>
        </w:rPr>
        <w:t>receipt of notice of noncompliance with exchange requirements;</w:t>
      </w:r>
    </w:p>
    <w:p>
      <w:pPr>
        <w:spacing w:after="0" w:line="8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Arial" w:cs="Arial" w:eastAsia="Arial" w:hAnsi="Arial"/>
          <w:sz w:val="18"/>
          <w:szCs w:val="18"/>
          <w:color w:val="auto"/>
        </w:rPr>
        <w:t>notice that the institution’s stock is delisted;</w:t>
      </w:r>
    </w:p>
    <w:p>
      <w:pPr>
        <w:spacing w:after="0" w:line="8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Arial" w:cs="Arial" w:eastAsia="Arial" w:hAnsi="Arial"/>
          <w:sz w:val="18"/>
          <w:szCs w:val="18"/>
          <w:color w:val="auto"/>
        </w:rPr>
        <w:t>cohort default rates of at least 30% for the institution’s two most recent rates;</w:t>
      </w:r>
    </w:p>
    <w:p>
      <w:pPr>
        <w:spacing w:after="0" w:line="8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Arial" w:cs="Arial" w:eastAsia="Arial" w:hAnsi="Arial"/>
          <w:sz w:val="18"/>
          <w:szCs w:val="18"/>
          <w:color w:val="auto"/>
        </w:rPr>
        <w:t>certain significant fluctuations in Title IV funding;</w:t>
      </w:r>
    </w:p>
    <w:p>
      <w:pPr>
        <w:spacing w:after="0" w:line="8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Arial" w:cs="Arial" w:eastAsia="Arial" w:hAnsi="Arial"/>
          <w:sz w:val="18"/>
          <w:szCs w:val="18"/>
          <w:color w:val="auto"/>
        </w:rPr>
        <w:t>certain citations for failure to comply with state agency requirements;</w:t>
      </w:r>
    </w:p>
    <w:p>
      <w:pPr>
        <w:spacing w:after="0" w:line="8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Arial" w:cs="Arial" w:eastAsia="Arial" w:hAnsi="Arial"/>
          <w:sz w:val="18"/>
          <w:szCs w:val="18"/>
          <w:color w:val="auto"/>
        </w:rPr>
        <w:t>failure to comply with yet-to-be-developed ED financial stress tests;</w:t>
      </w:r>
    </w:p>
    <w:p>
      <w:pPr>
        <w:spacing w:after="0" w:line="8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Arial" w:cs="Arial" w:eastAsia="Arial" w:hAnsi="Arial"/>
          <w:sz w:val="18"/>
          <w:szCs w:val="18"/>
          <w:color w:val="auto"/>
        </w:rPr>
        <w:t>high annual dropout rates;</w:t>
      </w:r>
    </w:p>
    <w:p>
      <w:pPr>
        <w:spacing w:after="0" w:line="8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Arial" w:cs="Arial" w:eastAsia="Arial" w:hAnsi="Arial"/>
          <w:sz w:val="18"/>
          <w:szCs w:val="18"/>
          <w:color w:val="auto"/>
        </w:rPr>
        <w:t>probation, show cause or similar action by an institution’s accrediting agency;</w:t>
      </w:r>
    </w:p>
    <w:p>
      <w:pPr>
        <w:spacing w:after="0" w:line="8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Arial" w:cs="Arial" w:eastAsia="Arial" w:hAnsi="Arial"/>
          <w:sz w:val="18"/>
          <w:szCs w:val="18"/>
          <w:color w:val="auto"/>
        </w:rPr>
        <w:t>certain violations of loan agreements;</w:t>
      </w:r>
    </w:p>
    <w:p>
      <w:pPr>
        <w:spacing w:after="0" w:line="8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Arial" w:cs="Arial" w:eastAsia="Arial" w:hAnsi="Arial"/>
          <w:sz w:val="18"/>
          <w:szCs w:val="18"/>
          <w:color w:val="auto"/>
        </w:rPr>
        <w:t>expected or pending claims for borrower relief discharges; and</w:t>
      </w:r>
    </w:p>
    <w:p>
      <w:pPr>
        <w:spacing w:after="0" w:line="89" w:lineRule="exact"/>
        <w:rPr>
          <w:rFonts w:ascii="Times New Roman" w:cs="Times New Roman" w:eastAsia="Times New Roman" w:hAnsi="Times New Roman"/>
          <w:sz w:val="18"/>
          <w:szCs w:val="18"/>
          <w:color w:val="auto"/>
        </w:rPr>
      </w:pPr>
    </w:p>
    <w:p>
      <w:pPr>
        <w:ind w:left="980" w:right="260" w:hanging="324"/>
        <w:spacing w:after="0" w:line="259" w:lineRule="auto"/>
        <w:tabs>
          <w:tab w:leader="none" w:pos="980" w:val="left"/>
        </w:tabs>
        <w:numPr>
          <w:ilvl w:val="0"/>
          <w:numId w:val="2"/>
        </w:numPr>
        <w:rPr>
          <w:rFonts w:ascii="Times New Roman" w:cs="Times New Roman" w:eastAsia="Times New Roman" w:hAnsi="Times New Roman"/>
          <w:sz w:val="18"/>
          <w:szCs w:val="18"/>
          <w:color w:val="auto"/>
        </w:rPr>
      </w:pPr>
      <w:r>
        <w:rPr>
          <w:rFonts w:ascii="Arial" w:cs="Arial" w:eastAsia="Arial" w:hAnsi="Arial"/>
          <w:sz w:val="18"/>
          <w:szCs w:val="18"/>
          <w:color w:val="auto"/>
        </w:rPr>
        <w:t>certain other events that the ED might identify as reasonably likely to have a material adverse effect on the financial condition, business or results of operations of the institution.</w:t>
      </w:r>
    </w:p>
    <w:p>
      <w:pPr>
        <w:spacing w:after="0" w:line="200" w:lineRule="exact"/>
        <w:rPr>
          <w:sz w:val="20"/>
          <w:szCs w:val="20"/>
          <w:color w:val="auto"/>
        </w:rPr>
      </w:pPr>
    </w:p>
    <w:p>
      <w:pPr>
        <w:spacing w:after="0" w:line="25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240" w:top="724" w:right="419" w:bottom="1440" w:gutter="0" w:footer="0" w:header="0"/>
        </w:sectPr>
      </w:pPr>
    </w:p>
    <w:bookmarkStart w:id="6" w:name="page7"/>
    <w:bookmarkEnd w:id="6"/>
    <w:p>
      <w:pPr>
        <w:ind w:right="60"/>
        <w:spacing w:after="0" w:line="231" w:lineRule="auto"/>
        <w:rPr>
          <w:sz w:val="20"/>
          <w:szCs w:val="20"/>
          <w:color w:val="auto"/>
        </w:rPr>
      </w:pPr>
      <w:r>
        <w:rPr>
          <w:rFonts w:ascii="Arial" w:cs="Arial" w:eastAsia="Arial" w:hAnsi="Arial"/>
          <w:sz w:val="18"/>
          <w:szCs w:val="18"/>
          <w:color w:val="auto"/>
        </w:rPr>
        <w:t>If the ED deems that the institution failed the financial responsibility standards based on one or more of the aforementioned events listed in the regulations or based on the institution’s failure to comply with other requirements in the financial responsibility regulations, the ED may permit the institution to continue participating in the Title IV programs under a provisional certification and would require the institution to submit a letter of credit or other form of financial protection, comply with certain student debt-to-income ratios under the ED's gainful employment rules discussed below and potentially accept other conditions or restrictions.</w:t>
      </w:r>
    </w:p>
    <w:p>
      <w:pPr>
        <w:spacing w:after="0" w:line="111" w:lineRule="exact"/>
        <w:rPr>
          <w:sz w:val="20"/>
          <w:szCs w:val="20"/>
          <w:color w:val="auto"/>
        </w:rPr>
      </w:pPr>
    </w:p>
    <w:p>
      <w:pPr>
        <w:ind w:right="200"/>
        <w:spacing w:after="0" w:line="229" w:lineRule="auto"/>
        <w:rPr>
          <w:sz w:val="20"/>
          <w:szCs w:val="20"/>
          <w:color w:val="auto"/>
        </w:rPr>
      </w:pPr>
      <w:r>
        <w:rPr>
          <w:rFonts w:ascii="Arial" w:cs="Arial" w:eastAsia="Arial" w:hAnsi="Arial"/>
          <w:sz w:val="18"/>
          <w:szCs w:val="18"/>
          <w:color w:val="auto"/>
        </w:rPr>
        <w:t>If the ED requires a letter of credit based on a trigger from either set of triggers, the rules require the letter of credit to equal 10% of the total amount of Title IV funds received by the institution during its most recently completed fiscal year plus any additional amount that the ED determines is necessary to fully cover any estimated losses. The ED also may place the institution on provisional certification, impose certain reporting requirements, place the institution on the heightened cash monitoring or reimbursement payment methods and impose other conditions or requirements. The ED may require the institution to maintain the letter of credit until the institution’s composite score is 1.0 or greater and the triggering events have been resolved or cease to exist.</w:t>
      </w:r>
    </w:p>
    <w:p>
      <w:pPr>
        <w:spacing w:after="0" w:line="112" w:lineRule="exact"/>
        <w:rPr>
          <w:sz w:val="20"/>
          <w:szCs w:val="20"/>
          <w:color w:val="auto"/>
        </w:rPr>
      </w:pPr>
    </w:p>
    <w:p>
      <w:pPr>
        <w:ind w:right="280"/>
        <w:spacing w:after="0" w:line="234" w:lineRule="auto"/>
        <w:rPr>
          <w:sz w:val="20"/>
          <w:szCs w:val="20"/>
          <w:color w:val="auto"/>
        </w:rPr>
      </w:pPr>
      <w:r>
        <w:rPr>
          <w:rFonts w:ascii="Arial" w:cs="Arial" w:eastAsia="Arial" w:hAnsi="Arial"/>
          <w:sz w:val="18"/>
          <w:szCs w:val="18"/>
          <w:color w:val="auto"/>
        </w:rPr>
        <w:t>The rules also require schools not meeting a loan “repayment rate” threshold calculation to provide an ED-prepared warning to current and prospective students and to include the warning on its website and in promotional materials and advertisements. The rules also include new provisions related to arbitration and class-action lawsuits, including prohibitions regarding an institution’s use of pre-dispute arbitration agreements and class-action waivers.</w:t>
      </w:r>
    </w:p>
    <w:p>
      <w:pPr>
        <w:spacing w:after="0" w:line="111" w:lineRule="exact"/>
        <w:rPr>
          <w:sz w:val="20"/>
          <w:szCs w:val="20"/>
          <w:color w:val="auto"/>
        </w:rPr>
      </w:pPr>
    </w:p>
    <w:p>
      <w:pPr>
        <w:ind w:right="120"/>
        <w:spacing w:after="0" w:line="234" w:lineRule="auto"/>
        <w:rPr>
          <w:sz w:val="20"/>
          <w:szCs w:val="20"/>
          <w:color w:val="auto"/>
        </w:rPr>
      </w:pPr>
      <w:r>
        <w:rPr>
          <w:rFonts w:ascii="Arial" w:cs="Arial" w:eastAsia="Arial" w:hAnsi="Arial"/>
          <w:sz w:val="18"/>
          <w:szCs w:val="18"/>
          <w:color w:val="auto"/>
        </w:rPr>
        <w:t>The regulations have a general effective date of July 1, 2017. The Company cannot predict how the ED will interpret and enforce the new borrower defense to repayment rules in the future or how these rules may impact Kaplan University’s participation in the Title IV programs; however, the new rules could have a material adverse effect on Kaplan’s business and results of operations, and the broad sweep of the rules may, in the future, require Kaplan to submit a letter of credit as indicated above.</w:t>
      </w:r>
    </w:p>
    <w:p>
      <w:pPr>
        <w:spacing w:after="0" w:line="109" w:lineRule="exact"/>
        <w:rPr>
          <w:sz w:val="20"/>
          <w:szCs w:val="20"/>
          <w:color w:val="auto"/>
        </w:rPr>
      </w:pPr>
    </w:p>
    <w:p>
      <w:pPr>
        <w:ind w:right="40"/>
        <w:spacing w:after="0" w:line="222" w:lineRule="auto"/>
        <w:rPr>
          <w:sz w:val="20"/>
          <w:szCs w:val="20"/>
          <w:color w:val="auto"/>
        </w:rPr>
      </w:pPr>
      <w:r>
        <w:rPr>
          <w:rFonts w:ascii="Arial" w:cs="Arial" w:eastAsia="Arial" w:hAnsi="Arial"/>
          <w:sz w:val="18"/>
          <w:szCs w:val="18"/>
          <w:b w:val="1"/>
          <w:bCs w:val="1"/>
          <w:i w:val="1"/>
          <w:iCs w:val="1"/>
          <w:color w:val="auto"/>
        </w:rPr>
        <w:t>Gainful Employment</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Under the Higher Education Act, certain education programs, including all programs offered by Kaplan University, 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required to lead to gainful employment in a recognized occupation in order to be eligible to participate in the Title IV programs. The ED has defined the phrase “gainful employment” to mean employment with earnings high enough to meet specific student debt-to-income ratios. The ED tied an education program's Title IV eligibility to whether the program meets that definition. These regulations are known as the "gainful employment" rules or “GE” rules. Under these regulations, the ED calculates two debt-to-earnings rates for each program subject to the GE regulations: an annual debt-to-earnings rate and a discretionary debt-to-earnings rate. The rates are calculated by comparing graduates' Title IV and private loan debt incurred to attend the program to their annual earnings and discretionary income as defined in the regulations. The rates for each program for each award year are calculated using income information obtained from the Social Security Administration, federal Title IV loan debt information gathered from its own records and private loan and institutional debt data provided by schools. Under the debt-to-earnings rates, a program passes the test if its annual debt-to-earnings rate does not exceed 8% or its discretionary debt-to-earnings rate does not exceed 20%. A program fails the test if its annual debt-to-earnings rate exceeds 12% and its discretionary debt to earnings rate exceeds 30%. A program is in a regulatory status called the “warning zone” if it does not pass or fail the test (i.e., either its annual debt-to-earnings rate is greater than 8%, but less than 12%, or its discretionary debt-to-earnings rate is greater than 20%, but less than 30%). If a program fails the test two times within three years, it will become ineligible to participate in the Title IV programs for a period of three years. If a program is either in the warning zone or fails the test for four consecutive years, it will also become ineligible to participate in Title IV programs for a period of three years. In addition, the regulation requires an institution to provide to current and prospective students prescribed warnings of any potential ineligibility of the program in any year for which the program could become ineligible based on the prior-year rates. Institutions with such programs also must wait to enroll prospective students into the failing program until three days after providing the warning to students. Such institutions also may be required to submit a letter of credit or other financial protection to the ED under the new borrower defense to repayment regulations that take effect on July 1, 2017.</w:t>
      </w:r>
    </w:p>
    <w:p>
      <w:pPr>
        <w:spacing w:after="0" w:line="116" w:lineRule="exact"/>
        <w:rPr>
          <w:sz w:val="20"/>
          <w:szCs w:val="20"/>
          <w:color w:val="auto"/>
        </w:rPr>
      </w:pPr>
    </w:p>
    <w:p>
      <w:pPr>
        <w:spacing w:after="0" w:line="224" w:lineRule="auto"/>
        <w:rPr>
          <w:sz w:val="20"/>
          <w:szCs w:val="20"/>
          <w:color w:val="auto"/>
        </w:rPr>
      </w:pPr>
      <w:r>
        <w:rPr>
          <w:rFonts w:ascii="Arial" w:cs="Arial" w:eastAsia="Arial" w:hAnsi="Arial"/>
          <w:sz w:val="18"/>
          <w:szCs w:val="18"/>
          <w:color w:val="auto"/>
        </w:rPr>
        <w:t>Under the debt-to-earnings rates for Kaplan’s programs that were released in January 2017 for the 2014–2015 award year, which are the first rates to be issued under the GE rules, none of Kaplan University’s active programs currently accepting students failed the GE test. Kaplan University has five other programs that failed the GE test. Of these five programs, two have been discontinued, have no students and are no longer being offered, and the remaining three are still active but are not accepting new enrollments. The three active failing programs accounted for approximately $16.7 million in revenue in 2016. Kaplan University also has 16 programs in the warning zone status. Four of these programs are active and currently accepting students. These four programs accounted for approximately $71 million and $51.1 million in revenue for 2015 and for 2016, respectively. Of the remaining 12 programs in the warning zone, five have been discontinued, have no students and are no longer being offered, and seven of these programs are active but not currently accepting enrollments. The ED has stated, that it has the ability to combine, for future GE debt-to-earnings calculations, any new programs that it determines to be “substantially similar” to other current or past programs. Kaplan University started a number of new programs after the effective date of the GE rules. Kaplan believes that the new programs are not “substantially similar” under the GE rules to any other current or past programs. However, if the ED determines that these new programs are</w:t>
      </w:r>
    </w:p>
    <w:p>
      <w:pPr>
        <w:spacing w:after="0" w:line="200" w:lineRule="exact"/>
        <w:rPr>
          <w:sz w:val="20"/>
          <w:szCs w:val="20"/>
          <w:color w:val="auto"/>
        </w:rPr>
      </w:pPr>
    </w:p>
    <w:p>
      <w:pPr>
        <w:spacing w:after="0" w:line="2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724" w:right="259" w:bottom="1440" w:gutter="0" w:footer="0" w:header="0"/>
        </w:sectPr>
      </w:pPr>
    </w:p>
    <w:bookmarkStart w:id="7" w:name="page8"/>
    <w:bookmarkEnd w:id="7"/>
    <w:p>
      <w:pPr>
        <w:spacing w:after="0" w:line="260" w:lineRule="auto"/>
        <w:rPr>
          <w:sz w:val="20"/>
          <w:szCs w:val="20"/>
          <w:color w:val="auto"/>
        </w:rPr>
      </w:pPr>
      <w:r>
        <w:rPr>
          <w:rFonts w:ascii="Arial" w:cs="Arial" w:eastAsia="Arial" w:hAnsi="Arial"/>
          <w:sz w:val="18"/>
          <w:szCs w:val="18"/>
          <w:color w:val="auto"/>
        </w:rPr>
        <w:t>substantially similar and combines the new programs with programs that are currently in the warning zone or that failed the GE test, eligibility of the new programs to participate in Title IV programs and revenues from such programs would be materially adversely affected.</w:t>
      </w:r>
    </w:p>
    <w:p>
      <w:pPr>
        <w:spacing w:after="0" w:line="92" w:lineRule="exact"/>
        <w:rPr>
          <w:sz w:val="20"/>
          <w:szCs w:val="20"/>
          <w:color w:val="auto"/>
        </w:rPr>
      </w:pPr>
    </w:p>
    <w:p>
      <w:pPr>
        <w:ind w:right="80"/>
        <w:spacing w:after="0" w:line="231" w:lineRule="auto"/>
        <w:rPr>
          <w:sz w:val="20"/>
          <w:szCs w:val="20"/>
          <w:color w:val="auto"/>
        </w:rPr>
      </w:pPr>
      <w:r>
        <w:rPr>
          <w:rFonts w:ascii="Arial" w:cs="Arial" w:eastAsia="Arial" w:hAnsi="Arial"/>
          <w:sz w:val="18"/>
          <w:szCs w:val="18"/>
          <w:color w:val="auto"/>
        </w:rPr>
        <w:t>The GE rules allow for an appeal of these rates if the institution can provide alternative earnings data for each appealed program showing an improvement in the GE rates and moving the program from fail to warning zone or from warning zone to pass. Kaplan University has appealed the rates for the 16 programs in the warning zone, including the four programs that are active and currently accepting students and the remaining 12 programs that are discontinued and not accepting students. Although none of five failing programs is active and accepting students, Kaplan University has appealed their rates as well. Kaplan University cannot predict the outcome of these appeals.</w:t>
      </w:r>
    </w:p>
    <w:p>
      <w:pPr>
        <w:spacing w:after="0" w:line="111" w:lineRule="exact"/>
        <w:rPr>
          <w:sz w:val="20"/>
          <w:szCs w:val="20"/>
          <w:color w:val="auto"/>
        </w:rPr>
      </w:pPr>
    </w:p>
    <w:p>
      <w:pPr>
        <w:ind w:right="380"/>
        <w:spacing w:after="0"/>
        <w:rPr>
          <w:sz w:val="20"/>
          <w:szCs w:val="20"/>
          <w:color w:val="auto"/>
        </w:rPr>
      </w:pPr>
      <w:r>
        <w:rPr>
          <w:rFonts w:ascii="Arial" w:cs="Arial" w:eastAsia="Arial" w:hAnsi="Arial"/>
          <w:sz w:val="18"/>
          <w:szCs w:val="18"/>
          <w:color w:val="auto"/>
        </w:rPr>
        <w:t>The regulations also include revised requirements for public disclosure of program information and certain outcomes (including graduation, placement and repayment rates, plus other consumer information); these new disclosure requirements were scheduled to take effect on January 1, 2017, but the effectiveness of the requirements have been delayed until April 3, 2017.</w:t>
      </w:r>
    </w:p>
    <w:p>
      <w:pPr>
        <w:spacing w:after="0" w:line="108" w:lineRule="exact"/>
        <w:rPr>
          <w:sz w:val="20"/>
          <w:szCs w:val="20"/>
          <w:color w:val="auto"/>
        </w:rPr>
      </w:pPr>
    </w:p>
    <w:p>
      <w:pPr>
        <w:ind w:right="20"/>
        <w:spacing w:after="0" w:line="223" w:lineRule="auto"/>
        <w:rPr>
          <w:sz w:val="20"/>
          <w:szCs w:val="20"/>
          <w:color w:val="auto"/>
        </w:rPr>
      </w:pPr>
      <w:r>
        <w:rPr>
          <w:rFonts w:ascii="Arial" w:cs="Arial" w:eastAsia="Arial" w:hAnsi="Arial"/>
          <w:sz w:val="18"/>
          <w:szCs w:val="18"/>
          <w:color w:val="auto"/>
        </w:rPr>
        <w:t>In addition, the regulations include a requirement that the institution certify to the ED that each program subject to the gainful employment regulations (i) be approved by an accrediting agency recognized by the ED, (ii) have programmatic accreditation if required by a governmental entity in a state in which the school is located or otherwise required to obtain state authorization under ED’s regulations and (iii) for each state in which the school is located or otherwise required to obtain state authorization under the ED’s regulations, meet applicable educational prerequisites for professional licensure or certification requirements in such state(s) so that graduates qualify to take any licensure or certification exam that is needed for such graduates to practice or find employment in such state(s) in an occupation that the program prepares graduates to enter. In addition, a school will be required to certify that any new Title IV-eligible education program it establishes is not “substantially similar” (as defined in the GE regulations) to a program that is ineligible under the regulations. This “certification” requirement has had a material negative impact on Kaplan University’s Concord Law School’s Juris Doctor program, which accounted for less than 1% of KHE’s 2016 revenue. Because it is completely online, that program does not have accreditation necessary to allow graduates to become licensed to practice law upon graduation and qualify to take the bar exam in any state other than California. Accordingly, because the ED has not provided guidance that narrows the rule as written, in 2015 Concord Law School was required to cease enrollments in multiple states. Changes in the state authorization law, discussed below, may extend the certification requirement to other states and further impact Concord and other Kaplan University programs.</w:t>
      </w:r>
    </w:p>
    <w:p>
      <w:pPr>
        <w:spacing w:after="0" w:line="117" w:lineRule="exact"/>
        <w:rPr>
          <w:sz w:val="20"/>
          <w:szCs w:val="20"/>
          <w:color w:val="auto"/>
        </w:rPr>
      </w:pPr>
    </w:p>
    <w:p>
      <w:pPr>
        <w:ind w:right="20"/>
        <w:spacing w:after="0" w:line="224" w:lineRule="auto"/>
        <w:rPr>
          <w:sz w:val="20"/>
          <w:szCs w:val="20"/>
          <w:color w:val="auto"/>
        </w:rPr>
      </w:pPr>
      <w:r>
        <w:rPr>
          <w:rFonts w:ascii="Arial" w:cs="Arial" w:eastAsia="Arial" w:hAnsi="Arial"/>
          <w:sz w:val="18"/>
          <w:szCs w:val="18"/>
          <w:color w:val="auto"/>
        </w:rPr>
        <w:t>Some of the data needed to compute debt-to-earnings rates and project their impact on Title IV program eligibility under the GE regulations are not accessible to the Company, including specific graduate earnings information that will be compiled by the Social Security Administration. In addition, the continuing eligibility of programs for Title IV funding may be affected by factors beyond Kaplan’s control, such as changes in the actual or deemed earnings level of its graduates, changes in student borrowing levels, increases in interest rates, changes in the U.S. Federal poverty income level relevant for calculating one of the proposed debt-to-earnings rates and other factors. As a result, the ultimate outcome of future GE rates and their impact on Kaplan’s operations are still uncertain. Kaplan is continuing efforts to mitigate any current and potential negative impact of the GE rules. These efforts include increasing career services support, implementing financial literacy counseling, creating program-specific tuition reductions and scholarships and revising the pricing model to implement a tuition cap for at-risk programs. Although Kaplan is taking these and other steps to address compliance with GE regulations, there is no assurance that these measures will be adequate to prevent a material number of programs from receiving debt-to-earnings rates that fail or are in the warning zone and to prevent a loss of Title IV eligibility. This has caused Kaplan to eliminate or limit enrollments in certain educational programs at some of its schools; may result in the loss of student access to Title IV programs; and has had and may continue to have a material adverse effect on KHE</w:t>
      </w:r>
      <w:r>
        <w:rPr>
          <w:rFonts w:ascii="Arial" w:cs="Arial" w:eastAsia="Arial" w:hAnsi="Arial"/>
          <w:sz w:val="14"/>
          <w:szCs w:val="14"/>
          <w:b w:val="1"/>
          <w:bCs w:val="1"/>
          <w:color w:val="auto"/>
        </w:rPr>
        <w:t>’</w:t>
      </w:r>
      <w:r>
        <w:rPr>
          <w:rFonts w:ascii="Arial" w:cs="Arial" w:eastAsia="Arial" w:hAnsi="Arial"/>
          <w:sz w:val="18"/>
          <w:szCs w:val="18"/>
          <w:color w:val="auto"/>
        </w:rPr>
        <w:t>s revenues, operating income, and cash flows.</w:t>
      </w:r>
    </w:p>
    <w:p>
      <w:pPr>
        <w:spacing w:after="0" w:line="107" w:lineRule="exact"/>
        <w:rPr>
          <w:sz w:val="20"/>
          <w:szCs w:val="20"/>
          <w:color w:val="auto"/>
        </w:rPr>
      </w:pPr>
    </w:p>
    <w:p>
      <w:pPr>
        <w:ind w:right="140"/>
        <w:spacing w:after="0" w:line="227" w:lineRule="auto"/>
        <w:rPr>
          <w:sz w:val="20"/>
          <w:szCs w:val="20"/>
          <w:color w:val="auto"/>
        </w:rPr>
      </w:pPr>
      <w:r>
        <w:rPr>
          <w:rFonts w:ascii="Arial" w:cs="Arial" w:eastAsia="Arial" w:hAnsi="Arial"/>
          <w:sz w:val="18"/>
          <w:szCs w:val="18"/>
          <w:b w:val="1"/>
          <w:bCs w:val="1"/>
          <w:i w:val="1"/>
          <w:iCs w:val="1"/>
          <w:color w:val="auto"/>
        </w:rPr>
        <w:t>Incentive Compensation</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Under the ED’s incentive compensation rules, an institution participating in Title IV programs may not provide 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commission, bonus or other incentive payment based directly or indirectly on success in securing enrollments or financial aid to any person or entity engaged in any student recruiting or admission activities or in making decisions regarding the awarding of Title IV funds. Kaplan has taken steps to comply fully with these rules and the related guidance. Among the actions taken, Kaplan revised its compensation plans for admissions personnel and eliminated enrollment results as a component in the determination of compensation. Kaplan believes that this change in its approach to recruiting has adversely impacted, and will continue to adversely impact, its enrollment rates, operating costs, business and results of operation. Kaplan cannot predict how the ED will interpret and enforce all aspects of the revised incentive compensation rule in the future.</w:t>
      </w:r>
    </w:p>
    <w:p>
      <w:pPr>
        <w:spacing w:after="0" w:line="110" w:lineRule="exact"/>
        <w:rPr>
          <w:sz w:val="20"/>
          <w:szCs w:val="20"/>
          <w:color w:val="auto"/>
        </w:rPr>
      </w:pPr>
    </w:p>
    <w:p>
      <w:pPr>
        <w:ind w:right="60"/>
        <w:spacing w:after="0" w:line="234" w:lineRule="auto"/>
        <w:rPr>
          <w:sz w:val="20"/>
          <w:szCs w:val="20"/>
          <w:color w:val="auto"/>
        </w:rPr>
      </w:pPr>
      <w:r>
        <w:rPr>
          <w:rFonts w:ascii="Arial" w:cs="Arial" w:eastAsia="Arial" w:hAnsi="Arial"/>
          <w:sz w:val="18"/>
          <w:szCs w:val="18"/>
          <w:b w:val="1"/>
          <w:bCs w:val="1"/>
          <w:i w:val="1"/>
          <w:iCs w:val="1"/>
          <w:color w:val="auto"/>
        </w:rPr>
        <w:t xml:space="preserve">The 90/10 Rule. </w:t>
      </w:r>
      <w:r>
        <w:rPr>
          <w:rFonts w:ascii="Arial" w:cs="Arial" w:eastAsia="Arial" w:hAnsi="Arial"/>
          <w:sz w:val="18"/>
          <w:szCs w:val="18"/>
          <w:color w:val="auto"/>
        </w:rPr>
        <w:t>Under regulations referred to as the 90/10 rule, an institution would lose its eligibility to participate in Title IV programs for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period of at least two fiscal years if the institution derives more than 90% of its receipts from Title IV programs, as calculated on a cash basis in accordance with the Higher Education Act and applicable ED regulations, in each of two consecutive fiscal years. An institution with Title IV receipts exceeding 90% for a</w:t>
      </w:r>
    </w:p>
    <w:p>
      <w:pPr>
        <w:spacing w:after="0" w:line="200" w:lineRule="exact"/>
        <w:rPr>
          <w:sz w:val="20"/>
          <w:szCs w:val="20"/>
          <w:color w:val="auto"/>
        </w:rPr>
      </w:pPr>
    </w:p>
    <w:p>
      <w:pPr>
        <w:spacing w:after="0" w:line="27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724" w:right="259" w:bottom="1440" w:gutter="0" w:footer="0" w:header="0"/>
        </w:sectPr>
      </w:pPr>
    </w:p>
    <w:bookmarkStart w:id="8" w:name="page9"/>
    <w:bookmarkEnd w:id="8"/>
    <w:p>
      <w:pPr>
        <w:ind w:right="120"/>
        <w:spacing w:after="0"/>
        <w:rPr>
          <w:sz w:val="20"/>
          <w:szCs w:val="20"/>
          <w:color w:val="auto"/>
        </w:rPr>
      </w:pPr>
      <w:r>
        <w:rPr>
          <w:rFonts w:ascii="Arial" w:cs="Arial" w:eastAsia="Arial" w:hAnsi="Arial"/>
          <w:sz w:val="18"/>
          <w:szCs w:val="18"/>
          <w:color w:val="auto"/>
        </w:rPr>
        <w:t>single fiscal year would be placed on provisional certification and may be subject to other enforcement measures, including a potential requirement to submit to the ED a letter of credit under the borrower defense to repayment regulations that take effect on July 1, 2017. Kaplan University derived less than 77% and less than 79% of its receipts from Title IV programs in 2016 and 2015, respectively.</w:t>
      </w:r>
    </w:p>
    <w:p>
      <w:pPr>
        <w:spacing w:after="0" w:line="108" w:lineRule="exact"/>
        <w:rPr>
          <w:sz w:val="20"/>
          <w:szCs w:val="20"/>
          <w:color w:val="auto"/>
        </w:rPr>
      </w:pPr>
    </w:p>
    <w:p>
      <w:pPr>
        <w:spacing w:after="0" w:line="224" w:lineRule="auto"/>
        <w:rPr>
          <w:sz w:val="20"/>
          <w:szCs w:val="20"/>
          <w:color w:val="auto"/>
        </w:rPr>
      </w:pPr>
      <w:r>
        <w:rPr>
          <w:rFonts w:ascii="Arial" w:cs="Arial" w:eastAsia="Arial" w:hAnsi="Arial"/>
          <w:sz w:val="18"/>
          <w:szCs w:val="18"/>
          <w:color w:val="auto"/>
        </w:rPr>
        <w:t>Kaplan University is taking various measures to reduce the percentage of its receipts attributable to Title IV funds, including modifying student payment options; emphasizing direct-pay and employer-paid education programs; encouraging students to evaluate carefully the amount of their Title IV borrowing; eliminating some programs; cash-matching; and developing and offering additional non-Title IV-eligible certificate preparation, professional development and continuing education programs. Kaplan has taken steps to ensure that revenue from programs acquired by Kaplan University is eligible to be counted in that campus’s 90/10 calculation. However, there can be no guarantee that the ED will not challenge the inclusion of revenue from any acquired program in Kaplan University’s 90/10 calculations or will not issue an interpretation of the 90/10 rule that would exclude such revenue from the calculation. There can be no guarantee that these measures will be adequate to prevent the 90/10 ratio at Kaplan University from exceeding 90% in the future. In addition, certain legislators have proposed amendments to the Higher Education Act that would lower the threshold percentage in the 90/10 rule to 85%, treat non-Title IV federal funds as Title IV funds in the 90/10 calculation and make other refinements to the calculation. If these proposals or similar laws or regulations are adopted, they would make it more difficult for Kaplan University’s institutions to comply with the 90/10 rule.</w:t>
      </w:r>
    </w:p>
    <w:p>
      <w:pPr>
        <w:spacing w:after="0" w:line="117" w:lineRule="exact"/>
        <w:rPr>
          <w:sz w:val="20"/>
          <w:szCs w:val="20"/>
          <w:color w:val="auto"/>
        </w:rPr>
      </w:pPr>
    </w:p>
    <w:p>
      <w:pPr>
        <w:ind w:right="40"/>
        <w:spacing w:after="0" w:line="226" w:lineRule="auto"/>
        <w:rPr>
          <w:sz w:val="20"/>
          <w:szCs w:val="20"/>
          <w:color w:val="auto"/>
        </w:rPr>
      </w:pPr>
      <w:r>
        <w:rPr>
          <w:rFonts w:ascii="Arial" w:cs="Arial" w:eastAsia="Arial" w:hAnsi="Arial"/>
          <w:sz w:val="18"/>
          <w:szCs w:val="18"/>
          <w:b w:val="1"/>
          <w:bCs w:val="1"/>
          <w:i w:val="1"/>
          <w:iCs w:val="1"/>
          <w:color w:val="auto"/>
        </w:rPr>
        <w:t xml:space="preserve">Change of Control. </w:t>
      </w:r>
      <w:r>
        <w:rPr>
          <w:rFonts w:ascii="Arial" w:cs="Arial" w:eastAsia="Arial" w:hAnsi="Arial"/>
          <w:sz w:val="18"/>
          <w:szCs w:val="18"/>
          <w:color w:val="auto"/>
        </w:rPr>
        <w:t>If an institution experiences a change of control under the standards of applicable state agencies, accrediting agencies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ED, the institution must seek the approval of the relevant agencies. An institution that undergoes a change of control, which may include a change of control of the institution’s parent corporation or other owners, must be reviewed and recertified by the ED and obtain approvals from certain state agencies and accrediting bodies, in some cases prior to the change of control. The standards pertaining to a change of control are not uniform and are subject to interpretation by the respective agencies. Certifications obtained from the ED following a change in control are granted on a provisional basis that permits the institution to continue participating in Title IV programs, but provides fewer procedural protections than full certifications. As a result, the ED may withdraw an institution’s provisional certification more easily than if it is fully certified. In addition, the ED may subject an institution on provisional certification status to greater scrutiny in some instances, for example, when it applies for approval to add a new location or program or makes another substantive change.</w:t>
      </w:r>
    </w:p>
    <w:p>
      <w:pPr>
        <w:spacing w:after="0" w:line="110" w:lineRule="exact"/>
        <w:rPr>
          <w:sz w:val="20"/>
          <w:szCs w:val="20"/>
          <w:color w:val="auto"/>
        </w:rPr>
      </w:pPr>
    </w:p>
    <w:p>
      <w:pPr>
        <w:spacing w:after="0" w:line="222" w:lineRule="auto"/>
        <w:rPr>
          <w:sz w:val="20"/>
          <w:szCs w:val="20"/>
          <w:color w:val="auto"/>
        </w:rPr>
      </w:pPr>
      <w:r>
        <w:rPr>
          <w:rFonts w:ascii="Arial" w:cs="Arial" w:eastAsia="Arial" w:hAnsi="Arial"/>
          <w:sz w:val="18"/>
          <w:szCs w:val="18"/>
          <w:b w:val="1"/>
          <w:bCs w:val="1"/>
          <w:i w:val="1"/>
          <w:iCs w:val="1"/>
          <w:color w:val="auto"/>
        </w:rPr>
        <w:t xml:space="preserve">Standards of Financial Responsibility. </w:t>
      </w:r>
      <w:r>
        <w:rPr>
          <w:rFonts w:ascii="Arial" w:cs="Arial" w:eastAsia="Arial" w:hAnsi="Arial"/>
          <w:sz w:val="18"/>
          <w:szCs w:val="18"/>
          <w:color w:val="auto"/>
        </w:rPr>
        <w:t>An institution participating in Title IV programs must maintain a certain level of financial responsibility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 determined under the Higher Education Act and under ED regulations. The ED measures an institution’s financial responsibility by compiling a composite score, ranging from -0.1 to 3.0, pursuant to a formula that incorporates various financial data from annual financial statements submitted to the ED. An institution with a composite score of 1.5 or higher passes the composite test. An institution with a composite score of at least 1.0 and less than 1.5 is in the zone. If an institution’s composite score is in the zone and the institution complies with other financial responsibility standards, the ED typically permits the institution to continue participating in the Title IV programs under certain conditions, including imposing certain monitoring and reporting requirements, placing the institution on provisional certification and transferring the institution from the advance system of Title IV payment to a heightened cash-monitoring or reimbursement system of payment. An institution fails the composite score test with a score of less than 1.0. The ED may permit such institutions to continue participating in the Title IV programs under the aforementioned conditions and potentially other conditions, as well as a requirement to submit to the ED a letter of credit in an amount equal to at least 10% of the annual Title IV program funds received by the institution during its most recently completed fiscal year, although the ED could require a letter of credit based on a higher percentage of the institution’s annual Title IV program funds. The borrower defense to repayment regulations that take effect on July 1, 2017, expand the list of circumstances that could require an institution to provide the ED with a letter of credit or other form of acceptable financial protection. Moreover, the new borrower defense to repayment regulations may increase the required minimum letter of credit amount beyond 10% of annual Title IV funds to include additional amounts that the ED determines are needed to fully cover any estimated potential losses. If an institution is unable to submit a required letter of credit or to comply with ED imposed conditions, the institution could be subject to loss of Title IV eligibility, financial penalties and other conditions or sanctions. For the 2016 fiscal year, Kaplan University expects to have a composite score of 1.8, based on its own assessment using ED methodology. However, the ED will make its own determination once it receives and reviews Kaplan University’s audited financial statements for the 2016 fiscal year.</w:t>
      </w: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724" w:right="239" w:bottom="1440" w:gutter="0" w:footer="0" w:header="0"/>
        </w:sectPr>
      </w:pPr>
    </w:p>
    <w:bookmarkStart w:id="9" w:name="page10"/>
    <w:bookmarkEnd w:id="9"/>
    <w:p>
      <w:pPr>
        <w:spacing w:after="0" w:line="234" w:lineRule="auto"/>
        <w:rPr>
          <w:sz w:val="20"/>
          <w:szCs w:val="20"/>
          <w:color w:val="auto"/>
        </w:rPr>
      </w:pPr>
      <w:r>
        <w:rPr>
          <w:rFonts w:ascii="Arial" w:cs="Arial" w:eastAsia="Arial" w:hAnsi="Arial"/>
          <w:sz w:val="18"/>
          <w:szCs w:val="18"/>
          <w:b w:val="1"/>
          <w:bCs w:val="1"/>
          <w:i w:val="1"/>
          <w:iCs w:val="1"/>
          <w:color w:val="auto"/>
        </w:rPr>
        <w:t xml:space="preserve">Administrative Capability. </w:t>
      </w:r>
      <w:r>
        <w:rPr>
          <w:rFonts w:ascii="Arial" w:cs="Arial" w:eastAsia="Arial" w:hAnsi="Arial"/>
          <w:sz w:val="18"/>
          <w:szCs w:val="18"/>
          <w:color w:val="auto"/>
        </w:rPr>
        <w:t>The Higher Education Act, as reauthorized, directs the ED to assess the administrative capability of each institution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participate in Title IV programs. The failure of an institution to satisfy any of the criteria used to assess administrative capability may cause the ED to determine that the institution lacks administrative capability and subject the institution to additional scrutiny, deny eligibility for Title IV programs or impose other sanctions. To meet the administrative capability standards, an institution must, among other things:</w:t>
      </w:r>
    </w:p>
    <w:p>
      <w:pPr>
        <w:spacing w:after="0" w:line="3" w:lineRule="exact"/>
        <w:rPr>
          <w:sz w:val="20"/>
          <w:szCs w:val="20"/>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Comply with all applicable Title IV program requirements;</w:t>
      </w:r>
    </w:p>
    <w:p>
      <w:pPr>
        <w:spacing w:after="0" w:line="36"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Have an adequate number of qualified personnel to administer Title IV programs;</w:t>
      </w:r>
    </w:p>
    <w:p>
      <w:pPr>
        <w:spacing w:after="0" w:line="36"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Have acceptable standards for measuring the satisfactory academic progress of its students;</w:t>
      </w:r>
    </w:p>
    <w:p>
      <w:pPr>
        <w:spacing w:after="0" w:line="36"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Have procedures in place for awarding, disbursing and safeguarding Title IV funds and for maintaining required records;</w:t>
      </w:r>
    </w:p>
    <w:p>
      <w:pPr>
        <w:spacing w:after="0" w:line="36"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Administer Title IV programs with adequate checks and balances in its system of internal control over financial reporting;</w:t>
      </w:r>
    </w:p>
    <w:p>
      <w:pPr>
        <w:spacing w:after="0" w:line="36" w:lineRule="exact"/>
        <w:rPr>
          <w:rFonts w:ascii="Arial" w:cs="Arial" w:eastAsia="Arial" w:hAnsi="Arial"/>
          <w:sz w:val="18"/>
          <w:szCs w:val="18"/>
          <w:color w:val="auto"/>
        </w:rPr>
      </w:pPr>
    </w:p>
    <w:p>
      <w:pPr>
        <w:ind w:left="340" w:right="260" w:hanging="332"/>
        <w:spacing w:after="0" w:line="250"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Not be, and not have any principal or affiliate who is, debarred or suspended from U.S. Federal contracting or engaging in activity that is cause for debarment or suspension;</w:t>
      </w: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Provide adequate financial aid counseling to its students;</w:t>
      </w:r>
    </w:p>
    <w:p>
      <w:pPr>
        <w:spacing w:after="0" w:line="36" w:lineRule="exact"/>
        <w:rPr>
          <w:rFonts w:ascii="Arial" w:cs="Arial" w:eastAsia="Arial" w:hAnsi="Arial"/>
          <w:sz w:val="18"/>
          <w:szCs w:val="18"/>
          <w:color w:val="auto"/>
        </w:rPr>
      </w:pPr>
    </w:p>
    <w:p>
      <w:pPr>
        <w:ind w:left="340" w:right="280" w:hanging="332"/>
        <w:spacing w:after="0" w:line="250"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Refer to the ED’s Office of the Inspector General any credible information indicating that any applicant, student, parent, employee, third-party servicer or other agent of the institution has engaged in any fraud or other illegal conduct involving Title IV programs;</w:t>
      </w: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Submit in a timely way all required reports and financial statements; and</w:t>
      </w:r>
    </w:p>
    <w:p>
      <w:pPr>
        <w:spacing w:after="0" w:line="4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Not otherwise appear to lack administrative capability.</w:t>
      </w:r>
    </w:p>
    <w:p>
      <w:pPr>
        <w:spacing w:after="0" w:line="158" w:lineRule="exact"/>
        <w:rPr>
          <w:sz w:val="20"/>
          <w:szCs w:val="20"/>
          <w:color w:val="auto"/>
        </w:rPr>
      </w:pPr>
    </w:p>
    <w:p>
      <w:pPr>
        <w:ind w:right="180"/>
        <w:spacing w:after="0"/>
        <w:rPr>
          <w:sz w:val="20"/>
          <w:szCs w:val="20"/>
          <w:color w:val="auto"/>
        </w:rPr>
      </w:pPr>
      <w:r>
        <w:rPr>
          <w:rFonts w:ascii="Arial" w:cs="Arial" w:eastAsia="Arial" w:hAnsi="Arial"/>
          <w:sz w:val="18"/>
          <w:szCs w:val="18"/>
          <w:color w:val="auto"/>
        </w:rPr>
        <w:t>Although Kaplan endeavors to comply with the administrative capability requirements, Kaplan cannot guarantee that it will continue to comply with the administrative capability requirements or that its interpretation or application of the relevant rules will be upheld by the ED or other agencies or upon judicial review.</w:t>
      </w:r>
    </w:p>
    <w:p>
      <w:pPr>
        <w:spacing w:after="0" w:line="108" w:lineRule="exact"/>
        <w:rPr>
          <w:sz w:val="20"/>
          <w:szCs w:val="20"/>
          <w:color w:val="auto"/>
        </w:rPr>
      </w:pPr>
    </w:p>
    <w:p>
      <w:pPr>
        <w:ind w:right="100"/>
        <w:spacing w:after="0" w:line="231" w:lineRule="auto"/>
        <w:rPr>
          <w:sz w:val="20"/>
          <w:szCs w:val="20"/>
          <w:color w:val="auto"/>
        </w:rPr>
      </w:pPr>
      <w:r>
        <w:rPr>
          <w:rFonts w:ascii="Arial" w:cs="Arial" w:eastAsia="Arial" w:hAnsi="Arial"/>
          <w:sz w:val="18"/>
          <w:szCs w:val="18"/>
          <w:b w:val="1"/>
          <w:bCs w:val="1"/>
          <w:i w:val="1"/>
          <w:iCs w:val="1"/>
          <w:color w:val="auto"/>
        </w:rPr>
        <w:t xml:space="preserve">State Authorization. </w:t>
      </w:r>
      <w:r>
        <w:rPr>
          <w:rFonts w:ascii="Arial" w:cs="Arial" w:eastAsia="Arial" w:hAnsi="Arial"/>
          <w:sz w:val="18"/>
          <w:szCs w:val="18"/>
          <w:color w:val="auto"/>
        </w:rPr>
        <w:t>Kaplan’s institutions and programs are subject to state-level regulation and oversight by state licensing agencies, whose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approval is necessary to allow an institution to operate and grant degrees or diplomas in the state. State laws may establish standards for instruction, qualifications of faculty, location and nature of facilities, financial policies and responsibility and other operational matters. Institutions that participate in Title IV programs must be legally authorized to operate in the state in which the institution is physically located or is otherwise subject to state authorization requirements.</w:t>
      </w:r>
    </w:p>
    <w:p>
      <w:pPr>
        <w:spacing w:after="0" w:line="111" w:lineRule="exact"/>
        <w:rPr>
          <w:sz w:val="20"/>
          <w:szCs w:val="20"/>
          <w:color w:val="auto"/>
        </w:rPr>
      </w:pPr>
    </w:p>
    <w:p>
      <w:pPr>
        <w:ind w:right="300"/>
        <w:spacing w:after="0" w:line="229" w:lineRule="auto"/>
        <w:rPr>
          <w:sz w:val="20"/>
          <w:szCs w:val="20"/>
          <w:color w:val="auto"/>
        </w:rPr>
      </w:pPr>
      <w:r>
        <w:rPr>
          <w:rFonts w:ascii="Arial" w:cs="Arial" w:eastAsia="Arial" w:hAnsi="Arial"/>
          <w:sz w:val="18"/>
          <w:szCs w:val="18"/>
          <w:color w:val="auto"/>
        </w:rPr>
        <w:t>Some states have sought to assert jurisdiction over online educational institutions that offer education services to residents in the state or to institutions that advertise or recruit in the state, notwithstanding the lack of a physical location in the state. State regulatory requirements for online education vary among the states, are not well developed in many states, are imprecise or unclear in some states and are subject to change. If Kaplan University is found not to be in compliance with an applicable state regulation and a state seeks to restrict one or more of Kaplan University's business activities within its boundaries, Kaplan University may not be able to recruit or enroll students in that state and may have to cease providing services in that state.</w:t>
      </w:r>
    </w:p>
    <w:p>
      <w:pPr>
        <w:spacing w:after="0" w:line="112" w:lineRule="exact"/>
        <w:rPr>
          <w:sz w:val="20"/>
          <w:szCs w:val="20"/>
          <w:color w:val="auto"/>
        </w:rPr>
      </w:pPr>
    </w:p>
    <w:p>
      <w:pPr>
        <w:ind w:right="20"/>
        <w:spacing w:after="0" w:line="224" w:lineRule="auto"/>
        <w:rPr>
          <w:sz w:val="20"/>
          <w:szCs w:val="20"/>
          <w:color w:val="auto"/>
        </w:rPr>
      </w:pPr>
      <w:r>
        <w:rPr>
          <w:rFonts w:ascii="Arial" w:cs="Arial" w:eastAsia="Arial" w:hAnsi="Arial"/>
          <w:sz w:val="18"/>
          <w:szCs w:val="18"/>
          <w:color w:val="auto"/>
        </w:rPr>
        <w:t>The ED regulations that became effective on July 1, 2011, expanded the requirements for an institution to be considered legally authorized in the state in which it is physically located for Title IV purposes. In some cases, the regulations required states to revise their current requirements and/or to license schools in order for institutions to be deemed legally authorized in those states and, in turn, to participate in the Title IV programs. If a state’s requirements are found not to be in compliance with these ED regulations or if Kaplan University's institutions do not receive state approvals where necessary, the institutions could be deemed to lack the state authorization necessary to participate in the Title IV programs and be subject to loss of Title IV eligibility, repayment obligations and other sanctions. Due to an exemption, Kaplan University’s home state of Iowa does not require Kaplan University to be registered in Iowa. However, to comply with the law, Kaplan University was granted affirmative registration in Iowa. Kaplan believes that all of Kaplan University’s campuses currently meet the ED requirements to be considered legally authorized to provide the programs they offer in the states in which the campuses are located. The ED has stated that it will not publish a list of states that meet, or fail to meet, the state authorization requirements, and it is uncertain how the ED will interpret these requirements in each state.</w:t>
      </w:r>
    </w:p>
    <w:p>
      <w:pPr>
        <w:spacing w:after="0" w:line="117" w:lineRule="exact"/>
        <w:rPr>
          <w:sz w:val="20"/>
          <w:szCs w:val="20"/>
          <w:color w:val="auto"/>
        </w:rPr>
      </w:pPr>
    </w:p>
    <w:p>
      <w:pPr>
        <w:spacing w:after="0" w:line="228" w:lineRule="auto"/>
        <w:rPr>
          <w:sz w:val="20"/>
          <w:szCs w:val="20"/>
          <w:color w:val="auto"/>
        </w:rPr>
      </w:pPr>
      <w:r>
        <w:rPr>
          <w:rFonts w:ascii="Arial" w:cs="Arial" w:eastAsia="Arial" w:hAnsi="Arial"/>
          <w:sz w:val="18"/>
          <w:szCs w:val="18"/>
          <w:color w:val="auto"/>
        </w:rPr>
        <w:t>In addition, the ED regulations that took effect on July 1, 2011, required institutions offering postsecondary education to students through distance education in a state in which the institution is not physically located, or in which it is otherwise subject to state jurisdiction as determined by the state, to meet any applicable state requirements for it to be legally offering postsecondary distance education in that state. In June 2012, the U.S. Court of Appeals for the District of Columbia vacated the regulations with respect to distance education. Between February and May 2014, the ED convened a negotiated rulemaking committee to develop proposed regulations on a variety of topics that included state authorization for programs offered through distance education or correspondence education. The ED paused the negotiated rulemaking process without publishing new regulations</w:t>
      </w: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724" w:right="259" w:bottom="1440" w:gutter="0" w:footer="0" w:header="0"/>
        </w:sectPr>
      </w:pPr>
    </w:p>
    <w:bookmarkStart w:id="10" w:name="page11"/>
    <w:bookmarkEnd w:id="10"/>
    <w:p>
      <w:pPr>
        <w:spacing w:after="0" w:line="223" w:lineRule="auto"/>
        <w:rPr>
          <w:sz w:val="20"/>
          <w:szCs w:val="20"/>
          <w:color w:val="auto"/>
        </w:rPr>
      </w:pPr>
      <w:r>
        <w:rPr>
          <w:rFonts w:ascii="Arial" w:cs="Arial" w:eastAsia="Arial" w:hAnsi="Arial"/>
          <w:sz w:val="18"/>
          <w:szCs w:val="18"/>
          <w:color w:val="auto"/>
        </w:rPr>
        <w:t>on this topic. On December 19, 2016, the ED issued final regulations regarding distance-education state authorization requirements that will require Kaplan University to be authorized in additional states, as well as regulations applicable to institutions with Title IV participating locations in a foreign country. The regulations are not scheduled to take effect until July 1, 2018. Specifically, the regulations will require an institution that offers postsecondary education through distance education in a state in which the institution is not physically located, or in which the state determines that the institution is otherwise subject to the state’s jurisdiction, to meet the state’s authorization requirements for offering postsecondary distance education in that state. The regulations also will require the institution to document that there is a state process for review and appropriate action on complaints from enrolled students in each such state. In addition, the regulations will require the institution to provide public disclosures regarding various matters, relating to its state authorization and to provide individualized disclosures to each prospective student regarding certain matters, including whether the student’s program fails to meet licensure or certification prerequisites in the state in which the student resides. The regulations in certain circumstances consider an institution to have met state authorization requirements in states that participate in a state authorization reciprocity agreement that covers the institution. If Kaplan is unable to obtain the required approvals for distance-education programs by the effective date of the new regulations, then Kaplan students residing in the state for which approval was not obtained may be unable to receive Title IV funds, which could have a material adverse effect on Kaplan’s business and operations. The implementation of this rule may further limit Concord’s ability to enroll students in its Juris Doctor program outside of California and may materially impact Concord’s revenue.</w:t>
      </w:r>
    </w:p>
    <w:p>
      <w:pPr>
        <w:spacing w:after="0" w:line="113" w:lineRule="exact"/>
        <w:rPr>
          <w:sz w:val="20"/>
          <w:szCs w:val="20"/>
          <w:color w:val="auto"/>
        </w:rPr>
      </w:pPr>
    </w:p>
    <w:p>
      <w:pPr>
        <w:ind w:right="40"/>
        <w:spacing w:after="0" w:line="226" w:lineRule="auto"/>
        <w:rPr>
          <w:sz w:val="20"/>
          <w:szCs w:val="20"/>
          <w:color w:val="auto"/>
        </w:rPr>
      </w:pPr>
      <w:r>
        <w:rPr>
          <w:rFonts w:ascii="Arial" w:cs="Arial" w:eastAsia="Arial" w:hAnsi="Arial"/>
          <w:sz w:val="18"/>
          <w:szCs w:val="18"/>
          <w:b w:val="1"/>
          <w:bCs w:val="1"/>
          <w:i w:val="1"/>
          <w:iCs w:val="1"/>
          <w:color w:val="auto"/>
        </w:rPr>
        <w:t xml:space="preserve">Congressional Reauthorization of Title IV Programs. </w:t>
      </w:r>
      <w:r>
        <w:rPr>
          <w:rFonts w:ascii="Arial" w:cs="Arial" w:eastAsia="Arial" w:hAnsi="Arial"/>
          <w:sz w:val="18"/>
          <w:szCs w:val="18"/>
          <w:color w:val="auto"/>
        </w:rPr>
        <w:t>All of the Title IV programs are subject to periodic legislative review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reauthorization. In addition, while Congress historically has not limited the amount of funding available for the various Title IV student loan programs, the availability of funding for the Title IV programs that provide for the payment of grants is primarily contingent upon the outcome of the annual U.S. Federal appropriations process. Congress also can make changes in the laws affecting Title IV programs in those annual appropriations bills and in other laws it enacts between Higher Education Act reauthorizations. The Higher Education Act was reauthorized through September 2014 and has continued to receive annual appropriations. The Senate Health, Education, Labor and Pensions Committee (HELP) and the House Education and the Workforce Committee have held a series of hearings on reauthorization of the Higher Education Act. Congress is expected to consider reauthorization of the Higher Education Act in 2017, but it is not known if or when Congress will make changes to that statute or to other laws affecting U.S. Federal student aid.</w:t>
      </w:r>
    </w:p>
    <w:p>
      <w:pPr>
        <w:spacing w:after="0" w:line="110" w:lineRule="exact"/>
        <w:rPr>
          <w:sz w:val="20"/>
          <w:szCs w:val="20"/>
          <w:color w:val="auto"/>
        </w:rPr>
      </w:pPr>
    </w:p>
    <w:p>
      <w:pPr>
        <w:ind w:right="80"/>
        <w:spacing w:after="0" w:line="231" w:lineRule="auto"/>
        <w:rPr>
          <w:sz w:val="20"/>
          <w:szCs w:val="20"/>
          <w:color w:val="auto"/>
        </w:rPr>
      </w:pPr>
      <w:r>
        <w:rPr>
          <w:rFonts w:ascii="Arial" w:cs="Arial" w:eastAsia="Arial" w:hAnsi="Arial"/>
          <w:sz w:val="18"/>
          <w:szCs w:val="18"/>
          <w:color w:val="auto"/>
        </w:rPr>
        <w:t>Whether as a result of changes in the laws and regulations governing Title IV programs, a reduction in Title IV program funding levels or a failure of schools within Kaplan University to maintain eligibility to participate in Title IV programs, a material reduction in the amount of Title IV financial assistance available to the students attending those schools could have a material adverse effect on Kaplan’s business and operations. In addition, any development that has the effect of making the terms on which Title IV financial assistance is made available materially less attractive could also have a material adverse effect on Kaplan’s business and operations.</w:t>
      </w:r>
    </w:p>
    <w:p>
      <w:pPr>
        <w:spacing w:after="0" w:line="111" w:lineRule="exact"/>
        <w:rPr>
          <w:sz w:val="20"/>
          <w:szCs w:val="20"/>
          <w:color w:val="auto"/>
        </w:rPr>
      </w:pPr>
    </w:p>
    <w:p>
      <w:pPr>
        <w:ind w:right="40"/>
        <w:spacing w:after="0" w:line="229" w:lineRule="auto"/>
        <w:rPr>
          <w:sz w:val="20"/>
          <w:szCs w:val="20"/>
          <w:color w:val="auto"/>
        </w:rPr>
      </w:pPr>
      <w:r>
        <w:rPr>
          <w:rFonts w:ascii="Arial" w:cs="Arial" w:eastAsia="Arial" w:hAnsi="Arial"/>
          <w:sz w:val="18"/>
          <w:szCs w:val="18"/>
          <w:b w:val="1"/>
          <w:bCs w:val="1"/>
          <w:i w:val="1"/>
          <w:iCs w:val="1"/>
          <w:color w:val="auto"/>
        </w:rPr>
        <w:t xml:space="preserve">Governmental Scrutiny and Enforcement. </w:t>
      </w:r>
      <w:r>
        <w:rPr>
          <w:rFonts w:ascii="Arial" w:cs="Arial" w:eastAsia="Arial" w:hAnsi="Arial"/>
          <w:sz w:val="18"/>
          <w:szCs w:val="18"/>
          <w:color w:val="auto"/>
        </w:rPr>
        <w:t>There has been increased attention by Congress on the role that for-profit educational institutions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play in higher education, including their participation in Title IV programs and tuition assistance programs for military service members attending for-profit colleges. Beginning in June 2010, the HELP Committee held a series of hearings to examine the for-profit education sector and requested information from various for-profit institutions, including KHE institutions. In July 2012, the majority staff of the HELP Committee issued a final report to conclude the review. The final report included observations and recommendations for Federal policy related to increasing regulations on higher education.</w:t>
      </w:r>
    </w:p>
    <w:p>
      <w:pPr>
        <w:spacing w:after="0" w:line="112" w:lineRule="exact"/>
        <w:rPr>
          <w:sz w:val="20"/>
          <w:szCs w:val="20"/>
          <w:color w:val="auto"/>
        </w:rPr>
      </w:pPr>
    </w:p>
    <w:p>
      <w:pPr>
        <w:ind w:right="260"/>
        <w:spacing w:after="0" w:line="231" w:lineRule="auto"/>
        <w:rPr>
          <w:sz w:val="20"/>
          <w:szCs w:val="20"/>
          <w:color w:val="auto"/>
        </w:rPr>
      </w:pPr>
      <w:r>
        <w:rPr>
          <w:rFonts w:ascii="Arial" w:cs="Arial" w:eastAsia="Arial" w:hAnsi="Arial"/>
          <w:sz w:val="18"/>
          <w:szCs w:val="18"/>
          <w:color w:val="auto"/>
        </w:rPr>
        <w:t>Other committees of Congress have also held hearings to looking into, among other things, the standards and procedures of accrediting agencies, credit hours and program length and the portion of U.S. Federal student financial aid going to for-profit institutions. This increased activity, and other current and future activity, may result in legislation, further rulemaking and other governmental actions affecting Kaplan's participation in Title IV programs or the amount of student financial assistance for which Kaplan’s students are eligible. In addition, concerns generated by congressional or other activity, or negative media reports, may adversely affect enrollment in for-profit educational institutions.</w:t>
      </w:r>
    </w:p>
    <w:p>
      <w:pPr>
        <w:spacing w:after="0" w:line="111" w:lineRule="exact"/>
        <w:rPr>
          <w:sz w:val="20"/>
          <w:szCs w:val="20"/>
          <w:color w:val="auto"/>
        </w:rPr>
      </w:pPr>
    </w:p>
    <w:p>
      <w:pPr>
        <w:ind w:right="40"/>
        <w:spacing w:after="0" w:line="227" w:lineRule="auto"/>
        <w:rPr>
          <w:sz w:val="20"/>
          <w:szCs w:val="20"/>
          <w:color w:val="auto"/>
        </w:rPr>
      </w:pPr>
      <w:r>
        <w:rPr>
          <w:rFonts w:ascii="Arial" w:cs="Arial" w:eastAsia="Arial" w:hAnsi="Arial"/>
          <w:sz w:val="18"/>
          <w:szCs w:val="18"/>
          <w:color w:val="auto"/>
        </w:rPr>
        <w:t>The increased scrutiny of for-profit schools also has resulted in additional enforcement actions, investigations and lawsuits by the ED, other federal agencies, state Attorneys General and state licensing agencies. These actions and allegations have attracted significant negative media coverage. Recent enforcement actions have resulted in institutions being required to post substantial letters of credit, liabilities, restrictions and sanctions and, in some cases, have led to the loss of Title IV eligibility and closure of institutions. Allegations and enforcement actions against the overall postsecondary education sector may impact general public perceptions of private-sector educational institutions, including Kaplan, in a negative manner. Negative media coverage regarding other educational institutions or regarding Kaplan directly could damage Kaplan’s reputation, reduce student demand for Kaplan programs or lead to increased regulatory scrutiny and could negatively impact Kaplan’s operating results.</w:t>
      </w:r>
    </w:p>
    <w:p>
      <w:pPr>
        <w:spacing w:after="0" w:line="200" w:lineRule="exact"/>
        <w:rPr>
          <w:sz w:val="20"/>
          <w:szCs w:val="20"/>
          <w:color w:val="auto"/>
        </w:rPr>
      </w:pPr>
    </w:p>
    <w:p>
      <w:pPr>
        <w:spacing w:after="0" w:line="27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80"/>
          </w:cols>
          <w:pgMar w:left="240" w:top="724" w:right="279" w:bottom="1440" w:gutter="0" w:footer="0" w:header="0"/>
        </w:sectPr>
      </w:pPr>
    </w:p>
    <w:bookmarkStart w:id="11" w:name="page12"/>
    <w:bookmarkEnd w:id="11"/>
    <w:p>
      <w:pPr>
        <w:ind w:right="220"/>
        <w:spacing w:after="0" w:line="231" w:lineRule="auto"/>
        <w:rPr>
          <w:sz w:val="20"/>
          <w:szCs w:val="20"/>
          <w:color w:val="auto"/>
        </w:rPr>
      </w:pPr>
      <w:r>
        <w:rPr>
          <w:rFonts w:ascii="Arial" w:cs="Arial" w:eastAsia="Arial" w:hAnsi="Arial"/>
          <w:sz w:val="18"/>
          <w:szCs w:val="18"/>
          <w:color w:val="auto"/>
        </w:rPr>
        <w:t>Kaplan cannot predict the extent to which these activities could result in further investigations, legislation or rulemaking affecting its participation in Title IV programs, other governmental actions and/or actions by state agencies or legislators or by accreditors. If any laws or regulations are adopted that significantly limit Kaplan’s participation in Title IV programs or the amount of student financial aid for which Kaplan’s students are eligible, or any actions are taken against Kaplan that result in material liabilities, sanctions, conditions or requirements, Kaplan’s results of operations and cash flows would be adversely and materially impacted.</w:t>
      </w:r>
    </w:p>
    <w:p>
      <w:pPr>
        <w:spacing w:after="0" w:line="111" w:lineRule="exact"/>
        <w:rPr>
          <w:sz w:val="20"/>
          <w:szCs w:val="20"/>
          <w:color w:val="auto"/>
        </w:rPr>
      </w:pPr>
    </w:p>
    <w:p>
      <w:pPr>
        <w:ind w:right="160"/>
        <w:spacing w:after="0" w:line="226" w:lineRule="auto"/>
        <w:rPr>
          <w:sz w:val="20"/>
          <w:szCs w:val="20"/>
          <w:color w:val="auto"/>
        </w:rPr>
      </w:pPr>
      <w:r>
        <w:rPr>
          <w:rFonts w:ascii="Arial" w:cs="Arial" w:eastAsia="Arial" w:hAnsi="Arial"/>
          <w:sz w:val="18"/>
          <w:szCs w:val="18"/>
          <w:b w:val="1"/>
          <w:bCs w:val="1"/>
          <w:i w:val="1"/>
          <w:iCs w:val="1"/>
          <w:color w:val="auto"/>
        </w:rPr>
        <w:t xml:space="preserve">Program Reviews, Audits and Investigations. </w:t>
      </w:r>
      <w:r>
        <w:rPr>
          <w:rFonts w:ascii="Arial" w:cs="Arial" w:eastAsia="Arial" w:hAnsi="Arial"/>
          <w:sz w:val="18"/>
          <w:szCs w:val="18"/>
          <w:color w:val="auto"/>
        </w:rPr>
        <w:t>Kaplan’s schools are subject to audits or program compliance reviews by various external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agencies, including the ED; its Office of the Inspector General; other federal agencies, including the Department of Defense and the Department of Veterans Affairs; and state and accrediting agencies. While program reviews may be undertaken for a variety of reasons, they are performed routinely as part of regulatory oversight of institutions that participate in Title IV or federal or state student funding programs. If the ED or another regulatory agency determines that an institution has improperly disbursed Title IV or other federal or state program funds or violated a provision of the Higher Education Act or other federal or state law or regulations, the affected institution may be required to repay funds to the ED or the appropriate federal or state agency or lender and may be assessed an administrative fine and be subject to other sanctions. Although Kaplan endeavors to comply with all U.S. Federal and state laws and regulations, Kaplan cannot guarantee that its interpretation of the relevant rules will be upheld by the ED or other agencies or upon judicial review.</w:t>
      </w:r>
    </w:p>
    <w:p>
      <w:pPr>
        <w:spacing w:after="0" w:line="110" w:lineRule="exact"/>
        <w:rPr>
          <w:sz w:val="20"/>
          <w:szCs w:val="20"/>
          <w:color w:val="auto"/>
        </w:rPr>
      </w:pPr>
    </w:p>
    <w:p>
      <w:pPr>
        <w:ind w:right="60"/>
        <w:spacing w:after="0" w:line="228" w:lineRule="auto"/>
        <w:rPr>
          <w:sz w:val="20"/>
          <w:szCs w:val="20"/>
          <w:color w:val="auto"/>
        </w:rPr>
      </w:pPr>
      <w:r>
        <w:rPr>
          <w:rFonts w:ascii="Arial" w:cs="Arial" w:eastAsia="Arial" w:hAnsi="Arial"/>
          <w:sz w:val="18"/>
          <w:szCs w:val="18"/>
          <w:color w:val="auto"/>
        </w:rPr>
        <w:t>On February 23, 2015, the ED began a review of Kaplan University. The review will assess Kaplan’s administration of its Title IV and Higher Education Act programs and will initially focus on the 2013 to 2014 and 2014 to 2015 award years. On December 17, 2015, Kaplan University received a notice from the ED that it had been placed on provisional certification status until September 30, 2018, in connection with the open and ongoing ED program review. The ED has not notified Kaplan University of any negative findings. However, at this time, Kaplan cannot predict the outcome of this review, when it will be completed or any liability or other limitations that the ED may place on Kaplan University as a result of this review. During the period of provisional certification, Kaplan University must obtain prior ED approval to open a new location, add an educational program, acquire another school or make any other significant change.</w:t>
      </w:r>
    </w:p>
    <w:p>
      <w:pPr>
        <w:spacing w:after="0" w:line="109" w:lineRule="exact"/>
        <w:rPr>
          <w:sz w:val="20"/>
          <w:szCs w:val="20"/>
          <w:color w:val="auto"/>
        </w:rPr>
      </w:pPr>
    </w:p>
    <w:p>
      <w:pPr>
        <w:ind w:right="60"/>
        <w:spacing w:after="0" w:line="234" w:lineRule="auto"/>
        <w:rPr>
          <w:sz w:val="20"/>
          <w:szCs w:val="20"/>
          <w:color w:val="auto"/>
        </w:rPr>
      </w:pPr>
      <w:r>
        <w:rPr>
          <w:rFonts w:ascii="Arial" w:cs="Arial" w:eastAsia="Arial" w:hAnsi="Arial"/>
          <w:sz w:val="18"/>
          <w:szCs w:val="18"/>
          <w:color w:val="auto"/>
        </w:rPr>
        <w:t>In addition, there are four open program reviews at campuses that were part of the KHE Campuses business prior to its sale in 2015 to Education Corporation of America (ECA), including the ED’s final reports on the program reviews at former KHE Hammond, IN; San Antonio, TX; Broomall, PA; and Pittsburgh, PA, locations. Kaplan retains responsibility for any financial obligation resulting from the ED program reviews at the KHE Campuses business that were open at the time of sale.</w:t>
      </w:r>
    </w:p>
    <w:p>
      <w:pPr>
        <w:spacing w:after="0" w:line="111" w:lineRule="exact"/>
        <w:rPr>
          <w:sz w:val="20"/>
          <w:szCs w:val="20"/>
          <w:color w:val="auto"/>
        </w:rPr>
      </w:pPr>
    </w:p>
    <w:p>
      <w:pPr>
        <w:ind w:right="160"/>
        <w:spacing w:after="0" w:line="227" w:lineRule="auto"/>
        <w:rPr>
          <w:sz w:val="20"/>
          <w:szCs w:val="20"/>
          <w:color w:val="auto"/>
        </w:rPr>
      </w:pPr>
      <w:r>
        <w:rPr>
          <w:rFonts w:ascii="Arial" w:cs="Arial" w:eastAsia="Arial" w:hAnsi="Arial"/>
          <w:sz w:val="18"/>
          <w:szCs w:val="18"/>
          <w:b w:val="1"/>
          <w:bCs w:val="1"/>
          <w:i w:val="1"/>
          <w:iCs w:val="1"/>
          <w:color w:val="auto"/>
        </w:rPr>
        <w:t xml:space="preserve">Institutional and Programmatic Accreditation. </w:t>
      </w:r>
      <w:r>
        <w:rPr>
          <w:rFonts w:ascii="Arial" w:cs="Arial" w:eastAsia="Arial" w:hAnsi="Arial"/>
          <w:sz w:val="18"/>
          <w:szCs w:val="18"/>
          <w:color w:val="auto"/>
        </w:rPr>
        <w:t>Accreditation is a process through which an institution submits itself to qualitative review by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 organization of peer institutions. Pursuant to the Higher Education Act, the ED relies on accrediting agencies to determine whether the academic quality of an institution’s educational programs is sufficient to qualify the institution to participate in Title IV programs. As noted previously, to remain eligible to participate in Title IV programs, a school must maintain its institutional accreditation by an accrediting agency recognized by the ED. Kaplan’s schools are subject to reviews by the accrediting agencies that accredit them and their educational programs. Kaplan University’s regional accreditation by the HLC was required to be reaffirmed in 2016. As part of this process, in the second quarter of 2016, HLC conducted an on-site review of Kaplan University. In August 2016, the HLC reaffirmed Kaplan University's accreditation for a ten-year term through the 2025–2026 academic year.</w:t>
      </w:r>
    </w:p>
    <w:p>
      <w:pPr>
        <w:spacing w:after="0" w:line="108" w:lineRule="exact"/>
        <w:rPr>
          <w:sz w:val="20"/>
          <w:szCs w:val="20"/>
          <w:color w:val="auto"/>
        </w:rPr>
      </w:pPr>
    </w:p>
    <w:p>
      <w:pPr>
        <w:ind w:right="20"/>
        <w:spacing w:after="0" w:line="231" w:lineRule="auto"/>
        <w:rPr>
          <w:sz w:val="20"/>
          <w:szCs w:val="20"/>
          <w:color w:val="auto"/>
        </w:rPr>
      </w:pPr>
      <w:r>
        <w:rPr>
          <w:rFonts w:ascii="Arial" w:cs="Arial" w:eastAsia="Arial" w:hAnsi="Arial"/>
          <w:sz w:val="18"/>
          <w:szCs w:val="18"/>
          <w:color w:val="auto"/>
        </w:rPr>
        <w:t>Programmatic accreditation is the process through which specific programs are reviewed and approved by industry-specific and program-specific accrediting entities. Although programmatic accreditation is not generally necessary for Title IV eligibility, such accreditation may be required to allow students to sit for certain licensure exams or to work in a particular profession or career or to meet other requirements. Kaplan University programs maintain a variety of programmatic accreditations that it believes are appropriate to ensure the quality of the programs or to enable students to seek necessary credentials upon graduation.</w:t>
      </w:r>
    </w:p>
    <w:p>
      <w:pPr>
        <w:spacing w:after="0" w:line="111" w:lineRule="exact"/>
        <w:rPr>
          <w:sz w:val="20"/>
          <w:szCs w:val="20"/>
          <w:color w:val="auto"/>
        </w:rPr>
      </w:pPr>
    </w:p>
    <w:p>
      <w:pPr>
        <w:spacing w:after="0" w:line="228" w:lineRule="auto"/>
        <w:rPr>
          <w:sz w:val="20"/>
          <w:szCs w:val="20"/>
          <w:color w:val="auto"/>
        </w:rPr>
      </w:pPr>
      <w:r>
        <w:rPr>
          <w:rFonts w:ascii="Arial" w:cs="Arial" w:eastAsia="Arial" w:hAnsi="Arial"/>
          <w:sz w:val="18"/>
          <w:szCs w:val="18"/>
          <w:b w:val="1"/>
          <w:bCs w:val="1"/>
          <w:i w:val="1"/>
          <w:iCs w:val="1"/>
          <w:color w:val="auto"/>
        </w:rPr>
        <w:t xml:space="preserve">Return of Title IV Funds. </w:t>
      </w:r>
      <w:r>
        <w:rPr>
          <w:rFonts w:ascii="Arial" w:cs="Arial" w:eastAsia="Arial" w:hAnsi="Arial"/>
          <w:sz w:val="18"/>
          <w:szCs w:val="18"/>
          <w:color w:val="auto"/>
        </w:rPr>
        <w:t>ED regulations require schools participating in Title IV programs to calculate correctly and return on a timely basis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unearned Title IV funds disbursed to students who withdraw from a program of study prior to completion. These funds must be returned in a timely manner, generally within 45 days of the date the school determines that the student has withdrawn. Under ED regulations, failure to make timely returns of Title IV program funds for 5% or more of students sampled in a school’s annual compliance audit, or in a program review or Office of the Inspector General (OIG) audit could result in a requirement that the school post a letter of credit in an amount equal to 25% of its prior-year returns of Title IV program funds. Currently, Kaplan University is not required to post a letter of credit. If unearned funds are not properly calculated and returned in a timely manner, an institution is subject to monetary liabilities, fines or other sanctions.</w:t>
      </w: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724"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Test Preparation</w:t>
      </w:r>
    </w:p>
    <w:p>
      <w:pPr>
        <w:spacing w:after="0" w:line="146" w:lineRule="exact"/>
        <w:rPr>
          <w:sz w:val="20"/>
          <w:szCs w:val="20"/>
          <w:color w:val="auto"/>
        </w:rPr>
      </w:pPr>
    </w:p>
    <w:p>
      <w:pPr>
        <w:ind w:right="200"/>
        <w:spacing w:after="0"/>
        <w:rPr>
          <w:sz w:val="20"/>
          <w:szCs w:val="20"/>
          <w:color w:val="auto"/>
        </w:rPr>
      </w:pPr>
      <w:r>
        <w:rPr>
          <w:rFonts w:ascii="Arial" w:cs="Arial" w:eastAsia="Arial" w:hAnsi="Arial"/>
          <w:sz w:val="18"/>
          <w:szCs w:val="18"/>
          <w:color w:val="auto"/>
        </w:rPr>
        <w:t>In 2016, Kaplan Test Preparation (KTP) included test preparation businesses in pre-college, graduate, health and bar review, as well as new businesses in new economy skills training (NEST) and in career advising. KTP also published test preparation and other books through its Kaplan Publishing business. Each of these businesses is discussed below.</w:t>
      </w:r>
    </w:p>
    <w:p>
      <w:pPr>
        <w:spacing w:after="0" w:line="108" w:lineRule="exact"/>
        <w:rPr>
          <w:sz w:val="20"/>
          <w:szCs w:val="20"/>
          <w:color w:val="auto"/>
        </w:rPr>
      </w:pPr>
    </w:p>
    <w:p>
      <w:pPr>
        <w:ind w:right="20"/>
        <w:spacing w:after="0" w:line="234" w:lineRule="auto"/>
        <w:rPr>
          <w:sz w:val="20"/>
          <w:szCs w:val="20"/>
          <w:color w:val="auto"/>
        </w:rPr>
      </w:pPr>
      <w:r>
        <w:rPr>
          <w:rFonts w:ascii="Arial" w:cs="Arial" w:eastAsia="Arial" w:hAnsi="Arial"/>
          <w:sz w:val="18"/>
          <w:szCs w:val="18"/>
          <w:b w:val="1"/>
          <w:bCs w:val="1"/>
          <w:i w:val="1"/>
          <w:iCs w:val="1"/>
          <w:color w:val="auto"/>
        </w:rPr>
        <w:t xml:space="preserve">Test Preparation. </w:t>
      </w:r>
      <w:r>
        <w:rPr>
          <w:rFonts w:ascii="Arial" w:cs="Arial" w:eastAsia="Arial" w:hAnsi="Arial"/>
          <w:sz w:val="18"/>
          <w:szCs w:val="18"/>
          <w:color w:val="auto"/>
        </w:rPr>
        <w:t>KTP’s pre-college and graduate businesses prepare students for a broad range of college and graduate school admissions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examinations, including the SAT, ACT, LSAT, GMAT, MCAT and GRE. KTP’s health business prepares students for medical and nursing licensure exams, including the USMLE and NCLEX. Kaplan Bar Review offers full-service bar review in 50 states and the District of Columbia, as well as review for the multistate portion of the bar exam nationwide.</w:t>
      </w:r>
    </w:p>
    <w:p>
      <w:pPr>
        <w:spacing w:after="0" w:line="111" w:lineRule="exact"/>
        <w:rPr>
          <w:sz w:val="20"/>
          <w:szCs w:val="20"/>
          <w:color w:val="auto"/>
        </w:rPr>
      </w:pPr>
    </w:p>
    <w:p>
      <w:pPr>
        <w:ind w:right="40"/>
        <w:spacing w:after="0" w:line="229" w:lineRule="auto"/>
        <w:rPr>
          <w:sz w:val="20"/>
          <w:szCs w:val="20"/>
          <w:color w:val="auto"/>
        </w:rPr>
      </w:pPr>
      <w:r>
        <w:rPr>
          <w:rFonts w:ascii="Arial" w:cs="Arial" w:eastAsia="Arial" w:hAnsi="Arial"/>
          <w:sz w:val="18"/>
          <w:szCs w:val="18"/>
          <w:color w:val="auto"/>
        </w:rPr>
        <w:t>KTP delivers courses at numerous venues throughout the U.S., Canada, Puerto Rico, Mexico and London. These courses are taught at more than 70 KTP-branded locations and at numerous other locations such as hotels, high schools and universities. KTP also offers courses online, typically in a live online classroom or a self-study format. Private tutoring services are provided in person in select markets and online throughout the U.S. In addition, KTP licenses material for certain of its courses to third parties and to a Kaplan affiliate, which, during 2016, delivered courses at 58 locations in 30 countries outside the U.S. KTP also offers college admissions examination preparation courses and materials directly to high schools and school districts.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During 2016, KTP enrolled over 350,000 students in its courses, including more than 160,000 enrolled in online programs.</w:t>
      </w:r>
    </w:p>
    <w:p>
      <w:pPr>
        <w:spacing w:after="0" w:line="158"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b w:val="1"/>
          <w:bCs w:val="1"/>
          <w:i w:val="1"/>
          <w:iCs w:val="1"/>
          <w:color w:val="auto"/>
        </w:rPr>
        <w:t xml:space="preserve">New Economy Skills Training. </w:t>
      </w:r>
      <w:r>
        <w:rPr>
          <w:rFonts w:ascii="Arial" w:cs="Arial" w:eastAsia="Arial" w:hAnsi="Arial"/>
          <w:sz w:val="18"/>
          <w:szCs w:val="18"/>
          <w:color w:val="auto"/>
        </w:rPr>
        <w:t>In 2015, KTP entered the NEST market in New York, California and Illinois with two offerings. KTP has since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added locations in Austin, TX, San Diego, CA, and Seattle, WA. The acquisition of Dev Bootcamp established KTP as a leader in software developer bootcamps, which are programs that provide students with job-ready computer coding skills. KTP also launched Metis, which offers data science and plans to offer marketing and other NEST programs</w:t>
      </w:r>
      <w:r>
        <w:rPr>
          <w:rFonts w:ascii="Times New Roman" w:cs="Times New Roman" w:eastAsia="Times New Roman" w:hAnsi="Times New Roman"/>
          <w:sz w:val="18"/>
          <w:szCs w:val="18"/>
          <w:color w:val="auto"/>
        </w:rPr>
        <w:t>.</w:t>
      </w:r>
    </w:p>
    <w:p>
      <w:pPr>
        <w:spacing w:after="0" w:line="115" w:lineRule="exact"/>
        <w:rPr>
          <w:sz w:val="20"/>
          <w:szCs w:val="20"/>
          <w:color w:val="auto"/>
        </w:rPr>
      </w:pPr>
    </w:p>
    <w:p>
      <w:pPr>
        <w:spacing w:after="0" w:line="292" w:lineRule="auto"/>
        <w:rPr>
          <w:sz w:val="20"/>
          <w:szCs w:val="20"/>
          <w:color w:val="auto"/>
        </w:rPr>
      </w:pPr>
      <w:r>
        <w:rPr>
          <w:rFonts w:ascii="Arial" w:cs="Arial" w:eastAsia="Arial" w:hAnsi="Arial"/>
          <w:sz w:val="18"/>
          <w:szCs w:val="18"/>
          <w:b w:val="1"/>
          <w:bCs w:val="1"/>
          <w:i w:val="1"/>
          <w:iCs w:val="1"/>
          <w:color w:val="auto"/>
        </w:rPr>
        <w:t xml:space="preserve">Publishing. </w:t>
      </w:r>
      <w:r>
        <w:rPr>
          <w:rFonts w:ascii="Arial" w:cs="Arial" w:eastAsia="Arial" w:hAnsi="Arial"/>
          <w:sz w:val="18"/>
          <w:szCs w:val="18"/>
          <w:color w:val="auto"/>
        </w:rPr>
        <w:t>Kaplan Publishing focuses on print test preparation resources sold through retail channels. At the end of 2016, Kaplan Publishing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had over 350 products available in print and digital formats, including more than 150 digital products.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Kaplan International</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Kaplan International (KI) operates businesses in Europe and the Asia Pacific region. Each of these businesses is discussed below.</w:t>
      </w:r>
    </w:p>
    <w:p>
      <w:pPr>
        <w:spacing w:after="0" w:line="144" w:lineRule="exact"/>
        <w:rPr>
          <w:sz w:val="20"/>
          <w:szCs w:val="20"/>
          <w:color w:val="auto"/>
        </w:rPr>
      </w:pPr>
    </w:p>
    <w:p>
      <w:pPr>
        <w:ind w:right="420"/>
        <w:spacing w:after="0" w:line="260" w:lineRule="auto"/>
        <w:rPr>
          <w:sz w:val="20"/>
          <w:szCs w:val="20"/>
          <w:color w:val="auto"/>
        </w:rPr>
      </w:pPr>
      <w:r>
        <w:rPr>
          <w:rFonts w:ascii="Arial" w:cs="Arial" w:eastAsia="Arial" w:hAnsi="Arial"/>
          <w:sz w:val="18"/>
          <w:szCs w:val="18"/>
          <w:b w:val="1"/>
          <w:bCs w:val="1"/>
          <w:i w:val="1"/>
          <w:iCs w:val="1"/>
          <w:color w:val="auto"/>
        </w:rPr>
        <w:t xml:space="preserve">Europe. </w:t>
      </w:r>
      <w:r>
        <w:rPr>
          <w:rFonts w:ascii="Arial" w:cs="Arial" w:eastAsia="Arial" w:hAnsi="Arial"/>
          <w:sz w:val="18"/>
          <w:szCs w:val="18"/>
          <w:color w:val="auto"/>
        </w:rPr>
        <w:t>In Europe, Kaplan International operates the following businesses, all of which are based in the U.K. and Ireland: Kaplan UK, KI</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Pathways, KI English, Mander Portman Woodward and a higher education institution and an online learning institution.</w:t>
      </w:r>
    </w:p>
    <w:p>
      <w:pPr>
        <w:spacing w:after="0" w:line="92" w:lineRule="exact"/>
        <w:rPr>
          <w:sz w:val="20"/>
          <w:szCs w:val="20"/>
          <w:color w:val="auto"/>
        </w:rPr>
      </w:pPr>
    </w:p>
    <w:p>
      <w:pPr>
        <w:spacing w:after="0" w:line="234" w:lineRule="auto"/>
        <w:rPr>
          <w:sz w:val="20"/>
          <w:szCs w:val="20"/>
          <w:color w:val="auto"/>
        </w:rPr>
      </w:pPr>
      <w:r>
        <w:rPr>
          <w:rFonts w:ascii="Arial" w:cs="Arial" w:eastAsia="Arial" w:hAnsi="Arial"/>
          <w:sz w:val="18"/>
          <w:szCs w:val="18"/>
          <w:color w:val="auto"/>
        </w:rPr>
        <w:t>The Kaplan UK business in Europe through Kaplan Financial Limited is a provider of training, test preparation services and degrees for accounting and financial services professionals, including those studying for ACCA, CIMA and ICAEW qualifications. In addition, Kaplan UK provides professional training. In 2016, Kaplan UK provided courses to over 51,000 students in accountancy and financial services. Kaplan UK is headquartered in London, England, and has 22 training centers located throughout the U.K.</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The KI Pathways business offers academic preparation programs especially designed for international students who wish to study in English-speaking countries. In 2016, university preparation programs were being delivered in Australia, China, Japan, Nigeria, Singapore, the U.K. and the U.S., serving more than 13,000 students in partnership with more than 40 universities.</w:t>
      </w:r>
    </w:p>
    <w:p>
      <w:pPr>
        <w:spacing w:after="0" w:line="108" w:lineRule="exact"/>
        <w:rPr>
          <w:sz w:val="20"/>
          <w:szCs w:val="20"/>
          <w:color w:val="auto"/>
        </w:rPr>
      </w:pPr>
    </w:p>
    <w:p>
      <w:pPr>
        <w:ind w:right="240"/>
        <w:spacing w:after="0" w:line="234" w:lineRule="auto"/>
        <w:rPr>
          <w:sz w:val="20"/>
          <w:szCs w:val="20"/>
          <w:color w:val="auto"/>
        </w:rPr>
      </w:pPr>
      <w:r>
        <w:rPr>
          <w:rFonts w:ascii="Arial" w:cs="Arial" w:eastAsia="Arial" w:hAnsi="Arial"/>
          <w:sz w:val="18"/>
          <w:szCs w:val="18"/>
          <w:color w:val="auto"/>
        </w:rPr>
        <w:t>The KI English business provides English-language training, academic preparation programs and test preparation for English proficiency exams, principally for students wishing to study and travel in English -speaking countries. KI English operates a total of 40 English-language schools, with 22 located in the U.K., Ireland, Australia, New Zealand and Canada and 18 located in the U.S. During 2016, KI English served approximately 47,000 students for in-class English-language instruction provided by Kaplan.</w:t>
      </w:r>
    </w:p>
    <w:p>
      <w:pPr>
        <w:spacing w:after="0" w:line="111" w:lineRule="exact"/>
        <w:rPr>
          <w:sz w:val="20"/>
          <w:szCs w:val="20"/>
          <w:color w:val="auto"/>
        </w:rPr>
      </w:pPr>
    </w:p>
    <w:p>
      <w:pPr>
        <w:jc w:val="both"/>
        <w:ind w:right="420"/>
        <w:spacing w:after="0"/>
        <w:rPr>
          <w:sz w:val="20"/>
          <w:szCs w:val="20"/>
          <w:color w:val="auto"/>
        </w:rPr>
      </w:pPr>
      <w:r>
        <w:rPr>
          <w:rFonts w:ascii="Arial" w:cs="Arial" w:eastAsia="Arial" w:hAnsi="Arial"/>
          <w:sz w:val="18"/>
          <w:szCs w:val="18"/>
          <w:color w:val="auto"/>
        </w:rPr>
        <w:t>In January 2016, Kaplan International acquired Mander Portman Woodward (MPW), a U.K. independent sixth-form college, that prepares domestic and international students for A-level examinations that control admission to U.K. universities. MPW operates three colleges in London, Cambridge and Birmingham.</w:t>
      </w:r>
    </w:p>
    <w:p>
      <w:pPr>
        <w:spacing w:after="0" w:line="200" w:lineRule="exact"/>
        <w:rPr>
          <w:sz w:val="20"/>
          <w:szCs w:val="20"/>
          <w:color w:val="auto"/>
        </w:rPr>
      </w:pPr>
    </w:p>
    <w:p>
      <w:pPr>
        <w:spacing w:after="0" w:line="27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40"/>
          </w:cols>
          <w:pgMar w:left="240" w:top="722" w:right="319" w:bottom="1440" w:gutter="0" w:footer="0" w:header="0"/>
        </w:sectPr>
      </w:pPr>
    </w:p>
    <w:bookmarkStart w:id="13" w:name="page14"/>
    <w:bookmarkEnd w:id="13"/>
    <w:p>
      <w:pPr>
        <w:ind w:right="120"/>
        <w:spacing w:after="0" w:line="260" w:lineRule="auto"/>
        <w:rPr>
          <w:sz w:val="20"/>
          <w:szCs w:val="20"/>
          <w:color w:val="auto"/>
        </w:rPr>
      </w:pPr>
      <w:r>
        <w:rPr>
          <w:rFonts w:ascii="Arial" w:cs="Arial" w:eastAsia="Arial" w:hAnsi="Arial"/>
          <w:sz w:val="18"/>
          <w:szCs w:val="18"/>
          <w:color w:val="auto"/>
        </w:rPr>
        <w:t>Kaplan International also operates Dublin Business School in Ireland, a higher education institution, and Kaplan Open Learning in the U.K., an online learning institution. At the end of 2016, these institutions enrolled an aggregate of approximately 5,200 students.</w:t>
      </w:r>
    </w:p>
    <w:p>
      <w:pPr>
        <w:spacing w:after="0" w:line="92" w:lineRule="exact"/>
        <w:rPr>
          <w:sz w:val="20"/>
          <w:szCs w:val="20"/>
          <w:color w:val="auto"/>
        </w:rPr>
      </w:pPr>
    </w:p>
    <w:p>
      <w:pPr>
        <w:spacing w:after="0" w:line="229" w:lineRule="auto"/>
        <w:rPr>
          <w:sz w:val="20"/>
          <w:szCs w:val="20"/>
          <w:color w:val="auto"/>
        </w:rPr>
      </w:pPr>
      <w:r>
        <w:rPr>
          <w:rFonts w:ascii="Arial" w:cs="Arial" w:eastAsia="Arial" w:hAnsi="Arial"/>
          <w:sz w:val="18"/>
          <w:szCs w:val="18"/>
          <w:b w:val="1"/>
          <w:bCs w:val="1"/>
          <w:i w:val="1"/>
          <w:iCs w:val="1"/>
          <w:color w:val="auto"/>
        </w:rPr>
        <w:t xml:space="preserve">U.K. Immigration Regulations. </w:t>
      </w:r>
      <w:r>
        <w:rPr>
          <w:rFonts w:ascii="Arial" w:cs="Arial" w:eastAsia="Arial" w:hAnsi="Arial"/>
          <w:sz w:val="18"/>
          <w:szCs w:val="18"/>
          <w:color w:val="auto"/>
        </w:rPr>
        <w:t>Certain Kaplan International businesses serve a significant number of international students; therefore,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ability to sponsor students from outside the European Economic Area (EEA) and Switzerland to come to the U.K. is critical to these businesses. Pursuant to regulations administered by the United Kingdom Visa and Immigration Department (UKVI), the KI Pathways business and Kaplan Financial Limited are required to hold or operate Tier 4 sponsorship licenses to permit international students to come to the U.K. to study the courses they deliver. Four of the KI English schools also have Tier 4 licenses to enable them to teach international students, although, in general, students studying the English language can choose to enter the U.K. on a student visitor visa as opposed to a Tier 4 visa.</w:t>
      </w:r>
    </w:p>
    <w:p>
      <w:pPr>
        <w:spacing w:after="0" w:line="112" w:lineRule="exact"/>
        <w:rPr>
          <w:sz w:val="20"/>
          <w:szCs w:val="20"/>
          <w:color w:val="auto"/>
        </w:rPr>
      </w:pPr>
    </w:p>
    <w:p>
      <w:pPr>
        <w:spacing w:after="0" w:line="229" w:lineRule="auto"/>
        <w:rPr>
          <w:sz w:val="20"/>
          <w:szCs w:val="20"/>
          <w:color w:val="auto"/>
        </w:rPr>
      </w:pPr>
      <w:r>
        <w:rPr>
          <w:rFonts w:ascii="Arial" w:cs="Arial" w:eastAsia="Arial" w:hAnsi="Arial"/>
          <w:sz w:val="18"/>
          <w:szCs w:val="18"/>
          <w:color w:val="auto"/>
        </w:rPr>
        <w:t>Each Tier 4 license holder is also required to ensure that it has passed the Basic Compliance Assessment (BCA) and holds Educational Oversight accreditation. Without these criteria being met, Kaplan International’s U.K. schools would not be permitted to issue a Confirmation for Acceptance of Studies (CAS) to potential incoming international students, which is a prerequisite to a student obtaining a Tier 4 student visa. The revised immigration rules also require all private institutions to obtain Educational Oversight accreditation. Educational Oversight requires a current and satisfactory full inspection, audit or review by the appropriate academic standards body. Failure to comply with these new rules has the potential to adversely impact the number of international students studying through Kaplan International.</w:t>
      </w:r>
    </w:p>
    <w:p>
      <w:pPr>
        <w:spacing w:after="0" w:line="112" w:lineRule="exact"/>
        <w:rPr>
          <w:sz w:val="20"/>
          <w:szCs w:val="20"/>
          <w:color w:val="auto"/>
        </w:rPr>
      </w:pPr>
    </w:p>
    <w:p>
      <w:pPr>
        <w:ind w:right="40"/>
        <w:spacing w:after="0" w:line="260" w:lineRule="auto"/>
        <w:rPr>
          <w:sz w:val="20"/>
          <w:szCs w:val="20"/>
          <w:color w:val="auto"/>
        </w:rPr>
      </w:pPr>
      <w:r>
        <w:rPr>
          <w:rFonts w:ascii="Arial" w:cs="Arial" w:eastAsia="Arial" w:hAnsi="Arial"/>
          <w:sz w:val="18"/>
          <w:szCs w:val="18"/>
          <w:color w:val="auto"/>
        </w:rPr>
        <w:t>For Kaplan UK, Kaplan Financial Limited currently holds Tier 4 license status under a Kaplan master license enabling it to sponsor international students. Kaplan UK met the UKVI requirements throughout 2016.</w:t>
      </w:r>
    </w:p>
    <w:p>
      <w:pPr>
        <w:spacing w:after="0" w:line="92" w:lineRule="exact"/>
        <w:rPr>
          <w:sz w:val="20"/>
          <w:szCs w:val="20"/>
          <w:color w:val="auto"/>
        </w:rPr>
      </w:pPr>
    </w:p>
    <w:p>
      <w:pPr>
        <w:ind w:right="180"/>
        <w:spacing w:after="0" w:line="260" w:lineRule="auto"/>
        <w:rPr>
          <w:sz w:val="20"/>
          <w:szCs w:val="20"/>
          <w:color w:val="auto"/>
        </w:rPr>
      </w:pPr>
      <w:r>
        <w:rPr>
          <w:rFonts w:ascii="Arial" w:cs="Arial" w:eastAsia="Arial" w:hAnsi="Arial"/>
          <w:sz w:val="18"/>
          <w:szCs w:val="18"/>
          <w:color w:val="auto"/>
        </w:rPr>
        <w:t>For the fifth consecutive year, Kaplan International has retained 100% in Tier 4 Educational Oversight with high grades across all colleges. All Tier 4 license renewals have been approved again with high scores in the core measurable requirements.</w:t>
      </w:r>
    </w:p>
    <w:p>
      <w:pPr>
        <w:spacing w:after="0" w:line="92" w:lineRule="exact"/>
        <w:rPr>
          <w:sz w:val="20"/>
          <w:szCs w:val="20"/>
          <w:color w:val="auto"/>
        </w:rPr>
      </w:pPr>
    </w:p>
    <w:p>
      <w:pPr>
        <w:ind w:right="160"/>
        <w:spacing w:after="0" w:line="234" w:lineRule="auto"/>
        <w:rPr>
          <w:sz w:val="20"/>
          <w:szCs w:val="20"/>
          <w:color w:val="auto"/>
        </w:rPr>
      </w:pPr>
      <w:r>
        <w:rPr>
          <w:rFonts w:ascii="Arial" w:cs="Arial" w:eastAsia="Arial" w:hAnsi="Arial"/>
          <w:sz w:val="18"/>
          <w:szCs w:val="18"/>
          <w:color w:val="auto"/>
        </w:rPr>
        <w:t>KI English completed consolidation of its Tier 4 licenses in June 2016 so that only four U.K. English-language schools remain on the Kaplan Tier 4 master license. Each of these four schools also completed annual monitoring, achieving “exceeded expectations” from the Independent Schools Inspectorate (ISI). As noted above, students studying the English language can choose to enter the U.K. on a student visitor visa as opposed to a Tier 4 visa.</w:t>
      </w:r>
    </w:p>
    <w:p>
      <w:pPr>
        <w:spacing w:after="0" w:line="111" w:lineRule="exact"/>
        <w:rPr>
          <w:sz w:val="20"/>
          <w:szCs w:val="20"/>
          <w:color w:val="auto"/>
        </w:rPr>
      </w:pPr>
    </w:p>
    <w:p>
      <w:pPr>
        <w:ind w:right="80"/>
        <w:spacing w:after="0" w:line="260" w:lineRule="auto"/>
        <w:rPr>
          <w:sz w:val="20"/>
          <w:szCs w:val="20"/>
          <w:color w:val="auto"/>
        </w:rPr>
      </w:pPr>
      <w:r>
        <w:rPr>
          <w:rFonts w:ascii="Arial" w:cs="Arial" w:eastAsia="Arial" w:hAnsi="Arial"/>
          <w:sz w:val="18"/>
          <w:szCs w:val="18"/>
          <w:color w:val="auto"/>
        </w:rPr>
        <w:t>The MPW schools have performed consistently well with good records in their Office for Standards in Education, Children’s Services and Skills (OFSTED) and ISI Educational Oversight inspections. The MPW schools each hold current Tier 4 licenses.</w:t>
      </w:r>
    </w:p>
    <w:p>
      <w:pPr>
        <w:spacing w:after="0" w:line="92" w:lineRule="exact"/>
        <w:rPr>
          <w:sz w:val="20"/>
          <w:szCs w:val="20"/>
          <w:color w:val="auto"/>
        </w:rPr>
      </w:pPr>
    </w:p>
    <w:p>
      <w:pPr>
        <w:ind w:right="20"/>
        <w:spacing w:after="0" w:line="222" w:lineRule="auto"/>
        <w:rPr>
          <w:sz w:val="20"/>
          <w:szCs w:val="20"/>
          <w:color w:val="auto"/>
        </w:rPr>
      </w:pPr>
      <w:r>
        <w:rPr>
          <w:rFonts w:ascii="Arial" w:cs="Arial" w:eastAsia="Arial" w:hAnsi="Arial"/>
          <w:sz w:val="18"/>
          <w:szCs w:val="18"/>
          <w:color w:val="auto"/>
        </w:rPr>
        <w:t>Changes continue to be made to U.K. immigration rules. The UKVI continues to tighten the regulations around sponsoring students from outside the EEA and Switzerland. Changes over the past three years have included the introduction of a rule that restricts to five years the time a sponsored student can spend studying at or above degree level in the U.K. The post-study work visa, which permitted postgraduate students to work in the U.K. without being sponsored, was closed to new applicants. In addition, sponsored students who do not attend an institution that qualifies as a Higher Educational Institution (HEI), which includes students attending Kaplan UK colleges, are no longer permitted to work part time while studying. In 2013, the biggest change was the introduction of a new screening process called a “Credibility Check” for potential students. This interview process can affect the number of visa refusals Kaplan International’s businesses receive, which is a risk factor for loss of the relevant license. However, Kaplan International has not experienced a significant increase in visa refusals. Since the introduction of the Points-Based System in 2009, all Tier 4 students are subject to strict checks pre and post arrival, including verification that their qualifications are genuine, confirmation that the students maintain a good attendance record and that they can be contacted at all times, and verification that they have academic progression and that their visa is valid at all times while they are present in the U.K. Failure to meet these requirements obliges Kaplan International to withdraw sponsorship and report these students to the UKVI. In 2014, there were additional changes to the UKVI rules, including a significant tightening of the core measurable with respect to visa refusals. Effective November 1, 2014, no more than 10% of the students to whom a CAS is issued by a Tier 4 license sponsor can have their visa refused. Formerly, the limit was set at 20%. In 2015, the Tier 4 licenses for Kaplan Financial, KI Pathways’ London College and all of KI English colleges were consolidated into one single “master” license. If this license were lost, all of these colleges would lose the ability to sponsor international students. Furthermore, students applying to another education provider after completing their studies at these colleges are now required to return home to apply for a second visa. All of KI Pathways’ colleges dedicated to working with one university partner that held their own individual sponsor license before the introduction of the master license have retained their individual licenses. Academic service providers are required to have rigorous processes to verify all English-language test certificates. The introduction of revised immigration rules has negatively impacted Kaplan UK’s enrollment rate in relation to students from outside the EEA and Switzerland.</w:t>
      </w: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724" w:right="239" w:bottom="1440" w:gutter="0" w:footer="0" w:header="0"/>
        </w:sectPr>
      </w:pPr>
    </w:p>
    <w:bookmarkStart w:id="14" w:name="page15"/>
    <w:bookmarkEnd w:id="14"/>
    <w:p>
      <w:pPr>
        <w:ind w:right="240"/>
        <w:spacing w:after="0" w:line="234" w:lineRule="auto"/>
        <w:rPr>
          <w:sz w:val="20"/>
          <w:szCs w:val="20"/>
          <w:color w:val="auto"/>
        </w:rPr>
      </w:pPr>
      <w:r>
        <w:rPr>
          <w:rFonts w:ascii="Arial" w:cs="Arial" w:eastAsia="Arial" w:hAnsi="Arial"/>
          <w:sz w:val="18"/>
          <w:szCs w:val="18"/>
          <w:color w:val="auto"/>
        </w:rPr>
        <w:t>No assurance can be given that each Kaplan International business in the U.K. will be able to maintain its Tier 4 BCA status and Educational Oversight accreditation. Maintenance of each of these approvals requires compliance with several core metrics that may be difficult to attain. Loss of either Tier 4 BCA status or Educational Oversight accreditation would have a material adverse effect on Kaplan Europe’s operating results.</w:t>
      </w:r>
    </w:p>
    <w:p>
      <w:pPr>
        <w:spacing w:after="0" w:line="11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b w:val="1"/>
          <w:bCs w:val="1"/>
          <w:i w:val="1"/>
          <w:iCs w:val="1"/>
          <w:color w:val="auto"/>
        </w:rPr>
        <w:t xml:space="preserve">Impact of Brexit. </w:t>
      </w:r>
      <w:r>
        <w:rPr>
          <w:rFonts w:ascii="Arial" w:cs="Arial" w:eastAsia="Arial" w:hAnsi="Arial"/>
          <w:sz w:val="18"/>
          <w:szCs w:val="18"/>
          <w:color w:val="auto"/>
        </w:rPr>
        <w:t>On June 23, 2016, the U.K. held a referendum in which voters approved a proposal that the U.K. leave the European Union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(“EU”), commonly referred to as “Brexit.” The impact on Kaplan International from Brexit will depend, in part, on the outcome of future negotiations regarding the terms of the U.K.’s withdrawal from the EU. The timing of the negotiations and its impact on recruitment of international students is uncertain. It is possible that EU nationals’ ability to enter the U.K. for long- or short-term study will change or that changes in laws affecting EU nationals could also apply to international students presently covered by the Tier 4 (KI Pathways) or student visitor visa regime (KI English). It is also unclear how international student recruitment agents and prospective international students will view the U.K. as a study destination after the EU exit negotiations and the U.K.’s eventual departure from the EU. If the U.K. exit from the EU and related perceptions of the U.K. as a study destination have a significant negative impact on Kaplan’s ability to recruit international students, Kaplan’s results of operations and cash flows would be adversely and materially impacted.</w:t>
      </w:r>
    </w:p>
    <w:p>
      <w:pPr>
        <w:spacing w:after="0" w:line="123"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In addition, the U.K.’s new Prime Minister has expressed her desire to maintain rigorous immigration controls and select the “best” students for entry into the U.K. A government consultation, similar to the U.S. rulemaking process, on admitting the “brightest and best” students to U.K. universities in exchange for extra compliance and responsibilities will be undertaken early in 2017. It is possible that this consultation could result in a material reduction in the number of Tier 4 visas being issued to international students.</w:t>
      </w:r>
    </w:p>
    <w:p>
      <w:pPr>
        <w:spacing w:after="0" w:line="102" w:lineRule="exact"/>
        <w:rPr>
          <w:sz w:val="20"/>
          <w:szCs w:val="20"/>
          <w:color w:val="auto"/>
        </w:rPr>
      </w:pPr>
    </w:p>
    <w:p>
      <w:pPr>
        <w:ind w:right="60"/>
        <w:spacing w:after="0" w:line="234" w:lineRule="auto"/>
        <w:rPr>
          <w:sz w:val="20"/>
          <w:szCs w:val="20"/>
          <w:color w:val="auto"/>
        </w:rPr>
      </w:pPr>
      <w:r>
        <w:rPr>
          <w:rFonts w:ascii="Arial" w:cs="Arial" w:eastAsia="Arial" w:hAnsi="Arial"/>
          <w:sz w:val="18"/>
          <w:szCs w:val="18"/>
          <w:b w:val="1"/>
          <w:bCs w:val="1"/>
          <w:i w:val="1"/>
          <w:iCs w:val="1"/>
          <w:color w:val="auto"/>
        </w:rPr>
        <w:t xml:space="preserve">The U.K. Counter-Terrorism and Security Act 2015. </w:t>
      </w:r>
      <w:r>
        <w:rPr>
          <w:rFonts w:ascii="Arial" w:cs="Arial" w:eastAsia="Arial" w:hAnsi="Arial"/>
          <w:sz w:val="18"/>
          <w:szCs w:val="18"/>
          <w:color w:val="auto"/>
        </w:rPr>
        <w:t>The U.K. Counter-Terrorism and Security Act 2015 creates a statutory duty for specified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public authorities to “have due regard to the need to prevent people from being drawn into terrorism” (“Prevent duty”). The aim of this government policy is to prevent people from becoming terrorists or supporting terrorism. The private Further Education sector became subject to the new Prevent duty in July 2015 and is required to implement safeguards as proposed by the Home Office Prevent guidance.</w:t>
      </w:r>
    </w:p>
    <w:p>
      <w:pPr>
        <w:spacing w:after="0" w:line="125" w:lineRule="exact"/>
        <w:rPr>
          <w:sz w:val="20"/>
          <w:szCs w:val="20"/>
          <w:color w:val="auto"/>
        </w:rPr>
      </w:pPr>
    </w:p>
    <w:p>
      <w:pPr>
        <w:ind w:right="140"/>
        <w:spacing w:after="0" w:line="271" w:lineRule="auto"/>
        <w:rPr>
          <w:sz w:val="20"/>
          <w:szCs w:val="20"/>
          <w:color w:val="auto"/>
        </w:rPr>
      </w:pPr>
      <w:r>
        <w:rPr>
          <w:rFonts w:ascii="Arial" w:cs="Arial" w:eastAsia="Arial" w:hAnsi="Arial"/>
          <w:sz w:val="18"/>
          <w:szCs w:val="18"/>
          <w:color w:val="auto"/>
        </w:rPr>
        <w:t>Kaplan International has successfully implemented a Prevent Policy to satisfy the requirements of its duty across KI English and KI Pathways. Following inspections in July 2016 at three KI Pathways sites, KI Pathways received the highest grading “compliant” for its inspections and received best practice ratings in a number of areas for the private Further Education sector.</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Asia Pacific. </w:t>
      </w:r>
      <w:r>
        <w:rPr>
          <w:rFonts w:ascii="Arial" w:cs="Arial" w:eastAsia="Arial" w:hAnsi="Arial"/>
          <w:sz w:val="18"/>
          <w:szCs w:val="18"/>
          <w:color w:val="auto"/>
        </w:rPr>
        <w:t>In the Asia Pacific region, Kaplan operates businesses primarily in Singapore, Australia, New Zealand, Hong Kong and China.</w:t>
      </w:r>
    </w:p>
    <w:p>
      <w:pPr>
        <w:spacing w:after="0" w:line="144" w:lineRule="exact"/>
        <w:rPr>
          <w:sz w:val="20"/>
          <w:szCs w:val="20"/>
          <w:color w:val="auto"/>
        </w:rPr>
      </w:pPr>
    </w:p>
    <w:p>
      <w:pPr>
        <w:ind w:right="380"/>
        <w:spacing w:after="0" w:line="234" w:lineRule="auto"/>
        <w:rPr>
          <w:sz w:val="20"/>
          <w:szCs w:val="20"/>
          <w:color w:val="auto"/>
        </w:rPr>
      </w:pPr>
      <w:r>
        <w:rPr>
          <w:rFonts w:ascii="Arial" w:cs="Arial" w:eastAsia="Arial" w:hAnsi="Arial"/>
          <w:sz w:val="18"/>
          <w:szCs w:val="18"/>
          <w:color w:val="auto"/>
        </w:rPr>
        <w:t>In Singapore, Kaplan operates three business units: Kaplan Higher Education, Kaplan Financial and Kaplan Professional. During 2016, the Higher Education and Financial divisions served more than 13,000 students from Singapore and 5,000 students from other countries throughout Asia and Western Europe. Kaplan Professional provided short courses to approximately 19,000 professionals, managers, executives and businesspeople in 2016.</w:t>
      </w:r>
    </w:p>
    <w:p>
      <w:pPr>
        <w:spacing w:after="0" w:line="111" w:lineRule="exact"/>
        <w:rPr>
          <w:sz w:val="20"/>
          <w:szCs w:val="20"/>
          <w:color w:val="auto"/>
        </w:rPr>
      </w:pPr>
    </w:p>
    <w:p>
      <w:pPr>
        <w:ind w:right="140"/>
        <w:spacing w:after="0"/>
        <w:rPr>
          <w:sz w:val="20"/>
          <w:szCs w:val="20"/>
          <w:color w:val="auto"/>
        </w:rPr>
      </w:pPr>
      <w:r>
        <w:rPr>
          <w:rFonts w:ascii="Arial" w:cs="Arial" w:eastAsia="Arial" w:hAnsi="Arial"/>
          <w:sz w:val="18"/>
          <w:szCs w:val="18"/>
          <w:color w:val="auto"/>
        </w:rPr>
        <w:t>Kaplan Singapore’s Higher Education business provides students with the opportunity to earn bachelor’s and postgraduate degrees in various fields on either a part-time or full-time basis. Kaplan Singapore’s students receive degrees from affiliated educational institutions in Australia and the U.K. In addition, this division offers pre-university and diploma programs.</w:t>
      </w:r>
    </w:p>
    <w:p>
      <w:pPr>
        <w:spacing w:after="0" w:line="108" w:lineRule="exact"/>
        <w:rPr>
          <w:sz w:val="20"/>
          <w:szCs w:val="20"/>
          <w:color w:val="auto"/>
        </w:rPr>
      </w:pPr>
    </w:p>
    <w:p>
      <w:pPr>
        <w:ind w:right="60"/>
        <w:spacing w:after="0" w:line="234" w:lineRule="auto"/>
        <w:rPr>
          <w:sz w:val="20"/>
          <w:szCs w:val="20"/>
          <w:color w:val="auto"/>
        </w:rPr>
      </w:pPr>
      <w:r>
        <w:rPr>
          <w:rFonts w:ascii="Arial" w:cs="Arial" w:eastAsia="Arial" w:hAnsi="Arial"/>
          <w:sz w:val="18"/>
          <w:szCs w:val="18"/>
          <w:color w:val="auto"/>
        </w:rPr>
        <w:t>Kaplan Singapore’s Financial business provides preparatory courses for professional qualifications in accountancy and finance, such as the Association of Chartered Certified Accountants (ACCA) and the Chartered Financial Analyst (CFA). Kaplan Singapore’s Professional business, which is an authorized Workforce Development Agency Continuing Education Training (CET) Centre, provides professionals with various skills training to help them rejoin the workforce, shift to new careers or catch up with changes that occur in the workplace.</w:t>
      </w:r>
    </w:p>
    <w:p>
      <w:pPr>
        <w:spacing w:after="0" w:line="111" w:lineRule="exact"/>
        <w:rPr>
          <w:sz w:val="20"/>
          <w:szCs w:val="20"/>
          <w:color w:val="auto"/>
        </w:rPr>
      </w:pPr>
    </w:p>
    <w:p>
      <w:pPr>
        <w:ind w:right="20"/>
        <w:spacing w:after="0" w:line="231" w:lineRule="auto"/>
        <w:rPr>
          <w:sz w:val="20"/>
          <w:szCs w:val="20"/>
          <w:color w:val="auto"/>
        </w:rPr>
      </w:pPr>
      <w:r>
        <w:rPr>
          <w:rFonts w:ascii="Arial" w:cs="Arial" w:eastAsia="Arial" w:hAnsi="Arial"/>
          <w:sz w:val="18"/>
          <w:szCs w:val="18"/>
          <w:color w:val="auto"/>
        </w:rPr>
        <w:t>In Australia, Kaplan delivers a broad range of financial services programs from certificate level through master’s level together with professional development offerings through Kaplan Professional, as well as higher education programs in business, accounting, hospitality and tourism and management through Kaplan Business School. In 2016, these businesses provided courses to approximately 1,400 students through classroom programs (within Kaplan Business School) and to more than 33,000 students through online or distance-learning programs offered by Kaplan Professional.</w:t>
      </w:r>
    </w:p>
    <w:p>
      <w:pPr>
        <w:spacing w:after="0" w:line="111" w:lineRule="exact"/>
        <w:rPr>
          <w:sz w:val="20"/>
          <w:szCs w:val="20"/>
          <w:color w:val="auto"/>
        </w:rPr>
      </w:pPr>
    </w:p>
    <w:p>
      <w:pPr>
        <w:ind w:right="80"/>
        <w:spacing w:after="0" w:line="234" w:lineRule="auto"/>
        <w:rPr>
          <w:sz w:val="20"/>
          <w:szCs w:val="20"/>
          <w:color w:val="auto"/>
        </w:rPr>
      </w:pPr>
      <w:r>
        <w:rPr>
          <w:rFonts w:ascii="Arial" w:cs="Arial" w:eastAsia="Arial" w:hAnsi="Arial"/>
          <w:sz w:val="18"/>
          <w:szCs w:val="18"/>
          <w:color w:val="auto"/>
        </w:rPr>
        <w:t>Kaplan Australia’s English-language business is part of KI English, which operates across seven locations in Australia and one location in New Zealand, teaching more than 8,000 students per year. The Kaplan Australia Pathways business is also part of KI Pathways. It consists of Murdoch Institute of Technology and the University of Adelaide College (formerly Bradford College) and offers pathways and foundational education to approximately 1,000 students wishing to enter Murdoch University in Perth and the University of Adelaide, respectively.</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724" w:right="239" w:bottom="1440" w:gutter="0" w:footer="0" w:header="0"/>
        </w:sectPr>
      </w:pPr>
    </w:p>
    <w:bookmarkStart w:id="15" w:name="page16"/>
    <w:bookmarkEnd w:id="15"/>
    <w:p>
      <w:pPr>
        <w:ind w:right="80"/>
        <w:spacing w:after="0" w:line="260" w:lineRule="auto"/>
        <w:rPr>
          <w:sz w:val="20"/>
          <w:szCs w:val="20"/>
          <w:color w:val="auto"/>
        </w:rPr>
      </w:pPr>
      <w:r>
        <w:rPr>
          <w:rFonts w:ascii="Arial" w:cs="Arial" w:eastAsia="Arial" w:hAnsi="Arial"/>
          <w:sz w:val="18"/>
          <w:szCs w:val="18"/>
          <w:color w:val="auto"/>
        </w:rPr>
        <w:t>In Hong Kong, Kaplan operates three business units: Kaplan Financial, Kaplan Language Training and Kaplan Higher Education, serving more than 11,500 students annually.</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color w:val="auto"/>
        </w:rPr>
        <w:t>Kaplan Hong Kong’s Financial division delivers preparatory courses to approximately 9,600 students and business executives wishing to take professional qualifications in accountancy, including HKICPA, ACCA and CPA, and financial markets designations, including CFA, LE, FRM and CAIA.</w:t>
      </w:r>
    </w:p>
    <w:p>
      <w:pPr>
        <w:spacing w:after="0" w:line="108" w:lineRule="exact"/>
        <w:rPr>
          <w:sz w:val="20"/>
          <w:szCs w:val="20"/>
          <w:color w:val="auto"/>
        </w:rPr>
      </w:pPr>
    </w:p>
    <w:p>
      <w:pPr>
        <w:ind w:right="40"/>
        <w:spacing w:after="0" w:line="260" w:lineRule="auto"/>
        <w:rPr>
          <w:sz w:val="20"/>
          <w:szCs w:val="20"/>
          <w:color w:val="auto"/>
        </w:rPr>
      </w:pPr>
      <w:r>
        <w:rPr>
          <w:rFonts w:ascii="Arial" w:cs="Arial" w:eastAsia="Arial" w:hAnsi="Arial"/>
          <w:sz w:val="18"/>
          <w:szCs w:val="18"/>
          <w:color w:val="auto"/>
        </w:rPr>
        <w:t>Hong Kong’s Language Training division offers both test preparation for overseas study and college applications, including TOEFL, IELTS, SAT and GMAT, to approximately 1,000 students.</w:t>
      </w:r>
    </w:p>
    <w:p>
      <w:pPr>
        <w:spacing w:after="0" w:line="92" w:lineRule="exact"/>
        <w:rPr>
          <w:sz w:val="20"/>
          <w:szCs w:val="20"/>
          <w:color w:val="auto"/>
        </w:rPr>
      </w:pPr>
    </w:p>
    <w:p>
      <w:pPr>
        <w:ind w:right="40"/>
        <w:spacing w:after="0"/>
        <w:rPr>
          <w:sz w:val="20"/>
          <w:szCs w:val="20"/>
          <w:color w:val="auto"/>
        </w:rPr>
      </w:pPr>
      <w:r>
        <w:rPr>
          <w:rFonts w:ascii="Arial" w:cs="Arial" w:eastAsia="Arial" w:hAnsi="Arial"/>
          <w:sz w:val="18"/>
          <w:szCs w:val="18"/>
          <w:color w:val="auto"/>
        </w:rPr>
        <w:t>Kaplan Hong Kong Higher Education division offers both full-time and part-time programs to approximately 1,000 students studying for degrees from leading Western universities. Students earn doctorate, master’s and bachelor’s degrees in Hong Kong. Kaplan also offers a proprietary pre-college diploma program through Kaplan Business and Accountancy School.</w:t>
      </w:r>
    </w:p>
    <w:p>
      <w:pPr>
        <w:spacing w:after="0" w:line="108" w:lineRule="exact"/>
        <w:rPr>
          <w:sz w:val="20"/>
          <w:szCs w:val="20"/>
          <w:color w:val="auto"/>
        </w:rPr>
      </w:pPr>
    </w:p>
    <w:p>
      <w:pPr>
        <w:ind w:right="400"/>
        <w:spacing w:after="0" w:line="260" w:lineRule="auto"/>
        <w:rPr>
          <w:sz w:val="20"/>
          <w:szCs w:val="20"/>
          <w:color w:val="auto"/>
        </w:rPr>
      </w:pPr>
      <w:r>
        <w:rPr>
          <w:rFonts w:ascii="Arial" w:cs="Arial" w:eastAsia="Arial" w:hAnsi="Arial"/>
          <w:sz w:val="18"/>
          <w:szCs w:val="18"/>
          <w:color w:val="auto"/>
        </w:rPr>
        <w:t>In early 2015, Kaplan sold both its ACCA training programs business and four schools that deliver university preparation programs. Kaplan continues to retain franchise arrangements with third parties in China to deliver programs.</w:t>
      </w:r>
    </w:p>
    <w:p>
      <w:pPr>
        <w:spacing w:after="0" w:line="92" w:lineRule="exact"/>
        <w:rPr>
          <w:sz w:val="20"/>
          <w:szCs w:val="20"/>
          <w:color w:val="auto"/>
        </w:rPr>
      </w:pPr>
    </w:p>
    <w:p>
      <w:pPr>
        <w:ind w:right="220"/>
        <w:spacing w:after="0" w:line="234" w:lineRule="auto"/>
        <w:rPr>
          <w:sz w:val="20"/>
          <w:szCs w:val="20"/>
          <w:color w:val="auto"/>
        </w:rPr>
      </w:pPr>
      <w:r>
        <w:rPr>
          <w:rFonts w:ascii="Arial" w:cs="Arial" w:eastAsia="Arial" w:hAnsi="Arial"/>
          <w:sz w:val="18"/>
          <w:szCs w:val="18"/>
          <w:color w:val="auto"/>
        </w:rPr>
        <w:t>In 2014, Kaplan Holdings Limited (Hong Kong) signed a joint venture agreement with CITIC Press Corporation. Under the terms of the agreement, the parties have now incorporated a joint venture company, Kaplan CITIC Education Co. Limited, which is 49% owned by Kaplan Holdings Limited. The joint venture company is carrying out financial training businesses in China under an intellectual property license from Kaplan, including CFA, FRM and ACCA.</w:t>
      </w:r>
    </w:p>
    <w:p>
      <w:pPr>
        <w:spacing w:after="0" w:line="111" w:lineRule="exact"/>
        <w:rPr>
          <w:sz w:val="20"/>
          <w:szCs w:val="20"/>
          <w:color w:val="auto"/>
        </w:rPr>
      </w:pPr>
    </w:p>
    <w:p>
      <w:pPr>
        <w:ind w:right="140"/>
        <w:spacing w:after="0" w:line="234" w:lineRule="auto"/>
        <w:rPr>
          <w:sz w:val="20"/>
          <w:szCs w:val="20"/>
          <w:color w:val="auto"/>
        </w:rPr>
      </w:pPr>
      <w:r>
        <w:rPr>
          <w:rFonts w:ascii="Arial" w:cs="Arial" w:eastAsia="Arial" w:hAnsi="Arial"/>
          <w:sz w:val="18"/>
          <w:szCs w:val="18"/>
          <w:color w:val="auto"/>
        </w:rPr>
        <w:t>Each of Kaplan’s international businesses is subject to unique and often complex regulatory environments in the countries in which they operate. The degree of consistency in the application and interpretation of such regulations can vary significantly in certain jurisdictions, which can make compliance challenging. No assurance can be given that Kaplan will be able to comply with foreign regulations, and failure to do so could materially and adversely affect Kaplan</w:t>
      </w:r>
      <w:r>
        <w:rPr>
          <w:rFonts w:ascii="Arial" w:cs="Arial" w:eastAsia="Arial" w:hAnsi="Arial"/>
          <w:sz w:val="14"/>
          <w:szCs w:val="14"/>
          <w:b w:val="1"/>
          <w:bCs w:val="1"/>
          <w:color w:val="auto"/>
        </w:rPr>
        <w:t>’</w:t>
      </w:r>
      <w:r>
        <w:rPr>
          <w:rFonts w:ascii="Arial" w:cs="Arial" w:eastAsia="Arial" w:hAnsi="Arial"/>
          <w:sz w:val="18"/>
          <w:szCs w:val="18"/>
          <w:color w:val="auto"/>
        </w:rPr>
        <w:t>s operating results.</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Television Broadcasting</w:t>
      </w:r>
    </w:p>
    <w:p>
      <w:pPr>
        <w:spacing w:after="0" w:line="146" w:lineRule="exact"/>
        <w:rPr>
          <w:sz w:val="20"/>
          <w:szCs w:val="20"/>
          <w:color w:val="auto"/>
        </w:rPr>
      </w:pPr>
    </w:p>
    <w:p>
      <w:pPr>
        <w:ind w:right="160"/>
        <w:spacing w:after="0" w:line="234" w:lineRule="auto"/>
        <w:rPr>
          <w:sz w:val="20"/>
          <w:szCs w:val="20"/>
          <w:color w:val="auto"/>
        </w:rPr>
      </w:pPr>
      <w:r>
        <w:rPr>
          <w:rFonts w:ascii="Arial" w:cs="Arial" w:eastAsia="Arial" w:hAnsi="Arial"/>
          <w:sz w:val="18"/>
          <w:szCs w:val="18"/>
          <w:color w:val="auto"/>
        </w:rPr>
        <w:t>Graham Media Group, Inc. (GMG), a subsidiary of the Company, owns seven television stations, located in Houston, TX; Detroit, MI; Orlando, FL; San Antonio, TX; Roanoke, VA; and Jacksonville, FL, as well as SocialNewsDesk, a provider of social-media management tools designed to connect newsrooms with their users. The following table sets forth certain information with respect to each of the Company’s television stations: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340" w:type="dxa"/>
            <w:vAlign w:val="bottom"/>
          </w:tcPr>
          <w:p>
            <w:pPr>
              <w:jc w:val="center"/>
              <w:spacing w:after="0"/>
              <w:rPr>
                <w:sz w:val="20"/>
                <w:szCs w:val="20"/>
                <w:color w:val="auto"/>
              </w:rPr>
            </w:pPr>
            <w:r>
              <w:rPr>
                <w:rFonts w:ascii="Arial" w:cs="Arial" w:eastAsia="Arial" w:hAnsi="Arial"/>
                <w:sz w:val="14"/>
                <w:szCs w:val="14"/>
                <w:b w:val="1"/>
                <w:bCs w:val="1"/>
                <w:color w:val="auto"/>
              </w:rPr>
              <w:t>Station Location and</w:t>
            </w: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rPr>
              <w:t>National</w:t>
            </w: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w w:val="99"/>
              </w:rPr>
              <w:t>Primary</w:t>
            </w: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rPr>
              <w:t>Expiration</w:t>
            </w: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rPr>
              <w:t>Expiration Date</w:t>
            </w:r>
          </w:p>
        </w:tc>
        <w:tc>
          <w:tcPr>
            <w:tcW w:w="1800" w:type="dxa"/>
            <w:vAlign w:val="bottom"/>
          </w:tcPr>
          <w:p>
            <w:pPr>
              <w:jc w:val="center"/>
              <w:ind w:left="22"/>
              <w:spacing w:after="0"/>
              <w:rPr>
                <w:sz w:val="20"/>
                <w:szCs w:val="20"/>
                <w:color w:val="auto"/>
              </w:rPr>
            </w:pPr>
            <w:r>
              <w:rPr>
                <w:rFonts w:ascii="Arial" w:cs="Arial" w:eastAsia="Arial" w:hAnsi="Arial"/>
                <w:sz w:val="14"/>
                <w:szCs w:val="14"/>
                <w:b w:val="1"/>
                <w:bCs w:val="1"/>
                <w:color w:val="auto"/>
              </w:rPr>
              <w:t>Total Commercial</w:t>
            </w:r>
          </w:p>
        </w:tc>
      </w:tr>
      <w:tr>
        <w:trPr>
          <w:trHeight w:val="162"/>
        </w:trPr>
        <w:tc>
          <w:tcPr>
            <w:tcW w:w="3340" w:type="dxa"/>
            <w:vAlign w:val="bottom"/>
          </w:tcPr>
          <w:p>
            <w:pPr>
              <w:jc w:val="center"/>
              <w:spacing w:after="0"/>
              <w:rPr>
                <w:sz w:val="20"/>
                <w:szCs w:val="20"/>
                <w:color w:val="auto"/>
              </w:rPr>
            </w:pPr>
            <w:r>
              <w:rPr>
                <w:rFonts w:ascii="Arial" w:cs="Arial" w:eastAsia="Arial" w:hAnsi="Arial"/>
                <w:sz w:val="14"/>
                <w:szCs w:val="14"/>
                <w:b w:val="1"/>
                <w:bCs w:val="1"/>
                <w:color w:val="auto"/>
              </w:rPr>
              <w:t>Year Commercial</w:t>
            </w: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rPr>
              <w:t>Market</w:t>
            </w: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rPr>
              <w:t>Network</w:t>
            </w: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rPr>
              <w:t>Date of FCC</w:t>
            </w: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rPr>
              <w:t>of Network</w:t>
            </w:r>
          </w:p>
        </w:tc>
        <w:tc>
          <w:tcPr>
            <w:tcW w:w="1800" w:type="dxa"/>
            <w:vAlign w:val="bottom"/>
          </w:tcPr>
          <w:p>
            <w:pPr>
              <w:jc w:val="center"/>
              <w:ind w:left="22"/>
              <w:spacing w:after="0"/>
              <w:rPr>
                <w:sz w:val="20"/>
                <w:szCs w:val="20"/>
                <w:color w:val="auto"/>
              </w:rPr>
            </w:pPr>
            <w:r>
              <w:rPr>
                <w:rFonts w:ascii="Arial" w:cs="Arial" w:eastAsia="Arial" w:hAnsi="Arial"/>
                <w:sz w:val="14"/>
                <w:szCs w:val="14"/>
                <w:b w:val="1"/>
                <w:bCs w:val="1"/>
                <w:color w:val="auto"/>
              </w:rPr>
              <w:t>Stations</w:t>
            </w:r>
          </w:p>
        </w:tc>
      </w:tr>
      <w:tr>
        <w:trPr>
          <w:trHeight w:val="203"/>
        </w:trPr>
        <w:tc>
          <w:tcPr>
            <w:tcW w:w="3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Operation Commenced</w:t>
            </w: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Ranking (a)</w:t>
            </w: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Affiliation</w:t>
            </w: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License</w:t>
            </w: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Agreement</w:t>
            </w:r>
          </w:p>
        </w:tc>
        <w:tc>
          <w:tcPr>
            <w:tcW w:w="1800" w:type="dxa"/>
            <w:vAlign w:val="bottom"/>
            <w:tcBorders>
              <w:bottom w:val="single" w:sz="8" w:color="auto"/>
            </w:tcBorders>
          </w:tcPr>
          <w:p>
            <w:pPr>
              <w:jc w:val="center"/>
              <w:ind w:left="2"/>
              <w:spacing w:after="0"/>
              <w:rPr>
                <w:sz w:val="20"/>
                <w:szCs w:val="20"/>
                <w:color w:val="auto"/>
              </w:rPr>
            </w:pPr>
            <w:r>
              <w:rPr>
                <w:rFonts w:ascii="Arial" w:cs="Arial" w:eastAsia="Arial" w:hAnsi="Arial"/>
                <w:sz w:val="14"/>
                <w:szCs w:val="14"/>
                <w:b w:val="1"/>
                <w:bCs w:val="1"/>
                <w:color w:val="auto"/>
              </w:rPr>
              <w:t>in DMA (b)</w:t>
            </w:r>
          </w:p>
        </w:tc>
      </w:tr>
      <w:tr>
        <w:trPr>
          <w:trHeight w:val="222"/>
        </w:trPr>
        <w:tc>
          <w:tcPr>
            <w:tcW w:w="3340" w:type="dxa"/>
            <w:vAlign w:val="bottom"/>
          </w:tcPr>
          <w:p>
            <w:pPr>
              <w:ind w:left="40"/>
              <w:spacing w:after="0"/>
              <w:rPr>
                <w:sz w:val="20"/>
                <w:szCs w:val="20"/>
                <w:color w:val="auto"/>
              </w:rPr>
            </w:pPr>
            <w:r>
              <w:rPr>
                <w:rFonts w:ascii="Arial" w:cs="Arial" w:eastAsia="Arial" w:hAnsi="Arial"/>
                <w:sz w:val="16"/>
                <w:szCs w:val="16"/>
                <w:color w:val="auto"/>
              </w:rPr>
              <w:t>KPRC, Houston, TX, 1949</w:t>
            </w:r>
          </w:p>
        </w:tc>
        <w:tc>
          <w:tcPr>
            <w:tcW w:w="1580" w:type="dxa"/>
            <w:vAlign w:val="bottom"/>
          </w:tcPr>
          <w:p>
            <w:pPr>
              <w:jc w:val="center"/>
              <w:spacing w:after="0"/>
              <w:rPr>
                <w:sz w:val="20"/>
                <w:szCs w:val="20"/>
                <w:color w:val="auto"/>
              </w:rPr>
            </w:pPr>
            <w:r>
              <w:rPr>
                <w:rFonts w:ascii="Arial" w:cs="Arial" w:eastAsia="Arial" w:hAnsi="Arial"/>
                <w:sz w:val="16"/>
                <w:szCs w:val="16"/>
                <w:color w:val="auto"/>
              </w:rPr>
              <w:t>8th</w:t>
            </w:r>
          </w:p>
        </w:tc>
        <w:tc>
          <w:tcPr>
            <w:tcW w:w="1400" w:type="dxa"/>
            <w:vAlign w:val="bottom"/>
          </w:tcPr>
          <w:p>
            <w:pPr>
              <w:jc w:val="center"/>
              <w:spacing w:after="0"/>
              <w:rPr>
                <w:sz w:val="20"/>
                <w:szCs w:val="20"/>
                <w:color w:val="auto"/>
              </w:rPr>
            </w:pPr>
            <w:r>
              <w:rPr>
                <w:rFonts w:ascii="Arial" w:cs="Arial" w:eastAsia="Arial" w:hAnsi="Arial"/>
                <w:sz w:val="16"/>
                <w:szCs w:val="16"/>
                <w:color w:val="auto"/>
              </w:rPr>
              <w:t>NBC</w:t>
            </w:r>
          </w:p>
        </w:tc>
        <w:tc>
          <w:tcPr>
            <w:tcW w:w="1580" w:type="dxa"/>
            <w:vAlign w:val="bottom"/>
          </w:tcPr>
          <w:p>
            <w:pPr>
              <w:jc w:val="center"/>
              <w:spacing w:after="0"/>
              <w:rPr>
                <w:sz w:val="20"/>
                <w:szCs w:val="20"/>
                <w:color w:val="auto"/>
              </w:rPr>
            </w:pPr>
            <w:r>
              <w:rPr>
                <w:rFonts w:ascii="Arial" w:cs="Arial" w:eastAsia="Arial" w:hAnsi="Arial"/>
                <w:sz w:val="16"/>
                <w:szCs w:val="16"/>
                <w:color w:val="auto"/>
              </w:rPr>
              <w:t>Aug. 1, 2022</w:t>
            </w:r>
          </w:p>
        </w:tc>
        <w:tc>
          <w:tcPr>
            <w:tcW w:w="1720" w:type="dxa"/>
            <w:vAlign w:val="bottom"/>
          </w:tcPr>
          <w:p>
            <w:pPr>
              <w:jc w:val="center"/>
              <w:spacing w:after="0"/>
              <w:rPr>
                <w:sz w:val="20"/>
                <w:szCs w:val="20"/>
                <w:color w:val="auto"/>
              </w:rPr>
            </w:pPr>
            <w:r>
              <w:rPr>
                <w:rFonts w:ascii="Arial" w:cs="Arial" w:eastAsia="Arial" w:hAnsi="Arial"/>
                <w:sz w:val="16"/>
                <w:szCs w:val="16"/>
                <w:color w:val="auto"/>
              </w:rPr>
              <w:t>Dec. 31, 2019</w:t>
            </w:r>
          </w:p>
        </w:tc>
        <w:tc>
          <w:tcPr>
            <w:tcW w:w="1800" w:type="dxa"/>
            <w:vAlign w:val="bottom"/>
          </w:tcPr>
          <w:p>
            <w:pPr>
              <w:jc w:val="center"/>
              <w:ind w:left="22"/>
              <w:spacing w:after="0"/>
              <w:rPr>
                <w:sz w:val="20"/>
                <w:szCs w:val="20"/>
                <w:color w:val="auto"/>
              </w:rPr>
            </w:pPr>
            <w:r>
              <w:rPr>
                <w:rFonts w:ascii="Arial" w:cs="Arial" w:eastAsia="Arial" w:hAnsi="Arial"/>
                <w:sz w:val="16"/>
                <w:szCs w:val="16"/>
                <w:color w:val="auto"/>
              </w:rPr>
              <w:t>14</w:t>
            </w:r>
          </w:p>
        </w:tc>
      </w:tr>
      <w:tr>
        <w:trPr>
          <w:trHeight w:val="540"/>
        </w:trPr>
        <w:tc>
          <w:tcPr>
            <w:tcW w:w="3340" w:type="dxa"/>
            <w:vAlign w:val="bottom"/>
          </w:tcPr>
          <w:p>
            <w:pPr>
              <w:ind w:left="40"/>
              <w:spacing w:after="0"/>
              <w:rPr>
                <w:sz w:val="20"/>
                <w:szCs w:val="20"/>
                <w:color w:val="auto"/>
              </w:rPr>
            </w:pPr>
            <w:r>
              <w:rPr>
                <w:rFonts w:ascii="Arial" w:cs="Arial" w:eastAsia="Arial" w:hAnsi="Arial"/>
                <w:sz w:val="16"/>
                <w:szCs w:val="16"/>
                <w:color w:val="auto"/>
              </w:rPr>
              <w:t>WDIV, Detroit, MI, 1947</w:t>
            </w:r>
          </w:p>
        </w:tc>
        <w:tc>
          <w:tcPr>
            <w:tcW w:w="1580" w:type="dxa"/>
            <w:vAlign w:val="bottom"/>
          </w:tcPr>
          <w:p>
            <w:pPr>
              <w:jc w:val="center"/>
              <w:spacing w:after="0"/>
              <w:rPr>
                <w:sz w:val="20"/>
                <w:szCs w:val="20"/>
                <w:color w:val="auto"/>
              </w:rPr>
            </w:pPr>
            <w:r>
              <w:rPr>
                <w:rFonts w:ascii="Arial" w:cs="Arial" w:eastAsia="Arial" w:hAnsi="Arial"/>
                <w:sz w:val="16"/>
                <w:szCs w:val="16"/>
                <w:color w:val="auto"/>
              </w:rPr>
              <w:t>13th</w:t>
            </w:r>
          </w:p>
        </w:tc>
        <w:tc>
          <w:tcPr>
            <w:tcW w:w="1400" w:type="dxa"/>
            <w:vAlign w:val="bottom"/>
          </w:tcPr>
          <w:p>
            <w:pPr>
              <w:jc w:val="center"/>
              <w:spacing w:after="0"/>
              <w:rPr>
                <w:sz w:val="20"/>
                <w:szCs w:val="20"/>
                <w:color w:val="auto"/>
              </w:rPr>
            </w:pPr>
            <w:r>
              <w:rPr>
                <w:rFonts w:ascii="Arial" w:cs="Arial" w:eastAsia="Arial" w:hAnsi="Arial"/>
                <w:sz w:val="16"/>
                <w:szCs w:val="16"/>
                <w:color w:val="auto"/>
              </w:rPr>
              <w:t>NBC</w:t>
            </w:r>
          </w:p>
        </w:tc>
        <w:tc>
          <w:tcPr>
            <w:tcW w:w="1580" w:type="dxa"/>
            <w:vAlign w:val="bottom"/>
          </w:tcPr>
          <w:p>
            <w:pPr>
              <w:jc w:val="center"/>
              <w:spacing w:after="0"/>
              <w:rPr>
                <w:sz w:val="20"/>
                <w:szCs w:val="20"/>
                <w:color w:val="auto"/>
              </w:rPr>
            </w:pPr>
            <w:r>
              <w:rPr>
                <w:rFonts w:ascii="Arial" w:cs="Arial" w:eastAsia="Arial" w:hAnsi="Arial"/>
                <w:sz w:val="16"/>
                <w:szCs w:val="16"/>
                <w:color w:val="auto"/>
              </w:rPr>
              <w:t>Oct. 1, 2021</w:t>
            </w:r>
          </w:p>
        </w:tc>
        <w:tc>
          <w:tcPr>
            <w:tcW w:w="1720" w:type="dxa"/>
            <w:vAlign w:val="bottom"/>
          </w:tcPr>
          <w:p>
            <w:pPr>
              <w:jc w:val="center"/>
              <w:spacing w:after="0"/>
              <w:rPr>
                <w:sz w:val="20"/>
                <w:szCs w:val="20"/>
                <w:color w:val="auto"/>
              </w:rPr>
            </w:pPr>
            <w:r>
              <w:rPr>
                <w:rFonts w:ascii="Arial" w:cs="Arial" w:eastAsia="Arial" w:hAnsi="Arial"/>
                <w:sz w:val="16"/>
                <w:szCs w:val="16"/>
                <w:color w:val="auto"/>
              </w:rPr>
              <w:t>Dec. 31, 2019</w:t>
            </w:r>
          </w:p>
        </w:tc>
        <w:tc>
          <w:tcPr>
            <w:tcW w:w="1800" w:type="dxa"/>
            <w:vAlign w:val="bottom"/>
          </w:tcPr>
          <w:p>
            <w:pPr>
              <w:jc w:val="center"/>
              <w:ind w:left="22"/>
              <w:spacing w:after="0"/>
              <w:rPr>
                <w:sz w:val="20"/>
                <w:szCs w:val="20"/>
                <w:color w:val="auto"/>
              </w:rPr>
            </w:pPr>
            <w:r>
              <w:rPr>
                <w:rFonts w:ascii="Arial" w:cs="Arial" w:eastAsia="Arial" w:hAnsi="Arial"/>
                <w:sz w:val="16"/>
                <w:szCs w:val="16"/>
                <w:color w:val="auto"/>
              </w:rPr>
              <w:t>8</w:t>
            </w:r>
          </w:p>
        </w:tc>
      </w:tr>
      <w:tr>
        <w:trPr>
          <w:trHeight w:val="540"/>
        </w:trPr>
        <w:tc>
          <w:tcPr>
            <w:tcW w:w="3340" w:type="dxa"/>
            <w:vAlign w:val="bottom"/>
          </w:tcPr>
          <w:p>
            <w:pPr>
              <w:ind w:left="40"/>
              <w:spacing w:after="0"/>
              <w:rPr>
                <w:sz w:val="20"/>
                <w:szCs w:val="20"/>
                <w:color w:val="auto"/>
              </w:rPr>
            </w:pPr>
            <w:r>
              <w:rPr>
                <w:rFonts w:ascii="Arial" w:cs="Arial" w:eastAsia="Arial" w:hAnsi="Arial"/>
                <w:sz w:val="16"/>
                <w:szCs w:val="16"/>
                <w:color w:val="auto"/>
              </w:rPr>
              <w:t>WKMG, Orlando, FL, 1954</w:t>
            </w:r>
          </w:p>
        </w:tc>
        <w:tc>
          <w:tcPr>
            <w:tcW w:w="1580" w:type="dxa"/>
            <w:vAlign w:val="bottom"/>
          </w:tcPr>
          <w:p>
            <w:pPr>
              <w:jc w:val="center"/>
              <w:spacing w:after="0"/>
              <w:rPr>
                <w:sz w:val="20"/>
                <w:szCs w:val="20"/>
                <w:color w:val="auto"/>
              </w:rPr>
            </w:pPr>
            <w:r>
              <w:rPr>
                <w:rFonts w:ascii="Arial" w:cs="Arial" w:eastAsia="Arial" w:hAnsi="Arial"/>
                <w:sz w:val="16"/>
                <w:szCs w:val="16"/>
                <w:color w:val="auto"/>
              </w:rPr>
              <w:t>18th</w:t>
            </w:r>
          </w:p>
        </w:tc>
        <w:tc>
          <w:tcPr>
            <w:tcW w:w="1400" w:type="dxa"/>
            <w:vAlign w:val="bottom"/>
          </w:tcPr>
          <w:p>
            <w:pPr>
              <w:jc w:val="center"/>
              <w:spacing w:after="0"/>
              <w:rPr>
                <w:sz w:val="20"/>
                <w:szCs w:val="20"/>
                <w:color w:val="auto"/>
              </w:rPr>
            </w:pPr>
            <w:r>
              <w:rPr>
                <w:rFonts w:ascii="Arial" w:cs="Arial" w:eastAsia="Arial" w:hAnsi="Arial"/>
                <w:sz w:val="16"/>
                <w:szCs w:val="16"/>
                <w:color w:val="auto"/>
                <w:w w:val="97"/>
              </w:rPr>
              <w:t>CBS</w:t>
            </w:r>
          </w:p>
        </w:tc>
        <w:tc>
          <w:tcPr>
            <w:tcW w:w="1580" w:type="dxa"/>
            <w:vAlign w:val="bottom"/>
          </w:tcPr>
          <w:p>
            <w:pPr>
              <w:jc w:val="center"/>
              <w:spacing w:after="0"/>
              <w:rPr>
                <w:sz w:val="20"/>
                <w:szCs w:val="20"/>
                <w:color w:val="auto"/>
              </w:rPr>
            </w:pPr>
            <w:r>
              <w:rPr>
                <w:rFonts w:ascii="Arial" w:cs="Arial" w:eastAsia="Arial" w:hAnsi="Arial"/>
                <w:sz w:val="16"/>
                <w:szCs w:val="16"/>
                <w:color w:val="auto"/>
              </w:rPr>
              <w:t>Feb. 1, 2021</w:t>
            </w:r>
          </w:p>
        </w:tc>
        <w:tc>
          <w:tcPr>
            <w:tcW w:w="1720" w:type="dxa"/>
            <w:vAlign w:val="bottom"/>
          </w:tcPr>
          <w:p>
            <w:pPr>
              <w:jc w:val="center"/>
              <w:spacing w:after="0"/>
              <w:rPr>
                <w:sz w:val="20"/>
                <w:szCs w:val="20"/>
                <w:color w:val="auto"/>
              </w:rPr>
            </w:pPr>
            <w:r>
              <w:rPr>
                <w:rFonts w:ascii="Arial" w:cs="Arial" w:eastAsia="Arial" w:hAnsi="Arial"/>
                <w:sz w:val="16"/>
                <w:szCs w:val="16"/>
                <w:color w:val="auto"/>
              </w:rPr>
              <w:t>April 6, 2019</w:t>
            </w:r>
          </w:p>
        </w:tc>
        <w:tc>
          <w:tcPr>
            <w:tcW w:w="1800" w:type="dxa"/>
            <w:vAlign w:val="bottom"/>
          </w:tcPr>
          <w:p>
            <w:pPr>
              <w:jc w:val="center"/>
              <w:ind w:left="22"/>
              <w:spacing w:after="0"/>
              <w:rPr>
                <w:sz w:val="20"/>
                <w:szCs w:val="20"/>
                <w:color w:val="auto"/>
              </w:rPr>
            </w:pPr>
            <w:r>
              <w:rPr>
                <w:rFonts w:ascii="Arial" w:cs="Arial" w:eastAsia="Arial" w:hAnsi="Arial"/>
                <w:sz w:val="16"/>
                <w:szCs w:val="16"/>
                <w:color w:val="auto"/>
              </w:rPr>
              <w:t>12</w:t>
            </w:r>
          </w:p>
        </w:tc>
      </w:tr>
      <w:tr>
        <w:trPr>
          <w:trHeight w:val="540"/>
        </w:trPr>
        <w:tc>
          <w:tcPr>
            <w:tcW w:w="3340" w:type="dxa"/>
            <w:vAlign w:val="bottom"/>
          </w:tcPr>
          <w:p>
            <w:pPr>
              <w:ind w:left="40"/>
              <w:spacing w:after="0"/>
              <w:rPr>
                <w:sz w:val="20"/>
                <w:szCs w:val="20"/>
                <w:color w:val="auto"/>
              </w:rPr>
            </w:pPr>
            <w:r>
              <w:rPr>
                <w:rFonts w:ascii="Arial" w:cs="Arial" w:eastAsia="Arial" w:hAnsi="Arial"/>
                <w:sz w:val="16"/>
                <w:szCs w:val="16"/>
                <w:color w:val="auto"/>
              </w:rPr>
              <w:t>KSAT, San Antonio, TX, 1957</w:t>
            </w:r>
          </w:p>
        </w:tc>
        <w:tc>
          <w:tcPr>
            <w:tcW w:w="1580" w:type="dxa"/>
            <w:vAlign w:val="bottom"/>
          </w:tcPr>
          <w:p>
            <w:pPr>
              <w:jc w:val="center"/>
              <w:spacing w:after="0"/>
              <w:rPr>
                <w:sz w:val="20"/>
                <w:szCs w:val="20"/>
                <w:color w:val="auto"/>
              </w:rPr>
            </w:pPr>
            <w:r>
              <w:rPr>
                <w:rFonts w:ascii="Arial" w:cs="Arial" w:eastAsia="Arial" w:hAnsi="Arial"/>
                <w:sz w:val="16"/>
                <w:szCs w:val="16"/>
                <w:color w:val="auto"/>
              </w:rPr>
              <w:t>31st</w:t>
            </w:r>
          </w:p>
        </w:tc>
        <w:tc>
          <w:tcPr>
            <w:tcW w:w="1400" w:type="dxa"/>
            <w:vAlign w:val="bottom"/>
          </w:tcPr>
          <w:p>
            <w:pPr>
              <w:jc w:val="center"/>
              <w:spacing w:after="0"/>
              <w:rPr>
                <w:sz w:val="20"/>
                <w:szCs w:val="20"/>
                <w:color w:val="auto"/>
              </w:rPr>
            </w:pPr>
            <w:r>
              <w:rPr>
                <w:rFonts w:ascii="Arial" w:cs="Arial" w:eastAsia="Arial" w:hAnsi="Arial"/>
                <w:sz w:val="16"/>
                <w:szCs w:val="16"/>
                <w:color w:val="auto"/>
                <w:w w:val="97"/>
              </w:rPr>
              <w:t>ABC</w:t>
            </w:r>
          </w:p>
        </w:tc>
        <w:tc>
          <w:tcPr>
            <w:tcW w:w="1580" w:type="dxa"/>
            <w:vAlign w:val="bottom"/>
          </w:tcPr>
          <w:p>
            <w:pPr>
              <w:jc w:val="center"/>
              <w:spacing w:after="0"/>
              <w:rPr>
                <w:sz w:val="20"/>
                <w:szCs w:val="20"/>
                <w:color w:val="auto"/>
              </w:rPr>
            </w:pPr>
            <w:r>
              <w:rPr>
                <w:rFonts w:ascii="Arial" w:cs="Arial" w:eastAsia="Arial" w:hAnsi="Arial"/>
                <w:sz w:val="16"/>
                <w:szCs w:val="16"/>
                <w:color w:val="auto"/>
              </w:rPr>
              <w:t>Aug. 1, 2022</w:t>
            </w:r>
          </w:p>
        </w:tc>
        <w:tc>
          <w:tcPr>
            <w:tcW w:w="1720" w:type="dxa"/>
            <w:vAlign w:val="bottom"/>
          </w:tcPr>
          <w:p>
            <w:pPr>
              <w:jc w:val="center"/>
              <w:spacing w:after="0"/>
              <w:rPr>
                <w:sz w:val="20"/>
                <w:szCs w:val="20"/>
                <w:color w:val="auto"/>
              </w:rPr>
            </w:pPr>
            <w:r>
              <w:rPr>
                <w:rFonts w:ascii="Arial" w:cs="Arial" w:eastAsia="Arial" w:hAnsi="Arial"/>
                <w:sz w:val="16"/>
                <w:szCs w:val="16"/>
                <w:color w:val="auto"/>
              </w:rPr>
              <w:t>Dec. 31, 2021</w:t>
            </w:r>
          </w:p>
        </w:tc>
        <w:tc>
          <w:tcPr>
            <w:tcW w:w="1800" w:type="dxa"/>
            <w:vAlign w:val="bottom"/>
          </w:tcPr>
          <w:p>
            <w:pPr>
              <w:jc w:val="center"/>
              <w:ind w:left="22"/>
              <w:spacing w:after="0"/>
              <w:rPr>
                <w:sz w:val="20"/>
                <w:szCs w:val="20"/>
                <w:color w:val="auto"/>
              </w:rPr>
            </w:pPr>
            <w:r>
              <w:rPr>
                <w:rFonts w:ascii="Arial" w:cs="Arial" w:eastAsia="Arial" w:hAnsi="Arial"/>
                <w:sz w:val="16"/>
                <w:szCs w:val="16"/>
                <w:color w:val="auto"/>
              </w:rPr>
              <w:t>12</w:t>
            </w:r>
          </w:p>
        </w:tc>
      </w:tr>
      <w:tr>
        <w:trPr>
          <w:trHeight w:val="392"/>
        </w:trPr>
        <w:tc>
          <w:tcPr>
            <w:tcW w:w="3340" w:type="dxa"/>
            <w:vAlign w:val="bottom"/>
          </w:tcPr>
          <w:p>
            <w:pPr>
              <w:ind w:left="40"/>
              <w:spacing w:after="0"/>
              <w:rPr>
                <w:sz w:val="20"/>
                <w:szCs w:val="20"/>
                <w:color w:val="auto"/>
              </w:rPr>
            </w:pPr>
            <w:r>
              <w:rPr>
                <w:rFonts w:ascii="Arial" w:cs="Arial" w:eastAsia="Arial" w:hAnsi="Arial"/>
                <w:sz w:val="16"/>
                <w:szCs w:val="16"/>
                <w:color w:val="auto"/>
              </w:rPr>
              <w:t>WJXT, Jacksonville, FL, 1947</w:t>
            </w:r>
          </w:p>
        </w:tc>
        <w:tc>
          <w:tcPr>
            <w:tcW w:w="1580" w:type="dxa"/>
            <w:vAlign w:val="bottom"/>
          </w:tcPr>
          <w:p>
            <w:pPr>
              <w:jc w:val="center"/>
              <w:spacing w:after="0"/>
              <w:rPr>
                <w:sz w:val="20"/>
                <w:szCs w:val="20"/>
                <w:color w:val="auto"/>
              </w:rPr>
            </w:pPr>
            <w:r>
              <w:rPr>
                <w:rFonts w:ascii="Arial" w:cs="Arial" w:eastAsia="Arial" w:hAnsi="Arial"/>
                <w:sz w:val="16"/>
                <w:szCs w:val="16"/>
                <w:color w:val="auto"/>
              </w:rPr>
              <w:t>47th</w:t>
            </w:r>
          </w:p>
        </w:tc>
        <w:tc>
          <w:tcPr>
            <w:tcW w:w="1400" w:type="dxa"/>
            <w:vAlign w:val="bottom"/>
          </w:tcPr>
          <w:p>
            <w:pPr>
              <w:jc w:val="center"/>
              <w:spacing w:after="0"/>
              <w:rPr>
                <w:sz w:val="20"/>
                <w:szCs w:val="20"/>
                <w:color w:val="auto"/>
              </w:rPr>
            </w:pPr>
            <w:r>
              <w:rPr>
                <w:rFonts w:ascii="Arial" w:cs="Arial" w:eastAsia="Arial" w:hAnsi="Arial"/>
                <w:sz w:val="16"/>
                <w:szCs w:val="16"/>
                <w:color w:val="auto"/>
              </w:rPr>
              <w:t>None</w:t>
            </w:r>
          </w:p>
        </w:tc>
        <w:tc>
          <w:tcPr>
            <w:tcW w:w="1580" w:type="dxa"/>
            <w:vAlign w:val="bottom"/>
          </w:tcPr>
          <w:p>
            <w:pPr>
              <w:jc w:val="center"/>
              <w:spacing w:after="0"/>
              <w:rPr>
                <w:sz w:val="20"/>
                <w:szCs w:val="20"/>
                <w:color w:val="auto"/>
              </w:rPr>
            </w:pPr>
            <w:r>
              <w:rPr>
                <w:rFonts w:ascii="Arial" w:cs="Arial" w:eastAsia="Arial" w:hAnsi="Arial"/>
                <w:sz w:val="16"/>
                <w:szCs w:val="16"/>
                <w:color w:val="auto"/>
              </w:rPr>
              <w:t>Feb. 1, 2021</w:t>
            </w:r>
          </w:p>
        </w:tc>
        <w:tc>
          <w:tcPr>
            <w:tcW w:w="172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800" w:type="dxa"/>
            <w:vAlign w:val="bottom"/>
          </w:tcPr>
          <w:p>
            <w:pPr>
              <w:jc w:val="center"/>
              <w:ind w:left="22"/>
              <w:spacing w:after="0"/>
              <w:rPr>
                <w:sz w:val="20"/>
                <w:szCs w:val="20"/>
                <w:color w:val="auto"/>
              </w:rPr>
            </w:pPr>
            <w:r>
              <w:rPr>
                <w:rFonts w:ascii="Arial" w:cs="Arial" w:eastAsia="Arial" w:hAnsi="Arial"/>
                <w:sz w:val="16"/>
                <w:szCs w:val="16"/>
                <w:color w:val="auto"/>
              </w:rPr>
              <w:t>7</w:t>
            </w:r>
          </w:p>
        </w:tc>
      </w:tr>
      <w:tr>
        <w:trPr>
          <w:trHeight w:val="392"/>
        </w:trPr>
        <w:tc>
          <w:tcPr>
            <w:tcW w:w="3340" w:type="dxa"/>
            <w:vAlign w:val="bottom"/>
          </w:tcPr>
          <w:p>
            <w:pPr>
              <w:ind w:left="40"/>
              <w:spacing w:after="0"/>
              <w:rPr>
                <w:sz w:val="20"/>
                <w:szCs w:val="20"/>
                <w:color w:val="auto"/>
              </w:rPr>
            </w:pPr>
            <w:r>
              <w:rPr>
                <w:rFonts w:ascii="Arial" w:cs="Arial" w:eastAsia="Arial" w:hAnsi="Arial"/>
                <w:sz w:val="16"/>
                <w:szCs w:val="16"/>
                <w:color w:val="auto"/>
              </w:rPr>
              <w:t>WCWJ, Jacksonville, FL, 1966</w:t>
            </w:r>
          </w:p>
        </w:tc>
        <w:tc>
          <w:tcPr>
            <w:tcW w:w="1580" w:type="dxa"/>
            <w:vAlign w:val="bottom"/>
          </w:tcPr>
          <w:p>
            <w:pPr>
              <w:jc w:val="center"/>
              <w:spacing w:after="0"/>
              <w:rPr>
                <w:sz w:val="20"/>
                <w:szCs w:val="20"/>
                <w:color w:val="auto"/>
              </w:rPr>
            </w:pPr>
            <w:r>
              <w:rPr>
                <w:rFonts w:ascii="Arial" w:cs="Arial" w:eastAsia="Arial" w:hAnsi="Arial"/>
                <w:sz w:val="16"/>
                <w:szCs w:val="16"/>
                <w:color w:val="auto"/>
              </w:rPr>
              <w:t>47th</w:t>
            </w:r>
          </w:p>
        </w:tc>
        <w:tc>
          <w:tcPr>
            <w:tcW w:w="1400" w:type="dxa"/>
            <w:vAlign w:val="bottom"/>
          </w:tcPr>
          <w:p>
            <w:pPr>
              <w:jc w:val="center"/>
              <w:spacing w:after="0"/>
              <w:rPr>
                <w:sz w:val="20"/>
                <w:szCs w:val="20"/>
                <w:color w:val="auto"/>
              </w:rPr>
            </w:pPr>
            <w:r>
              <w:rPr>
                <w:rFonts w:ascii="Arial" w:cs="Arial" w:eastAsia="Arial" w:hAnsi="Arial"/>
                <w:sz w:val="16"/>
                <w:szCs w:val="16"/>
                <w:color w:val="auto"/>
              </w:rPr>
              <w:t>CW</w:t>
            </w:r>
          </w:p>
        </w:tc>
        <w:tc>
          <w:tcPr>
            <w:tcW w:w="1580" w:type="dxa"/>
            <w:vAlign w:val="bottom"/>
          </w:tcPr>
          <w:p>
            <w:pPr>
              <w:jc w:val="center"/>
              <w:spacing w:after="0"/>
              <w:rPr>
                <w:sz w:val="20"/>
                <w:szCs w:val="20"/>
                <w:color w:val="auto"/>
              </w:rPr>
            </w:pPr>
            <w:r>
              <w:rPr>
                <w:rFonts w:ascii="Arial" w:cs="Arial" w:eastAsia="Arial" w:hAnsi="Arial"/>
                <w:sz w:val="16"/>
                <w:szCs w:val="16"/>
                <w:color w:val="auto"/>
              </w:rPr>
              <w:t>Feb. 1, 2021</w:t>
            </w:r>
          </w:p>
        </w:tc>
        <w:tc>
          <w:tcPr>
            <w:tcW w:w="1720" w:type="dxa"/>
            <w:vAlign w:val="bottom"/>
          </w:tcPr>
          <w:p>
            <w:pPr>
              <w:jc w:val="center"/>
              <w:spacing w:after="0"/>
              <w:rPr>
                <w:sz w:val="20"/>
                <w:szCs w:val="20"/>
                <w:color w:val="auto"/>
              </w:rPr>
            </w:pPr>
            <w:r>
              <w:rPr>
                <w:rFonts w:ascii="Arial" w:cs="Arial" w:eastAsia="Arial" w:hAnsi="Arial"/>
                <w:sz w:val="16"/>
                <w:szCs w:val="16"/>
                <w:color w:val="auto"/>
              </w:rPr>
              <w:t>Aug. 31, 2021</w:t>
            </w:r>
          </w:p>
        </w:tc>
        <w:tc>
          <w:tcPr>
            <w:tcW w:w="1800" w:type="dxa"/>
            <w:vAlign w:val="bottom"/>
          </w:tcPr>
          <w:p>
            <w:pPr>
              <w:jc w:val="center"/>
              <w:ind w:left="22"/>
              <w:spacing w:after="0"/>
              <w:rPr>
                <w:sz w:val="20"/>
                <w:szCs w:val="20"/>
                <w:color w:val="auto"/>
              </w:rPr>
            </w:pPr>
            <w:r>
              <w:rPr>
                <w:rFonts w:ascii="Arial" w:cs="Arial" w:eastAsia="Arial" w:hAnsi="Arial"/>
                <w:sz w:val="16"/>
                <w:szCs w:val="16"/>
                <w:color w:val="auto"/>
              </w:rPr>
              <w:t>7</w:t>
            </w:r>
          </w:p>
        </w:tc>
      </w:tr>
      <w:tr>
        <w:trPr>
          <w:trHeight w:val="392"/>
        </w:trPr>
        <w:tc>
          <w:tcPr>
            <w:tcW w:w="3340" w:type="dxa"/>
            <w:vAlign w:val="bottom"/>
          </w:tcPr>
          <w:p>
            <w:pPr>
              <w:ind w:left="40"/>
              <w:spacing w:after="0"/>
              <w:rPr>
                <w:sz w:val="20"/>
                <w:szCs w:val="20"/>
                <w:color w:val="auto"/>
              </w:rPr>
            </w:pPr>
            <w:r>
              <w:rPr>
                <w:rFonts w:ascii="Arial" w:cs="Arial" w:eastAsia="Arial" w:hAnsi="Arial"/>
                <w:sz w:val="16"/>
                <w:szCs w:val="16"/>
                <w:color w:val="auto"/>
              </w:rPr>
              <w:t>WSLS Roanoke, VA, 1952</w:t>
            </w:r>
          </w:p>
        </w:tc>
        <w:tc>
          <w:tcPr>
            <w:tcW w:w="1580" w:type="dxa"/>
            <w:vAlign w:val="bottom"/>
          </w:tcPr>
          <w:p>
            <w:pPr>
              <w:jc w:val="center"/>
              <w:spacing w:after="0"/>
              <w:rPr>
                <w:sz w:val="20"/>
                <w:szCs w:val="20"/>
                <w:color w:val="auto"/>
              </w:rPr>
            </w:pPr>
            <w:r>
              <w:rPr>
                <w:rFonts w:ascii="Arial" w:cs="Arial" w:eastAsia="Arial" w:hAnsi="Arial"/>
                <w:sz w:val="16"/>
                <w:szCs w:val="16"/>
                <w:color w:val="auto"/>
              </w:rPr>
              <w:t>67th</w:t>
            </w:r>
          </w:p>
        </w:tc>
        <w:tc>
          <w:tcPr>
            <w:tcW w:w="1400" w:type="dxa"/>
            <w:vAlign w:val="bottom"/>
          </w:tcPr>
          <w:p>
            <w:pPr>
              <w:jc w:val="center"/>
              <w:spacing w:after="0"/>
              <w:rPr>
                <w:sz w:val="20"/>
                <w:szCs w:val="20"/>
                <w:color w:val="auto"/>
              </w:rPr>
            </w:pPr>
            <w:r>
              <w:rPr>
                <w:rFonts w:ascii="Arial" w:cs="Arial" w:eastAsia="Arial" w:hAnsi="Arial"/>
                <w:sz w:val="16"/>
                <w:szCs w:val="16"/>
                <w:color w:val="auto"/>
              </w:rPr>
              <w:t>NBC</w:t>
            </w:r>
          </w:p>
        </w:tc>
        <w:tc>
          <w:tcPr>
            <w:tcW w:w="1580" w:type="dxa"/>
            <w:vAlign w:val="bottom"/>
          </w:tcPr>
          <w:p>
            <w:pPr>
              <w:jc w:val="center"/>
              <w:spacing w:after="0"/>
              <w:rPr>
                <w:sz w:val="20"/>
                <w:szCs w:val="20"/>
                <w:color w:val="auto"/>
              </w:rPr>
            </w:pPr>
            <w:r>
              <w:rPr>
                <w:rFonts w:ascii="Arial" w:cs="Arial" w:eastAsia="Arial" w:hAnsi="Arial"/>
                <w:sz w:val="16"/>
                <w:szCs w:val="16"/>
                <w:color w:val="auto"/>
              </w:rPr>
              <w:t>Oct. 1 2020</w:t>
            </w:r>
          </w:p>
        </w:tc>
        <w:tc>
          <w:tcPr>
            <w:tcW w:w="1720" w:type="dxa"/>
            <w:vAlign w:val="bottom"/>
          </w:tcPr>
          <w:p>
            <w:pPr>
              <w:jc w:val="center"/>
              <w:spacing w:after="0"/>
              <w:rPr>
                <w:sz w:val="20"/>
                <w:szCs w:val="20"/>
                <w:color w:val="auto"/>
              </w:rPr>
            </w:pPr>
            <w:r>
              <w:rPr>
                <w:rFonts w:ascii="Arial" w:cs="Arial" w:eastAsia="Arial" w:hAnsi="Arial"/>
                <w:sz w:val="16"/>
                <w:szCs w:val="16"/>
                <w:color w:val="auto"/>
              </w:rPr>
              <w:t>Dec. 31, 2019</w:t>
            </w:r>
          </w:p>
        </w:tc>
        <w:tc>
          <w:tcPr>
            <w:tcW w:w="1800" w:type="dxa"/>
            <w:vAlign w:val="bottom"/>
          </w:tcPr>
          <w:p>
            <w:pPr>
              <w:jc w:val="center"/>
              <w:ind w:left="22"/>
              <w:spacing w:after="0"/>
              <w:rPr>
                <w:sz w:val="20"/>
                <w:szCs w:val="20"/>
                <w:color w:val="auto"/>
              </w:rPr>
            </w:pPr>
            <w:r>
              <w:rPr>
                <w:rFonts w:ascii="Arial" w:cs="Arial" w:eastAsia="Arial" w:hAnsi="Arial"/>
                <w:sz w:val="16"/>
                <w:szCs w:val="16"/>
                <w:color w:val="auto"/>
              </w:rPr>
              <w:t>7</w:t>
            </w:r>
          </w:p>
        </w:tc>
      </w:tr>
      <w:tr>
        <w:trPr>
          <w:trHeight w:val="132"/>
        </w:trPr>
        <w:tc>
          <w:tcPr>
            <w:tcW w:w="3340" w:type="dxa"/>
            <w:vAlign w:val="bottom"/>
          </w:tcPr>
          <w:p>
            <w:pPr>
              <w:ind w:left="20"/>
              <w:spacing w:after="0"/>
              <w:rPr>
                <w:sz w:val="20"/>
                <w:szCs w:val="20"/>
                <w:color w:val="auto"/>
              </w:rPr>
            </w:pPr>
            <w:r>
              <w:rPr>
                <w:rFonts w:ascii="Times New Roman" w:cs="Times New Roman" w:eastAsia="Times New Roman" w:hAnsi="Times New Roman"/>
                <w:sz w:val="7"/>
                <w:szCs w:val="7"/>
                <w:color w:val="auto"/>
              </w:rPr>
              <w:t>_________________________________________________________________________________</w:t>
            </w:r>
          </w:p>
        </w:tc>
        <w:tc>
          <w:tcPr>
            <w:tcW w:w="158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800" w:type="dxa"/>
            <w:vAlign w:val="bottom"/>
          </w:tcPr>
          <w:p>
            <w:pPr>
              <w:spacing w:after="0"/>
              <w:rPr>
                <w:sz w:val="11"/>
                <w:szCs w:val="11"/>
                <w:color w:val="auto"/>
              </w:rPr>
            </w:pPr>
          </w:p>
        </w:tc>
      </w:tr>
    </w:tbl>
    <w:p>
      <w:pPr>
        <w:spacing w:after="0" w:line="24" w:lineRule="exact"/>
        <w:rPr>
          <w:sz w:val="20"/>
          <w:szCs w:val="20"/>
          <w:color w:val="auto"/>
        </w:rPr>
      </w:pPr>
    </w:p>
    <w:p>
      <w:pPr>
        <w:ind w:left="200" w:hanging="192"/>
        <w:spacing w:after="0"/>
        <w:tabs>
          <w:tab w:leader="none" w:pos="200" w:val="left"/>
        </w:tabs>
        <w:numPr>
          <w:ilvl w:val="0"/>
          <w:numId w:val="4"/>
        </w:numPr>
        <w:rPr>
          <w:rFonts w:ascii="Arial" w:cs="Arial" w:eastAsia="Arial" w:hAnsi="Arial"/>
          <w:sz w:val="13"/>
          <w:szCs w:val="13"/>
          <w:color w:val="auto"/>
        </w:rPr>
      </w:pPr>
      <w:r>
        <w:rPr>
          <w:rFonts w:ascii="Arial" w:cs="Arial" w:eastAsia="Arial" w:hAnsi="Arial"/>
          <w:sz w:val="13"/>
          <w:szCs w:val="13"/>
          <w:color w:val="auto"/>
        </w:rPr>
        <w:t>Source: 2016/2017 DMA Market Rankings, Nielsen Media Research, fall 2016, based on television homes in DMA (see note (b) below).</w:t>
      </w:r>
    </w:p>
    <w:p>
      <w:pPr>
        <w:spacing w:after="0" w:line="1" w:lineRule="exact"/>
        <w:rPr>
          <w:rFonts w:ascii="Arial" w:cs="Arial" w:eastAsia="Arial" w:hAnsi="Arial"/>
          <w:sz w:val="13"/>
          <w:szCs w:val="13"/>
          <w:color w:val="auto"/>
        </w:rPr>
      </w:pPr>
    </w:p>
    <w:p>
      <w:pPr>
        <w:ind w:left="200" w:hanging="192"/>
        <w:spacing w:after="0"/>
        <w:tabs>
          <w:tab w:leader="none" w:pos="200" w:val="left"/>
        </w:tabs>
        <w:numPr>
          <w:ilvl w:val="0"/>
          <w:numId w:val="4"/>
        </w:numPr>
        <w:rPr>
          <w:rFonts w:ascii="Arial" w:cs="Arial" w:eastAsia="Arial" w:hAnsi="Arial"/>
          <w:sz w:val="13"/>
          <w:szCs w:val="13"/>
          <w:color w:val="auto"/>
        </w:rPr>
      </w:pPr>
      <w:r>
        <w:rPr>
          <w:rFonts w:ascii="Arial" w:cs="Arial" w:eastAsia="Arial" w:hAnsi="Arial"/>
          <w:sz w:val="13"/>
          <w:szCs w:val="13"/>
          <w:color w:val="auto"/>
        </w:rPr>
        <w:t>Designated Market Area (DMA) is a market designation of A.C. Nielsen that defines each television market exclusive of another, based on measured viewing patterns.</w:t>
      </w:r>
    </w:p>
    <w:p>
      <w:pPr>
        <w:spacing w:after="0" w:line="117" w:lineRule="exact"/>
        <w:rPr>
          <w:sz w:val="20"/>
          <w:szCs w:val="20"/>
          <w:color w:val="auto"/>
        </w:rPr>
      </w:pPr>
    </w:p>
    <w:p>
      <w:pPr>
        <w:ind w:right="300"/>
        <w:spacing w:after="0" w:line="260" w:lineRule="auto"/>
        <w:rPr>
          <w:sz w:val="20"/>
          <w:szCs w:val="20"/>
          <w:color w:val="auto"/>
        </w:rPr>
      </w:pPr>
      <w:r>
        <w:rPr>
          <w:rFonts w:ascii="Arial" w:cs="Arial" w:eastAsia="Arial" w:hAnsi="Arial"/>
          <w:sz w:val="18"/>
          <w:szCs w:val="18"/>
          <w:color w:val="auto"/>
        </w:rPr>
        <w:t>In January 2017, GMG acquired WCWJ, a CW affiliate television station in Jacksonville, FL, and WSLS, an NBC affiliate television station in Roanoke, VA. GMG operates both stations under the network affiliations in effect prior to their acquisition.</w:t>
      </w:r>
    </w:p>
    <w:p>
      <w:pPr>
        <w:spacing w:after="0" w:line="92" w:lineRule="exact"/>
        <w:rPr>
          <w:sz w:val="20"/>
          <w:szCs w:val="20"/>
          <w:color w:val="auto"/>
        </w:rPr>
      </w:pPr>
    </w:p>
    <w:p>
      <w:pPr>
        <w:ind w:right="80"/>
        <w:spacing w:after="0" w:line="231" w:lineRule="auto"/>
        <w:rPr>
          <w:sz w:val="20"/>
          <w:szCs w:val="20"/>
          <w:color w:val="auto"/>
        </w:rPr>
      </w:pPr>
      <w:r>
        <w:rPr>
          <w:rFonts w:ascii="Arial" w:cs="Arial" w:eastAsia="Arial" w:hAnsi="Arial"/>
          <w:sz w:val="18"/>
          <w:szCs w:val="18"/>
          <w:color w:val="auto"/>
        </w:rPr>
        <w:t>Revenue from broadcasting operations is derived primarily from the sale of advertising time to local, regional and national advertisers. In 2016, advertising revenue accounted for 70.6% of the total for GMG’s operations. Advertising revenue is sensitive to a number of factors, some specific to a particular station or market and others more general in nature. These factors include a station’s audience share and market ranking; seasonal fluctuations in demand for air time; annual or biannual events, such as sporting events and political elections; and broader economic trends, among others.</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724"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Regulation of Broadcasting and Related Matters</w:t>
      </w:r>
    </w:p>
    <w:p>
      <w:pPr>
        <w:spacing w:after="0" w:line="146" w:lineRule="exact"/>
        <w:rPr>
          <w:sz w:val="20"/>
          <w:szCs w:val="20"/>
          <w:color w:val="auto"/>
        </w:rPr>
      </w:pPr>
    </w:p>
    <w:p>
      <w:pPr>
        <w:ind w:right="20"/>
        <w:spacing w:after="0"/>
        <w:rPr>
          <w:sz w:val="20"/>
          <w:szCs w:val="20"/>
          <w:color w:val="auto"/>
        </w:rPr>
      </w:pPr>
      <w:r>
        <w:rPr>
          <w:rFonts w:ascii="Arial" w:cs="Arial" w:eastAsia="Arial" w:hAnsi="Arial"/>
          <w:sz w:val="18"/>
          <w:szCs w:val="18"/>
          <w:color w:val="auto"/>
        </w:rPr>
        <w:t>GMG’s television broadcasting operations are subject to the jurisdiction of the U.S. Federal Communications Commission (FCC) under the U.S. Federal Communications Act of 1934, as amended (the Communications Act). Each GMG television station holds an FCC license that is renewable upon application for an eight-year period.</w:t>
      </w:r>
    </w:p>
    <w:p>
      <w:pPr>
        <w:spacing w:after="0" w:line="108" w:lineRule="exact"/>
        <w:rPr>
          <w:sz w:val="20"/>
          <w:szCs w:val="20"/>
          <w:color w:val="auto"/>
        </w:rPr>
      </w:pPr>
    </w:p>
    <w:p>
      <w:pPr>
        <w:ind w:right="60"/>
        <w:spacing w:after="0" w:line="231" w:lineRule="auto"/>
        <w:rPr>
          <w:sz w:val="20"/>
          <w:szCs w:val="20"/>
          <w:color w:val="auto"/>
        </w:rPr>
      </w:pPr>
      <w:r>
        <w:rPr>
          <w:rFonts w:ascii="Arial" w:cs="Arial" w:eastAsia="Arial" w:hAnsi="Arial"/>
          <w:sz w:val="18"/>
          <w:szCs w:val="18"/>
          <w:b w:val="1"/>
          <w:bCs w:val="1"/>
          <w:i w:val="1"/>
          <w:iCs w:val="1"/>
          <w:color w:val="auto"/>
        </w:rPr>
        <w:t xml:space="preserve">Digital Television (DTV) and Spectrum Issues. </w:t>
      </w:r>
      <w:r>
        <w:rPr>
          <w:rFonts w:ascii="Arial" w:cs="Arial" w:eastAsia="Arial" w:hAnsi="Arial"/>
          <w:sz w:val="18"/>
          <w:szCs w:val="18"/>
          <w:color w:val="auto"/>
        </w:rPr>
        <w:t>Each GMG station (and each full-power television station nationwide) now broadcasts only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digital format, which allows transmission of HDTV programming, multiple channels of standard-definition television programming (multicasting) and subchannels of programming designed for reception by mobile devices (mobile DTV). This year, parties petitioned the FCC to begin a rulemaking proceeding to allow permissive use of the standard beyond digital TV, called Next Generation TV or ATSC 3.0. GMG has filed comments voicing its support for bringing Next Generation TV to consumers as soon as possible.</w:t>
      </w:r>
    </w:p>
    <w:p>
      <w:pPr>
        <w:spacing w:after="0" w:line="111" w:lineRule="exact"/>
        <w:rPr>
          <w:sz w:val="20"/>
          <w:szCs w:val="20"/>
          <w:color w:val="auto"/>
        </w:rPr>
      </w:pPr>
    </w:p>
    <w:p>
      <w:pPr>
        <w:spacing w:after="0" w:line="234" w:lineRule="auto"/>
        <w:rPr>
          <w:sz w:val="20"/>
          <w:szCs w:val="20"/>
          <w:color w:val="auto"/>
        </w:rPr>
      </w:pPr>
      <w:r>
        <w:rPr>
          <w:rFonts w:ascii="Arial" w:cs="Arial" w:eastAsia="Arial" w:hAnsi="Arial"/>
          <w:sz w:val="18"/>
          <w:szCs w:val="18"/>
          <w:color w:val="auto"/>
        </w:rPr>
        <w:t>Television stations may receive interference from a variety of sources, including interference from other broadcast stations that is below a threshold established by the FCC. That interference could limit viewers’ ability to receive television stations’ signals. The amount of interference to stations could increase in the future because of the FCC’s decision to allow electronic devices, known as “white space” devices, to operate in the television frequency band on an unlicensed basis on channels not used by nearby television stations.</w:t>
      </w:r>
    </w:p>
    <w:p>
      <w:pPr>
        <w:spacing w:after="0" w:line="111" w:lineRule="exact"/>
        <w:rPr>
          <w:sz w:val="20"/>
          <w:szCs w:val="20"/>
          <w:color w:val="auto"/>
        </w:rPr>
      </w:pPr>
    </w:p>
    <w:p>
      <w:pPr>
        <w:ind w:right="20"/>
        <w:spacing w:after="0" w:line="226" w:lineRule="auto"/>
        <w:rPr>
          <w:sz w:val="20"/>
          <w:szCs w:val="20"/>
          <w:color w:val="auto"/>
        </w:rPr>
      </w:pPr>
      <w:r>
        <w:rPr>
          <w:rFonts w:ascii="Arial" w:cs="Arial" w:eastAsia="Arial" w:hAnsi="Arial"/>
          <w:sz w:val="18"/>
          <w:szCs w:val="18"/>
          <w:color w:val="auto"/>
        </w:rPr>
        <w:t>Congress has authorized the reallocation of spectrum for use by wireless broadband providers, including substantial amounts of spectrum currently in the television broadcast band. To implement this reallocation, Congress authorized, and the FCC conducted, an incentive auction in which broadcast television stations may relinquish spectrum in exchange for a share of the revenues obtained by auctioning the reallocated broadcast spectrum. Each stage of the auction is composed of two separate but interdependent phases: a reverse auction, which will determine the price at which participating broadcasters will voluntarily relinquish their spectrum usage rights, and a forward auction, which will determine the price companies are willing to pay for flexible use wireless licenses. On January 18, 2017, the FCC announced that the incentive auction would close in stage four because the forward auction had raised enough money to pay television stations’ reverse-phase bids, fully fund the $1.75 billion broadcaster repacking fund mandated by Congress and meet certain other criteria. On February 14, 2017, the FCC announced that all remaining incentive auction bidding is scheduled to conclude by March 30, 2017.</w:t>
      </w:r>
    </w:p>
    <w:p>
      <w:pPr>
        <w:spacing w:after="0" w:line="110" w:lineRule="exact"/>
        <w:rPr>
          <w:sz w:val="20"/>
          <w:szCs w:val="20"/>
          <w:color w:val="auto"/>
        </w:rPr>
      </w:pPr>
    </w:p>
    <w:p>
      <w:pPr>
        <w:ind w:right="120"/>
        <w:spacing w:after="0" w:line="231" w:lineRule="auto"/>
        <w:rPr>
          <w:sz w:val="20"/>
          <w:szCs w:val="20"/>
          <w:color w:val="auto"/>
        </w:rPr>
      </w:pPr>
      <w:r>
        <w:rPr>
          <w:rFonts w:ascii="Arial" w:cs="Arial" w:eastAsia="Arial" w:hAnsi="Arial"/>
          <w:sz w:val="18"/>
          <w:szCs w:val="18"/>
          <w:color w:val="auto"/>
        </w:rPr>
        <w:t xml:space="preserve">Certain GMG stations will be required </w:t>
      </w:r>
      <w:r>
        <w:rPr>
          <w:rFonts w:ascii="Arial" w:cs="Arial" w:eastAsia="Arial" w:hAnsi="Arial"/>
          <w:sz w:val="18"/>
          <w:szCs w:val="18"/>
          <w:color w:val="1F1F1F"/>
        </w:rPr>
        <w:t>to move to</w:t>
      </w:r>
      <w:r>
        <w:rPr>
          <w:rFonts w:ascii="Arial" w:cs="Arial" w:eastAsia="Arial" w:hAnsi="Arial"/>
          <w:sz w:val="18"/>
          <w:szCs w:val="18"/>
          <w:color w:val="auto"/>
        </w:rPr>
        <w:t xml:space="preserve"> </w:t>
      </w:r>
      <w:r>
        <w:rPr>
          <w:rFonts w:ascii="Arial" w:cs="Arial" w:eastAsia="Arial" w:hAnsi="Arial"/>
          <w:sz w:val="18"/>
          <w:szCs w:val="18"/>
          <w:color w:val="333333"/>
        </w:rPr>
        <w:t>new channel allotments so as</w:t>
      </w:r>
      <w:r>
        <w:rPr>
          <w:rFonts w:ascii="Arial" w:cs="Arial" w:eastAsia="Arial" w:hAnsi="Arial"/>
          <w:sz w:val="18"/>
          <w:szCs w:val="18"/>
          <w:color w:val="auto"/>
        </w:rPr>
        <w:t xml:space="preserve"> </w:t>
      </w:r>
      <w:r>
        <w:rPr>
          <w:rFonts w:ascii="Arial" w:cs="Arial" w:eastAsia="Arial" w:hAnsi="Arial"/>
          <w:sz w:val="18"/>
          <w:szCs w:val="18"/>
          <w:color w:val="1F1F1F"/>
        </w:rPr>
        <w:t>to free up</w:t>
      </w:r>
      <w:r>
        <w:rPr>
          <w:rFonts w:ascii="Arial" w:cs="Arial" w:eastAsia="Arial" w:hAnsi="Arial"/>
          <w:sz w:val="18"/>
          <w:szCs w:val="18"/>
          <w:color w:val="auto"/>
        </w:rPr>
        <w:t xml:space="preserve"> </w:t>
      </w:r>
      <w:r>
        <w:rPr>
          <w:rFonts w:ascii="Arial" w:cs="Arial" w:eastAsia="Arial" w:hAnsi="Arial"/>
          <w:sz w:val="18"/>
          <w:szCs w:val="18"/>
          <w:color w:val="333333"/>
        </w:rPr>
        <w:t>a nationwide block</w:t>
      </w:r>
      <w:r>
        <w:rPr>
          <w:rFonts w:ascii="Arial" w:cs="Arial" w:eastAsia="Arial" w:hAnsi="Arial"/>
          <w:sz w:val="18"/>
          <w:szCs w:val="18"/>
          <w:color w:val="auto"/>
        </w:rPr>
        <w:t xml:space="preserve"> </w:t>
      </w:r>
      <w:r>
        <w:rPr>
          <w:rFonts w:ascii="Arial" w:cs="Arial" w:eastAsia="Arial" w:hAnsi="Arial"/>
          <w:sz w:val="18"/>
          <w:szCs w:val="18"/>
          <w:color w:val="1F1F1F"/>
        </w:rPr>
        <w:t>of</w:t>
      </w:r>
      <w:r>
        <w:rPr>
          <w:rFonts w:ascii="Arial" w:cs="Arial" w:eastAsia="Arial" w:hAnsi="Arial"/>
          <w:sz w:val="18"/>
          <w:szCs w:val="18"/>
          <w:color w:val="auto"/>
        </w:rPr>
        <w:t xml:space="preserve"> </w:t>
      </w:r>
      <w:r>
        <w:rPr>
          <w:rFonts w:ascii="Arial" w:cs="Arial" w:eastAsia="Arial" w:hAnsi="Arial"/>
          <w:sz w:val="18"/>
          <w:szCs w:val="18"/>
          <w:color w:val="333333"/>
        </w:rPr>
        <w:t>spectrum</w:t>
      </w:r>
      <w:r>
        <w:rPr>
          <w:rFonts w:ascii="Arial" w:cs="Arial" w:eastAsia="Arial" w:hAnsi="Arial"/>
          <w:sz w:val="18"/>
          <w:szCs w:val="18"/>
          <w:color w:val="auto"/>
        </w:rPr>
        <w:t xml:space="preserve"> </w:t>
      </w:r>
      <w:r>
        <w:rPr>
          <w:rFonts w:ascii="Arial" w:cs="Arial" w:eastAsia="Arial" w:hAnsi="Arial"/>
          <w:sz w:val="18"/>
          <w:szCs w:val="18"/>
          <w:color w:val="1F1F1F"/>
        </w:rPr>
        <w:t>for</w:t>
      </w:r>
      <w:r>
        <w:rPr>
          <w:rFonts w:ascii="Arial" w:cs="Arial" w:eastAsia="Arial" w:hAnsi="Arial"/>
          <w:sz w:val="18"/>
          <w:szCs w:val="18"/>
          <w:color w:val="auto"/>
        </w:rPr>
        <w:t xml:space="preserve"> </w:t>
      </w:r>
      <w:r>
        <w:rPr>
          <w:rFonts w:ascii="Arial" w:cs="Arial" w:eastAsia="Arial" w:hAnsi="Arial"/>
          <w:sz w:val="18"/>
          <w:szCs w:val="18"/>
          <w:color w:val="333333"/>
        </w:rPr>
        <w:t>wireless</w:t>
      </w:r>
      <w:r>
        <w:rPr>
          <w:rFonts w:ascii="Arial" w:cs="Arial" w:eastAsia="Arial" w:hAnsi="Arial"/>
          <w:sz w:val="18"/>
          <w:szCs w:val="18"/>
          <w:color w:val="auto"/>
        </w:rPr>
        <w:t xml:space="preserve"> </w:t>
      </w:r>
      <w:r>
        <w:rPr>
          <w:rFonts w:ascii="Arial" w:cs="Arial" w:eastAsia="Arial" w:hAnsi="Arial"/>
          <w:sz w:val="18"/>
          <w:szCs w:val="18"/>
          <w:color w:val="333333"/>
        </w:rPr>
        <w:t>broadband use. The FCC has adopted rules requiring this “repacking” of broadcast television stations to new channels to be completed within 39 months after the incentive auction closes, with earlier deadlines set for particular stations in order to stagger the transition to new channels. Those stations required to move to a new channel (other than stations moving channels to satisfy a successful auction bid) will be eligible to seek reimbursement for repacking-relating costs.</w:t>
      </w:r>
    </w:p>
    <w:p>
      <w:pPr>
        <w:spacing w:after="0" w:line="111" w:lineRule="exact"/>
        <w:rPr>
          <w:sz w:val="20"/>
          <w:szCs w:val="20"/>
          <w:color w:val="auto"/>
        </w:rPr>
      </w:pPr>
    </w:p>
    <w:p>
      <w:pPr>
        <w:ind w:right="40"/>
        <w:spacing w:after="0" w:line="224" w:lineRule="auto"/>
        <w:rPr>
          <w:sz w:val="20"/>
          <w:szCs w:val="20"/>
          <w:color w:val="auto"/>
        </w:rPr>
      </w:pPr>
      <w:r>
        <w:rPr>
          <w:rFonts w:ascii="Arial" w:cs="Arial" w:eastAsia="Arial" w:hAnsi="Arial"/>
          <w:sz w:val="18"/>
          <w:szCs w:val="18"/>
          <w:color w:val="1F1F1F"/>
        </w:rPr>
        <w:t xml:space="preserve">The repacking </w:t>
      </w:r>
      <w:r>
        <w:rPr>
          <w:rFonts w:ascii="Arial" w:cs="Arial" w:eastAsia="Arial" w:hAnsi="Arial"/>
          <w:sz w:val="18"/>
          <w:szCs w:val="18"/>
          <w:color w:val="333333"/>
        </w:rPr>
        <w:t>and incentive auction proc</w:t>
      </w:r>
      <w:r>
        <w:rPr>
          <w:rFonts w:ascii="Arial" w:cs="Arial" w:eastAsia="Arial" w:hAnsi="Arial"/>
          <w:sz w:val="18"/>
          <w:szCs w:val="18"/>
          <w:color w:val="4D4D4D"/>
        </w:rPr>
        <w:t>es</w:t>
      </w:r>
      <w:r>
        <w:rPr>
          <w:rFonts w:ascii="Arial" w:cs="Arial" w:eastAsia="Arial" w:hAnsi="Arial"/>
          <w:sz w:val="18"/>
          <w:szCs w:val="18"/>
          <w:color w:val="333333"/>
        </w:rPr>
        <w:t>ses could have</w:t>
      </w:r>
      <w:r>
        <w:rPr>
          <w:rFonts w:ascii="Arial" w:cs="Arial" w:eastAsia="Arial" w:hAnsi="Arial"/>
          <w:sz w:val="18"/>
          <w:szCs w:val="18"/>
          <w:color w:val="1F1F1F"/>
        </w:rPr>
        <w:t xml:space="preserve"> an </w:t>
      </w:r>
      <w:r>
        <w:rPr>
          <w:rFonts w:ascii="Arial" w:cs="Arial" w:eastAsia="Arial" w:hAnsi="Arial"/>
          <w:sz w:val="18"/>
          <w:szCs w:val="18"/>
          <w:color w:val="333333"/>
        </w:rPr>
        <w:t>adverse effect on GMG</w:t>
      </w:r>
      <w:r>
        <w:rPr>
          <w:rFonts w:ascii="Arial" w:cs="Arial" w:eastAsia="Arial" w:hAnsi="Arial"/>
          <w:sz w:val="18"/>
          <w:szCs w:val="18"/>
          <w:color w:val="4D4D4D"/>
        </w:rPr>
        <w:t>.</w:t>
      </w:r>
      <w:r>
        <w:rPr>
          <w:rFonts w:ascii="Arial" w:cs="Arial" w:eastAsia="Arial" w:hAnsi="Arial"/>
          <w:sz w:val="18"/>
          <w:szCs w:val="18"/>
          <w:color w:val="1F1F1F"/>
        </w:rPr>
        <w:t xml:space="preserve"> For </w:t>
      </w:r>
      <w:r>
        <w:rPr>
          <w:rFonts w:ascii="Arial" w:cs="Arial" w:eastAsia="Arial" w:hAnsi="Arial"/>
          <w:sz w:val="18"/>
          <w:szCs w:val="18"/>
          <w:color w:val="333333"/>
        </w:rPr>
        <w:t>e</w:t>
      </w:r>
      <w:r>
        <w:rPr>
          <w:rFonts w:ascii="Arial" w:cs="Arial" w:eastAsia="Arial" w:hAnsi="Arial"/>
          <w:sz w:val="18"/>
          <w:szCs w:val="18"/>
          <w:color w:val="4D4D4D"/>
        </w:rPr>
        <w:t>x</w:t>
      </w:r>
      <w:r>
        <w:rPr>
          <w:rFonts w:ascii="Arial" w:cs="Arial" w:eastAsia="Arial" w:hAnsi="Arial"/>
          <w:sz w:val="18"/>
          <w:szCs w:val="18"/>
          <w:color w:val="333333"/>
        </w:rPr>
        <w:t>ample, a repacking</w:t>
      </w:r>
      <w:r>
        <w:rPr>
          <w:rFonts w:ascii="Arial" w:cs="Arial" w:eastAsia="Arial" w:hAnsi="Arial"/>
          <w:sz w:val="18"/>
          <w:szCs w:val="18"/>
          <w:color w:val="1F1F1F"/>
        </w:rPr>
        <w:t xml:space="preserve"> </w:t>
      </w:r>
      <w:r>
        <w:rPr>
          <w:rFonts w:ascii="Arial" w:cs="Arial" w:eastAsia="Arial" w:hAnsi="Arial"/>
          <w:sz w:val="18"/>
          <w:szCs w:val="18"/>
          <w:color w:val="4D4D4D"/>
        </w:rPr>
        <w:t>c</w:t>
      </w:r>
      <w:r>
        <w:rPr>
          <w:rFonts w:ascii="Arial" w:cs="Arial" w:eastAsia="Arial" w:hAnsi="Arial"/>
          <w:sz w:val="18"/>
          <w:szCs w:val="18"/>
          <w:color w:val="333333"/>
        </w:rPr>
        <w:t>ould result</w:t>
      </w:r>
      <w:r>
        <w:rPr>
          <w:rFonts w:ascii="Arial" w:cs="Arial" w:eastAsia="Arial" w:hAnsi="Arial"/>
          <w:sz w:val="18"/>
          <w:szCs w:val="18"/>
          <w:color w:val="1F1F1F"/>
        </w:rPr>
        <w:t xml:space="preserve"> in </w:t>
      </w:r>
      <w:r>
        <w:rPr>
          <w:rFonts w:ascii="Arial" w:cs="Arial" w:eastAsia="Arial" w:hAnsi="Arial"/>
          <w:sz w:val="18"/>
          <w:szCs w:val="18"/>
          <w:color w:val="333333"/>
        </w:rPr>
        <w:t>GMG stations</w:t>
      </w:r>
      <w:r>
        <w:rPr>
          <w:rFonts w:ascii="Arial" w:cs="Arial" w:eastAsia="Arial" w:hAnsi="Arial"/>
          <w:sz w:val="18"/>
          <w:szCs w:val="18"/>
          <w:color w:val="1F1F1F"/>
        </w:rPr>
        <w:t xml:space="preserve"> having </w:t>
      </w:r>
      <w:r>
        <w:rPr>
          <w:rFonts w:ascii="Arial" w:cs="Arial" w:eastAsia="Arial" w:hAnsi="Arial"/>
          <w:sz w:val="18"/>
          <w:szCs w:val="18"/>
          <w:color w:val="333333"/>
        </w:rPr>
        <w:t>smaller</w:t>
      </w:r>
      <w:r>
        <w:rPr>
          <w:rFonts w:ascii="Arial" w:cs="Arial" w:eastAsia="Arial" w:hAnsi="Arial"/>
          <w:sz w:val="18"/>
          <w:szCs w:val="18"/>
          <w:color w:val="1F1F1F"/>
        </w:rPr>
        <w:t xml:space="preserve"> service </w:t>
      </w:r>
      <w:r>
        <w:rPr>
          <w:rFonts w:ascii="Arial" w:cs="Arial" w:eastAsia="Arial" w:hAnsi="Arial"/>
          <w:sz w:val="18"/>
          <w:szCs w:val="18"/>
          <w:color w:val="333333"/>
        </w:rPr>
        <w:t>areas and/or receiving more</w:t>
      </w:r>
      <w:r>
        <w:rPr>
          <w:rFonts w:ascii="Arial" w:cs="Arial" w:eastAsia="Arial" w:hAnsi="Arial"/>
          <w:sz w:val="18"/>
          <w:szCs w:val="18"/>
          <w:color w:val="1F1F1F"/>
        </w:rPr>
        <w:t xml:space="preserve"> interference than they do </w:t>
      </w:r>
      <w:r>
        <w:rPr>
          <w:rFonts w:ascii="Arial" w:cs="Arial" w:eastAsia="Arial" w:hAnsi="Arial"/>
          <w:sz w:val="18"/>
          <w:szCs w:val="18"/>
          <w:color w:val="333333"/>
        </w:rPr>
        <w:t>currently</w:t>
      </w:r>
      <w:r>
        <w:rPr>
          <w:rFonts w:ascii="Arial" w:cs="Arial" w:eastAsia="Arial" w:hAnsi="Arial"/>
          <w:sz w:val="18"/>
          <w:szCs w:val="18"/>
          <w:color w:val="4D4D4D"/>
        </w:rPr>
        <w:t>.</w:t>
      </w:r>
      <w:r>
        <w:rPr>
          <w:rFonts w:ascii="Arial" w:cs="Arial" w:eastAsia="Arial" w:hAnsi="Arial"/>
          <w:sz w:val="18"/>
          <w:szCs w:val="18"/>
          <w:color w:val="1F1F1F"/>
        </w:rPr>
        <w:t xml:space="preserve"> </w:t>
      </w:r>
      <w:r>
        <w:rPr>
          <w:rFonts w:ascii="Arial" w:cs="Arial" w:eastAsia="Arial" w:hAnsi="Arial"/>
          <w:sz w:val="18"/>
          <w:szCs w:val="18"/>
          <w:color w:val="333333"/>
        </w:rPr>
        <w:t>Stations</w:t>
      </w:r>
      <w:r>
        <w:rPr>
          <w:rFonts w:ascii="Arial" w:cs="Arial" w:eastAsia="Arial" w:hAnsi="Arial"/>
          <w:sz w:val="18"/>
          <w:szCs w:val="18"/>
          <w:color w:val="1F1F1F"/>
        </w:rPr>
        <w:t xml:space="preserve"> moving </w:t>
      </w:r>
      <w:r>
        <w:rPr>
          <w:rFonts w:ascii="Arial" w:cs="Arial" w:eastAsia="Arial" w:hAnsi="Arial"/>
          <w:sz w:val="18"/>
          <w:szCs w:val="18"/>
          <w:color w:val="333333"/>
        </w:rPr>
        <w:t>to</w:t>
      </w:r>
      <w:r>
        <w:rPr>
          <w:rFonts w:ascii="Arial" w:cs="Arial" w:eastAsia="Arial" w:hAnsi="Arial"/>
          <w:sz w:val="18"/>
          <w:szCs w:val="18"/>
          <w:color w:val="1F1F1F"/>
        </w:rPr>
        <w:t xml:space="preserve"> new </w:t>
      </w:r>
      <w:r>
        <w:rPr>
          <w:rFonts w:ascii="Arial" w:cs="Arial" w:eastAsia="Arial" w:hAnsi="Arial"/>
          <w:sz w:val="18"/>
          <w:szCs w:val="18"/>
          <w:color w:val="333333"/>
        </w:rPr>
        <w:t>channels also could</w:t>
      </w:r>
      <w:r>
        <w:rPr>
          <w:rFonts w:ascii="Arial" w:cs="Arial" w:eastAsia="Arial" w:hAnsi="Arial"/>
          <w:sz w:val="18"/>
          <w:szCs w:val="18"/>
          <w:color w:val="1F1F1F"/>
        </w:rPr>
        <w:t xml:space="preserve"> incur </w:t>
      </w:r>
      <w:r>
        <w:rPr>
          <w:rFonts w:ascii="Arial" w:cs="Arial" w:eastAsia="Arial" w:hAnsi="Arial"/>
          <w:sz w:val="18"/>
          <w:szCs w:val="18"/>
          <w:color w:val="333333"/>
        </w:rPr>
        <w:t>significant e</w:t>
      </w:r>
      <w:r>
        <w:rPr>
          <w:rFonts w:ascii="Arial" w:cs="Arial" w:eastAsia="Arial" w:hAnsi="Arial"/>
          <w:sz w:val="18"/>
          <w:szCs w:val="18"/>
          <w:color w:val="4D4D4D"/>
        </w:rPr>
        <w:t>x</w:t>
      </w:r>
      <w:r>
        <w:rPr>
          <w:rFonts w:ascii="Arial" w:cs="Arial" w:eastAsia="Arial" w:hAnsi="Arial"/>
          <w:sz w:val="18"/>
          <w:szCs w:val="18"/>
          <w:color w:val="333333"/>
        </w:rPr>
        <w:t>pense</w:t>
      </w:r>
      <w:r>
        <w:rPr>
          <w:rFonts w:ascii="Arial" w:cs="Arial" w:eastAsia="Arial" w:hAnsi="Arial"/>
          <w:sz w:val="18"/>
          <w:szCs w:val="18"/>
          <w:color w:val="4D4D4D"/>
        </w:rPr>
        <w:t>.</w:t>
      </w:r>
      <w:r>
        <w:rPr>
          <w:rFonts w:ascii="Arial" w:cs="Arial" w:eastAsia="Arial" w:hAnsi="Arial"/>
          <w:sz w:val="18"/>
          <w:szCs w:val="18"/>
          <w:color w:val="333333"/>
        </w:rPr>
        <w:t xml:space="preserve"> </w:t>
      </w:r>
      <w:r>
        <w:rPr>
          <w:rFonts w:ascii="Arial" w:cs="Arial" w:eastAsia="Arial" w:hAnsi="Arial"/>
          <w:sz w:val="18"/>
          <w:szCs w:val="18"/>
          <w:color w:val="1F1F1F"/>
        </w:rPr>
        <w:t>The legislation</w:t>
      </w:r>
      <w:r>
        <w:rPr>
          <w:rFonts w:ascii="Arial" w:cs="Arial" w:eastAsia="Arial" w:hAnsi="Arial"/>
          <w:sz w:val="18"/>
          <w:szCs w:val="18"/>
          <w:color w:val="333333"/>
        </w:rPr>
        <w:t xml:space="preserve"> </w:t>
      </w:r>
      <w:r>
        <w:rPr>
          <w:rFonts w:ascii="Arial" w:cs="Arial" w:eastAsia="Arial" w:hAnsi="Arial"/>
          <w:sz w:val="18"/>
          <w:szCs w:val="18"/>
          <w:color w:val="000000"/>
        </w:rPr>
        <w:t>authorizing the incentive auction requires that stations be compensated for the expenses of moving to a</w:t>
      </w:r>
      <w:r>
        <w:rPr>
          <w:rFonts w:ascii="Arial" w:cs="Arial" w:eastAsia="Arial" w:hAnsi="Arial"/>
          <w:sz w:val="18"/>
          <w:szCs w:val="18"/>
          <w:color w:val="333333"/>
        </w:rPr>
        <w:t xml:space="preserve"> </w:t>
      </w:r>
      <w:r>
        <w:rPr>
          <w:rFonts w:ascii="Arial" w:cs="Arial" w:eastAsia="Arial" w:hAnsi="Arial"/>
          <w:sz w:val="18"/>
          <w:szCs w:val="18"/>
          <w:color w:val="000000"/>
        </w:rPr>
        <w:t xml:space="preserve">new </w:t>
      </w:r>
      <w:r>
        <w:rPr>
          <w:rFonts w:ascii="Arial" w:cs="Arial" w:eastAsia="Arial" w:hAnsi="Arial"/>
          <w:sz w:val="18"/>
          <w:szCs w:val="18"/>
          <w:color w:val="333333"/>
        </w:rPr>
        <w:t>channel</w:t>
      </w:r>
      <w:r>
        <w:rPr>
          <w:rFonts w:ascii="Arial" w:cs="Arial" w:eastAsia="Arial" w:hAnsi="Arial"/>
          <w:sz w:val="18"/>
          <w:szCs w:val="18"/>
          <w:color w:val="000000"/>
        </w:rPr>
        <w:t xml:space="preserve"> </w:t>
      </w:r>
      <w:r>
        <w:rPr>
          <w:rFonts w:ascii="Arial" w:cs="Arial" w:eastAsia="Arial" w:hAnsi="Arial"/>
          <w:sz w:val="18"/>
          <w:szCs w:val="18"/>
          <w:color w:val="1F1F1F"/>
        </w:rPr>
        <w:t>from</w:t>
      </w:r>
      <w:r>
        <w:rPr>
          <w:rFonts w:ascii="Arial" w:cs="Arial" w:eastAsia="Arial" w:hAnsi="Arial"/>
          <w:sz w:val="18"/>
          <w:szCs w:val="18"/>
          <w:color w:val="000000"/>
        </w:rPr>
        <w:t xml:space="preserve"> </w:t>
      </w:r>
      <w:r>
        <w:rPr>
          <w:rFonts w:ascii="Arial" w:cs="Arial" w:eastAsia="Arial" w:hAnsi="Arial"/>
          <w:sz w:val="18"/>
          <w:szCs w:val="18"/>
          <w:color w:val="333333"/>
        </w:rPr>
        <w:t>spectrum auction proceeds,</w:t>
      </w:r>
      <w:r>
        <w:rPr>
          <w:rFonts w:ascii="Arial" w:cs="Arial" w:eastAsia="Arial" w:hAnsi="Arial"/>
          <w:sz w:val="18"/>
          <w:szCs w:val="18"/>
          <w:color w:val="000000"/>
        </w:rPr>
        <w:t xml:space="preserve"> </w:t>
      </w:r>
      <w:r>
        <w:rPr>
          <w:rFonts w:ascii="Arial" w:cs="Arial" w:eastAsia="Arial" w:hAnsi="Arial"/>
          <w:sz w:val="18"/>
          <w:szCs w:val="18"/>
          <w:color w:val="1F1F1F"/>
        </w:rPr>
        <w:t>from</w:t>
      </w:r>
      <w:r>
        <w:rPr>
          <w:rFonts w:ascii="Arial" w:cs="Arial" w:eastAsia="Arial" w:hAnsi="Arial"/>
          <w:sz w:val="18"/>
          <w:szCs w:val="18"/>
          <w:color w:val="000000"/>
        </w:rPr>
        <w:t xml:space="preserve"> </w:t>
      </w:r>
      <w:r>
        <w:rPr>
          <w:rFonts w:ascii="Arial" w:cs="Arial" w:eastAsia="Arial" w:hAnsi="Arial"/>
          <w:sz w:val="18"/>
          <w:szCs w:val="18"/>
          <w:color w:val="333333"/>
        </w:rPr>
        <w:t>a $1</w:t>
      </w:r>
      <w:r>
        <w:rPr>
          <w:rFonts w:ascii="Arial" w:cs="Arial" w:eastAsia="Arial" w:hAnsi="Arial"/>
          <w:sz w:val="18"/>
          <w:szCs w:val="18"/>
          <w:color w:val="4D4D4D"/>
        </w:rPr>
        <w:t>.</w:t>
      </w:r>
      <w:r>
        <w:rPr>
          <w:rFonts w:ascii="Arial" w:cs="Arial" w:eastAsia="Arial" w:hAnsi="Arial"/>
          <w:sz w:val="18"/>
          <w:szCs w:val="18"/>
          <w:color w:val="333333"/>
        </w:rPr>
        <w:t>75</w:t>
      </w:r>
      <w:r>
        <w:rPr>
          <w:rFonts w:ascii="Arial" w:cs="Arial" w:eastAsia="Arial" w:hAnsi="Arial"/>
          <w:sz w:val="18"/>
          <w:szCs w:val="18"/>
          <w:color w:val="000000"/>
        </w:rPr>
        <w:t xml:space="preserve"> </w:t>
      </w:r>
      <w:r>
        <w:rPr>
          <w:rFonts w:ascii="Arial" w:cs="Arial" w:eastAsia="Arial" w:hAnsi="Arial"/>
          <w:sz w:val="18"/>
          <w:szCs w:val="18"/>
          <w:color w:val="1F1F1F"/>
        </w:rPr>
        <w:t>billion reimbursement</w:t>
      </w:r>
      <w:r>
        <w:rPr>
          <w:rFonts w:ascii="Arial" w:cs="Arial" w:eastAsia="Arial" w:hAnsi="Arial"/>
          <w:sz w:val="18"/>
          <w:szCs w:val="18"/>
          <w:color w:val="000000"/>
        </w:rPr>
        <w:t xml:space="preserve"> </w:t>
      </w:r>
      <w:r>
        <w:rPr>
          <w:rFonts w:ascii="Arial" w:cs="Arial" w:eastAsia="Arial" w:hAnsi="Arial"/>
          <w:sz w:val="18"/>
          <w:szCs w:val="18"/>
          <w:color w:val="333333"/>
        </w:rPr>
        <w:t>fund</w:t>
      </w:r>
      <w:r>
        <w:rPr>
          <w:rFonts w:ascii="Arial" w:cs="Arial" w:eastAsia="Arial" w:hAnsi="Arial"/>
          <w:sz w:val="18"/>
          <w:szCs w:val="18"/>
          <w:color w:val="4D4D4D"/>
        </w:rPr>
        <w:t>.</w:t>
      </w:r>
      <w:r>
        <w:rPr>
          <w:rFonts w:ascii="Arial" w:cs="Arial" w:eastAsia="Arial" w:hAnsi="Arial"/>
          <w:sz w:val="18"/>
          <w:szCs w:val="18"/>
          <w:color w:val="000000"/>
        </w:rPr>
        <w:t xml:space="preserve"> </w:t>
      </w:r>
      <w:r>
        <w:rPr>
          <w:rFonts w:ascii="Arial" w:cs="Arial" w:eastAsia="Arial" w:hAnsi="Arial"/>
          <w:sz w:val="18"/>
          <w:szCs w:val="18"/>
          <w:color w:val="1F1F1F"/>
        </w:rPr>
        <w:t>The</w:t>
      </w:r>
      <w:r>
        <w:rPr>
          <w:rFonts w:ascii="Arial" w:cs="Arial" w:eastAsia="Arial" w:hAnsi="Arial"/>
          <w:sz w:val="18"/>
          <w:szCs w:val="18"/>
          <w:color w:val="000000"/>
        </w:rPr>
        <w:t xml:space="preserve"> </w:t>
      </w:r>
      <w:r>
        <w:rPr>
          <w:rFonts w:ascii="Arial" w:cs="Arial" w:eastAsia="Arial" w:hAnsi="Arial"/>
          <w:sz w:val="18"/>
          <w:szCs w:val="18"/>
          <w:color w:val="242424"/>
        </w:rPr>
        <w:t>Company cannot predict what effect a</w:t>
      </w:r>
      <w:r>
        <w:rPr>
          <w:rFonts w:ascii="Arial" w:cs="Arial" w:eastAsia="Arial" w:hAnsi="Arial"/>
          <w:sz w:val="18"/>
          <w:szCs w:val="18"/>
          <w:color w:val="000000"/>
        </w:rPr>
        <w:t xml:space="preserve"> </w:t>
      </w:r>
      <w:r>
        <w:rPr>
          <w:rFonts w:ascii="Arial" w:cs="Arial" w:eastAsia="Arial" w:hAnsi="Arial"/>
          <w:sz w:val="18"/>
          <w:szCs w:val="18"/>
          <w:color w:val="3F3D3D"/>
        </w:rPr>
        <w:t>r</w:t>
      </w:r>
      <w:r>
        <w:rPr>
          <w:rFonts w:ascii="Arial" w:cs="Arial" w:eastAsia="Arial" w:hAnsi="Arial"/>
          <w:sz w:val="18"/>
          <w:szCs w:val="18"/>
          <w:color w:val="242424"/>
        </w:rPr>
        <w:t>epacking</w:t>
      </w:r>
      <w:r>
        <w:rPr>
          <w:rFonts w:ascii="Arial" w:cs="Arial" w:eastAsia="Arial" w:hAnsi="Arial"/>
          <w:sz w:val="18"/>
          <w:szCs w:val="18"/>
          <w:color w:val="000000"/>
        </w:rPr>
        <w:t xml:space="preserve"> </w:t>
      </w:r>
      <w:r>
        <w:rPr>
          <w:rFonts w:ascii="Arial" w:cs="Arial" w:eastAsia="Arial" w:hAnsi="Arial"/>
          <w:sz w:val="18"/>
          <w:szCs w:val="18"/>
          <w:color w:val="242424"/>
        </w:rPr>
        <w:t xml:space="preserve">will </w:t>
      </w:r>
      <w:r>
        <w:rPr>
          <w:rFonts w:ascii="Arial" w:cs="Arial" w:eastAsia="Arial" w:hAnsi="Arial"/>
          <w:sz w:val="18"/>
          <w:szCs w:val="18"/>
          <w:color w:val="131313"/>
        </w:rPr>
        <w:t>have</w:t>
      </w:r>
      <w:r>
        <w:rPr>
          <w:rFonts w:ascii="Arial" w:cs="Arial" w:eastAsia="Arial" w:hAnsi="Arial"/>
          <w:sz w:val="18"/>
          <w:szCs w:val="18"/>
          <w:color w:val="242424"/>
        </w:rPr>
        <w:t xml:space="preserve"> on </w:t>
      </w:r>
      <w:r>
        <w:rPr>
          <w:rFonts w:ascii="Arial" w:cs="Arial" w:eastAsia="Arial" w:hAnsi="Arial"/>
          <w:sz w:val="18"/>
          <w:szCs w:val="18"/>
          <w:color w:val="131313"/>
        </w:rPr>
        <w:t>the</w:t>
      </w:r>
      <w:r>
        <w:rPr>
          <w:rFonts w:ascii="Arial" w:cs="Arial" w:eastAsia="Arial" w:hAnsi="Arial"/>
          <w:sz w:val="18"/>
          <w:szCs w:val="18"/>
          <w:color w:val="242424"/>
        </w:rPr>
        <w:t xml:space="preserve"> GMG stations</w:t>
      </w:r>
      <w:r>
        <w:rPr>
          <w:rFonts w:ascii="Arial" w:cs="Arial" w:eastAsia="Arial" w:hAnsi="Arial"/>
          <w:sz w:val="18"/>
          <w:szCs w:val="18"/>
          <w:color w:val="000000"/>
        </w:rPr>
        <w:t>’</w:t>
      </w:r>
      <w:r>
        <w:rPr>
          <w:rFonts w:ascii="Arial" w:cs="Arial" w:eastAsia="Arial" w:hAnsi="Arial"/>
          <w:sz w:val="18"/>
          <w:szCs w:val="18"/>
          <w:color w:val="242424"/>
        </w:rPr>
        <w:t xml:space="preserve"> coverage or whether </w:t>
      </w:r>
      <w:r>
        <w:rPr>
          <w:rFonts w:ascii="Arial" w:cs="Arial" w:eastAsia="Arial" w:hAnsi="Arial"/>
          <w:sz w:val="18"/>
          <w:szCs w:val="18"/>
          <w:color w:val="131313"/>
        </w:rPr>
        <w:t>the</w:t>
      </w:r>
      <w:r>
        <w:rPr>
          <w:rFonts w:ascii="Arial" w:cs="Arial" w:eastAsia="Arial" w:hAnsi="Arial"/>
          <w:sz w:val="18"/>
          <w:szCs w:val="18"/>
          <w:color w:val="242424"/>
        </w:rPr>
        <w:t xml:space="preserve"> GMG stations will </w:t>
      </w:r>
      <w:r>
        <w:rPr>
          <w:rFonts w:ascii="Arial" w:cs="Arial" w:eastAsia="Arial" w:hAnsi="Arial"/>
          <w:sz w:val="18"/>
          <w:szCs w:val="18"/>
          <w:color w:val="131313"/>
        </w:rPr>
        <w:t>be fully</w:t>
      </w:r>
      <w:r>
        <w:rPr>
          <w:rFonts w:ascii="Arial" w:cs="Arial" w:eastAsia="Arial" w:hAnsi="Arial"/>
          <w:sz w:val="18"/>
          <w:szCs w:val="18"/>
          <w:color w:val="242424"/>
        </w:rPr>
        <w:t xml:space="preserve"> compensated </w:t>
      </w:r>
      <w:r>
        <w:rPr>
          <w:rFonts w:ascii="Arial" w:cs="Arial" w:eastAsia="Arial" w:hAnsi="Arial"/>
          <w:sz w:val="18"/>
          <w:szCs w:val="18"/>
          <w:color w:val="131313"/>
        </w:rPr>
        <w:t>for</w:t>
      </w:r>
      <w:r>
        <w:rPr>
          <w:rFonts w:ascii="Arial" w:cs="Arial" w:eastAsia="Arial" w:hAnsi="Arial"/>
          <w:sz w:val="18"/>
          <w:szCs w:val="18"/>
          <w:color w:val="242424"/>
        </w:rPr>
        <w:t xml:space="preserve"> expenses </w:t>
      </w:r>
      <w:r>
        <w:rPr>
          <w:rFonts w:ascii="Arial" w:cs="Arial" w:eastAsia="Arial" w:hAnsi="Arial"/>
          <w:sz w:val="18"/>
          <w:szCs w:val="18"/>
          <w:color w:val="131313"/>
        </w:rPr>
        <w:t>that they incur</w:t>
      </w:r>
      <w:r>
        <w:rPr>
          <w:rFonts w:ascii="Arial" w:cs="Arial" w:eastAsia="Arial" w:hAnsi="Arial"/>
          <w:sz w:val="18"/>
          <w:szCs w:val="18"/>
          <w:color w:val="242424"/>
        </w:rPr>
        <w:t xml:space="preserve"> in connection with</w:t>
      </w:r>
    </w:p>
    <w:p>
      <w:pPr>
        <w:spacing w:after="0" w:line="1" w:lineRule="exact"/>
        <w:rPr>
          <w:sz w:val="20"/>
          <w:szCs w:val="20"/>
          <w:color w:val="auto"/>
        </w:rPr>
      </w:pPr>
    </w:p>
    <w:p>
      <w:pPr>
        <w:ind w:left="160" w:hanging="152"/>
        <w:spacing w:after="0"/>
        <w:tabs>
          <w:tab w:leader="none" w:pos="160" w:val="left"/>
        </w:tabs>
        <w:numPr>
          <w:ilvl w:val="0"/>
          <w:numId w:val="5"/>
        </w:numPr>
        <w:rPr>
          <w:rFonts w:ascii="Arial" w:cs="Arial" w:eastAsia="Arial" w:hAnsi="Arial"/>
          <w:sz w:val="18"/>
          <w:szCs w:val="18"/>
          <w:color w:val="242424"/>
        </w:rPr>
      </w:pPr>
      <w:r>
        <w:rPr>
          <w:rFonts w:ascii="Arial" w:cs="Arial" w:eastAsia="Arial" w:hAnsi="Arial"/>
          <w:sz w:val="18"/>
          <w:szCs w:val="18"/>
          <w:color w:val="131313"/>
        </w:rPr>
        <w:t>repacking.</w:t>
      </w:r>
    </w:p>
    <w:p>
      <w:pPr>
        <w:spacing w:after="0" w:line="122" w:lineRule="exact"/>
        <w:rPr>
          <w:sz w:val="20"/>
          <w:szCs w:val="20"/>
          <w:color w:val="auto"/>
        </w:rPr>
      </w:pPr>
    </w:p>
    <w:p>
      <w:pPr>
        <w:ind w:right="160"/>
        <w:spacing w:after="0" w:line="231" w:lineRule="auto"/>
        <w:rPr>
          <w:sz w:val="20"/>
          <w:szCs w:val="20"/>
          <w:color w:val="auto"/>
        </w:rPr>
      </w:pPr>
      <w:r>
        <w:rPr>
          <w:rFonts w:ascii="Arial" w:cs="Arial" w:eastAsia="Arial" w:hAnsi="Arial"/>
          <w:sz w:val="18"/>
          <w:szCs w:val="18"/>
          <w:color w:val="auto"/>
        </w:rPr>
        <w:t>Since January 12, 2016, the deadline for stations to submit initial applications to participate in the incentive auction, all broadcast television licensees that were eligible to participate in the auction have been subject to an FCC-imposed “quiet period,” which prohibits licensees from directly or indirectly communicating with each other or with forward auction applicants regarding their own or any other licensee’s auction bids or bidding strategies. This quiet period was partially lifted on February 6, 2017 enabling broadcasters who participated in the incentive auction to once again speak freely among themselves and negotiate freely to buy or sell their stations.</w:t>
      </w:r>
    </w:p>
    <w:p>
      <w:pPr>
        <w:spacing w:after="0" w:line="111" w:lineRule="exact"/>
        <w:rPr>
          <w:sz w:val="20"/>
          <w:szCs w:val="20"/>
          <w:color w:val="auto"/>
        </w:rPr>
      </w:pPr>
    </w:p>
    <w:p>
      <w:pPr>
        <w:ind w:right="100"/>
        <w:spacing w:after="0" w:line="226" w:lineRule="auto"/>
        <w:rPr>
          <w:sz w:val="20"/>
          <w:szCs w:val="20"/>
          <w:color w:val="auto"/>
        </w:rPr>
      </w:pPr>
      <w:r>
        <w:rPr>
          <w:rFonts w:ascii="Arial" w:cs="Arial" w:eastAsia="Arial" w:hAnsi="Arial"/>
          <w:sz w:val="18"/>
          <w:szCs w:val="18"/>
          <w:b w:val="1"/>
          <w:bCs w:val="1"/>
          <w:i w:val="1"/>
          <w:iCs w:val="1"/>
          <w:color w:val="auto"/>
        </w:rPr>
        <w:t xml:space="preserve">Carriage of Local Broadcast Signals. </w:t>
      </w:r>
      <w:r>
        <w:rPr>
          <w:rFonts w:ascii="Arial" w:cs="Arial" w:eastAsia="Arial" w:hAnsi="Arial"/>
          <w:sz w:val="18"/>
          <w:szCs w:val="18"/>
          <w:color w:val="auto"/>
        </w:rPr>
        <w:t>The Communications Act and the FCC rules allow a commercial television broadcast station, under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certain circumstances, to insist on mandatory carriage of its signal on cable systems serving the station’s market area (must carry). Alternatively, stations may elect, at three-year intervals, to forego must-carry rights and allow their signals to be carried by cable systems only pursuant to a “retransmission consent” agreement. Commercial television stations also may elect either mandatory carriage or retransmission consent with respect to the carriage of their signals on direct broadcast satellite (DBS) systems that choose to provide “local-into-local” service (i.e., to distribute the signals of local television stations to viewers in the local market area). Stations that elect retransmission consent may negotiate for compensation from cable or DBS systems in exchange for the right to carry their signals. Each of GMG’s television stations is being carried on all of the major cable and DBS systems serving each station’s respective local market pursuant to retransmission consent agreements.</w:t>
      </w: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722" w:right="239" w:bottom="1440" w:gutter="0" w:footer="0" w:header="0"/>
        </w:sectPr>
      </w:pPr>
    </w:p>
    <w:bookmarkStart w:id="17" w:name="page18"/>
    <w:bookmarkEnd w:id="17"/>
    <w:p>
      <w:pPr>
        <w:ind w:right="20"/>
        <w:spacing w:after="0" w:line="224" w:lineRule="auto"/>
        <w:rPr>
          <w:sz w:val="20"/>
          <w:szCs w:val="20"/>
          <w:color w:val="auto"/>
        </w:rPr>
      </w:pPr>
      <w:r>
        <w:rPr>
          <w:rFonts w:ascii="Arial" w:cs="Arial" w:eastAsia="Arial" w:hAnsi="Arial"/>
          <w:sz w:val="18"/>
          <w:szCs w:val="18"/>
          <w:color w:val="auto"/>
        </w:rPr>
        <w:t>Under the STELA Reauthorization Act (STELAR), enacted in December 2014, Congress directed the FCC to undertake certain rulemakings concerning retransmission consent issues. For example, the FCC adopted rules required by STELAR prohibiting same-market television broadcast stations from coordinating or jointly negotiating for retransmission consent unless such stations are under common control. The FCC had also commenced a rulemaking required by STELAR to review the FCC</w:t>
      </w:r>
      <w:r>
        <w:rPr>
          <w:rFonts w:ascii="Arial" w:cs="Arial" w:eastAsia="Arial" w:hAnsi="Arial"/>
          <w:sz w:val="14"/>
          <w:szCs w:val="14"/>
          <w:b w:val="1"/>
          <w:bCs w:val="1"/>
          <w:color w:val="auto"/>
        </w:rPr>
        <w:t>’</w:t>
      </w:r>
      <w:r>
        <w:rPr>
          <w:rFonts w:ascii="Arial" w:cs="Arial" w:eastAsia="Arial" w:hAnsi="Arial"/>
          <w:sz w:val="18"/>
          <w:szCs w:val="18"/>
          <w:color w:val="auto"/>
        </w:rPr>
        <w:t>s “totality of the circumstances” test for good faith retransmission consent negotiations, but the FCC ultimately declined to adopt additional rules governing these negotiations. In addition, the FCC in March 2014 solicited comments on a proposal to eliminate its network non-duplication and syndicated exclusivity rules, which rules restrict the ability of cable operators, direct broadcast satellite systems and other distributors classified by the FCC as multichannel video programming distributors to import the signals of out-of-market television stations with duplicating programming during retransmission consent disputes or otherwise. The FCC has not acted on that proposal to date. If Congress or the FCC were to enact further changes to the retransmission consent and/or exclusivity rules, such changes could materially affect the GMG stations’ bargaining leverage in future retransmission consent negotiations.</w:t>
      </w:r>
    </w:p>
    <w:p>
      <w:pPr>
        <w:spacing w:after="0" w:line="117" w:lineRule="exact"/>
        <w:rPr>
          <w:sz w:val="20"/>
          <w:szCs w:val="20"/>
          <w:color w:val="auto"/>
        </w:rPr>
      </w:pPr>
    </w:p>
    <w:p>
      <w:pPr>
        <w:ind w:right="180"/>
        <w:spacing w:after="0" w:line="234" w:lineRule="auto"/>
        <w:rPr>
          <w:sz w:val="20"/>
          <w:szCs w:val="20"/>
          <w:color w:val="auto"/>
        </w:rPr>
      </w:pPr>
      <w:r>
        <w:rPr>
          <w:rFonts w:ascii="Arial" w:cs="Arial" w:eastAsia="Arial" w:hAnsi="Arial"/>
          <w:sz w:val="18"/>
          <w:szCs w:val="18"/>
          <w:color w:val="auto"/>
        </w:rPr>
        <w:t>In addition, under STELAR, the statutory copyright license for satellite carriage of distant broadcast television signals was extended through December 31, 2019. The Company cannot predict whether this distant signal copyright will be extended again, nor can it predict whether or how Congress may otherwise change the communications or copyright regimes. The net effect that changes to these regimes would have on the Company’s broadcast operations, or on the Company overall, cannot be predicted.</w:t>
      </w:r>
    </w:p>
    <w:p>
      <w:pPr>
        <w:spacing w:after="0" w:line="111" w:lineRule="exact"/>
        <w:rPr>
          <w:sz w:val="20"/>
          <w:szCs w:val="20"/>
          <w:color w:val="auto"/>
        </w:rPr>
      </w:pPr>
    </w:p>
    <w:p>
      <w:pPr>
        <w:ind w:right="80"/>
        <w:spacing w:after="0" w:line="224" w:lineRule="auto"/>
        <w:rPr>
          <w:sz w:val="20"/>
          <w:szCs w:val="20"/>
          <w:color w:val="auto"/>
        </w:rPr>
      </w:pPr>
      <w:r>
        <w:rPr>
          <w:rFonts w:ascii="Arial" w:cs="Arial" w:eastAsia="Arial" w:hAnsi="Arial"/>
          <w:sz w:val="18"/>
          <w:szCs w:val="18"/>
          <w:b w:val="1"/>
          <w:bCs w:val="1"/>
          <w:i w:val="1"/>
          <w:iCs w:val="1"/>
          <w:color w:val="auto"/>
        </w:rPr>
        <w:t xml:space="preserve">Ownership Limits. </w:t>
      </w:r>
      <w:r>
        <w:rPr>
          <w:rFonts w:ascii="Arial" w:cs="Arial" w:eastAsia="Arial" w:hAnsi="Arial"/>
          <w:sz w:val="18"/>
          <w:szCs w:val="18"/>
          <w:color w:val="161616"/>
        </w:rPr>
        <w:t>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262826"/>
        </w:rPr>
        <w:t>Communications Act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161616"/>
        </w:rPr>
        <w:t>the FCC</w:t>
      </w:r>
      <w:r>
        <w:rPr>
          <w:rFonts w:ascii="Arial" w:cs="Arial" w:eastAsia="Arial" w:hAnsi="Arial"/>
          <w:sz w:val="18"/>
          <w:szCs w:val="18"/>
          <w:color w:val="auto"/>
        </w:rPr>
        <w:t>’</w:t>
      </w:r>
      <w:r>
        <w:rPr>
          <w:rFonts w:ascii="Arial" w:cs="Arial" w:eastAsia="Arial" w:hAnsi="Arial"/>
          <w:sz w:val="18"/>
          <w:szCs w:val="18"/>
          <w:color w:val="161616"/>
        </w:rPr>
        <w:t>s rules limit the number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262826"/>
        </w:rPr>
        <w:t>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161616"/>
        </w:rPr>
        <w:t>types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262826"/>
        </w:rPr>
        <w:t>media outlets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161616"/>
        </w:rPr>
        <w:t>in which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262826"/>
        </w:rPr>
        <w:t>a single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161616"/>
        </w:rPr>
        <w:t>person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262826"/>
        </w:rPr>
        <w:t>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262826"/>
        </w:rPr>
        <w:t xml:space="preserve">entity </w:t>
      </w:r>
      <w:r>
        <w:rPr>
          <w:rFonts w:ascii="Arial" w:cs="Arial" w:eastAsia="Arial" w:hAnsi="Arial"/>
          <w:sz w:val="18"/>
          <w:szCs w:val="18"/>
          <w:color w:val="161616"/>
        </w:rPr>
        <w:t>may have</w:t>
      </w:r>
      <w:r>
        <w:rPr>
          <w:rFonts w:ascii="Arial" w:cs="Arial" w:eastAsia="Arial" w:hAnsi="Arial"/>
          <w:sz w:val="18"/>
          <w:szCs w:val="18"/>
          <w:color w:val="262826"/>
        </w:rPr>
        <w:t xml:space="preserve"> an attributable </w:t>
      </w:r>
      <w:r>
        <w:rPr>
          <w:rFonts w:ascii="Arial" w:cs="Arial" w:eastAsia="Arial" w:hAnsi="Arial"/>
          <w:sz w:val="18"/>
          <w:szCs w:val="18"/>
          <w:color w:val="161616"/>
        </w:rPr>
        <w:t>interest.</w:t>
      </w:r>
      <w:r>
        <w:rPr>
          <w:rFonts w:ascii="Arial" w:cs="Arial" w:eastAsia="Arial" w:hAnsi="Arial"/>
          <w:sz w:val="18"/>
          <w:szCs w:val="18"/>
          <w:color w:val="262826"/>
        </w:rPr>
        <w:t xml:space="preserve"> Among other restrictions, the </w:t>
      </w:r>
      <w:r>
        <w:rPr>
          <w:rFonts w:ascii="Arial" w:cs="Arial" w:eastAsia="Arial" w:hAnsi="Arial"/>
          <w:sz w:val="18"/>
          <w:szCs w:val="18"/>
          <w:color w:val="161616"/>
        </w:rPr>
        <w:t>FCC</w:t>
      </w:r>
      <w:r>
        <w:rPr>
          <w:rFonts w:ascii="Arial" w:cs="Arial" w:eastAsia="Arial" w:hAnsi="Arial"/>
          <w:sz w:val="18"/>
          <w:szCs w:val="18"/>
          <w:color w:val="000000"/>
        </w:rPr>
        <w:t>’</w:t>
      </w:r>
      <w:r>
        <w:rPr>
          <w:rFonts w:ascii="Arial" w:cs="Arial" w:eastAsia="Arial" w:hAnsi="Arial"/>
          <w:sz w:val="18"/>
          <w:szCs w:val="18"/>
          <w:color w:val="262826"/>
        </w:rPr>
        <w:t xml:space="preserve">s </w:t>
      </w:r>
      <w:r>
        <w:rPr>
          <w:rFonts w:ascii="Arial" w:cs="Arial" w:eastAsia="Arial" w:hAnsi="Arial"/>
          <w:sz w:val="18"/>
          <w:szCs w:val="18"/>
          <w:color w:val="161616"/>
        </w:rPr>
        <w:t>local television</w:t>
      </w:r>
      <w:r>
        <w:rPr>
          <w:rFonts w:ascii="Arial" w:cs="Arial" w:eastAsia="Arial" w:hAnsi="Arial"/>
          <w:sz w:val="18"/>
          <w:szCs w:val="18"/>
          <w:color w:val="262826"/>
        </w:rPr>
        <w:t xml:space="preserve"> ownership </w:t>
      </w:r>
      <w:r>
        <w:rPr>
          <w:rFonts w:ascii="Arial" w:cs="Arial" w:eastAsia="Arial" w:hAnsi="Arial"/>
          <w:sz w:val="18"/>
          <w:szCs w:val="18"/>
          <w:color w:val="161616"/>
        </w:rPr>
        <w:t>rule generally prohibits</w:t>
      </w:r>
      <w:r>
        <w:rPr>
          <w:rFonts w:ascii="Arial" w:cs="Arial" w:eastAsia="Arial" w:hAnsi="Arial"/>
          <w:sz w:val="18"/>
          <w:szCs w:val="18"/>
          <w:color w:val="262826"/>
        </w:rPr>
        <w:t xml:space="preserve"> one company </w:t>
      </w:r>
      <w:r>
        <w:rPr>
          <w:rFonts w:ascii="Arial" w:cs="Arial" w:eastAsia="Arial" w:hAnsi="Arial"/>
          <w:sz w:val="18"/>
          <w:szCs w:val="18"/>
          <w:color w:val="161616"/>
        </w:rPr>
        <w:t xml:space="preserve">from owning two television </w:t>
      </w:r>
      <w:r>
        <w:rPr>
          <w:rFonts w:ascii="Arial" w:cs="Arial" w:eastAsia="Arial" w:hAnsi="Arial"/>
          <w:sz w:val="18"/>
          <w:szCs w:val="18"/>
          <w:color w:val="262826"/>
        </w:rPr>
        <w:t>stations</w:t>
      </w:r>
      <w:r>
        <w:rPr>
          <w:rFonts w:ascii="Arial" w:cs="Arial" w:eastAsia="Arial" w:hAnsi="Arial"/>
          <w:sz w:val="18"/>
          <w:szCs w:val="18"/>
          <w:color w:val="161616"/>
        </w:rPr>
        <w:t xml:space="preserve"> in the </w:t>
      </w:r>
      <w:r>
        <w:rPr>
          <w:rFonts w:ascii="Arial" w:cs="Arial" w:eastAsia="Arial" w:hAnsi="Arial"/>
          <w:sz w:val="18"/>
          <w:szCs w:val="18"/>
          <w:color w:val="262826"/>
        </w:rPr>
        <w:t>same</w:t>
      </w:r>
      <w:r>
        <w:rPr>
          <w:rFonts w:ascii="Arial" w:cs="Arial" w:eastAsia="Arial" w:hAnsi="Arial"/>
          <w:sz w:val="18"/>
          <w:szCs w:val="18"/>
          <w:color w:val="161616"/>
        </w:rPr>
        <w:t xml:space="preserve"> market unless there </w:t>
      </w:r>
      <w:r>
        <w:rPr>
          <w:rFonts w:ascii="Arial" w:cs="Arial" w:eastAsia="Arial" w:hAnsi="Arial"/>
          <w:sz w:val="18"/>
          <w:szCs w:val="18"/>
          <w:color w:val="262826"/>
        </w:rPr>
        <w:t>would</w:t>
      </w:r>
      <w:r>
        <w:rPr>
          <w:rFonts w:ascii="Arial" w:cs="Arial" w:eastAsia="Arial" w:hAnsi="Arial"/>
          <w:sz w:val="18"/>
          <w:szCs w:val="18"/>
          <w:color w:val="161616"/>
        </w:rPr>
        <w:t xml:space="preserve"> remain </w:t>
      </w:r>
      <w:r>
        <w:rPr>
          <w:rFonts w:ascii="Arial" w:cs="Arial" w:eastAsia="Arial" w:hAnsi="Arial"/>
          <w:sz w:val="18"/>
          <w:szCs w:val="18"/>
          <w:color w:val="262826"/>
        </w:rPr>
        <w:t>at</w:t>
      </w:r>
      <w:r>
        <w:rPr>
          <w:rFonts w:ascii="Arial" w:cs="Arial" w:eastAsia="Arial" w:hAnsi="Arial"/>
          <w:sz w:val="18"/>
          <w:szCs w:val="18"/>
          <w:color w:val="161616"/>
        </w:rPr>
        <w:t xml:space="preserve"> least </w:t>
      </w:r>
      <w:r>
        <w:rPr>
          <w:rFonts w:ascii="Arial" w:cs="Arial" w:eastAsia="Arial" w:hAnsi="Arial"/>
          <w:sz w:val="18"/>
          <w:szCs w:val="18"/>
          <w:color w:val="262826"/>
        </w:rPr>
        <w:t>eight</w:t>
      </w:r>
      <w:r>
        <w:rPr>
          <w:rFonts w:ascii="Arial" w:cs="Arial" w:eastAsia="Arial" w:hAnsi="Arial"/>
          <w:sz w:val="18"/>
          <w:szCs w:val="18"/>
          <w:color w:val="161616"/>
        </w:rPr>
        <w:t xml:space="preserve"> independently </w:t>
      </w:r>
      <w:r>
        <w:rPr>
          <w:rFonts w:ascii="Arial" w:cs="Arial" w:eastAsia="Arial" w:hAnsi="Arial"/>
          <w:sz w:val="18"/>
          <w:szCs w:val="18"/>
          <w:color w:val="262826"/>
        </w:rPr>
        <w:t>owned</w:t>
      </w:r>
      <w:r>
        <w:rPr>
          <w:rFonts w:ascii="Arial" w:cs="Arial" w:eastAsia="Arial" w:hAnsi="Arial"/>
          <w:sz w:val="18"/>
          <w:szCs w:val="18"/>
          <w:color w:val="161616"/>
        </w:rPr>
        <w:t xml:space="preserve"> full-power </w:t>
      </w:r>
      <w:r>
        <w:rPr>
          <w:rFonts w:ascii="Arial" w:cs="Arial" w:eastAsia="Arial" w:hAnsi="Arial"/>
          <w:sz w:val="18"/>
          <w:szCs w:val="18"/>
          <w:color w:val="262826"/>
        </w:rPr>
        <w:t>television</w:t>
      </w:r>
      <w:r>
        <w:rPr>
          <w:rFonts w:ascii="Arial" w:cs="Arial" w:eastAsia="Arial" w:hAnsi="Arial"/>
          <w:sz w:val="18"/>
          <w:szCs w:val="18"/>
          <w:color w:val="161616"/>
        </w:rPr>
        <w:t xml:space="preserve"> </w:t>
      </w:r>
      <w:r>
        <w:rPr>
          <w:rFonts w:ascii="Arial" w:cs="Arial" w:eastAsia="Arial" w:hAnsi="Arial"/>
          <w:sz w:val="18"/>
          <w:szCs w:val="18"/>
          <w:color w:val="262826"/>
        </w:rPr>
        <w:t xml:space="preserve">stations in </w:t>
      </w:r>
      <w:r>
        <w:rPr>
          <w:rFonts w:ascii="Arial" w:cs="Arial" w:eastAsia="Arial" w:hAnsi="Arial"/>
          <w:sz w:val="18"/>
          <w:szCs w:val="18"/>
          <w:color w:val="161616"/>
        </w:rPr>
        <w:t>that market,</w:t>
      </w:r>
      <w:r>
        <w:rPr>
          <w:rFonts w:ascii="Arial" w:cs="Arial" w:eastAsia="Arial" w:hAnsi="Arial"/>
          <w:sz w:val="18"/>
          <w:szCs w:val="18"/>
          <w:color w:val="262826"/>
        </w:rPr>
        <w:t xml:space="preserve"> and at </w:t>
      </w:r>
      <w:r>
        <w:rPr>
          <w:rFonts w:ascii="Arial" w:cs="Arial" w:eastAsia="Arial" w:hAnsi="Arial"/>
          <w:sz w:val="18"/>
          <w:szCs w:val="18"/>
          <w:color w:val="161616"/>
        </w:rPr>
        <w:t>least one</w:t>
      </w:r>
      <w:r>
        <w:rPr>
          <w:rFonts w:ascii="Arial" w:cs="Arial" w:eastAsia="Arial" w:hAnsi="Arial"/>
          <w:sz w:val="18"/>
          <w:szCs w:val="18"/>
          <w:color w:val="262826"/>
        </w:rPr>
        <w:t xml:space="preserve"> of </w:t>
      </w:r>
      <w:r>
        <w:rPr>
          <w:rFonts w:ascii="Arial" w:cs="Arial" w:eastAsia="Arial" w:hAnsi="Arial"/>
          <w:sz w:val="18"/>
          <w:szCs w:val="18"/>
          <w:color w:val="161616"/>
        </w:rPr>
        <w:t>the</w:t>
      </w:r>
      <w:r>
        <w:rPr>
          <w:rFonts w:ascii="Arial" w:cs="Arial" w:eastAsia="Arial" w:hAnsi="Arial"/>
          <w:sz w:val="18"/>
          <w:szCs w:val="18"/>
          <w:color w:val="262826"/>
        </w:rPr>
        <w:t xml:space="preserve"> commonly </w:t>
      </w:r>
      <w:r>
        <w:rPr>
          <w:rFonts w:ascii="Arial" w:cs="Arial" w:eastAsia="Arial" w:hAnsi="Arial"/>
          <w:sz w:val="18"/>
          <w:szCs w:val="18"/>
          <w:color w:val="161616"/>
        </w:rPr>
        <w:t>owned</w:t>
      </w:r>
      <w:r>
        <w:rPr>
          <w:rFonts w:ascii="Arial" w:cs="Arial" w:eastAsia="Arial" w:hAnsi="Arial"/>
          <w:sz w:val="18"/>
          <w:szCs w:val="18"/>
          <w:color w:val="262826"/>
        </w:rPr>
        <w:t xml:space="preserve"> stations is </w:t>
      </w:r>
      <w:r>
        <w:rPr>
          <w:rFonts w:ascii="Arial" w:cs="Arial" w:eastAsia="Arial" w:hAnsi="Arial"/>
          <w:sz w:val="18"/>
          <w:szCs w:val="18"/>
          <w:color w:val="161616"/>
        </w:rPr>
        <w:t>not</w:t>
      </w:r>
      <w:r>
        <w:rPr>
          <w:rFonts w:ascii="Arial" w:cs="Arial" w:eastAsia="Arial" w:hAnsi="Arial"/>
          <w:sz w:val="18"/>
          <w:szCs w:val="18"/>
          <w:color w:val="262826"/>
        </w:rPr>
        <w:t xml:space="preserve"> among </w:t>
      </w:r>
      <w:r>
        <w:rPr>
          <w:rFonts w:ascii="Arial" w:cs="Arial" w:eastAsia="Arial" w:hAnsi="Arial"/>
          <w:sz w:val="18"/>
          <w:szCs w:val="18"/>
          <w:color w:val="161616"/>
        </w:rPr>
        <w:t>the top-four ranked television</w:t>
      </w:r>
      <w:r>
        <w:rPr>
          <w:rFonts w:ascii="Arial" w:cs="Arial" w:eastAsia="Arial" w:hAnsi="Arial"/>
          <w:sz w:val="18"/>
          <w:szCs w:val="18"/>
          <w:color w:val="262826"/>
        </w:rPr>
        <w:t xml:space="preserve"> stations </w:t>
      </w:r>
      <w:r>
        <w:rPr>
          <w:rFonts w:ascii="Arial" w:cs="Arial" w:eastAsia="Arial" w:hAnsi="Arial"/>
          <w:sz w:val="18"/>
          <w:szCs w:val="18"/>
          <w:color w:val="161616"/>
        </w:rPr>
        <w:t>in that market.</w:t>
      </w:r>
      <w:r>
        <w:rPr>
          <w:rFonts w:ascii="Arial" w:cs="Arial" w:eastAsia="Arial" w:hAnsi="Arial"/>
          <w:sz w:val="18"/>
          <w:szCs w:val="18"/>
          <w:color w:val="262826"/>
        </w:rPr>
        <w:t xml:space="preserve"> The FCC also </w:t>
      </w:r>
      <w:r>
        <w:rPr>
          <w:rFonts w:ascii="Arial" w:cs="Arial" w:eastAsia="Arial" w:hAnsi="Arial"/>
          <w:sz w:val="18"/>
          <w:szCs w:val="18"/>
          <w:color w:val="161616"/>
        </w:rPr>
        <w:t>restricts</w:t>
      </w:r>
      <w:r>
        <w:rPr>
          <w:rFonts w:ascii="Arial" w:cs="Arial" w:eastAsia="Arial" w:hAnsi="Arial"/>
          <w:sz w:val="18"/>
          <w:szCs w:val="18"/>
          <w:color w:val="262826"/>
        </w:rPr>
        <w:t xml:space="preserve"> so-called “cross-ownership” of newspapers and broadcast stations within a market. </w:t>
      </w:r>
      <w:r>
        <w:rPr>
          <w:rFonts w:ascii="Arial" w:cs="Arial" w:eastAsia="Arial" w:hAnsi="Arial"/>
          <w:sz w:val="18"/>
          <w:szCs w:val="18"/>
          <w:color w:val="000000"/>
        </w:rPr>
        <w:t>The FCC is required by statute to</w:t>
      </w:r>
      <w:r>
        <w:rPr>
          <w:rFonts w:ascii="Arial" w:cs="Arial" w:eastAsia="Arial" w:hAnsi="Arial"/>
          <w:sz w:val="18"/>
          <w:szCs w:val="18"/>
          <w:color w:val="262826"/>
        </w:rPr>
        <w:t xml:space="preserve"> </w:t>
      </w:r>
      <w:r>
        <w:rPr>
          <w:rFonts w:ascii="Arial" w:cs="Arial" w:eastAsia="Arial" w:hAnsi="Arial"/>
          <w:sz w:val="18"/>
          <w:szCs w:val="18"/>
          <w:color w:val="000000"/>
        </w:rPr>
        <w:t>review these and certain other media ownership rules every four years. In an August 2016 Order concluding its most recent review, portions of which are being challenged in court and are on reconsideration before the FCC, the FCC decided to retain its existing limitations on television ownership and cross-ownership without significant changes. The Order also readopted rules making certain television Joint Sales Agreements (JSAs) attributable in calculating compliance with the ownership limits, though any such JSAs in effect as of March 31, 2014, may remain in place and be transferred to future owners of the relevant stations through September 30, 2025. The FCC also will require public disclosure of certain shared services agreements (SSAs) though these agreements will not be considered attributable. The FCC’s rule changes, if upheld, could limit GMG’s ability to enter into certain transactions in the future and/or require GMG to publicly disclose more information about its operations.</w:t>
      </w:r>
    </w:p>
    <w:p>
      <w:pPr>
        <w:spacing w:after="0" w:line="109" w:lineRule="exact"/>
        <w:rPr>
          <w:sz w:val="20"/>
          <w:szCs w:val="20"/>
          <w:color w:val="auto"/>
        </w:rPr>
      </w:pPr>
    </w:p>
    <w:p>
      <w:pPr>
        <w:ind w:right="40"/>
        <w:spacing w:after="0" w:line="229" w:lineRule="auto"/>
        <w:rPr>
          <w:sz w:val="20"/>
          <w:szCs w:val="20"/>
          <w:color w:val="auto"/>
        </w:rPr>
      </w:pPr>
      <w:r>
        <w:rPr>
          <w:rFonts w:ascii="Arial" w:cs="Arial" w:eastAsia="Arial" w:hAnsi="Arial"/>
          <w:sz w:val="18"/>
          <w:szCs w:val="18"/>
          <w:color w:val="161616"/>
        </w:rPr>
        <w:t xml:space="preserve">In </w:t>
      </w:r>
      <w:r>
        <w:rPr>
          <w:rFonts w:ascii="Arial" w:cs="Arial" w:eastAsia="Arial" w:hAnsi="Arial"/>
          <w:sz w:val="18"/>
          <w:szCs w:val="18"/>
          <w:color w:val="262826"/>
        </w:rPr>
        <w:t>addition</w:t>
      </w:r>
      <w:r>
        <w:rPr>
          <w:rFonts w:ascii="Arial" w:cs="Arial" w:eastAsia="Arial" w:hAnsi="Arial"/>
          <w:sz w:val="18"/>
          <w:szCs w:val="18"/>
          <w:color w:val="4B4142"/>
        </w:rPr>
        <w:t>,</w:t>
      </w:r>
      <w:r>
        <w:rPr>
          <w:rFonts w:ascii="Arial" w:cs="Arial" w:eastAsia="Arial" w:hAnsi="Arial"/>
          <w:sz w:val="18"/>
          <w:szCs w:val="18"/>
          <w:color w:val="161616"/>
        </w:rPr>
        <w:t xml:space="preserve"> by </w:t>
      </w:r>
      <w:r>
        <w:rPr>
          <w:rFonts w:ascii="Arial" w:cs="Arial" w:eastAsia="Arial" w:hAnsi="Arial"/>
          <w:sz w:val="18"/>
          <w:szCs w:val="18"/>
          <w:color w:val="262826"/>
        </w:rPr>
        <w:t>statute, a single</w:t>
      </w:r>
      <w:r>
        <w:rPr>
          <w:rFonts w:ascii="Arial" w:cs="Arial" w:eastAsia="Arial" w:hAnsi="Arial"/>
          <w:sz w:val="18"/>
          <w:szCs w:val="18"/>
          <w:color w:val="161616"/>
        </w:rPr>
        <w:t xml:space="preserve"> person </w:t>
      </w:r>
      <w:r>
        <w:rPr>
          <w:rFonts w:ascii="Arial" w:cs="Arial" w:eastAsia="Arial" w:hAnsi="Arial"/>
          <w:sz w:val="18"/>
          <w:szCs w:val="18"/>
          <w:color w:val="262826"/>
        </w:rPr>
        <w:t>or entity</w:t>
      </w:r>
      <w:r>
        <w:rPr>
          <w:rFonts w:ascii="Arial" w:cs="Arial" w:eastAsia="Arial" w:hAnsi="Arial"/>
          <w:sz w:val="18"/>
          <w:szCs w:val="18"/>
          <w:color w:val="161616"/>
        </w:rPr>
        <w:t xml:space="preserve"> may have </w:t>
      </w:r>
      <w:r>
        <w:rPr>
          <w:rFonts w:ascii="Arial" w:cs="Arial" w:eastAsia="Arial" w:hAnsi="Arial"/>
          <w:sz w:val="18"/>
          <w:szCs w:val="18"/>
          <w:color w:val="262826"/>
        </w:rPr>
        <w:t>an attributable</w:t>
      </w:r>
      <w:r>
        <w:rPr>
          <w:rFonts w:ascii="Arial" w:cs="Arial" w:eastAsia="Arial" w:hAnsi="Arial"/>
          <w:sz w:val="18"/>
          <w:szCs w:val="18"/>
          <w:color w:val="161616"/>
        </w:rPr>
        <w:t xml:space="preserve"> interest in </w:t>
      </w:r>
      <w:r>
        <w:rPr>
          <w:rFonts w:ascii="Arial" w:cs="Arial" w:eastAsia="Arial" w:hAnsi="Arial"/>
          <w:sz w:val="18"/>
          <w:szCs w:val="18"/>
          <w:color w:val="262826"/>
        </w:rPr>
        <w:t>an</w:t>
      </w:r>
      <w:r>
        <w:rPr>
          <w:rFonts w:ascii="Arial" w:cs="Arial" w:eastAsia="Arial" w:hAnsi="Arial"/>
          <w:sz w:val="18"/>
          <w:szCs w:val="18"/>
          <w:color w:val="161616"/>
        </w:rPr>
        <w:t xml:space="preserve"> unlimited number </w:t>
      </w:r>
      <w:r>
        <w:rPr>
          <w:rFonts w:ascii="Arial" w:cs="Arial" w:eastAsia="Arial" w:hAnsi="Arial"/>
          <w:sz w:val="18"/>
          <w:szCs w:val="18"/>
          <w:color w:val="262826"/>
        </w:rPr>
        <w:t>of</w:t>
      </w:r>
      <w:r>
        <w:rPr>
          <w:rFonts w:ascii="Arial" w:cs="Arial" w:eastAsia="Arial" w:hAnsi="Arial"/>
          <w:sz w:val="18"/>
          <w:szCs w:val="18"/>
          <w:color w:val="161616"/>
        </w:rPr>
        <w:t xml:space="preserve"> television </w:t>
      </w:r>
      <w:r>
        <w:rPr>
          <w:rFonts w:ascii="Arial" w:cs="Arial" w:eastAsia="Arial" w:hAnsi="Arial"/>
          <w:sz w:val="18"/>
          <w:szCs w:val="18"/>
          <w:color w:val="262826"/>
        </w:rPr>
        <w:t>stations</w:t>
      </w:r>
      <w:r>
        <w:rPr>
          <w:rFonts w:ascii="Arial" w:cs="Arial" w:eastAsia="Arial" w:hAnsi="Arial"/>
          <w:sz w:val="18"/>
          <w:szCs w:val="18"/>
          <w:color w:val="161616"/>
        </w:rPr>
        <w:t xml:space="preserve"> nationwide, </w:t>
      </w:r>
      <w:r>
        <w:rPr>
          <w:rFonts w:ascii="Arial" w:cs="Arial" w:eastAsia="Arial" w:hAnsi="Arial"/>
          <w:sz w:val="18"/>
          <w:szCs w:val="18"/>
          <w:color w:val="262826"/>
        </w:rPr>
        <w:t>as</w:t>
      </w:r>
      <w:r>
        <w:rPr>
          <w:rFonts w:ascii="Arial" w:cs="Arial" w:eastAsia="Arial" w:hAnsi="Arial"/>
          <w:sz w:val="18"/>
          <w:szCs w:val="18"/>
          <w:color w:val="161616"/>
        </w:rPr>
        <w:t xml:space="preserve"> long </w:t>
      </w:r>
      <w:r>
        <w:rPr>
          <w:rFonts w:ascii="Arial" w:cs="Arial" w:eastAsia="Arial" w:hAnsi="Arial"/>
          <w:sz w:val="18"/>
          <w:szCs w:val="18"/>
          <w:color w:val="262826"/>
        </w:rPr>
        <w:t>as</w:t>
      </w:r>
      <w:r>
        <w:rPr>
          <w:rFonts w:ascii="Arial" w:cs="Arial" w:eastAsia="Arial" w:hAnsi="Arial"/>
          <w:sz w:val="18"/>
          <w:szCs w:val="18"/>
          <w:color w:val="161616"/>
        </w:rPr>
        <w:t xml:space="preserve"> the </w:t>
      </w:r>
      <w:r>
        <w:rPr>
          <w:rFonts w:ascii="Arial" w:cs="Arial" w:eastAsia="Arial" w:hAnsi="Arial"/>
          <w:sz w:val="18"/>
          <w:szCs w:val="18"/>
          <w:color w:val="262826"/>
        </w:rPr>
        <w:t>aggregate audience</w:t>
      </w:r>
      <w:r>
        <w:rPr>
          <w:rFonts w:ascii="Arial" w:cs="Arial" w:eastAsia="Arial" w:hAnsi="Arial"/>
          <w:sz w:val="18"/>
          <w:szCs w:val="18"/>
          <w:color w:val="161616"/>
        </w:rPr>
        <w:t xml:space="preserve"> reach </w:t>
      </w:r>
      <w:r>
        <w:rPr>
          <w:rFonts w:ascii="Arial" w:cs="Arial" w:eastAsia="Arial" w:hAnsi="Arial"/>
          <w:sz w:val="18"/>
          <w:szCs w:val="18"/>
          <w:color w:val="262826"/>
        </w:rPr>
        <w:t>of such stations</w:t>
      </w:r>
      <w:r>
        <w:rPr>
          <w:rFonts w:ascii="Arial" w:cs="Arial" w:eastAsia="Arial" w:hAnsi="Arial"/>
          <w:sz w:val="18"/>
          <w:szCs w:val="18"/>
          <w:color w:val="161616"/>
        </w:rPr>
        <w:t xml:space="preserve"> does not </w:t>
      </w:r>
      <w:r>
        <w:rPr>
          <w:rFonts w:ascii="Arial" w:cs="Arial" w:eastAsia="Arial" w:hAnsi="Arial"/>
          <w:sz w:val="18"/>
          <w:szCs w:val="18"/>
          <w:color w:val="262826"/>
        </w:rPr>
        <w:t>exceed 39% of</w:t>
      </w:r>
      <w:r>
        <w:rPr>
          <w:rFonts w:ascii="Arial" w:cs="Arial" w:eastAsia="Arial" w:hAnsi="Arial"/>
          <w:sz w:val="18"/>
          <w:szCs w:val="18"/>
          <w:color w:val="161616"/>
        </w:rPr>
        <w:t xml:space="preserve"> nationwide </w:t>
      </w:r>
      <w:r>
        <w:rPr>
          <w:rFonts w:ascii="Arial" w:cs="Arial" w:eastAsia="Arial" w:hAnsi="Arial"/>
          <w:sz w:val="18"/>
          <w:szCs w:val="18"/>
          <w:color w:val="262826"/>
        </w:rPr>
        <w:t>television</w:t>
      </w:r>
      <w:r>
        <w:rPr>
          <w:rFonts w:ascii="Arial" w:cs="Arial" w:eastAsia="Arial" w:hAnsi="Arial"/>
          <w:sz w:val="18"/>
          <w:szCs w:val="18"/>
          <w:color w:val="161616"/>
        </w:rPr>
        <w:t xml:space="preserve"> households </w:t>
      </w:r>
      <w:r>
        <w:rPr>
          <w:rFonts w:ascii="Arial" w:cs="Arial" w:eastAsia="Arial" w:hAnsi="Arial"/>
          <w:sz w:val="18"/>
          <w:szCs w:val="18"/>
          <w:color w:val="262826"/>
        </w:rPr>
        <w:t>and as</w:t>
      </w:r>
      <w:r>
        <w:rPr>
          <w:rFonts w:ascii="Arial" w:cs="Arial" w:eastAsia="Arial" w:hAnsi="Arial"/>
          <w:sz w:val="18"/>
          <w:szCs w:val="18"/>
          <w:color w:val="161616"/>
        </w:rPr>
        <w:t xml:space="preserve"> long </w:t>
      </w:r>
      <w:r>
        <w:rPr>
          <w:rFonts w:ascii="Arial" w:cs="Arial" w:eastAsia="Arial" w:hAnsi="Arial"/>
          <w:sz w:val="18"/>
          <w:szCs w:val="18"/>
          <w:color w:val="262826"/>
        </w:rPr>
        <w:t>as</w:t>
      </w:r>
      <w:r>
        <w:rPr>
          <w:rFonts w:ascii="Arial" w:cs="Arial" w:eastAsia="Arial" w:hAnsi="Arial"/>
          <w:sz w:val="18"/>
          <w:szCs w:val="18"/>
          <w:color w:val="161616"/>
        </w:rPr>
        <w:t xml:space="preserve"> the </w:t>
      </w:r>
      <w:r>
        <w:rPr>
          <w:rFonts w:ascii="Arial" w:cs="Arial" w:eastAsia="Arial" w:hAnsi="Arial"/>
          <w:sz w:val="18"/>
          <w:szCs w:val="18"/>
          <w:color w:val="262826"/>
        </w:rPr>
        <w:t>interest</w:t>
      </w:r>
      <w:r>
        <w:rPr>
          <w:rFonts w:ascii="Arial" w:cs="Arial" w:eastAsia="Arial" w:hAnsi="Arial"/>
          <w:sz w:val="18"/>
          <w:szCs w:val="18"/>
          <w:color w:val="161616"/>
        </w:rPr>
        <w:t xml:space="preserve"> </w:t>
      </w:r>
      <w:r>
        <w:rPr>
          <w:rFonts w:ascii="Arial" w:cs="Arial" w:eastAsia="Arial" w:hAnsi="Arial"/>
          <w:sz w:val="18"/>
          <w:szCs w:val="18"/>
          <w:color w:val="262826"/>
        </w:rPr>
        <w:t xml:space="preserve">complies </w:t>
      </w:r>
      <w:r>
        <w:rPr>
          <w:rFonts w:ascii="Arial" w:cs="Arial" w:eastAsia="Arial" w:hAnsi="Arial"/>
          <w:sz w:val="18"/>
          <w:szCs w:val="18"/>
          <w:color w:val="161616"/>
        </w:rPr>
        <w:t>with the FCC</w:t>
      </w:r>
      <w:r>
        <w:rPr>
          <w:rFonts w:ascii="Arial" w:cs="Arial" w:eastAsia="Arial" w:hAnsi="Arial"/>
          <w:sz w:val="18"/>
          <w:szCs w:val="18"/>
          <w:color w:val="000000"/>
        </w:rPr>
        <w:t>’</w:t>
      </w:r>
      <w:r>
        <w:rPr>
          <w:rFonts w:ascii="Arial" w:cs="Arial" w:eastAsia="Arial" w:hAnsi="Arial"/>
          <w:sz w:val="18"/>
          <w:szCs w:val="18"/>
          <w:color w:val="161616"/>
        </w:rPr>
        <w:t>s</w:t>
      </w:r>
      <w:r>
        <w:rPr>
          <w:rFonts w:ascii="Arial" w:cs="Arial" w:eastAsia="Arial" w:hAnsi="Arial"/>
          <w:sz w:val="18"/>
          <w:szCs w:val="18"/>
          <w:color w:val="262826"/>
        </w:rPr>
        <w:t xml:space="preserve"> other ownership </w:t>
      </w:r>
      <w:r>
        <w:rPr>
          <w:rFonts w:ascii="Arial" w:cs="Arial" w:eastAsia="Arial" w:hAnsi="Arial"/>
          <w:sz w:val="18"/>
          <w:szCs w:val="18"/>
          <w:color w:val="161616"/>
        </w:rPr>
        <w:t>restrictions. In a</w:t>
      </w:r>
      <w:r>
        <w:rPr>
          <w:rFonts w:ascii="Arial" w:cs="Arial" w:eastAsia="Arial" w:hAnsi="Arial"/>
          <w:sz w:val="18"/>
          <w:szCs w:val="18"/>
          <w:color w:val="262826"/>
        </w:rPr>
        <w:t xml:space="preserve"> </w:t>
      </w:r>
      <w:r>
        <w:rPr>
          <w:rFonts w:ascii="Arial" w:cs="Arial" w:eastAsia="Arial" w:hAnsi="Arial"/>
          <w:sz w:val="18"/>
          <w:szCs w:val="18"/>
          <w:color w:val="000000"/>
        </w:rPr>
        <w:t>September 2016 Order, the FCC eliminated the 50% “Ultra High Frequency (UHF)</w:t>
      </w:r>
      <w:r>
        <w:rPr>
          <w:rFonts w:ascii="Arial" w:cs="Arial" w:eastAsia="Arial" w:hAnsi="Arial"/>
          <w:sz w:val="18"/>
          <w:szCs w:val="18"/>
          <w:color w:val="262826"/>
        </w:rPr>
        <w:t xml:space="preserve"> </w:t>
      </w:r>
      <w:r>
        <w:rPr>
          <w:rFonts w:ascii="Arial" w:cs="Arial" w:eastAsia="Arial" w:hAnsi="Arial"/>
          <w:sz w:val="18"/>
          <w:szCs w:val="18"/>
          <w:color w:val="000000"/>
        </w:rPr>
        <w:t>discount,” under which stations broadcasting on UHF channels are credited with only half the number of households in their market for purposes of calculating compliance with the 39% cap. This Order has been challenged both in court and in a petition for reconsideration before the FCC. The FCC’s Order, if upheld, could affect GMG’s ability to enter into certain transactions in the future.</w:t>
      </w:r>
    </w:p>
    <w:p>
      <w:pPr>
        <w:spacing w:after="0" w:line="112" w:lineRule="exact"/>
        <w:rPr>
          <w:sz w:val="20"/>
          <w:szCs w:val="20"/>
          <w:color w:val="auto"/>
        </w:rPr>
      </w:pPr>
    </w:p>
    <w:p>
      <w:pPr>
        <w:spacing w:after="0" w:line="229" w:lineRule="auto"/>
        <w:rPr>
          <w:sz w:val="20"/>
          <w:szCs w:val="20"/>
          <w:color w:val="auto"/>
        </w:rPr>
      </w:pPr>
      <w:r>
        <w:rPr>
          <w:rFonts w:ascii="Arial" w:cs="Arial" w:eastAsia="Arial" w:hAnsi="Arial"/>
          <w:sz w:val="18"/>
          <w:szCs w:val="18"/>
          <w:b w:val="1"/>
          <w:bCs w:val="1"/>
          <w:i w:val="1"/>
          <w:iCs w:val="1"/>
          <w:color w:val="auto"/>
        </w:rPr>
        <w:t xml:space="preserve">Programming. </w:t>
      </w:r>
      <w:r>
        <w:rPr>
          <w:rFonts w:ascii="Arial" w:cs="Arial" w:eastAsia="Arial" w:hAnsi="Arial"/>
          <w:sz w:val="18"/>
          <w:szCs w:val="18"/>
          <w:color w:val="auto"/>
        </w:rPr>
        <w:t>Six of GMG’s seven stations are affiliated with one or more of the national television networks that provide a substantial amount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programming to their television station affiliates. The expiration dates of GMG’s affiliation agreements are set forth at the beginning of this Television Broadcasting section. GMG’s Jacksonville station, WJXT, has operated as an independent station since 2002. In addition, each of the GMG stations receives programming from syndicators and other third-party programming providers. GMG’s performance depends, in part, on the quality and availability of third-party programming, and any substantial decline in the quality or availability of this programming could materially affect GMG’s operations.</w:t>
      </w:r>
    </w:p>
    <w:p>
      <w:pPr>
        <w:spacing w:after="0" w:line="112" w:lineRule="exact"/>
        <w:rPr>
          <w:sz w:val="20"/>
          <w:szCs w:val="20"/>
          <w:color w:val="auto"/>
        </w:rPr>
      </w:pPr>
    </w:p>
    <w:p>
      <w:pPr>
        <w:ind w:right="120"/>
        <w:spacing w:after="0" w:line="261" w:lineRule="auto"/>
        <w:rPr>
          <w:sz w:val="20"/>
          <w:szCs w:val="20"/>
          <w:color w:val="auto"/>
        </w:rPr>
      </w:pPr>
      <w:r>
        <w:rPr>
          <w:rFonts w:ascii="Arial" w:cs="Arial" w:eastAsia="Arial" w:hAnsi="Arial"/>
          <w:sz w:val="17"/>
          <w:szCs w:val="17"/>
          <w:b w:val="1"/>
          <w:bCs w:val="1"/>
          <w:i w:val="1"/>
          <w:iCs w:val="1"/>
          <w:color w:val="auto"/>
        </w:rPr>
        <w:t xml:space="preserve">Public Interest Obligations. </w:t>
      </w:r>
      <w:r>
        <w:rPr>
          <w:rFonts w:ascii="Arial" w:cs="Arial" w:eastAsia="Arial" w:hAnsi="Arial"/>
          <w:sz w:val="17"/>
          <w:szCs w:val="17"/>
          <w:color w:val="auto"/>
        </w:rPr>
        <w:t>To satisfy FCC requirements, stations generally are expected to air a specified number of hours of programming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intended to serve the educational and informational needs of children and to complete reports on a quarterly basis concerning children’s programming. In addition, the FCC requires stations to limit the amount of advertising that appears during certain children’s programs.</w:t>
      </w:r>
    </w:p>
    <w:p>
      <w:pPr>
        <w:spacing w:after="0" w:line="92" w:lineRule="exact"/>
        <w:rPr>
          <w:sz w:val="20"/>
          <w:szCs w:val="20"/>
          <w:color w:val="auto"/>
        </w:rPr>
      </w:pPr>
    </w:p>
    <w:p>
      <w:pPr>
        <w:ind w:right="40"/>
        <w:spacing w:after="0" w:line="231" w:lineRule="auto"/>
        <w:rPr>
          <w:sz w:val="20"/>
          <w:szCs w:val="20"/>
          <w:color w:val="auto"/>
        </w:rPr>
      </w:pPr>
      <w:r>
        <w:rPr>
          <w:rFonts w:ascii="Arial" w:cs="Arial" w:eastAsia="Arial" w:hAnsi="Arial"/>
          <w:sz w:val="18"/>
          <w:szCs w:val="18"/>
          <w:color w:val="auto"/>
        </w:rPr>
        <w:t>The FCC has other regulations and policies to ensure that broadcast licensees operate in the public interest, including rules requiring the disclosure of certain information and documents in an online public inspection file; rules requiring the closed-captioning of programming to assist television viewing by the hearing impaired; video description rules to assist television viewing by the visually impaired; rules concerning the captioning of video programming distributed via the Internet; and rules concerning the volume of commercials. Compliance with these rules imposes additional costs on the GMG stations that could affect GMG’s operations.</w:t>
      </w: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724" w:right="259" w:bottom="1440" w:gutter="0" w:footer="0" w:header="0"/>
        </w:sectPr>
      </w:pPr>
    </w:p>
    <w:bookmarkStart w:id="18" w:name="page19"/>
    <w:bookmarkEnd w:id="18"/>
    <w:p>
      <w:pPr>
        <w:ind w:right="260"/>
        <w:spacing w:after="0"/>
        <w:rPr>
          <w:sz w:val="20"/>
          <w:szCs w:val="20"/>
          <w:color w:val="auto"/>
        </w:rPr>
      </w:pPr>
      <w:r>
        <w:rPr>
          <w:rFonts w:ascii="Arial" w:cs="Arial" w:eastAsia="Arial" w:hAnsi="Arial"/>
          <w:sz w:val="18"/>
          <w:szCs w:val="18"/>
          <w:b w:val="1"/>
          <w:bCs w:val="1"/>
          <w:i w:val="1"/>
          <w:iCs w:val="1"/>
          <w:color w:val="auto"/>
        </w:rPr>
        <w:t xml:space="preserve">Political Advertising. </w:t>
      </w:r>
      <w:r>
        <w:rPr>
          <w:rFonts w:ascii="Arial" w:cs="Arial" w:eastAsia="Arial" w:hAnsi="Arial"/>
          <w:sz w:val="18"/>
          <w:szCs w:val="18"/>
          <w:color w:val="auto"/>
        </w:rPr>
        <w:t>The FCC regulates the sale of advertising by GMG’s stations to candidates for public office and imposes other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obligations regarding the broadcast of political announcements more generally. The application of these regulations may limit the advertising revenues of GMG’s television stations during the periods preceding elections.</w:t>
      </w:r>
    </w:p>
    <w:p>
      <w:pPr>
        <w:spacing w:after="0" w:line="108" w:lineRule="exact"/>
        <w:rPr>
          <w:sz w:val="20"/>
          <w:szCs w:val="20"/>
          <w:color w:val="auto"/>
        </w:rPr>
      </w:pPr>
    </w:p>
    <w:p>
      <w:pPr>
        <w:ind w:right="140"/>
        <w:spacing w:after="0" w:line="227" w:lineRule="auto"/>
        <w:rPr>
          <w:sz w:val="20"/>
          <w:szCs w:val="20"/>
          <w:color w:val="auto"/>
        </w:rPr>
      </w:pPr>
      <w:r>
        <w:rPr>
          <w:rFonts w:ascii="Arial" w:cs="Arial" w:eastAsia="Arial" w:hAnsi="Arial"/>
          <w:sz w:val="18"/>
          <w:szCs w:val="18"/>
          <w:b w:val="1"/>
          <w:bCs w:val="1"/>
          <w:i w:val="1"/>
          <w:iCs w:val="1"/>
          <w:color w:val="auto"/>
        </w:rPr>
        <w:t xml:space="preserve">Broadcast Indecency. </w:t>
      </w:r>
      <w:r>
        <w:rPr>
          <w:rFonts w:ascii="Arial" w:cs="Arial" w:eastAsia="Arial" w:hAnsi="Arial"/>
          <w:sz w:val="18"/>
          <w:szCs w:val="18"/>
          <w:color w:val="auto"/>
        </w:rPr>
        <w:t>The FCC’s policies prohibit the broadcast of indecent and profane material during certain hours of the day, and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FCC regularly imposes monetary forfeitures when it determines that a television station has violated that policy. Broadcasters have repeatedly challenged these rules in court, arguing, among other things, that the FCC has failed to justify its indecency decisions adequately, that the FCC’s policy is too subjective to guide broadcasters’ programming decisions and that its enforcement approach otherwise violates the First Amendment. In June 2012, the U.S. Supreme Court held that certain fines against broadcasters for “fleeting expletives” were unconstitutional because the FCC failed to provide advance notice to broadcasters of what the FCC deemed to be indecent, but it also upheld the FCC’s authority to regulate broadcast decency. The Company cannot predict how GMG’s stations may be affected by the FCC’s current or future interpretation and enforcement of its indecency policies.</w:t>
      </w:r>
    </w:p>
    <w:p>
      <w:pPr>
        <w:spacing w:after="0" w:line="108" w:lineRule="exact"/>
        <w:rPr>
          <w:sz w:val="20"/>
          <w:szCs w:val="20"/>
          <w:color w:val="auto"/>
        </w:rPr>
      </w:pPr>
    </w:p>
    <w:p>
      <w:pPr>
        <w:ind w:right="380"/>
        <w:spacing w:after="0" w:line="290" w:lineRule="auto"/>
        <w:rPr>
          <w:sz w:val="20"/>
          <w:szCs w:val="20"/>
          <w:color w:val="auto"/>
        </w:rPr>
      </w:pPr>
      <w:r>
        <w:rPr>
          <w:rFonts w:ascii="Arial" w:cs="Arial" w:eastAsia="Arial" w:hAnsi="Arial"/>
          <w:sz w:val="17"/>
          <w:szCs w:val="17"/>
          <w:color w:val="auto"/>
        </w:rPr>
        <w:t>The FCC is conducting proceedings concerning various matters in addition to those described in this section. The outcome of these proceedings and other matters described in this section could adversely affect the profitability of GMG’s television broadcasting operations.</w:t>
      </w:r>
    </w:p>
    <w:p>
      <w:pPr>
        <w:spacing w:after="0" w:line="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Other Activities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Slate Group</w:t>
      </w:r>
    </w:p>
    <w:p>
      <w:pPr>
        <w:spacing w:after="0" w:line="146" w:lineRule="exact"/>
        <w:rPr>
          <w:sz w:val="20"/>
          <w:szCs w:val="20"/>
          <w:color w:val="auto"/>
        </w:rPr>
      </w:pPr>
    </w:p>
    <w:p>
      <w:pPr>
        <w:ind w:right="20"/>
        <w:spacing w:after="0" w:line="226" w:lineRule="auto"/>
        <w:rPr>
          <w:sz w:val="20"/>
          <w:szCs w:val="20"/>
          <w:color w:val="auto"/>
        </w:rPr>
      </w:pPr>
      <w:r>
        <w:rPr>
          <w:rFonts w:ascii="Arial" w:cs="Arial" w:eastAsia="Arial" w:hAnsi="Arial"/>
          <w:sz w:val="18"/>
          <w:szCs w:val="18"/>
          <w:color w:val="auto"/>
        </w:rPr>
        <w:t xml:space="preserve">The Slate Group LLC (The Slate Group) publishes </w:t>
      </w:r>
      <w:r>
        <w:rPr>
          <w:rFonts w:ascii="Arial" w:cs="Arial" w:eastAsia="Arial" w:hAnsi="Arial"/>
          <w:sz w:val="18"/>
          <w:szCs w:val="18"/>
          <w:i w:val="1"/>
          <w:iCs w:val="1"/>
          <w:color w:val="auto"/>
        </w:rPr>
        <w:t>Slate</w:t>
      </w:r>
      <w:r>
        <w:rPr>
          <w:rFonts w:ascii="Arial" w:cs="Arial" w:eastAsia="Arial" w:hAnsi="Arial"/>
          <w:sz w:val="18"/>
          <w:szCs w:val="18"/>
          <w:color w:val="auto"/>
        </w:rPr>
        <w:t xml:space="preserve">, an online magazine. </w:t>
      </w:r>
      <w:r>
        <w:rPr>
          <w:rFonts w:ascii="Arial" w:cs="Arial" w:eastAsia="Arial" w:hAnsi="Arial"/>
          <w:sz w:val="18"/>
          <w:szCs w:val="18"/>
          <w:i w:val="1"/>
          <w:iCs w:val="1"/>
          <w:color w:val="auto"/>
        </w:rPr>
        <w:t>Slate</w:t>
      </w:r>
      <w:r>
        <w:rPr>
          <w:rFonts w:ascii="Arial" w:cs="Arial" w:eastAsia="Arial" w:hAnsi="Arial"/>
          <w:sz w:val="18"/>
          <w:szCs w:val="18"/>
          <w:color w:val="auto"/>
        </w:rPr>
        <w:t xml:space="preserve"> features articles and podcasts analyzing news, politics and contemporary culture and adds new material on a daily basis. Content is supplied by the magazine’s own editorial staff, as well as by independent contributors. As measured by The Slate Group, </w:t>
      </w:r>
      <w:r>
        <w:rPr>
          <w:rFonts w:ascii="Arial" w:cs="Arial" w:eastAsia="Arial" w:hAnsi="Arial"/>
          <w:sz w:val="18"/>
          <w:szCs w:val="18"/>
          <w:i w:val="1"/>
          <w:iCs w:val="1"/>
          <w:color w:val="auto"/>
        </w:rPr>
        <w:t>Slate</w:t>
      </w:r>
      <w:r>
        <w:rPr>
          <w:rFonts w:ascii="Arial" w:cs="Arial" w:eastAsia="Arial" w:hAnsi="Arial"/>
          <w:sz w:val="18"/>
          <w:szCs w:val="18"/>
          <w:color w:val="auto"/>
        </w:rPr>
        <w:t xml:space="preserve"> had an average of more than 25 million unique visitors per month and averaged more than 100 million page views per month across desktop and mobile platforms in 2016. The Slate Group also owns Panoply Media, an ad-supported podcast network that creates original audio programming in partnership with leading publishers and thinkers. In addition to producing and marketing podcasts, Panoply Media also licenses a proprietary SAAS platform that provides content management services to podcasters. In 2016, Panoply Media opened a London office. The Slate Group owns an interest in E2J2 SAS, a company incorporated in France that produces two French-language news magazine websites at </w:t>
      </w:r>
      <w:r>
        <w:rPr>
          <w:rFonts w:ascii="Arial" w:cs="Arial" w:eastAsia="Arial" w:hAnsi="Arial"/>
          <w:sz w:val="18"/>
          <w:szCs w:val="18"/>
          <w:i w:val="1"/>
          <w:iCs w:val="1"/>
          <w:color w:val="auto"/>
        </w:rPr>
        <w:t>slate.fr</w:t>
      </w:r>
      <w:r>
        <w:rPr>
          <w:rFonts w:ascii="Arial" w:cs="Arial" w:eastAsia="Arial" w:hAnsi="Arial"/>
          <w:sz w:val="18"/>
          <w:szCs w:val="18"/>
          <w:color w:val="auto"/>
        </w:rPr>
        <w:t xml:space="preserve"> and </w:t>
      </w:r>
      <w:r>
        <w:rPr>
          <w:rFonts w:ascii="Arial" w:cs="Arial" w:eastAsia="Arial" w:hAnsi="Arial"/>
          <w:sz w:val="18"/>
          <w:szCs w:val="18"/>
          <w:i w:val="1"/>
          <w:iCs w:val="1"/>
          <w:color w:val="auto"/>
        </w:rPr>
        <w:t>slateafrique.com</w:t>
      </w:r>
      <w:r>
        <w:rPr>
          <w:rFonts w:ascii="Arial" w:cs="Arial" w:eastAsia="Arial" w:hAnsi="Arial"/>
          <w:sz w:val="18"/>
          <w:szCs w:val="18"/>
          <w:color w:val="auto"/>
        </w:rPr>
        <w:t>. The Slate Group provides content, technology and branding support.</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FP Group</w:t>
      </w:r>
    </w:p>
    <w:p>
      <w:pPr>
        <w:spacing w:after="0" w:line="146" w:lineRule="exact"/>
        <w:rPr>
          <w:sz w:val="20"/>
          <w:szCs w:val="20"/>
          <w:color w:val="auto"/>
        </w:rPr>
      </w:pPr>
    </w:p>
    <w:p>
      <w:pPr>
        <w:ind w:right="220"/>
        <w:spacing w:after="0" w:line="231" w:lineRule="auto"/>
        <w:rPr>
          <w:sz w:val="20"/>
          <w:szCs w:val="20"/>
          <w:color w:val="auto"/>
        </w:rPr>
      </w:pPr>
      <w:r>
        <w:rPr>
          <w:rFonts w:ascii="Arial" w:cs="Arial" w:eastAsia="Arial" w:hAnsi="Arial"/>
          <w:sz w:val="18"/>
          <w:szCs w:val="18"/>
          <w:color w:val="auto"/>
        </w:rPr>
        <w:t xml:space="preserve">The FP Group produces </w:t>
      </w:r>
      <w:r>
        <w:rPr>
          <w:rFonts w:ascii="Arial" w:cs="Arial" w:eastAsia="Arial" w:hAnsi="Arial"/>
          <w:sz w:val="18"/>
          <w:szCs w:val="18"/>
          <w:i w:val="1"/>
          <w:iCs w:val="1"/>
          <w:color w:val="auto"/>
        </w:rPr>
        <w:t>Foreign Policy</w:t>
      </w:r>
      <w:r>
        <w:rPr>
          <w:rFonts w:ascii="Arial" w:cs="Arial" w:eastAsia="Arial" w:hAnsi="Arial"/>
          <w:sz w:val="18"/>
          <w:szCs w:val="18"/>
          <w:color w:val="auto"/>
        </w:rPr>
        <w:t xml:space="preserve"> magazine and the </w:t>
      </w:r>
      <w:r>
        <w:rPr>
          <w:rFonts w:ascii="Arial" w:cs="Arial" w:eastAsia="Arial" w:hAnsi="Arial"/>
          <w:sz w:val="18"/>
          <w:szCs w:val="18"/>
          <w:i w:val="1"/>
          <w:iCs w:val="1"/>
          <w:color w:val="auto"/>
        </w:rPr>
        <w:t>ForeignPolicy.com</w:t>
      </w:r>
      <w:r>
        <w:rPr>
          <w:rFonts w:ascii="Arial" w:cs="Arial" w:eastAsia="Arial" w:hAnsi="Arial"/>
          <w:sz w:val="18"/>
          <w:szCs w:val="18"/>
          <w:color w:val="auto"/>
        </w:rPr>
        <w:t xml:space="preserve"> website, which cover developments in national security, international politics, global economics and related issues. The site features blogs, unique news content and specialized channels and newsletters focusing on regions and topics of interest. The FP Group provides insight and analysis into global affairs for government, military, business, media and academic leaders. FP Events also produces a growing range of live programs, bringing together government, military, business and investment leaders to discuss important regional and topical developments and their implications.</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SocialCode</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Social Code LLC (SocialCode) is a marketing and insights company that manages digital advertising for leading brands. It delivers a complete technology and service solution that transforms consumer data into planning, media activation and measurement across digital media platforms like Facebook, Instagram, Twitter, Pinterest, Snapchat and YouTube.</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Graham Healthcare Group</w:t>
      </w:r>
    </w:p>
    <w:p>
      <w:pPr>
        <w:spacing w:after="0" w:line="146" w:lineRule="exact"/>
        <w:rPr>
          <w:sz w:val="20"/>
          <w:szCs w:val="20"/>
          <w:color w:val="auto"/>
        </w:rPr>
      </w:pPr>
    </w:p>
    <w:p>
      <w:pPr>
        <w:ind w:right="60"/>
        <w:spacing w:after="0" w:line="225" w:lineRule="auto"/>
        <w:rPr>
          <w:sz w:val="20"/>
          <w:szCs w:val="20"/>
          <w:color w:val="auto"/>
        </w:rPr>
      </w:pPr>
      <w:r>
        <w:rPr>
          <w:rFonts w:ascii="Arial" w:cs="Arial" w:eastAsia="Arial" w:hAnsi="Arial"/>
          <w:sz w:val="18"/>
          <w:szCs w:val="18"/>
          <w:color w:val="auto"/>
        </w:rPr>
        <w:t>The Graham Healthcare Group (GHG) provides home health and hospice services in six states. In June 2016, the Company's two healthcare providers, Celtic Healthcare, Inc. (Celtic) and Residential Healthcare Group (Residential), combined their business operations into one entity. Celtic is a Medicare-certified provider of home health and hospice services headquartered in Mars, PA. Through its subsidiaries, Celtic is licensed to provide home health and hospice services throughout Pennsylvania, Maryland and Illinois. These services include skilled nursing, physical therapy, occupational therapy, speech therapy, social work, nutrition, chaplain and aid services. In addition, Celtic provides virtual care services to patients throughout its service territories. Celtic derives 75.1% of its revenue from Medicare; the remaining sources of revenue are Medicaid, commercial insurance and private payers. Residential is headquartered in Troy, MI, and provides care to patients across Michigan and in the western suburbs of Chicago, IL. Services and support are offered in a variety of settings, including patients’ homes, nursing facilities and hospitals. Residential’s Home Health operation is Medicare-certified and ACHC-accredited. It has developed a number of innovative, evidence-based clinical programs to reduce avoidable hospital readmissions, particularly for</w:t>
      </w: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724" w:right="239" w:bottom="1440" w:gutter="0" w:footer="0" w:header="0"/>
        </w:sectPr>
      </w:pPr>
    </w:p>
    <w:bookmarkStart w:id="19" w:name="page20"/>
    <w:bookmarkEnd w:id="19"/>
    <w:p>
      <w:pPr>
        <w:jc w:val="both"/>
        <w:ind w:right="120"/>
        <w:spacing w:after="0"/>
        <w:rPr>
          <w:sz w:val="20"/>
          <w:szCs w:val="20"/>
          <w:color w:val="auto"/>
        </w:rPr>
      </w:pPr>
      <w:r>
        <w:rPr>
          <w:rFonts w:ascii="Arial" w:cs="Arial" w:eastAsia="Arial" w:hAnsi="Arial"/>
          <w:sz w:val="18"/>
          <w:szCs w:val="18"/>
          <w:color w:val="auto"/>
        </w:rPr>
        <w:t>chronically ill seniors. Service offerings include in-home nursing and therapy. Residential’s Hospice subsidiary is ACHC-accredited. It provides patients with a full spectrum of hospice care to maintain their personal dignity, safety and quality of life. Residential derives 92% of its revenue from Medicare; the remaining sources of revenue are Medicaid, commercial insurance and private payers.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Forney Corporation</w:t>
      </w:r>
    </w:p>
    <w:p>
      <w:pPr>
        <w:spacing w:after="0" w:line="146" w:lineRule="exact"/>
        <w:rPr>
          <w:sz w:val="20"/>
          <w:szCs w:val="20"/>
          <w:color w:val="auto"/>
        </w:rPr>
      </w:pPr>
    </w:p>
    <w:p>
      <w:pPr>
        <w:jc w:val="both"/>
        <w:ind w:right="480"/>
        <w:spacing w:after="0"/>
        <w:rPr>
          <w:sz w:val="20"/>
          <w:szCs w:val="20"/>
          <w:color w:val="auto"/>
        </w:rPr>
      </w:pPr>
      <w:r>
        <w:rPr>
          <w:rFonts w:ascii="Arial" w:cs="Arial" w:eastAsia="Arial" w:hAnsi="Arial"/>
          <w:sz w:val="18"/>
          <w:szCs w:val="18"/>
          <w:color w:val="auto"/>
        </w:rPr>
        <w:t>Forney Corporation (Forney) is a global supplier of burners, igniters, dampers and controls for combustion processes in electric utility and industrial applications. Forney is headquartered in Addison, TX, and its manufacturing plant is in Monterrey, Mexico. Forney’s customers include power plants and industrial systems around the world.</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Joyce/Dayton Corp.</w:t>
      </w:r>
    </w:p>
    <w:p>
      <w:pPr>
        <w:spacing w:after="0" w:line="146" w:lineRule="exact"/>
        <w:rPr>
          <w:sz w:val="20"/>
          <w:szCs w:val="20"/>
          <w:color w:val="auto"/>
        </w:rPr>
      </w:pPr>
    </w:p>
    <w:p>
      <w:pPr>
        <w:jc w:val="both"/>
        <w:ind w:right="380"/>
        <w:spacing w:after="0"/>
        <w:rPr>
          <w:sz w:val="20"/>
          <w:szCs w:val="20"/>
          <w:color w:val="auto"/>
        </w:rPr>
      </w:pPr>
      <w:r>
        <w:rPr>
          <w:rFonts w:ascii="Arial" w:cs="Arial" w:eastAsia="Arial" w:hAnsi="Arial"/>
          <w:sz w:val="18"/>
          <w:szCs w:val="18"/>
          <w:color w:val="auto"/>
        </w:rPr>
        <w:t>Joyce/Dayton Corp. (Joyce/Dayton) is a leading manufacturer of screw jacks, linear actuators and related linear motion products and lifting systems in North America. Joyce/Dayton provides its lifting and positioning products to customers across a diverse range of industrial end markets, including renewable energy, metals and metalworking, oil and gas, satellite antennae and material handling sectors.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Group Dekko</w:t>
      </w:r>
    </w:p>
    <w:p>
      <w:pPr>
        <w:spacing w:after="0" w:line="146" w:lineRule="exact"/>
        <w:rPr>
          <w:sz w:val="20"/>
          <w:szCs w:val="20"/>
          <w:color w:val="auto"/>
        </w:rPr>
      </w:pPr>
    </w:p>
    <w:p>
      <w:pPr>
        <w:jc w:val="both"/>
        <w:ind w:right="480"/>
        <w:spacing w:after="0" w:line="234" w:lineRule="auto"/>
        <w:rPr>
          <w:sz w:val="20"/>
          <w:szCs w:val="20"/>
          <w:color w:val="auto"/>
        </w:rPr>
      </w:pPr>
      <w:r>
        <w:rPr>
          <w:rFonts w:ascii="Arial" w:cs="Arial" w:eastAsia="Arial" w:hAnsi="Arial"/>
          <w:sz w:val="18"/>
          <w:szCs w:val="18"/>
          <w:color w:val="auto"/>
        </w:rPr>
        <w:t>Group Dekko Inc. (Dekko) is an electrical solutions company that focuses on innovative power charging and data systems, industrial and commercial indoor lighting solutions and the manufacture of electrical components and assemblies for medical equipment, transportation, industrial and appliance products. Dekko, founded in 1952, is headquartered in Garrett, IN, and operates nine facilities in four states and Mexico. Dekko acquired Electri-Cable Assemblies in September 2016.</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CyberVista</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The Company launched CyberVista LLC in 2015. CyberVista develops cybersecurity training and workforce development education programs.</w:t>
      </w:r>
    </w:p>
    <w:p>
      <w:pPr>
        <w:spacing w:after="0" w:line="142"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Competition</w:t>
      </w:r>
    </w:p>
    <w:p>
      <w:pPr>
        <w:spacing w:after="0" w:line="146" w:lineRule="exact"/>
        <w:rPr>
          <w:sz w:val="20"/>
          <w:szCs w:val="20"/>
          <w:color w:val="auto"/>
        </w:rPr>
      </w:pPr>
    </w:p>
    <w:p>
      <w:pPr>
        <w:spacing w:after="0" w:line="228" w:lineRule="auto"/>
        <w:rPr>
          <w:sz w:val="20"/>
          <w:szCs w:val="20"/>
          <w:color w:val="auto"/>
        </w:rPr>
      </w:pPr>
      <w:r>
        <w:rPr>
          <w:rFonts w:ascii="Arial" w:cs="Arial" w:eastAsia="Arial" w:hAnsi="Arial"/>
          <w:sz w:val="18"/>
          <w:szCs w:val="18"/>
          <w:color w:val="auto"/>
        </w:rPr>
        <w:t>Kaplan’s businesses operate in fragmented and competitive markets. Kaplan University competes with both facilities-based and other distance-learning providers of similar educational services, including not-for-profit colleges and universities and for-profit businesses. PACE competes in each of its professional lines with other companies that provide preparation for exams required for professional licenses, certifications and designations. KTP competes with a variety of regional and national test preparation businesses, with individual tutors and with in-school preparation for standardized tests. Overseas, each of Kaplan’s businesses competes with other for-profit companies and, in certain instances, with government-supported schools and institutions that provide similar training and educational programs. Students choose among providers based on program offerings, convenience, quality of instruction, reputation, placement rates, student services and cost.</w:t>
      </w:r>
    </w:p>
    <w:p>
      <w:pPr>
        <w:spacing w:after="0" w:line="109" w:lineRule="exact"/>
        <w:rPr>
          <w:sz w:val="20"/>
          <w:szCs w:val="20"/>
          <w:color w:val="auto"/>
        </w:rPr>
      </w:pPr>
    </w:p>
    <w:p>
      <w:pPr>
        <w:ind w:right="240"/>
        <w:spacing w:after="0" w:line="227" w:lineRule="auto"/>
        <w:rPr>
          <w:sz w:val="20"/>
          <w:szCs w:val="20"/>
          <w:color w:val="auto"/>
        </w:rPr>
      </w:pPr>
      <w:r>
        <w:rPr>
          <w:rFonts w:ascii="Arial" w:cs="Arial" w:eastAsia="Arial" w:hAnsi="Arial"/>
          <w:sz w:val="18"/>
          <w:szCs w:val="18"/>
          <w:color w:val="auto"/>
        </w:rPr>
        <w:t>GMG competes for audiences and advertising revenues with television and radio stations, cable systems and video services offered by telephone companies serving the same or nearby areas; with DBS services; and, to a lesser degree, with other media, such as newspapers and magazines. Cable systems operate in substantially all of the areas served by the Company’s television stations, where they compete for television viewers by importing out-of-market television signals; by distributing pay-cable, advertiser-supported and other programming that is originated for cable systems; and by offering movies and other programming on a pay-per-view basis. In addition, DBS services provide nationwide distribution of television programming, including pay-per-view programming and programming packages unique to DBS, using digital transmission technologies. The Company’s television stations may also become subject to increased competition from low-power television stations, wireless cable services and satellite master antenna systems, which can carry pay-cable and similar program material.</w:t>
      </w:r>
    </w:p>
    <w:p>
      <w:pPr>
        <w:spacing w:after="0" w:line="108" w:lineRule="exact"/>
        <w:rPr>
          <w:sz w:val="20"/>
          <w:szCs w:val="20"/>
          <w:color w:val="auto"/>
        </w:rPr>
      </w:pPr>
    </w:p>
    <w:p>
      <w:pPr>
        <w:ind w:right="40"/>
        <w:spacing w:after="0" w:line="229" w:lineRule="auto"/>
        <w:rPr>
          <w:sz w:val="20"/>
          <w:szCs w:val="20"/>
          <w:color w:val="auto"/>
        </w:rPr>
      </w:pPr>
      <w:r>
        <w:rPr>
          <w:rFonts w:ascii="Arial" w:cs="Arial" w:eastAsia="Arial" w:hAnsi="Arial"/>
          <w:sz w:val="18"/>
          <w:szCs w:val="18"/>
          <w:color w:val="auto"/>
        </w:rPr>
        <w:t>Competition also continues to increase from established and emerging online distribution platforms. Movies and television programming increasingly are available on an on-demand basis through a variety of online platforms, which include free access on the websites of the major TV networks, ad-supported viewing on platforms such as Hulu, and subscription-based access through services such as Netflix. In addition, online-only subscription services offering live television are being launched both by traditional pay-TV competitors (such as DISH and DirecTV) and new entrants (such as Sony). Competition from these various platforms could adversely affect the viewership of the Company’s television stations and/or the Company’s strategic position in negotiations with pay-TV services.</w:t>
      </w:r>
    </w:p>
    <w:p>
      <w:pPr>
        <w:spacing w:after="0" w:line="200" w:lineRule="exact"/>
        <w:rPr>
          <w:sz w:val="20"/>
          <w:szCs w:val="20"/>
          <w:color w:val="auto"/>
        </w:rPr>
      </w:pPr>
    </w:p>
    <w:p>
      <w:pPr>
        <w:spacing w:after="0" w:line="27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724" w:right="259" w:bottom="1440" w:gutter="0" w:footer="0" w:header="0"/>
        </w:sectPr>
      </w:pPr>
    </w:p>
    <w:bookmarkStart w:id="20" w:name="page21"/>
    <w:bookmarkEnd w:id="20"/>
    <w:p>
      <w:pPr>
        <w:spacing w:after="0"/>
        <w:rPr>
          <w:sz w:val="20"/>
          <w:szCs w:val="20"/>
          <w:color w:val="auto"/>
        </w:rPr>
      </w:pPr>
      <w:r>
        <w:rPr>
          <w:rFonts w:ascii="Arial" w:cs="Arial" w:eastAsia="Arial" w:hAnsi="Arial"/>
          <w:sz w:val="18"/>
          <w:szCs w:val="18"/>
          <w:color w:val="auto"/>
        </w:rPr>
        <w:t>The home health and hospice industries are extremely competitive and fragmented, consisting of both for-profit and non-profit companies.</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Celtic and Residential compete primarily with privately-owned and hospital-operated home health and hospice service providers.</w:t>
      </w:r>
    </w:p>
    <w:p>
      <w:pPr>
        <w:spacing w:after="0" w:line="120" w:lineRule="exact"/>
        <w:rPr>
          <w:sz w:val="20"/>
          <w:szCs w:val="20"/>
          <w:color w:val="auto"/>
        </w:rPr>
      </w:pPr>
    </w:p>
    <w:p>
      <w:pPr>
        <w:ind w:left="4920"/>
        <w:spacing w:after="0"/>
        <w:rPr>
          <w:sz w:val="20"/>
          <w:szCs w:val="20"/>
          <w:color w:val="auto"/>
        </w:rPr>
      </w:pPr>
      <w:r>
        <w:rPr>
          <w:rFonts w:ascii="Arial" w:cs="Arial" w:eastAsia="Arial" w:hAnsi="Arial"/>
          <w:sz w:val="18"/>
          <w:szCs w:val="18"/>
          <w:b w:val="1"/>
          <w:bCs w:val="1"/>
          <w:color w:val="auto"/>
        </w:rPr>
        <w:t>Executive Officers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The executive officers of the Company, each of whom is elected annually by the Board of Directors, are as follows:</w:t>
      </w:r>
    </w:p>
    <w:p>
      <w:pPr>
        <w:spacing w:after="0" w:line="144" w:lineRule="exact"/>
        <w:rPr>
          <w:sz w:val="20"/>
          <w:szCs w:val="20"/>
          <w:color w:val="auto"/>
        </w:rPr>
      </w:pPr>
    </w:p>
    <w:p>
      <w:pPr>
        <w:spacing w:after="0" w:line="234" w:lineRule="auto"/>
        <w:rPr>
          <w:sz w:val="20"/>
          <w:szCs w:val="20"/>
          <w:color w:val="auto"/>
        </w:rPr>
      </w:pPr>
      <w:r>
        <w:rPr>
          <w:rFonts w:ascii="Arial" w:cs="Arial" w:eastAsia="Arial" w:hAnsi="Arial"/>
          <w:sz w:val="18"/>
          <w:szCs w:val="18"/>
          <w:color w:val="auto"/>
        </w:rPr>
        <w:t xml:space="preserve">Donald E. Graham, age 71, has been Chairman of the Board of the Company since September 1993 and served as Chief Executive Officer of the Company from May 1991 until November 2015. Mr. Graham served as President of the Company from May 1991 until September 1993 and prior to that had been a Vice President of the Company for more than five years. Mr. Graham also served as Publisher of the Washington Post (the </w:t>
      </w:r>
      <w:r>
        <w:rPr>
          <w:rFonts w:ascii="Arial" w:cs="Arial" w:eastAsia="Arial" w:hAnsi="Arial"/>
          <w:sz w:val="18"/>
          <w:szCs w:val="18"/>
          <w:i w:val="1"/>
          <w:iCs w:val="1"/>
          <w:color w:val="auto"/>
        </w:rPr>
        <w:t>Post)</w:t>
      </w:r>
      <w:r>
        <w:rPr>
          <w:rFonts w:ascii="Arial" w:cs="Arial" w:eastAsia="Arial" w:hAnsi="Arial"/>
          <w:sz w:val="18"/>
          <w:szCs w:val="18"/>
          <w:color w:val="auto"/>
        </w:rPr>
        <w:t xml:space="preserve"> from 1979 until September 2000 and as Chairman of the </w:t>
      </w:r>
      <w:r>
        <w:rPr>
          <w:rFonts w:ascii="Arial" w:cs="Arial" w:eastAsia="Arial" w:hAnsi="Arial"/>
          <w:sz w:val="18"/>
          <w:szCs w:val="18"/>
          <w:i w:val="1"/>
          <w:iCs w:val="1"/>
          <w:color w:val="auto"/>
        </w:rPr>
        <w:t>Post</w:t>
      </w:r>
      <w:r>
        <w:rPr>
          <w:rFonts w:ascii="Arial" w:cs="Arial" w:eastAsia="Arial" w:hAnsi="Arial"/>
          <w:sz w:val="18"/>
          <w:szCs w:val="18"/>
          <w:color w:val="auto"/>
        </w:rPr>
        <w:t xml:space="preserve"> from September 2000 to February 2008.</w:t>
      </w:r>
    </w:p>
    <w:p>
      <w:pPr>
        <w:spacing w:after="0" w:line="111" w:lineRule="exact"/>
        <w:rPr>
          <w:sz w:val="20"/>
          <w:szCs w:val="20"/>
          <w:color w:val="auto"/>
        </w:rPr>
      </w:pPr>
    </w:p>
    <w:p>
      <w:pPr>
        <w:ind w:right="40"/>
        <w:spacing w:after="0" w:line="234" w:lineRule="auto"/>
        <w:rPr>
          <w:sz w:val="20"/>
          <w:szCs w:val="20"/>
          <w:color w:val="auto"/>
        </w:rPr>
      </w:pPr>
      <w:r>
        <w:rPr>
          <w:rFonts w:ascii="Arial" w:cs="Arial" w:eastAsia="Arial" w:hAnsi="Arial"/>
          <w:sz w:val="18"/>
          <w:szCs w:val="18"/>
          <w:color w:val="333333"/>
        </w:rPr>
        <w:t xml:space="preserve">Timothy J. O’Shaughnessy, age 35, became Chief Executive Officer in November 2015. From November 2014 until November 2015, he served as President of the Company. He was elected to the Board of Directors in November 2014. From 2007 to August 2014, Mr. O’Shaughnessy served as chief executive officer of LivingSocial, an </w:t>
      </w:r>
      <w:r>
        <w:rPr>
          <w:rFonts w:ascii="Arial" w:cs="Arial" w:eastAsia="Arial" w:hAnsi="Arial"/>
          <w:sz w:val="18"/>
          <w:szCs w:val="18"/>
          <w:color w:val="000000"/>
        </w:rPr>
        <w:t>e-commerce and marketing company that</w:t>
      </w:r>
      <w:r>
        <w:rPr>
          <w:rFonts w:ascii="Arial" w:cs="Arial" w:eastAsia="Arial" w:hAnsi="Arial"/>
          <w:sz w:val="18"/>
          <w:szCs w:val="18"/>
          <w:color w:val="333333"/>
        </w:rPr>
        <w:t xml:space="preserve"> he co-founded in 2007. Mr. O’Shaughnessy is the son-in-law of Donald E. Graham, Chairman of the Company.</w:t>
      </w:r>
    </w:p>
    <w:p>
      <w:pPr>
        <w:spacing w:after="0" w:line="111" w:lineRule="exact"/>
        <w:rPr>
          <w:sz w:val="20"/>
          <w:szCs w:val="20"/>
          <w:color w:val="auto"/>
        </w:rPr>
      </w:pPr>
    </w:p>
    <w:p>
      <w:pPr>
        <w:ind w:right="120"/>
        <w:spacing w:after="0" w:line="231" w:lineRule="auto"/>
        <w:rPr>
          <w:sz w:val="20"/>
          <w:szCs w:val="20"/>
          <w:color w:val="auto"/>
        </w:rPr>
      </w:pPr>
      <w:r>
        <w:rPr>
          <w:rFonts w:ascii="Arial" w:cs="Arial" w:eastAsia="Arial" w:hAnsi="Arial"/>
          <w:sz w:val="18"/>
          <w:szCs w:val="18"/>
          <w:color w:val="auto"/>
        </w:rPr>
        <w:t>Hal S. Jones, age 64, became Chief Financial Officer of the Company in January 2009 and Senior Vice President–Finance of the Company in November 2008. In December 2016, the Company announced Mr. Jones’ retirement effective March 31, 2017. Prior to becoming Senior Vice President–Finance, Mr. Jones had been Chief Executive Officer of Kaplan Professional, responsible for Kaplan’s professional businesses in financial services, real estate, technology and engineering in the U.S. and the U.K. Mr. Jones has spent 26 years at the Company and Kaplan, serving in a variety of senior management positions with a focus on finance, auditing and accounting.</w:t>
      </w:r>
    </w:p>
    <w:p>
      <w:pPr>
        <w:spacing w:after="0" w:line="111" w:lineRule="exact"/>
        <w:rPr>
          <w:sz w:val="20"/>
          <w:szCs w:val="20"/>
          <w:color w:val="auto"/>
        </w:rPr>
      </w:pPr>
    </w:p>
    <w:p>
      <w:pPr>
        <w:ind w:right="260"/>
        <w:spacing w:after="0"/>
        <w:rPr>
          <w:sz w:val="20"/>
          <w:szCs w:val="20"/>
          <w:color w:val="auto"/>
        </w:rPr>
      </w:pPr>
      <w:r>
        <w:rPr>
          <w:rFonts w:ascii="Arial" w:cs="Arial" w:eastAsia="Arial" w:hAnsi="Arial"/>
          <w:sz w:val="18"/>
          <w:szCs w:val="18"/>
          <w:color w:val="auto"/>
        </w:rPr>
        <w:t>Wallace R. Cooney, age 54, became Vice President–Finance and Chief Accounting Officer of the Company in June 2008. As previously announced, Mr. Cooney will succeed Mr. Jones as Chief Financial Officer effective April 1, 2017. Mr. Cooney joined the Company in 2001 as Controller and prior to that had been with Gannett Co., Inc. and Price Waterhouse LLP.</w:t>
      </w:r>
    </w:p>
    <w:p>
      <w:pPr>
        <w:spacing w:after="0" w:line="108" w:lineRule="exact"/>
        <w:rPr>
          <w:sz w:val="20"/>
          <w:szCs w:val="20"/>
          <w:color w:val="auto"/>
        </w:rPr>
      </w:pPr>
    </w:p>
    <w:p>
      <w:pPr>
        <w:ind w:right="40"/>
        <w:spacing w:after="0"/>
        <w:rPr>
          <w:sz w:val="20"/>
          <w:szCs w:val="20"/>
          <w:color w:val="auto"/>
        </w:rPr>
      </w:pPr>
      <w:r>
        <w:rPr>
          <w:rFonts w:ascii="Arial" w:cs="Arial" w:eastAsia="Arial" w:hAnsi="Arial"/>
          <w:sz w:val="18"/>
          <w:szCs w:val="18"/>
          <w:color w:val="auto"/>
        </w:rPr>
        <w:t>Denise Demeter, age 56, became Vice President–Chief Human Resources Officer of the Company in September 2014. Ms. Demeter joined the Company in 1986 and has served in a variety of roles, including Vice President, Human Resources, and Senior Director, Pension &amp; Savings Plans.</w:t>
      </w:r>
    </w:p>
    <w:p>
      <w:pPr>
        <w:spacing w:after="0" w:line="108" w:lineRule="exact"/>
        <w:rPr>
          <w:sz w:val="20"/>
          <w:szCs w:val="20"/>
          <w:color w:val="auto"/>
        </w:rPr>
      </w:pPr>
    </w:p>
    <w:p>
      <w:pPr>
        <w:ind w:right="560"/>
        <w:spacing w:after="0"/>
        <w:rPr>
          <w:sz w:val="20"/>
          <w:szCs w:val="20"/>
          <w:color w:val="auto"/>
        </w:rPr>
      </w:pPr>
      <w:r>
        <w:rPr>
          <w:rFonts w:ascii="Arial" w:cs="Arial" w:eastAsia="Arial" w:hAnsi="Arial"/>
          <w:sz w:val="18"/>
          <w:szCs w:val="18"/>
          <w:color w:val="auto"/>
        </w:rPr>
        <w:t>Jacob M. Maas, age 40, became Senior Vice President–Planning and Development of the Company in October 2015. Prior to joining the Company, he served as executive vice president of operations and head of corporate development at LivingSocial, an e-commerce and marketing company that he joined as chief financial officer in 2008.</w:t>
      </w:r>
    </w:p>
    <w:p>
      <w:pPr>
        <w:spacing w:after="0" w:line="108" w:lineRule="exact"/>
        <w:rPr>
          <w:sz w:val="20"/>
          <w:szCs w:val="20"/>
          <w:color w:val="auto"/>
        </w:rPr>
      </w:pPr>
    </w:p>
    <w:p>
      <w:pPr>
        <w:ind w:right="100"/>
        <w:spacing w:after="0" w:line="260" w:lineRule="auto"/>
        <w:rPr>
          <w:sz w:val="20"/>
          <w:szCs w:val="20"/>
          <w:color w:val="auto"/>
        </w:rPr>
      </w:pPr>
      <w:r>
        <w:rPr>
          <w:rFonts w:ascii="Arial" w:cs="Arial" w:eastAsia="Arial" w:hAnsi="Arial"/>
          <w:sz w:val="18"/>
          <w:szCs w:val="18"/>
          <w:color w:val="auto"/>
        </w:rPr>
        <w:t>Nicole M. Maddrey, age 52, became Senior Vice President, General Counsel and Secretary of the Company in April 2015. Ms. Maddrey joined the Company in 2007 as Associate General Counsel.</w:t>
      </w:r>
    </w:p>
    <w:p>
      <w:pPr>
        <w:spacing w:after="0" w:line="92" w:lineRule="exact"/>
        <w:rPr>
          <w:sz w:val="20"/>
          <w:szCs w:val="20"/>
          <w:color w:val="auto"/>
        </w:rPr>
      </w:pPr>
    </w:p>
    <w:p>
      <w:pPr>
        <w:ind w:right="180"/>
        <w:spacing w:after="0" w:line="234" w:lineRule="auto"/>
        <w:rPr>
          <w:sz w:val="20"/>
          <w:szCs w:val="20"/>
          <w:color w:val="auto"/>
        </w:rPr>
      </w:pPr>
      <w:r>
        <w:rPr>
          <w:rFonts w:ascii="Arial" w:cs="Arial" w:eastAsia="Arial" w:hAnsi="Arial"/>
          <w:sz w:val="18"/>
          <w:szCs w:val="18"/>
          <w:color w:val="auto"/>
        </w:rPr>
        <w:t xml:space="preserve">Andrew S. Rosen, age 56, became Executive Vice President of the Company and Chairman of Kaplan, Inc. in April 2014 and Chief Executive Officer of Kaplan, Inc. in August 2015. Mr. Rosen has spent 31 years at the Company and its affiliates. He joined the Company in 1986 as a staff attorney with the </w:t>
      </w:r>
      <w:r>
        <w:rPr>
          <w:rFonts w:ascii="Arial" w:cs="Arial" w:eastAsia="Arial" w:hAnsi="Arial"/>
          <w:sz w:val="18"/>
          <w:szCs w:val="18"/>
          <w:i w:val="1"/>
          <w:iCs w:val="1"/>
          <w:color w:val="auto"/>
        </w:rPr>
        <w:t>Post</w:t>
      </w:r>
      <w:r>
        <w:rPr>
          <w:rFonts w:ascii="Arial" w:cs="Arial" w:eastAsia="Arial" w:hAnsi="Arial"/>
          <w:sz w:val="18"/>
          <w:szCs w:val="18"/>
          <w:color w:val="auto"/>
        </w:rPr>
        <w:t xml:space="preserve"> and later served as assistant counsel at Newsweek. He moved to Kaplan in 1992 and held numerous leadership positions there before being named CEO in November 2008.</w:t>
      </w:r>
    </w:p>
    <w:p>
      <w:pPr>
        <w:spacing w:after="0" w:line="109"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Employees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The Company and its subsidiaries employ approximately 11,300 people on a full-time basis.</w:t>
      </w:r>
    </w:p>
    <w:p>
      <w:pPr>
        <w:spacing w:after="0" w:line="144" w:lineRule="exact"/>
        <w:rPr>
          <w:sz w:val="20"/>
          <w:szCs w:val="20"/>
          <w:color w:val="auto"/>
        </w:rPr>
      </w:pPr>
    </w:p>
    <w:p>
      <w:pPr>
        <w:ind w:right="80"/>
        <w:spacing w:after="0"/>
        <w:rPr>
          <w:sz w:val="20"/>
          <w:szCs w:val="20"/>
          <w:color w:val="auto"/>
        </w:rPr>
      </w:pPr>
      <w:r>
        <w:rPr>
          <w:rFonts w:ascii="Arial" w:cs="Arial" w:eastAsia="Arial" w:hAnsi="Arial"/>
          <w:sz w:val="18"/>
          <w:szCs w:val="18"/>
          <w:color w:val="auto"/>
        </w:rPr>
        <w:t>Worldwide, Kaplan employs approximately 6,979 people on a full-time basis. Kaplan also employs substantial numbers of part-time employees who serve in instructional and administrative capacities. Kaplan’s part-time workforce is approximately 8,922 employees. Collectively, in the U.S., U.K. and Canada, 158 Kaplan employees are represented by a union.</w:t>
      </w:r>
    </w:p>
    <w:p>
      <w:pPr>
        <w:spacing w:after="0" w:line="108" w:lineRule="exact"/>
        <w:rPr>
          <w:sz w:val="20"/>
          <w:szCs w:val="20"/>
          <w:color w:val="auto"/>
        </w:rPr>
      </w:pPr>
    </w:p>
    <w:p>
      <w:pPr>
        <w:ind w:right="140"/>
        <w:spacing w:after="0"/>
        <w:rPr>
          <w:sz w:val="20"/>
          <w:szCs w:val="20"/>
          <w:color w:val="auto"/>
        </w:rPr>
      </w:pPr>
      <w:r>
        <w:rPr>
          <w:rFonts w:ascii="Arial" w:cs="Arial" w:eastAsia="Arial" w:hAnsi="Arial"/>
          <w:sz w:val="18"/>
          <w:szCs w:val="18"/>
          <w:color w:val="auto"/>
        </w:rPr>
        <w:t>GMG has approximately 859 full-time employees, of whom about 108 are represented by a union. Of the six collective-bargaining agreements covering union-represented employees, two have expired and are being renegotiated. Three collective-bargaining agreements will expire in 2017.</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The Slate Group, including Panoply, has approximately 171 employees, none of whom is represented by a union.</w:t>
      </w: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724" w:right="239" w:bottom="1440" w:gutter="0" w:footer="0" w:header="0"/>
        </w:sectPr>
      </w:pPr>
    </w:p>
    <w:bookmarkStart w:id="21" w:name="page22"/>
    <w:bookmarkEnd w:id="21"/>
    <w:p>
      <w:pPr>
        <w:ind w:right="580"/>
        <w:spacing w:after="0" w:line="260" w:lineRule="auto"/>
        <w:rPr>
          <w:sz w:val="20"/>
          <w:szCs w:val="20"/>
          <w:color w:val="auto"/>
        </w:rPr>
      </w:pPr>
      <w:r>
        <w:rPr>
          <w:rFonts w:ascii="Arial" w:cs="Arial" w:eastAsia="Arial" w:hAnsi="Arial"/>
          <w:sz w:val="18"/>
          <w:szCs w:val="18"/>
          <w:color w:val="auto"/>
        </w:rPr>
        <w:t>Graham Healthcare Group has approximately 1,229 full -time employees, of which Celtic has approximately 599 full-time employees and Residential has approximately 630 full-time employees, none of whom is represented by a union.</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color w:val="auto"/>
        </w:rPr>
        <w:t>Forney has approximately 167 full-time employees, of whom 61 are represented by a union.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Joyce/Dayton has approximately 145 full-time employees, none of whom is represented by a union.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SocialCode has approximately 304 full-time employees, none of whom is represented by a union.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Dekko has approximately 1,344 full-time employees, none of whom is represented by a union.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FP Group and CyberVista each employ fewer than 100 people. Approximately 17 FP Group employees are represented by a union.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The parent Company has approximately 64 full-time employees, none of whom is represented by a union.</w:t>
      </w:r>
    </w:p>
    <w:p>
      <w:pPr>
        <w:spacing w:after="0" w:line="142"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Forward-Looking Statements</w:t>
      </w:r>
    </w:p>
    <w:p>
      <w:pPr>
        <w:spacing w:after="0" w:line="146"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All public statements made by the Company and its representatives that are not statements of historical fact, including certain statements in this Annual Report on Form 10-K and elsewhere in the Company’s 2016 Annual Report to Stockholders, are “forward-looking statements” within the meaning of the Private Securities Litigation Reform Act of 1995. Forward-looking statements include comments about the Company’s business strategies and objectives, the prospects for growth in the Company’s various business operations and the Company’s future financial performance. As with any projection or forecast, forward-looking statements are subject to various risks and uncertainties, including the risks and uncertainties described in Item 1A of this Annual Report on Form 10-K, that could cause actual results or events to differ materially from those anticipated in such statements. Accordingly, undue reliance should not be placed on any forward-looking statement made by or on behalf of the Company. The Company assumes no obligation to update any forward-looking statement after the date on which such statement is made, even if new information subsequently becomes available.</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Available Information</w:t>
      </w:r>
    </w:p>
    <w:p>
      <w:pPr>
        <w:spacing w:after="0" w:line="146" w:lineRule="exact"/>
        <w:rPr>
          <w:sz w:val="20"/>
          <w:szCs w:val="20"/>
          <w:color w:val="auto"/>
        </w:rPr>
      </w:pPr>
    </w:p>
    <w:p>
      <w:pPr>
        <w:ind w:right="40"/>
        <w:spacing w:after="0" w:line="226" w:lineRule="auto"/>
        <w:rPr>
          <w:sz w:val="20"/>
          <w:szCs w:val="20"/>
          <w:color w:val="auto"/>
        </w:rPr>
      </w:pPr>
      <w:r>
        <w:rPr>
          <w:rFonts w:ascii="Arial" w:cs="Arial" w:eastAsia="Arial" w:hAnsi="Arial"/>
          <w:sz w:val="18"/>
          <w:szCs w:val="18"/>
          <w:color w:val="auto"/>
        </w:rPr>
        <w:t>The Company’s Internet address is www.ghco.com. The Company makes available free of charge through its website its Annual Report on Form 10-K, quarterly reports on Form 10-Q, current reports on Form 8-K, definitive proxy statements on Schedule 14A and amendments to those reports filed or furnished pursuant to Section 13(a) or 15(d) of the Securities Exchange Act of 1934 (Exchange Act) as soon as reasonably practicable after such documents are electronically filed with the Securities and Exchange Commission (SEC). In addition, the Company’s Certificate of Incorporation, its Corporate Governance Guidelines, the Charters of the Audit and Compensation Committees of the Company’s Board of Directors and the codes of conduct adopted by the Company and referred to in Item 10 of this Annual Report on Form 10-K are all available on the Company’s website; printed copies of such documents may be obtained by any stockholder upon written request to the Secretary, Graham Holdings Company at 1300 North 17th Street, Arlington, VA 22209. The contents of the Company’s website are not incorporated by reference into this Form 10-K and shall not be deemed “filed” under the Exchange Act.</w:t>
      </w:r>
    </w:p>
    <w:p>
      <w:pPr>
        <w:spacing w:after="0" w:line="110" w:lineRule="exact"/>
        <w:rPr>
          <w:sz w:val="20"/>
          <w:szCs w:val="20"/>
          <w:color w:val="auto"/>
        </w:rPr>
      </w:pPr>
    </w:p>
    <w:p>
      <w:pPr>
        <w:ind w:right="60"/>
        <w:spacing w:after="0" w:line="234" w:lineRule="auto"/>
        <w:rPr>
          <w:sz w:val="20"/>
          <w:szCs w:val="20"/>
          <w:color w:val="auto"/>
        </w:rPr>
      </w:pPr>
      <w:r>
        <w:rPr>
          <w:rFonts w:ascii="Arial" w:cs="Arial" w:eastAsia="Arial" w:hAnsi="Arial"/>
          <w:sz w:val="18"/>
          <w:szCs w:val="18"/>
          <w:color w:val="auto"/>
        </w:rPr>
        <w:t>The SEC website, www.sec.gov, contains the reports, proxy statements and information statements and other information regarding issuers that file electronically with the SEC. Also, the public may read and copy any materials that the Company files with the SEC at the SEC’s Public Reference Room at 100 F Street, NE, Washington, DC 20549. Information on the operation of the Public Reference Room may be obtained by calling the SEC at 1-800-SEC-0330.</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46" w:lineRule="exact"/>
        <w:rPr>
          <w:sz w:val="20"/>
          <w:szCs w:val="20"/>
          <w:color w:val="auto"/>
        </w:rPr>
      </w:pPr>
    </w:p>
    <w:p>
      <w:pPr>
        <w:ind w:right="140"/>
        <w:spacing w:after="0" w:line="246" w:lineRule="auto"/>
        <w:rPr>
          <w:sz w:val="20"/>
          <w:szCs w:val="20"/>
          <w:color w:val="auto"/>
        </w:rPr>
      </w:pPr>
      <w:r>
        <w:rPr>
          <w:rFonts w:ascii="Arial" w:cs="Arial" w:eastAsia="Arial" w:hAnsi="Arial"/>
          <w:sz w:val="17"/>
          <w:szCs w:val="17"/>
          <w:color w:val="auto"/>
        </w:rPr>
        <w:t>The Company faces a number of significant risks and uncertainties in connection with its operations. The most significant of these are described below. These risks and uncertainties may not be the only ones facing the Company. Additional risks and uncertainties not presently known, or currently deemed immaterial, may adversely affect the Company in the future. In addition to the other information included in this Annual Report on Form 10-K, investors should carefully consider the following risk factors. If any of the events or developments described below occurs, it could have a material adverse effect on the Company’s business, financial condition or results of operations.</w:t>
      </w:r>
    </w:p>
    <w:p>
      <w:pPr>
        <w:spacing w:after="0" w:line="104" w:lineRule="exact"/>
        <w:rPr>
          <w:sz w:val="20"/>
          <w:szCs w:val="20"/>
          <w:color w:val="auto"/>
        </w:rPr>
      </w:pPr>
    </w:p>
    <w:p>
      <w:pPr>
        <w:ind w:left="260" w:right="20" w:hanging="252"/>
        <w:spacing w:after="0" w:line="256" w:lineRule="auto"/>
        <w:tabs>
          <w:tab w:leader="none" w:pos="2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Failure to Comply With Statutory and Regulatory Requirements Could Result in Loss of Access to U.S. Federal Student Loans and Grants Under Title IV, a Requirement to Pay Fines or Monetary Liabilities or Other Sanctions</w:t>
      </w:r>
    </w:p>
    <w:p>
      <w:pPr>
        <w:spacing w:after="0" w:line="20" w:lineRule="exact"/>
        <w:rPr>
          <w:sz w:val="20"/>
          <w:szCs w:val="20"/>
          <w:color w:val="auto"/>
        </w:rPr>
      </w:pPr>
    </w:p>
    <w:p>
      <w:pPr>
        <w:ind w:right="440"/>
        <w:spacing w:after="0" w:line="260" w:lineRule="auto"/>
        <w:rPr>
          <w:sz w:val="20"/>
          <w:szCs w:val="20"/>
          <w:color w:val="auto"/>
        </w:rPr>
      </w:pPr>
      <w:r>
        <w:rPr>
          <w:rFonts w:ascii="Arial" w:cs="Arial" w:eastAsia="Arial" w:hAnsi="Arial"/>
          <w:sz w:val="18"/>
          <w:szCs w:val="18"/>
          <w:color w:val="auto"/>
        </w:rPr>
        <w:t>To maintain Title IV eligibility, each group of schools combined into an OPEID unit must comply with the extensive statutory and regulatory requirements of the Higher Education Act and other laws and accrediting standards relating</w:t>
      </w: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724" w:right="259" w:bottom="1440" w:gutter="0" w:footer="0" w:header="0"/>
        </w:sectPr>
      </w:pPr>
    </w:p>
    <w:bookmarkStart w:id="22" w:name="page23"/>
    <w:bookmarkEnd w:id="22"/>
    <w:p>
      <w:pPr>
        <w:spacing w:after="0" w:line="224" w:lineRule="auto"/>
        <w:rPr>
          <w:sz w:val="20"/>
          <w:szCs w:val="20"/>
          <w:color w:val="auto"/>
        </w:rPr>
      </w:pPr>
      <w:r>
        <w:rPr>
          <w:rFonts w:ascii="Arial" w:cs="Arial" w:eastAsia="Arial" w:hAnsi="Arial"/>
          <w:sz w:val="18"/>
          <w:szCs w:val="18"/>
          <w:color w:val="auto"/>
        </w:rPr>
        <w:t>to its financial aid management, educational programs, financial strength, facilities, recruiting practices, representations made by the school and various other matters. Failure to comply with these requirements could result in the loss or limitation of the eligibility of Kaplan University to participate in Title IV programs; a requirement to pay fines or to repay Title IV program funds; a denial or refusal by the ED to consider a school’s application for renewal of its certification to participate in the Title IV programs or for approval to add a new campus or educational program; a requirement to submit a letter of credit; the placement of the institution on the heightened cash-monitoring or reimbursement method of payment; the placement of the institution on provisional certification; the imposition of civil or criminal penalties; or other sanctions. On December 17, 2015, Kaplan University received notice from the ED that it had been placed on provisional certification status until September 30, 2018. During the period of provisional certification, Kaplan University must obtain prior ED approval to open a new location, add an educational program, acquire another school or make any other significant change. Provisional certification status carries fewer due process protections than full certification. As a result, the ED may withdraw an institution’s provisional certification more easily than if it is fully certified. Provisional certification does not otherwise limit access to Title IV program funds by students attending the institution.</w:t>
      </w:r>
    </w:p>
    <w:p>
      <w:pPr>
        <w:spacing w:after="0" w:line="117" w:lineRule="exact"/>
        <w:rPr>
          <w:sz w:val="20"/>
          <w:szCs w:val="20"/>
          <w:color w:val="auto"/>
        </w:rPr>
      </w:pPr>
    </w:p>
    <w:p>
      <w:pPr>
        <w:ind w:right="220"/>
        <w:spacing w:after="0" w:line="234" w:lineRule="auto"/>
        <w:rPr>
          <w:sz w:val="20"/>
          <w:szCs w:val="20"/>
          <w:color w:val="auto"/>
        </w:rPr>
      </w:pPr>
      <w:r>
        <w:rPr>
          <w:rFonts w:ascii="Arial" w:cs="Arial" w:eastAsia="Arial" w:hAnsi="Arial"/>
          <w:sz w:val="18"/>
          <w:szCs w:val="18"/>
          <w:color w:val="auto"/>
        </w:rPr>
        <w:t>No assurance can be given that Kaplan University programs currently participating in Title IV programs will maintain their Title IV eligibility, accreditation and state authorization in the future or that the ED might not successfully assert that one or more of such programs have previously failed to comply with Title IV requirements. The loss of Title IV eligibility by Kaplan University would have a material adverse effect on Kaplan’s operating results.</w:t>
      </w:r>
    </w:p>
    <w:p>
      <w:pPr>
        <w:spacing w:after="0" w:line="109" w:lineRule="exact"/>
        <w:rPr>
          <w:sz w:val="20"/>
          <w:szCs w:val="20"/>
          <w:color w:val="auto"/>
        </w:rPr>
      </w:pPr>
    </w:p>
    <w:p>
      <w:pPr>
        <w:ind w:left="260" w:right="200" w:hanging="252"/>
        <w:spacing w:after="0" w:line="256" w:lineRule="auto"/>
        <w:tabs>
          <w:tab w:leader="none" w:pos="2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Program Reviews, Audits, Investigations and Other Reviews of KHE Schools Could Result in Findings of Failure to Comply With Statutory and Regulatory Requirements</w:t>
      </w:r>
    </w:p>
    <w:p>
      <w:pPr>
        <w:spacing w:after="0" w:line="20" w:lineRule="exact"/>
        <w:rPr>
          <w:sz w:val="20"/>
          <w:szCs w:val="20"/>
          <w:color w:val="auto"/>
        </w:rPr>
      </w:pPr>
    </w:p>
    <w:p>
      <w:pPr>
        <w:ind w:right="40"/>
        <w:spacing w:after="0" w:line="225" w:lineRule="auto"/>
        <w:rPr>
          <w:sz w:val="20"/>
          <w:szCs w:val="20"/>
          <w:color w:val="auto"/>
        </w:rPr>
      </w:pPr>
      <w:r>
        <w:rPr>
          <w:rFonts w:ascii="Arial" w:cs="Arial" w:eastAsia="Arial" w:hAnsi="Arial"/>
          <w:sz w:val="18"/>
          <w:szCs w:val="18"/>
          <w:color w:val="auto"/>
        </w:rPr>
        <w:t>Kaplan University is subject to program reviews, audits, investigations and other compliance reviews conducted by various regulatory agencies and auditors, including, among others, the ED, the ED’s Office of the Inspector General, accrediting bodies and state and various other federal agencies, as well as annual audits by an independent certified public accountant of each OPEID unit’s compliance with Title IV statutory and regulatory requirements. These compliance reviews can result in findings of noncompliance with statutory and regulatory requirements that can, in turn, result in proceedings to impose fines, liabilities, civil or criminal penalties or other sanctions against the school, including loss or limitation of its eligibility to participate in Title IV programs or in other federal or state financial assistance programs. Certain former KHE schools are the subject of ongoing compliance reviews and lawsuits related to their compliance with statutory and regulatory requirements and may be subject to future compliance reviews or lawsuits. Although substantially all of the assets of KHE on-ground schools were sold on September 3, 2015, Kaplan retained liability for the pre-sale conduct of those schools, and there are outstanding program reviews at four of these former schools.</w:t>
      </w:r>
    </w:p>
    <w:p>
      <w:pPr>
        <w:spacing w:after="0" w:line="112" w:lineRule="exact"/>
        <w:rPr>
          <w:sz w:val="20"/>
          <w:szCs w:val="20"/>
          <w:color w:val="auto"/>
        </w:rPr>
      </w:pPr>
    </w:p>
    <w:p>
      <w:pPr>
        <w:ind w:right="200"/>
        <w:spacing w:after="0"/>
        <w:rPr>
          <w:sz w:val="20"/>
          <w:szCs w:val="20"/>
          <w:color w:val="auto"/>
        </w:rPr>
      </w:pPr>
      <w:r>
        <w:rPr>
          <w:rFonts w:ascii="Arial" w:cs="Arial" w:eastAsia="Arial" w:hAnsi="Arial"/>
          <w:sz w:val="18"/>
          <w:szCs w:val="18"/>
          <w:color w:val="auto"/>
        </w:rPr>
        <w:t>KHE schools have been, and may in the future be, subject to complaints and lawsuits by present or former students or employees or other people related to compliance with statutory, common law and regulatory requirements that, if successful, could result in monetary liabilities or fines or other sanctions.</w:t>
      </w:r>
    </w:p>
    <w:p>
      <w:pPr>
        <w:spacing w:after="0" w:line="106" w:lineRule="exact"/>
        <w:rPr>
          <w:sz w:val="20"/>
          <w:szCs w:val="20"/>
          <w:color w:val="auto"/>
        </w:rPr>
      </w:pPr>
    </w:p>
    <w:p>
      <w:pPr>
        <w:ind w:left="260" w:right="120" w:hanging="252"/>
        <w:spacing w:after="0" w:line="233" w:lineRule="auto"/>
        <w:tabs>
          <w:tab w:leader="none" w:pos="2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Reductions in the Amount of Funds Available to Students, Including Under Title IV Programs, in KHE Schools, Changes in the Terms on Which Such Funds Are Made Available or Loss or Limitation of Eligibility to Receive Such Funds Could Have a Material Adverse Effect on Kaplan’s Business and Operations</w:t>
      </w:r>
    </w:p>
    <w:p>
      <w:pPr>
        <w:spacing w:after="0" w:line="34" w:lineRule="exact"/>
        <w:rPr>
          <w:sz w:val="20"/>
          <w:szCs w:val="20"/>
          <w:color w:val="auto"/>
        </w:rPr>
      </w:pPr>
    </w:p>
    <w:p>
      <w:pPr>
        <w:ind w:right="160"/>
        <w:spacing w:after="0" w:line="229" w:lineRule="auto"/>
        <w:rPr>
          <w:sz w:val="20"/>
          <w:szCs w:val="20"/>
          <w:color w:val="auto"/>
        </w:rPr>
      </w:pPr>
      <w:r>
        <w:rPr>
          <w:rFonts w:ascii="Arial" w:cs="Arial" w:eastAsia="Arial" w:hAnsi="Arial"/>
          <w:sz w:val="18"/>
          <w:szCs w:val="18"/>
          <w:color w:val="auto"/>
        </w:rPr>
        <w:t>During the Company’s 2016 fiscal year, funds provided under the student financial aid programs created under Title IV accounted for approximately $437 million of the revenues of the schools in KHE. Any legislative, regulatory or other development that has the effect of materially reducing the amount of Title IV financial assistance or other funds available to the students of those schools would have a material adverse effect on Kaplan’s business and operations. In addition, any development that has the effect of making the terms on which Title IV financial assistance or other funds are available to students of those schools materially less attractive could have a material adverse effect on Kaplan’s business and operations.</w:t>
      </w:r>
    </w:p>
    <w:p>
      <w:pPr>
        <w:spacing w:after="0" w:line="110" w:lineRule="exact"/>
        <w:rPr>
          <w:sz w:val="20"/>
          <w:szCs w:val="20"/>
          <w:color w:val="auto"/>
        </w:rPr>
      </w:pPr>
    </w:p>
    <w:p>
      <w:pPr>
        <w:ind w:left="260" w:hanging="252"/>
        <w:spacing w:after="0"/>
        <w:tabs>
          <w:tab w:leader="none" w:pos="2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ED Rules Regarding Borrower Defense to Repayment Could Have a Material Adverse Effect on Kaplan's Business and Operations</w:t>
      </w:r>
    </w:p>
    <w:p>
      <w:pPr>
        <w:spacing w:after="0" w:line="79" w:lineRule="exact"/>
        <w:rPr>
          <w:sz w:val="20"/>
          <w:szCs w:val="20"/>
          <w:color w:val="auto"/>
        </w:rPr>
      </w:pPr>
    </w:p>
    <w:p>
      <w:pPr>
        <w:ind w:right="20"/>
        <w:spacing w:after="0" w:line="226" w:lineRule="auto"/>
        <w:rPr>
          <w:sz w:val="20"/>
          <w:szCs w:val="20"/>
          <w:color w:val="auto"/>
        </w:rPr>
      </w:pPr>
      <w:r>
        <w:rPr>
          <w:rFonts w:ascii="Arial" w:cs="Arial" w:eastAsia="Arial" w:hAnsi="Arial"/>
          <w:sz w:val="18"/>
          <w:szCs w:val="18"/>
          <w:color w:val="auto"/>
        </w:rPr>
        <w:t>On November 1, 2016, the ED issued final rules effective July 1, 2017, that expand the bases on which borrowers may obtain ED discharge of their federal financial aid loans and establish a process for the ED to commence a separate proceeding against the institution to recover the discharged amounts. The rules permit loan discharges based on substantial misrepresentations, breaches of contract, or favorable judgments against the school; in some cases, by classes of students as well as individual students. In addition, the final rules amend the ED’s financial responsibility regulations by, among other things, imposing two sets of triggers for determining whether the ED may require the institution to furnish the ED with a letter of credit or other form of acceptable financial protection and to accept other requirements the ED might impose. The rules also require schools not meeting a loan “repayment rate” threshold calculation to provide an ED-prepared warning to current and prospective students and to include the warning on its website and in promotional materials and advertisements. The rules also include new provisions related to arbitration and class action lawsuits, including prohibitions regarding an institution’s use of pre-dispute</w:t>
      </w:r>
    </w:p>
    <w:p>
      <w:pPr>
        <w:spacing w:after="0" w:line="200" w:lineRule="exact"/>
        <w:rPr>
          <w:sz w:val="20"/>
          <w:szCs w:val="20"/>
          <w:color w:val="auto"/>
        </w:rPr>
      </w:pPr>
    </w:p>
    <w:p>
      <w:pPr>
        <w:spacing w:after="0" w:line="2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724" w:right="259" w:bottom="1440" w:gutter="0" w:footer="0" w:header="0"/>
        </w:sectPr>
      </w:pPr>
    </w:p>
    <w:bookmarkStart w:id="23" w:name="page24"/>
    <w:bookmarkEnd w:id="23"/>
    <w:p>
      <w:pPr>
        <w:ind w:right="60"/>
        <w:spacing w:after="0" w:line="260" w:lineRule="auto"/>
        <w:rPr>
          <w:sz w:val="20"/>
          <w:szCs w:val="20"/>
          <w:color w:val="auto"/>
        </w:rPr>
      </w:pPr>
      <w:r>
        <w:rPr>
          <w:rFonts w:ascii="Arial" w:cs="Arial" w:eastAsia="Arial" w:hAnsi="Arial"/>
          <w:sz w:val="18"/>
          <w:szCs w:val="18"/>
          <w:color w:val="auto"/>
        </w:rPr>
        <w:t>arbitration agreements and class action waivers. The Company cannot predict how the ED will interpret and enforce the new borrower defense to repayment rules, however, the new rules could have a material adverse effect on Kaplan’s business and results of operations.</w:t>
      </w:r>
    </w:p>
    <w:p>
      <w:pPr>
        <w:spacing w:after="0" w:line="90" w:lineRule="exact"/>
        <w:rPr>
          <w:sz w:val="20"/>
          <w:szCs w:val="20"/>
          <w:color w:val="auto"/>
        </w:rPr>
      </w:pPr>
    </w:p>
    <w:p>
      <w:pPr>
        <w:ind w:left="260" w:hanging="252"/>
        <w:spacing w:after="0"/>
        <w:tabs>
          <w:tab w:leader="none" w:pos="2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Regulatory Changes Could Have a Material Adverse Effect on Kaplan’s Business and Operations</w:t>
      </w:r>
    </w:p>
    <w:p>
      <w:pPr>
        <w:spacing w:after="0" w:line="79" w:lineRule="exact"/>
        <w:rPr>
          <w:sz w:val="20"/>
          <w:szCs w:val="20"/>
          <w:color w:val="auto"/>
        </w:rPr>
      </w:pPr>
    </w:p>
    <w:p>
      <w:pPr>
        <w:ind w:right="80"/>
        <w:spacing w:after="0" w:line="231" w:lineRule="auto"/>
        <w:rPr>
          <w:sz w:val="20"/>
          <w:szCs w:val="20"/>
          <w:color w:val="auto"/>
        </w:rPr>
      </w:pPr>
      <w:r>
        <w:rPr>
          <w:rFonts w:ascii="Arial" w:cs="Arial" w:eastAsia="Arial" w:hAnsi="Arial"/>
          <w:sz w:val="18"/>
          <w:szCs w:val="18"/>
          <w:color w:val="auto"/>
        </w:rPr>
        <w:t>The implementation of new Title IV and other regulations have required and will require Kaplan to change its practices to comply with new requirements. These changes have increased and will continue to increase its administrative costs and overall risk. Changes to its practices or Kaplan’s inability to comply with the final regulations could have a material adverse effect on Kaplan’s business and results of operations. Moreover, the ED or other U.S. or international regulatory bodies could implement new regulations or amend existing regulations in a manner that could have a material adverse effect on Kaplan’s business and results of operations.</w:t>
      </w:r>
    </w:p>
    <w:p>
      <w:pPr>
        <w:spacing w:after="0" w:line="109" w:lineRule="exact"/>
        <w:rPr>
          <w:sz w:val="20"/>
          <w:szCs w:val="20"/>
          <w:color w:val="auto"/>
        </w:rPr>
      </w:pPr>
    </w:p>
    <w:p>
      <w:pPr>
        <w:ind w:left="260" w:right="740" w:hanging="252"/>
        <w:spacing w:after="0" w:line="256" w:lineRule="auto"/>
        <w:tabs>
          <w:tab w:leader="none" w:pos="2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Changes to the Regulations Regarding Incentive Compensation Make It Difficult for Kaplan to Attract Students and Retain Qualified Personnel and Add Compliance Risk</w:t>
      </w:r>
    </w:p>
    <w:p>
      <w:pPr>
        <w:spacing w:after="0" w:line="20" w:lineRule="exact"/>
        <w:rPr>
          <w:sz w:val="20"/>
          <w:szCs w:val="20"/>
          <w:color w:val="auto"/>
        </w:rPr>
      </w:pPr>
    </w:p>
    <w:p>
      <w:pPr>
        <w:ind w:right="60"/>
        <w:spacing w:after="0" w:line="224" w:lineRule="auto"/>
        <w:rPr>
          <w:sz w:val="20"/>
          <w:szCs w:val="20"/>
          <w:color w:val="auto"/>
        </w:rPr>
      </w:pPr>
      <w:r>
        <w:rPr>
          <w:rFonts w:ascii="Arial" w:cs="Arial" w:eastAsia="Arial" w:hAnsi="Arial"/>
          <w:sz w:val="18"/>
          <w:szCs w:val="18"/>
          <w:color w:val="auto"/>
        </w:rPr>
        <w:t>Under the incentive compensation rule, an institution participating in the Title IV programs may not provide any commission, bonus or other incentive payment to any person or entity engaged in any student recruiting or admission activities or in making decisions regarding the awarding of Title IV funds if such payment is based directly or indirectly on success in securing enrollments or financial aid. On July 1, 2011, regulations went into effect that amended the incentive compensation rule by reducing the scope of permissible payments under the rule and expanding the scope of payments and employees subject to the rule. KHE modified some of its compensation practices as a result of the revisions to the incentive compensation rule. Due to a lack of clear guidance from the ED, there is no assurance that these modifications will in all cases be found to be in compliance with the ED’s interpretation of the regulations. Additionally, these changes to compensation arrangements make it difficult to attract students and to provide adequate incentives to promote superior job performance and retain qualified personnel. The Company believes that this change in Kaplan’s approach to recruiting has adversely impacted, and will continue to adversely impact, Kaplan’s enrollment rates, operating costs, business and results of operations. The Company cannot predict how the ED will interpret and enforce all aspects of the revised incentive compensation rule in the future, and any changes in this regard could have a material adverse effect on Kaplan’s business and results of operations.</w:t>
      </w:r>
    </w:p>
    <w:p>
      <w:pPr>
        <w:spacing w:after="0" w:line="111" w:lineRule="exact"/>
        <w:rPr>
          <w:sz w:val="20"/>
          <w:szCs w:val="20"/>
          <w:color w:val="auto"/>
        </w:rPr>
      </w:pPr>
    </w:p>
    <w:p>
      <w:pPr>
        <w:ind w:left="260" w:right="180" w:hanging="252"/>
        <w:spacing w:after="0" w:line="256" w:lineRule="auto"/>
        <w:tabs>
          <w:tab w:leader="none" w:pos="26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ED Rules Regarding Gainful Employment Have Had and Could Continue to Have a Material Adverse Effect on Kaplan’s Business and Operations</w:t>
      </w:r>
    </w:p>
    <w:p>
      <w:pPr>
        <w:spacing w:after="0" w:line="20" w:lineRule="exact"/>
        <w:rPr>
          <w:sz w:val="20"/>
          <w:szCs w:val="20"/>
          <w:color w:val="auto"/>
        </w:rPr>
      </w:pPr>
    </w:p>
    <w:p>
      <w:pPr>
        <w:spacing w:after="0" w:line="222" w:lineRule="auto"/>
        <w:rPr>
          <w:sz w:val="20"/>
          <w:szCs w:val="20"/>
          <w:color w:val="auto"/>
        </w:rPr>
      </w:pPr>
      <w:r>
        <w:rPr>
          <w:rFonts w:ascii="Arial" w:cs="Arial" w:eastAsia="Arial" w:hAnsi="Arial"/>
          <w:sz w:val="18"/>
          <w:szCs w:val="18"/>
          <w:color w:val="auto"/>
        </w:rPr>
        <w:t>Under the Higher Education Act, certain education programs, including all programs offered by Kaplan University, are required to lead to gainful employment in a recognized occupation in order to be eligible to participate in the Title IV programs. The ED has defined the phrase “gainful employment” to mean employment with earnings high enough to meet specific student debt-to-income ratios. The ED tied an education program’s Title IV eligibility to whether the program meets that definition. These regulations are known as the “gainful employment” rules or “GE” rules. Under these regulations, the ED calculates two debt-to-earnings rates for each program subject to the GE regulations: an annual debt-to-earnings rate and a discretionary debt-to-earnings rate. Under the debt-to-earnings rates for Kaplan’s programs that were released in January 2017 for the 2014–2015 award year, which are the first rates to be issued under the GE rules, none of Kaplan University’s active programs currently accepting students failed the GE test. Kaplan University has five other programs that failed the GE test. Of these five programs, two have been discontinued, have no students and are no longer being offered, and the remaining three are still active but are not accepting new enrollments. The three active failing programs accounted for approximately $16.7 million in revenue in 2016. Kaplan University also has 16 programs in the warning zone status. Four of these programs are active and currently accepting students. These four programs accounted for approximately $71 million and $51.1 million in revenue for 2015 and for 2016, respectively. Of the remaining 12 programs in the warning zone, five have been discontinued, have no students and are no longer being offered, and seven of these programs are active but not currently accepting enrollments. The ED has stated that it has the ability to combine, for future GE debt-to-earnings calculations, any new programs that it determines to be “substantially similar” to other current or past programs. Kaplan University started a number of new programs after the effective date of the GE rules. If the ED determines that these new programs are substantially similar and combines the new programs with programs that are currently in the warning zone or that failed the GE test, eligibility of the new programs to participate in Title IV programs and revenues from such programs would be materially adversely affected.</w:t>
      </w:r>
    </w:p>
    <w:p>
      <w:pPr>
        <w:spacing w:after="0" w:line="119" w:lineRule="exact"/>
        <w:rPr>
          <w:sz w:val="20"/>
          <w:szCs w:val="20"/>
          <w:color w:val="auto"/>
        </w:rPr>
      </w:pPr>
    </w:p>
    <w:p>
      <w:pPr>
        <w:ind w:right="80"/>
        <w:spacing w:after="0" w:line="231" w:lineRule="auto"/>
        <w:rPr>
          <w:sz w:val="20"/>
          <w:szCs w:val="20"/>
          <w:color w:val="auto"/>
        </w:rPr>
      </w:pPr>
      <w:r>
        <w:rPr>
          <w:rFonts w:ascii="Arial" w:cs="Arial" w:eastAsia="Arial" w:hAnsi="Arial"/>
          <w:sz w:val="18"/>
          <w:szCs w:val="18"/>
          <w:color w:val="auto"/>
        </w:rPr>
        <w:t>The GE rules allow for an appeal of these rates if the institution can provide alternative earnings data for each appealed program showing an improvement in the GE rates and moving the program from fail to warning zone or from warning zone to pass. Kaplan University has appealed the rates for the 16 programs in the warning zone, including the four programs that are active and currently accepting students and the remaining 12 programs that are discontinued and not accepting students. Although none of five failing programs are active and accepting students, Kaplan University has appealed their rates as well. Kaplan University cannot predict the outcome of these appeals.</w:t>
      </w:r>
    </w:p>
    <w:p>
      <w:pPr>
        <w:spacing w:after="0" w:line="111" w:lineRule="exact"/>
        <w:rPr>
          <w:sz w:val="20"/>
          <w:szCs w:val="20"/>
          <w:color w:val="auto"/>
        </w:rPr>
      </w:pPr>
    </w:p>
    <w:p>
      <w:pPr>
        <w:ind w:right="260"/>
        <w:spacing w:after="0" w:line="260" w:lineRule="auto"/>
        <w:rPr>
          <w:sz w:val="20"/>
          <w:szCs w:val="20"/>
          <w:color w:val="auto"/>
        </w:rPr>
      </w:pPr>
      <w:r>
        <w:rPr>
          <w:rFonts w:ascii="Arial" w:cs="Arial" w:eastAsia="Arial" w:hAnsi="Arial"/>
          <w:sz w:val="18"/>
          <w:szCs w:val="18"/>
          <w:color w:val="auto"/>
        </w:rPr>
        <w:t>The ultimate outcome of future GE rates and their impact on Kaplan’s operations can not be predicted. The GE rules have caused Kaplan to eliminate or limit enrollments in certain educational programs at some of its schools;</w:t>
      </w:r>
    </w:p>
    <w:p>
      <w:pPr>
        <w:spacing w:after="0" w:line="200" w:lineRule="exact"/>
        <w:rPr>
          <w:sz w:val="20"/>
          <w:szCs w:val="20"/>
          <w:color w:val="auto"/>
        </w:rPr>
      </w:pPr>
    </w:p>
    <w:p>
      <w:pPr>
        <w:spacing w:after="0" w:line="2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724" w:right="259" w:bottom="1440" w:gutter="0" w:footer="0" w:header="0"/>
        </w:sectPr>
      </w:pPr>
    </w:p>
    <w:bookmarkStart w:id="24" w:name="page25"/>
    <w:bookmarkEnd w:id="24"/>
    <w:p>
      <w:pPr>
        <w:ind w:right="620"/>
        <w:spacing w:after="0" w:line="260" w:lineRule="auto"/>
        <w:rPr>
          <w:sz w:val="20"/>
          <w:szCs w:val="20"/>
          <w:color w:val="auto"/>
        </w:rPr>
      </w:pPr>
      <w:r>
        <w:rPr>
          <w:rFonts w:ascii="Arial" w:cs="Arial" w:eastAsia="Arial" w:hAnsi="Arial"/>
          <w:sz w:val="18"/>
          <w:szCs w:val="18"/>
          <w:color w:val="auto"/>
        </w:rPr>
        <w:t>may result in the loss of student access to Title IV programs; and has had and may continue to have a material adverse effect on KHE’s revenues, operating income and cash flows.</w:t>
      </w:r>
    </w:p>
    <w:p>
      <w:pPr>
        <w:spacing w:after="0" w:line="92" w:lineRule="exact"/>
        <w:rPr>
          <w:sz w:val="20"/>
          <w:szCs w:val="20"/>
          <w:color w:val="auto"/>
        </w:rPr>
      </w:pPr>
    </w:p>
    <w:p>
      <w:pPr>
        <w:jc w:val="both"/>
        <w:spacing w:after="0" w:line="225" w:lineRule="auto"/>
        <w:rPr>
          <w:sz w:val="20"/>
          <w:szCs w:val="20"/>
          <w:color w:val="auto"/>
        </w:rPr>
      </w:pPr>
      <w:r>
        <w:rPr>
          <w:rFonts w:ascii="Arial" w:cs="Arial" w:eastAsia="Arial" w:hAnsi="Arial"/>
          <w:sz w:val="18"/>
          <w:szCs w:val="18"/>
          <w:color w:val="auto"/>
        </w:rPr>
        <w:t>The regulations also contain requirements related to public disclosure of program information and outcomes, reporting data to the ED, including the debt-to-earnings rates, and certification requirements. On October 9, 2015, Kaplan University received a letter from the ED indicating that it had failed to report data on a significant number of programs that were listed as active in the ED’s system. The letter stated that until this issue is resolved, Kaplan University cannot start any new programs, and failure to resolve the issue could result in material administrative actions.</w:t>
      </w:r>
    </w:p>
    <w:p>
      <w:pPr>
        <w:spacing w:after="0" w:line="2" w:lineRule="exact"/>
        <w:rPr>
          <w:sz w:val="20"/>
          <w:szCs w:val="20"/>
          <w:color w:val="auto"/>
        </w:rPr>
      </w:pPr>
    </w:p>
    <w:p>
      <w:pPr>
        <w:ind w:right="480"/>
        <w:spacing w:after="0" w:line="237" w:lineRule="auto"/>
        <w:rPr>
          <w:sz w:val="20"/>
          <w:szCs w:val="20"/>
          <w:color w:val="auto"/>
        </w:rPr>
      </w:pPr>
      <w:r>
        <w:rPr>
          <w:rFonts w:ascii="Arial" w:cs="Arial" w:eastAsia="Arial" w:hAnsi="Arial"/>
          <w:sz w:val="18"/>
          <w:szCs w:val="18"/>
          <w:color w:val="auto"/>
        </w:rPr>
        <w:t>There is no assurance that the ED will accept Kaplan’s corrected data, will not find additional issues, or will not take further action against Kaplan University.</w:t>
      </w:r>
    </w:p>
    <w:p>
      <w:pPr>
        <w:spacing w:after="0" w:line="107" w:lineRule="exact"/>
        <w:rPr>
          <w:sz w:val="20"/>
          <w:szCs w:val="20"/>
          <w:color w:val="auto"/>
        </w:rPr>
      </w:pPr>
    </w:p>
    <w:p>
      <w:pPr>
        <w:ind w:left="260" w:right="140" w:hanging="252"/>
        <w:spacing w:after="0" w:line="233" w:lineRule="auto"/>
        <w:tabs>
          <w:tab w:leader="none" w:pos="26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Congressional Examination of For-Profit Education and Other Governmental Scrutiny by the ED and Other Federal and State Regulators Could Lead to Legislation or Other Governmental Action That May Materially and Adversely Affect Kaplan’s Business and Operations</w:t>
      </w:r>
    </w:p>
    <w:p>
      <w:pPr>
        <w:spacing w:after="0" w:line="34" w:lineRule="exact"/>
        <w:rPr>
          <w:sz w:val="20"/>
          <w:szCs w:val="20"/>
          <w:color w:val="auto"/>
        </w:rPr>
      </w:pPr>
    </w:p>
    <w:p>
      <w:pPr>
        <w:ind w:right="20"/>
        <w:spacing w:after="0" w:line="231" w:lineRule="auto"/>
        <w:rPr>
          <w:sz w:val="20"/>
          <w:szCs w:val="20"/>
          <w:color w:val="auto"/>
        </w:rPr>
      </w:pPr>
      <w:r>
        <w:rPr>
          <w:rFonts w:ascii="Arial" w:cs="Arial" w:eastAsia="Arial" w:hAnsi="Arial"/>
          <w:sz w:val="18"/>
          <w:szCs w:val="18"/>
          <w:color w:val="auto"/>
        </w:rPr>
        <w:t>There has been increased attention by Congress on the role that for-profit educational institutions play in higher education, including their participation in Title IV programs and tuition assistance programs for military service members attending for-profit colleges. Beginning in June 2010, the HELP Committee held a series of hearings to examine the for-profit education sector and requested information from various for-profit institutions, including KHE institutions. In July 2012, the majority staff of the HELP Committee issued a final report to conclude the review. The final report included observations and recommendations for Federal policy.</w:t>
      </w:r>
    </w:p>
    <w:p>
      <w:pPr>
        <w:spacing w:after="0" w:line="11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Other committees of Congress have also held hearings into, among other things, the standards and procedures of accrediting agencies, credit hours and program length and the portion of U.S. Federal student financial aid going to for-profit institutions. Several legislators have requested the U.S. Government Accountability Office to review and make recommendations regarding, among other things, student recruitment practices; educational quality; student outcomes; the sufficiency of integrity safeguards against waste, fraud and abuse in Title IV programs; and the percentage of proprietary institutions’ revenue coming from Title IV and other U.S. Federal funding sources. Congress is expected to consider reauthorization of the Higher Education Act in 2017, but the Company cannot predict if or when this process will be completed. This increased activity, and other current and future activity, may result in legislation, further rulemaking and other governmental actions affecting Kaplan’s participation in Title IV programs or the amount of student financial assistance for which Kaplan’s students are eligible. In addition, concerns generated by congressional or other activity, or negative media reports, may adversely affect enrollment in for-profit educational institutions.</w:t>
      </w:r>
    </w:p>
    <w:p>
      <w:pPr>
        <w:spacing w:after="0" w:line="110" w:lineRule="exact"/>
        <w:rPr>
          <w:sz w:val="20"/>
          <w:szCs w:val="20"/>
          <w:color w:val="auto"/>
        </w:rPr>
      </w:pPr>
    </w:p>
    <w:p>
      <w:pPr>
        <w:ind w:right="60"/>
        <w:spacing w:after="0" w:line="227" w:lineRule="auto"/>
        <w:rPr>
          <w:sz w:val="20"/>
          <w:szCs w:val="20"/>
          <w:color w:val="auto"/>
        </w:rPr>
      </w:pPr>
      <w:r>
        <w:rPr>
          <w:rFonts w:ascii="Arial" w:cs="Arial" w:eastAsia="Arial" w:hAnsi="Arial"/>
          <w:sz w:val="18"/>
          <w:szCs w:val="18"/>
          <w:color w:val="auto"/>
        </w:rPr>
        <w:t>The increased scrutiny of for-profit schools also has resulted in additional enforcement actions, investigations and lawsuits by the ED, other federal agencies, state Attorneys General and state licensing agencies. These actions and allegations have attracted significant negative media coverage. Recent enforcement actions have resulted in institutions being required to post substantial letters of credit, liabilities, restrictions and sanctions and, in some cases, have led to the loss of Title IV eligibility and closure of institutions. Allegations and enforcement actions against the overall postsecondary education sectors may impact general public perceptions of private-sector educational institutions, including Kaplan, in a negative manner. Negative media coverage regarding other educational institutions or regarding Kaplan directly could damage Kaplan’s reputation, reduce student demand for Kaplan programs or lead to increased regulatory scrutiny and could negatively impact Kaplan’s operating results.</w:t>
      </w:r>
    </w:p>
    <w:p>
      <w:pPr>
        <w:spacing w:after="0" w:line="108" w:lineRule="exact"/>
        <w:rPr>
          <w:sz w:val="20"/>
          <w:szCs w:val="20"/>
          <w:color w:val="auto"/>
        </w:rPr>
      </w:pPr>
    </w:p>
    <w:p>
      <w:pPr>
        <w:ind w:right="300"/>
        <w:spacing w:after="0" w:line="234" w:lineRule="auto"/>
        <w:rPr>
          <w:sz w:val="20"/>
          <w:szCs w:val="20"/>
          <w:color w:val="auto"/>
        </w:rPr>
      </w:pPr>
      <w:r>
        <w:rPr>
          <w:rFonts w:ascii="Arial" w:cs="Arial" w:eastAsia="Arial" w:hAnsi="Arial"/>
          <w:sz w:val="18"/>
          <w:szCs w:val="18"/>
          <w:color w:val="auto"/>
        </w:rPr>
        <w:t>Kaplan cannot predict the extent to which these activities could result in further investigations, legislation or rulemaking affecting its participation in Title IV programs, other governmental actions and/or actions by state agencies or legislators or by accreditors. If any laws or regulations are adopted that significantly limit Kaplan’s participation in Title IV programs or the amount of student financial aid for which Kaplan’s students are eligible, Kaplan’s results of operations and cash flows would be adversely and materially impacted.</w:t>
      </w:r>
    </w:p>
    <w:p>
      <w:pPr>
        <w:spacing w:after="0" w:line="109" w:lineRule="exact"/>
        <w:rPr>
          <w:sz w:val="20"/>
          <w:szCs w:val="20"/>
          <w:color w:val="auto"/>
        </w:rPr>
      </w:pPr>
    </w:p>
    <w:p>
      <w:pPr>
        <w:ind w:left="260" w:hanging="252"/>
        <w:spacing w:after="0"/>
        <w:tabs>
          <w:tab w:leader="none" w:pos="26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The Kaplan Commitment Is Expected to Continue to Impact Operating Results</w:t>
      </w:r>
    </w:p>
    <w:p>
      <w:pPr>
        <w:spacing w:after="0" w:line="79" w:lineRule="exact"/>
        <w:rPr>
          <w:sz w:val="20"/>
          <w:szCs w:val="20"/>
          <w:color w:val="auto"/>
        </w:rPr>
      </w:pPr>
    </w:p>
    <w:p>
      <w:pPr>
        <w:ind w:right="20"/>
        <w:spacing w:after="0" w:line="231" w:lineRule="auto"/>
        <w:rPr>
          <w:sz w:val="20"/>
          <w:szCs w:val="20"/>
          <w:color w:val="auto"/>
        </w:rPr>
      </w:pPr>
      <w:r>
        <w:rPr>
          <w:rFonts w:ascii="Arial" w:cs="Arial" w:eastAsia="Arial" w:hAnsi="Arial"/>
          <w:sz w:val="18"/>
          <w:szCs w:val="18"/>
          <w:color w:val="auto"/>
        </w:rPr>
        <w:t>In the fourth quarter of 2010, KHE phased in a program called the Kaplan Commitment. Under this program, new undergraduate students of Kaplan University enroll in classes for several weeks and assess whether their educational experience meets their needs and expectations before they incur any significant financial obligation. Students who choose to withdraw from the program during the risk-free period do not have to pay for the coursework. The Kaplan Commitment program and related initiatives have negatively impacted, and could continue to negatively impact, the future operations of KHE, including student enrollments and retention, tuition revenues, operating income and cash flow.</w:t>
      </w:r>
    </w:p>
    <w:p>
      <w:pPr>
        <w:spacing w:after="0" w:line="109" w:lineRule="exact"/>
        <w:rPr>
          <w:sz w:val="20"/>
          <w:szCs w:val="20"/>
          <w:color w:val="auto"/>
        </w:rPr>
      </w:pPr>
    </w:p>
    <w:p>
      <w:pPr>
        <w:ind w:left="260" w:hanging="252"/>
        <w:spacing w:after="0"/>
        <w:tabs>
          <w:tab w:leader="none" w:pos="26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Student Loan Defaults Could Result in Loss of Eligibility to Participate in Title IV Programs</w:t>
      </w:r>
    </w:p>
    <w:p>
      <w:pPr>
        <w:spacing w:after="0" w:line="79" w:lineRule="exact"/>
        <w:rPr>
          <w:sz w:val="20"/>
          <w:szCs w:val="20"/>
          <w:color w:val="auto"/>
        </w:rPr>
      </w:pPr>
    </w:p>
    <w:p>
      <w:pPr>
        <w:ind w:right="200"/>
        <w:spacing w:after="0" w:line="234" w:lineRule="auto"/>
        <w:rPr>
          <w:sz w:val="20"/>
          <w:szCs w:val="20"/>
          <w:color w:val="auto"/>
        </w:rPr>
      </w:pPr>
      <w:r>
        <w:rPr>
          <w:rFonts w:ascii="Arial" w:cs="Arial" w:eastAsia="Arial" w:hAnsi="Arial"/>
          <w:sz w:val="18"/>
          <w:szCs w:val="18"/>
          <w:color w:val="auto"/>
        </w:rPr>
        <w:t>A school may lose its eligibility to participate in Title IV programs if student defaults on the repayment of Title IV loans exceed specified rates, referred to as “cohort default rates.” The ED calculates a cohort default rate for each OPEID number. Kaplan University has one OPEID number. The schools in an OPEID number whose cohort default rate exceeds 40% for any single year lose their eligibility to participate in the Direct Loan programs for at least two</w:t>
      </w: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724" w:right="259" w:bottom="1440" w:gutter="0" w:footer="0" w:header="0"/>
        </w:sectPr>
      </w:pPr>
    </w:p>
    <w:bookmarkStart w:id="25" w:name="page26"/>
    <w:bookmarkEnd w:id="25"/>
    <w:p>
      <w:pPr>
        <w:ind w:right="20"/>
        <w:spacing w:after="0" w:line="228" w:lineRule="auto"/>
        <w:rPr>
          <w:sz w:val="20"/>
          <w:szCs w:val="20"/>
          <w:color w:val="auto"/>
        </w:rPr>
      </w:pPr>
      <w:r>
        <w:rPr>
          <w:rFonts w:ascii="Arial" w:cs="Arial" w:eastAsia="Arial" w:hAnsi="Arial"/>
          <w:sz w:val="18"/>
          <w:szCs w:val="18"/>
          <w:color w:val="auto"/>
        </w:rPr>
        <w:t>fiscal years, effective 30 days after notification from the ED. The schools in an OPEID number whose cohort default rate equals or exceeds 30% for three consecutive years lose their Title IV eligibility to participate in the Direct Loan and U.S. Federal Pell Grant programs effective 30 days after notification from the ED and for at least two fiscal years. The schools in an OPEID number whose cohort default rate equals or exceeds 30% in two of the three most recent fiscal years for which rates have been issued by the ED may be placed on provisional certification by the ED and could be required by the ED to submit a letter of credit under the borrower defense to repayment regulations. The loss of Title IV eligibility by Kaplan University due to cohort default rates that exceed specified rates would have a material adverse effect on Kaplan’s operating results.</w:t>
      </w:r>
    </w:p>
    <w:p>
      <w:pPr>
        <w:spacing w:after="0" w:line="107" w:lineRule="exact"/>
        <w:rPr>
          <w:sz w:val="20"/>
          <w:szCs w:val="20"/>
          <w:color w:val="auto"/>
        </w:rPr>
      </w:pPr>
    </w:p>
    <w:p>
      <w:pPr>
        <w:ind w:left="260" w:hanging="252"/>
        <w:spacing w:after="0"/>
        <w:tabs>
          <w:tab w:leader="none" w:pos="26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Title IV Revenues in Excess of U.S. Federally Set Percentage Could Lead to Loss of Eligibility to Participate in Title IV Programs</w:t>
      </w:r>
    </w:p>
    <w:p>
      <w:pPr>
        <w:spacing w:after="0" w:line="79" w:lineRule="exact"/>
        <w:rPr>
          <w:sz w:val="20"/>
          <w:szCs w:val="20"/>
          <w:color w:val="auto"/>
        </w:rPr>
      </w:pPr>
    </w:p>
    <w:p>
      <w:pPr>
        <w:ind w:right="60"/>
        <w:spacing w:after="0" w:line="226" w:lineRule="auto"/>
        <w:rPr>
          <w:sz w:val="20"/>
          <w:szCs w:val="20"/>
          <w:color w:val="auto"/>
        </w:rPr>
      </w:pPr>
      <w:r>
        <w:rPr>
          <w:rFonts w:ascii="Arial" w:cs="Arial" w:eastAsia="Arial" w:hAnsi="Arial"/>
          <w:sz w:val="18"/>
          <w:szCs w:val="18"/>
          <w:color w:val="auto"/>
        </w:rPr>
        <w:t>Under regulations referred to as the 90/10 rule, an institution could lose its eligibility to participate in Title IV programs if it derives more than 90% of its receipts from Title IV programs, as calculated on a cash basis in accordance with the Higher Education Act and applicable ED regulations, in each of two consecutive fiscal years. Any institution with Title IV receipts exceeding 90% for a single fiscal year would be placed on provisional certification and may be subject to other enforcement measures, including a potential requirement to submit to the ED a letter of credit under the borrower defense to repayment regulations that take effect on July 1, 2017. The enactment of the U.S. Federal Ensuring Continued Access to Student Loans Act of 2008 increased student loan limits and the maximum amount of Pell Grants, which resulted in an increase in the percentage of Kaplan University’s receipts from Title IV programs. These increases, and any future increases or changes in the 90/10 calculation formula or any ED interpretation of what revenue may be included in the calculation, make it more difficult for institutions to comply with the 90/10 rule.</w:t>
      </w:r>
    </w:p>
    <w:p>
      <w:pPr>
        <w:spacing w:after="0" w:line="110" w:lineRule="exact"/>
        <w:rPr>
          <w:sz w:val="20"/>
          <w:szCs w:val="20"/>
          <w:color w:val="auto"/>
        </w:rPr>
      </w:pPr>
    </w:p>
    <w:p>
      <w:pPr>
        <w:jc w:val="both"/>
        <w:ind w:right="140"/>
        <w:spacing w:after="0" w:line="234" w:lineRule="auto"/>
        <w:rPr>
          <w:sz w:val="20"/>
          <w:szCs w:val="20"/>
          <w:color w:val="auto"/>
        </w:rPr>
      </w:pPr>
      <w:r>
        <w:rPr>
          <w:rFonts w:ascii="Arial" w:cs="Arial" w:eastAsia="Arial" w:hAnsi="Arial"/>
          <w:sz w:val="18"/>
          <w:szCs w:val="18"/>
          <w:color w:val="auto"/>
        </w:rPr>
        <w:t>Kaplan has taken steps to ensure that revenue from programs acquired by Kaplan University is eligible to be counted in that campus</w:t>
      </w:r>
      <w:r>
        <w:rPr>
          <w:rFonts w:ascii="Arial" w:cs="Arial" w:eastAsia="Arial" w:hAnsi="Arial"/>
          <w:sz w:val="14"/>
          <w:szCs w:val="14"/>
          <w:b w:val="1"/>
          <w:bCs w:val="1"/>
          <w:color w:val="auto"/>
        </w:rPr>
        <w:t>’</w:t>
      </w:r>
      <w:r>
        <w:rPr>
          <w:rFonts w:ascii="Arial" w:cs="Arial" w:eastAsia="Arial" w:hAnsi="Arial"/>
          <w:sz w:val="18"/>
          <w:szCs w:val="18"/>
          <w:color w:val="auto"/>
        </w:rPr>
        <w:t>s 90/10 calculation. However, there can be no guarantee that the ED will not challenge the inclusion of revenue from any acquired program in Kaplan University’s 90/10 calculations or will not issue an interpretation of the 90/10 rule that would exclude such revenue from the calculation. There can be no guarantee that these measures will be adequate to prevent the 90/10 ratio at Kaplan University from exceeding 90% in the future.</w:t>
      </w:r>
    </w:p>
    <w:p>
      <w:pPr>
        <w:spacing w:after="0" w:line="111" w:lineRule="exact"/>
        <w:rPr>
          <w:sz w:val="20"/>
          <w:szCs w:val="20"/>
          <w:color w:val="auto"/>
        </w:rPr>
      </w:pPr>
    </w:p>
    <w:p>
      <w:pPr>
        <w:ind w:right="100"/>
        <w:spacing w:after="0"/>
        <w:rPr>
          <w:sz w:val="20"/>
          <w:szCs w:val="20"/>
          <w:color w:val="auto"/>
        </w:rPr>
      </w:pPr>
      <w:r>
        <w:rPr>
          <w:rFonts w:ascii="Arial" w:cs="Arial" w:eastAsia="Arial" w:hAnsi="Arial"/>
          <w:sz w:val="18"/>
          <w:szCs w:val="18"/>
          <w:color w:val="auto"/>
        </w:rPr>
        <w:t>In addition, certain legislators have proposed amendments to the Higher Education Act that would lower the threshold percentage in the 90/10 rule to 85%, treat non-Title IV federal funds as Title IV funds in the 90/10 calculation and make other refinements to the calculation. If these proposals or similar laws or regulations are adopted, they would make it more difficult for Kaplan University to comply with the 90/10 rule.</w:t>
      </w:r>
    </w:p>
    <w:p>
      <w:pPr>
        <w:spacing w:after="0" w:line="108" w:lineRule="exact"/>
        <w:rPr>
          <w:sz w:val="20"/>
          <w:szCs w:val="20"/>
          <w:color w:val="auto"/>
        </w:rPr>
      </w:pPr>
    </w:p>
    <w:p>
      <w:pPr>
        <w:ind w:right="760"/>
        <w:spacing w:after="0" w:line="260" w:lineRule="auto"/>
        <w:rPr>
          <w:sz w:val="20"/>
          <w:szCs w:val="20"/>
          <w:color w:val="auto"/>
        </w:rPr>
      </w:pPr>
      <w:r>
        <w:rPr>
          <w:rFonts w:ascii="Arial" w:cs="Arial" w:eastAsia="Arial" w:hAnsi="Arial"/>
          <w:sz w:val="18"/>
          <w:szCs w:val="18"/>
          <w:color w:val="auto"/>
        </w:rPr>
        <w:t>The loss of Title IV eligibility by Kaplan University due to a violation of the 90/10 rule would have a material adverse effect on Kaplan’s operating results.</w:t>
      </w:r>
    </w:p>
    <w:p>
      <w:pPr>
        <w:spacing w:after="0" w:line="90" w:lineRule="exact"/>
        <w:rPr>
          <w:sz w:val="20"/>
          <w:szCs w:val="20"/>
          <w:color w:val="auto"/>
        </w:rPr>
      </w:pPr>
    </w:p>
    <w:p>
      <w:pPr>
        <w:ind w:left="260" w:hanging="252"/>
        <w:spacing w:after="0"/>
        <w:tabs>
          <w:tab w:leader="none" w:pos="26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Failure to Maintain Institutional Accreditation Could Lead to Loss of Ability to Participate in Title IV Programs</w:t>
      </w:r>
    </w:p>
    <w:p>
      <w:pPr>
        <w:spacing w:after="0" w:line="79" w:lineRule="exact"/>
        <w:rPr>
          <w:sz w:val="20"/>
          <w:szCs w:val="20"/>
          <w:color w:val="auto"/>
        </w:rPr>
      </w:pPr>
    </w:p>
    <w:p>
      <w:pPr>
        <w:spacing w:after="0" w:line="229" w:lineRule="auto"/>
        <w:rPr>
          <w:sz w:val="20"/>
          <w:szCs w:val="20"/>
          <w:color w:val="auto"/>
        </w:rPr>
      </w:pPr>
      <w:r>
        <w:rPr>
          <w:rFonts w:ascii="Arial" w:cs="Arial" w:eastAsia="Arial" w:hAnsi="Arial"/>
          <w:sz w:val="18"/>
          <w:szCs w:val="18"/>
          <w:color w:val="auto"/>
        </w:rPr>
        <w:t>Kaplan University’s online university and all of its ground campuses are institutionally accredited by a regional accreditor recognized by the ED. Accreditation by an accrediting agency recognized by the ED is required for an institution to become and remain eligible to participate in Title IV programs. Kaplan University’s institutional accreditor conducts reviews from time to time for a variety of reasons. Failure to resolve any concerns that may arise during such reviews could result in a loss of accreditation at the school. The loss of accreditation would, among other things, render the affected school and programs ineligible to participate in Title IV programs and would have a material adverse effect on Kaplan’s business and operations.</w:t>
      </w:r>
    </w:p>
    <w:p>
      <w:pPr>
        <w:spacing w:after="0" w:line="110" w:lineRule="exact"/>
        <w:rPr>
          <w:sz w:val="20"/>
          <w:szCs w:val="20"/>
          <w:color w:val="auto"/>
        </w:rPr>
      </w:pPr>
    </w:p>
    <w:p>
      <w:pPr>
        <w:ind w:left="260" w:right="140" w:hanging="252"/>
        <w:spacing w:after="0" w:line="256" w:lineRule="auto"/>
        <w:tabs>
          <w:tab w:leader="none" w:pos="26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Failure to Maintain Programmatic Accreditation Could Lead to Loss of Ability to Provide Certain Education Programs and Failure to Obtain Programmatic Accreditation May Lead to Declines in Enrollments in Unaccredited Programs</w:t>
      </w:r>
    </w:p>
    <w:p>
      <w:pPr>
        <w:spacing w:after="0" w:line="20" w:lineRule="exact"/>
        <w:rPr>
          <w:sz w:val="20"/>
          <w:szCs w:val="20"/>
          <w:color w:val="auto"/>
        </w:rPr>
      </w:pPr>
    </w:p>
    <w:p>
      <w:pPr>
        <w:ind w:right="160"/>
        <w:spacing w:after="0" w:line="231" w:lineRule="auto"/>
        <w:rPr>
          <w:sz w:val="20"/>
          <w:szCs w:val="20"/>
          <w:color w:val="auto"/>
        </w:rPr>
      </w:pPr>
      <w:r>
        <w:rPr>
          <w:rFonts w:ascii="Arial" w:cs="Arial" w:eastAsia="Arial" w:hAnsi="Arial"/>
          <w:sz w:val="18"/>
          <w:szCs w:val="18"/>
          <w:color w:val="auto"/>
        </w:rPr>
        <w:t>Programmatic accreditation is the process through which specific programs are reviewed and approved by industry</w:t>
      </w:r>
      <w:r>
        <w:rPr>
          <w:rFonts w:ascii="Arial" w:cs="Arial" w:eastAsia="Arial" w:hAnsi="Arial"/>
          <w:sz w:val="18"/>
          <w:szCs w:val="18"/>
          <w:color w:val="1F497D"/>
        </w:rPr>
        <w:t>-</w:t>
      </w:r>
      <w:r>
        <w:rPr>
          <w:rFonts w:ascii="Arial" w:cs="Arial" w:eastAsia="Arial" w:hAnsi="Arial"/>
          <w:sz w:val="18"/>
          <w:szCs w:val="18"/>
          <w:color w:val="auto"/>
        </w:rPr>
        <w:t>specific and program</w:t>
      </w:r>
      <w:r>
        <w:rPr>
          <w:rFonts w:ascii="Arial" w:cs="Arial" w:eastAsia="Arial" w:hAnsi="Arial"/>
          <w:sz w:val="18"/>
          <w:szCs w:val="18"/>
          <w:color w:val="1F497D"/>
        </w:rPr>
        <w:t>-</w:t>
      </w:r>
      <w:r>
        <w:rPr>
          <w:rFonts w:ascii="Arial" w:cs="Arial" w:eastAsia="Arial" w:hAnsi="Arial"/>
          <w:sz w:val="18"/>
          <w:szCs w:val="18"/>
          <w:color w:val="auto"/>
        </w:rPr>
        <w:t>specific accrediting entities. Although programmatic accreditation is not generally necessary for Title IV eligibility, such accreditation may be required to allow students to sit for certain licensure exams or to work in a particular profession or career. Failure to obtain or maintain such programmatic accreditation may lead schools to discontinue programs that would not provide appropriate outcomes without that accreditation or may lead to a decline in enrollments in programs because of a perceived or real reduction in program value.</w:t>
      </w:r>
    </w:p>
    <w:p>
      <w:pPr>
        <w:spacing w:after="0" w:line="109" w:lineRule="exact"/>
        <w:rPr>
          <w:sz w:val="20"/>
          <w:szCs w:val="20"/>
          <w:color w:val="auto"/>
        </w:rPr>
      </w:pPr>
    </w:p>
    <w:p>
      <w:pPr>
        <w:ind w:left="260" w:right="320" w:hanging="252"/>
        <w:spacing w:after="0" w:line="256" w:lineRule="auto"/>
        <w:tabs>
          <w:tab w:leader="none" w:pos="26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Failure to Maintain State Authorizations Could Cause Loss of Ability to Operate and to Participate in Title IV Programs in Some States</w:t>
      </w:r>
    </w:p>
    <w:p>
      <w:pPr>
        <w:spacing w:after="0" w:line="20" w:lineRule="exact"/>
        <w:rPr>
          <w:sz w:val="20"/>
          <w:szCs w:val="20"/>
          <w:color w:val="auto"/>
        </w:rPr>
      </w:pPr>
    </w:p>
    <w:p>
      <w:pPr>
        <w:ind w:right="40"/>
        <w:spacing w:after="0" w:line="234" w:lineRule="auto"/>
        <w:rPr>
          <w:sz w:val="20"/>
          <w:szCs w:val="20"/>
          <w:color w:val="auto"/>
        </w:rPr>
      </w:pPr>
      <w:r>
        <w:rPr>
          <w:rFonts w:ascii="Arial" w:cs="Arial" w:eastAsia="Arial" w:hAnsi="Arial"/>
          <w:sz w:val="18"/>
          <w:szCs w:val="18"/>
          <w:color w:val="auto"/>
        </w:rPr>
        <w:t>Kaplan’s institutions and programs are subject to state-level regulation and oversight by state licensing agencies, whose approval is necessary to allow an institution to operate and grant degrees or diplomas in the state. Institutions that participate in Title IV programs must be legally authorized to operate in the state in which the institution is physically located. The loss of such authorization would preclude the institution from offering</w:t>
      </w:r>
    </w:p>
    <w:p>
      <w:pPr>
        <w:spacing w:after="0" w:line="200" w:lineRule="exact"/>
        <w:rPr>
          <w:sz w:val="20"/>
          <w:szCs w:val="20"/>
          <w:color w:val="auto"/>
        </w:rPr>
      </w:pPr>
    </w:p>
    <w:p>
      <w:pPr>
        <w:spacing w:after="0" w:line="27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724" w:right="259" w:bottom="1440" w:gutter="0" w:footer="0" w:header="0"/>
        </w:sectPr>
      </w:pPr>
    </w:p>
    <w:bookmarkStart w:id="26" w:name="page27"/>
    <w:bookmarkEnd w:id="26"/>
    <w:p>
      <w:pPr>
        <w:ind w:right="480"/>
        <w:spacing w:after="0"/>
        <w:rPr>
          <w:sz w:val="20"/>
          <w:szCs w:val="20"/>
          <w:color w:val="auto"/>
        </w:rPr>
      </w:pPr>
      <w:r>
        <w:rPr>
          <w:rFonts w:ascii="Arial" w:cs="Arial" w:eastAsia="Arial" w:hAnsi="Arial"/>
          <w:sz w:val="18"/>
          <w:szCs w:val="18"/>
          <w:color w:val="auto"/>
        </w:rPr>
        <w:t>postsecondary education and render students ineligible to participate in Title IV programs. Loss of authorization at campus locations or, in states that require it, for Kaplan University’s online programs would have a material adverse effect on Kaplan University’s business and operations.</w:t>
      </w:r>
    </w:p>
    <w:p>
      <w:pPr>
        <w:spacing w:after="0" w:line="108" w:lineRule="exact"/>
        <w:rPr>
          <w:sz w:val="20"/>
          <w:szCs w:val="20"/>
          <w:color w:val="auto"/>
        </w:rPr>
      </w:pPr>
    </w:p>
    <w:p>
      <w:pPr>
        <w:ind w:right="340"/>
        <w:spacing w:after="0" w:line="229" w:lineRule="auto"/>
        <w:rPr>
          <w:sz w:val="20"/>
          <w:szCs w:val="20"/>
          <w:color w:val="auto"/>
        </w:rPr>
      </w:pPr>
      <w:r>
        <w:rPr>
          <w:rFonts w:ascii="Arial" w:cs="Arial" w:eastAsia="Arial" w:hAnsi="Arial"/>
          <w:sz w:val="18"/>
          <w:szCs w:val="18"/>
          <w:color w:val="auto"/>
        </w:rPr>
        <w:t>Some states have sought to assert jurisdiction over online education institutions that offer education services to residents in the state or to institutions that advertise or recruit in the state, notwithstanding the lack of a physical location in the state. State regulatory requirements for online education vary among the states, are not well developed in many states, are imprecise or unclear in some states and are subject to change. If Kaplan University is found not to be in compliance with an applicable state regulation and a state seeks to restrict one or more of Kaplan University’s business activities within its boundaries, Kaplan University may not be able to recruit or enroll students in that state and may have to cease providing services and recruiting in that state.</w:t>
      </w:r>
    </w:p>
    <w:p>
      <w:pPr>
        <w:spacing w:after="0" w:line="112" w:lineRule="exact"/>
        <w:rPr>
          <w:sz w:val="20"/>
          <w:szCs w:val="20"/>
          <w:color w:val="auto"/>
        </w:rPr>
      </w:pPr>
    </w:p>
    <w:p>
      <w:pPr>
        <w:ind w:right="20"/>
        <w:spacing w:after="0" w:line="229" w:lineRule="auto"/>
        <w:rPr>
          <w:sz w:val="20"/>
          <w:szCs w:val="20"/>
          <w:color w:val="auto"/>
        </w:rPr>
      </w:pPr>
      <w:r>
        <w:rPr>
          <w:rFonts w:ascii="Arial" w:cs="Arial" w:eastAsia="Arial" w:hAnsi="Arial"/>
          <w:sz w:val="18"/>
          <w:szCs w:val="18"/>
          <w:color w:val="auto"/>
        </w:rPr>
        <w:t>ED regulations that went into effect on July 1, 2011, expanded the requirements for an institution to be considered legally authorized in the state in which it is physically located for Title IV purposes. In some cases, the regulations require states to revise their current requirements and/or to license schools in order for institutions to be deemed legally authorized in those states and, in turn, to participate in the Title IV programs. If the states do not amend their requirements where necessary and if schools do not receive approvals where necessary that comply with these requirements, the institution could be deemed to lack the state authorization necessary to participate in the Title IV programs, which would have a material adverse effect on Kaplan’s business and operations.</w:t>
      </w:r>
    </w:p>
    <w:p>
      <w:pPr>
        <w:spacing w:after="0" w:line="112" w:lineRule="exact"/>
        <w:rPr>
          <w:sz w:val="20"/>
          <w:szCs w:val="20"/>
          <w:color w:val="auto"/>
        </w:rPr>
      </w:pPr>
    </w:p>
    <w:p>
      <w:pPr>
        <w:spacing w:after="0" w:line="223" w:lineRule="auto"/>
        <w:rPr>
          <w:sz w:val="20"/>
          <w:szCs w:val="20"/>
          <w:color w:val="auto"/>
        </w:rPr>
      </w:pPr>
      <w:r>
        <w:rPr>
          <w:rFonts w:ascii="Arial" w:cs="Arial" w:eastAsia="Arial" w:hAnsi="Arial"/>
          <w:sz w:val="18"/>
          <w:szCs w:val="18"/>
          <w:color w:val="auto"/>
        </w:rPr>
        <w:t>On December 19, 2016, the ED issued final regulations regarding distance-education state authorization requirements that would require Kaplan University to be authorized in additional states, as well as regulations applicable to institutions with Title IV participating locations in a foreign country. Specifically, the regulations will require an institution that offers postsecondary education through distance education in a state in which the institution is not physically located, or in which the state determines that the institution is otherwise subject to the state’s jurisdiction, to meet the state’s authorization requirements for offering postsecondary distance education in that state. The regulations also will require the institution to document that there is a state process for review and appropriate action on complaints from enrolled students in each such state. In addition, the regulations will require the institution to provide public disclosures regarding various matters relating to its state authorization and to provide individualized disclosures to each prospective student regarding certain matters, including whether the student’s program does not meet licensure or certification prerequisites in the state in which the student resides. The regulations in certain circumstances consider an institution to be authorized in states that participate in a state authorization reciprocity agreement that covers the institution. The regulations are not scheduled to take effect until July 1, 2018. If Kaplan is unable to obtain the required approvals for distance-education programs by the effective date of the new regulations, then Kaplan students residing in the state for which approval was not obtained may be unable to receive Title IV funds, which could have a material adverse effect on Kaplan’s business and operations. Additionally, these rules may impact Concord’s ability to enroll students into its Juris Doctor program outside of California.</w:t>
      </w:r>
    </w:p>
    <w:p>
      <w:pPr>
        <w:spacing w:after="0" w:line="115" w:lineRule="exact"/>
        <w:rPr>
          <w:sz w:val="20"/>
          <w:szCs w:val="20"/>
          <w:color w:val="auto"/>
        </w:rPr>
      </w:pPr>
    </w:p>
    <w:p>
      <w:pPr>
        <w:ind w:left="260" w:right="380" w:hanging="252"/>
        <w:spacing w:after="0" w:line="256" w:lineRule="auto"/>
        <w:tabs>
          <w:tab w:leader="none" w:pos="26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Failure to Correctly Calculate or Timely Return Title IV Funds for Students Who Withdraw Prior to Completing Programs Could Result in a Requirement to Post a Letter of Credit or Other Sanctions</w:t>
      </w:r>
    </w:p>
    <w:p>
      <w:pPr>
        <w:spacing w:after="0" w:line="20" w:lineRule="exact"/>
        <w:rPr>
          <w:sz w:val="20"/>
          <w:szCs w:val="20"/>
          <w:color w:val="auto"/>
        </w:rPr>
      </w:pPr>
    </w:p>
    <w:p>
      <w:pPr>
        <w:ind w:right="40"/>
        <w:spacing w:after="0" w:line="228" w:lineRule="auto"/>
        <w:rPr>
          <w:sz w:val="20"/>
          <w:szCs w:val="20"/>
          <w:color w:val="auto"/>
        </w:rPr>
      </w:pPr>
      <w:r>
        <w:rPr>
          <w:rFonts w:ascii="Arial" w:cs="Arial" w:eastAsia="Arial" w:hAnsi="Arial"/>
          <w:sz w:val="18"/>
          <w:szCs w:val="18"/>
          <w:color w:val="auto"/>
        </w:rPr>
        <w:t>ED regulations require schools participating in Title IV programs to calculate correctly and return on a timely basis unearned Title IV funds disbursed to students who withdraw from a program of study prior to completion. These funds must be returned in a timely manner, generally within 45 days of the date the school determines that the student has withdrawn. Under ED regulations, failure to make timely returns of Title IV program funds for 5% or more of students sampled in a school’s annual compliance audit, or in a program review or OIG audit, could result in a requirement that the school post a letter of credit in an amount equal to 25% of its prior-year returns of Title IV program funds. If unearned funds are not properly calculated and returned in a timely manner, an institution may be subject to monetary liabilities, fines or other sanctions by the ED that could have a material adverse effect on Kaplan’s results of operations.</w:t>
      </w:r>
    </w:p>
    <w:p>
      <w:pPr>
        <w:spacing w:after="0" w:line="107" w:lineRule="exact"/>
        <w:rPr>
          <w:sz w:val="20"/>
          <w:szCs w:val="20"/>
          <w:color w:val="auto"/>
        </w:rPr>
      </w:pPr>
    </w:p>
    <w:p>
      <w:pPr>
        <w:ind w:left="260" w:right="520" w:hanging="252"/>
        <w:spacing w:after="0" w:line="256" w:lineRule="auto"/>
        <w:tabs>
          <w:tab w:leader="none" w:pos="26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Failure to Demonstrate Financial Responsibility Could Result in a Requirement to Submit Letters of Credit to the ED, Loss of Eligibility to Participate in Title IV Programs or Other Sanctions</w:t>
      </w:r>
    </w:p>
    <w:p>
      <w:pPr>
        <w:spacing w:after="0" w:line="20" w:lineRule="exact"/>
        <w:rPr>
          <w:sz w:val="20"/>
          <w:szCs w:val="20"/>
          <w:color w:val="auto"/>
        </w:rPr>
      </w:pPr>
    </w:p>
    <w:p>
      <w:pPr>
        <w:ind w:right="120"/>
        <w:spacing w:after="0" w:line="226" w:lineRule="auto"/>
        <w:rPr>
          <w:sz w:val="20"/>
          <w:szCs w:val="20"/>
          <w:color w:val="auto"/>
        </w:rPr>
      </w:pPr>
      <w:r>
        <w:rPr>
          <w:rFonts w:ascii="Arial" w:cs="Arial" w:eastAsia="Arial" w:hAnsi="Arial"/>
          <w:sz w:val="18"/>
          <w:szCs w:val="18"/>
          <w:color w:val="auto"/>
        </w:rPr>
        <w:t>An institution participating in Title IV programs must maintain a certain level of financial responsibility as determined under the Higher Education Act and under ED regulations. The ED measures an institution’s financial responsibility by compiling a composite score, ranging from -0.1 to 3.0, pursuant to a formula that incorporates various financial data from annual financial statements submitted to the ED. An institution with a composite score of 1.5 or higher passes the composite test. An institution with a composite score of at least 1.0 and less than 1.5 is in the zone. If an institution’s composite score is in the zone and the institution complies with other financial responsibility standards, the ED typically permits the institution to continue participating in the Title IV programs under certain conditions, including imposing certain monitoring and reporting requirements, placing the institution on provisional certification and transferring the institution from the advance system of Title IV payment to a heightened cash-monitoring or reimbursement system of payment. An institution fails the composite score test with a score of less than 1.0. The ED may permit such institutions to continue participating in the Title IV programs under the aforementioned</w:t>
      </w: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724" w:right="239" w:bottom="1440" w:gutter="0" w:footer="0" w:header="0"/>
        </w:sectPr>
      </w:pPr>
    </w:p>
    <w:bookmarkStart w:id="27" w:name="page28"/>
    <w:bookmarkEnd w:id="27"/>
    <w:p>
      <w:pPr>
        <w:spacing w:after="0" w:line="225" w:lineRule="auto"/>
        <w:rPr>
          <w:sz w:val="20"/>
          <w:szCs w:val="20"/>
          <w:color w:val="auto"/>
        </w:rPr>
      </w:pPr>
      <w:r>
        <w:rPr>
          <w:rFonts w:ascii="Arial" w:cs="Arial" w:eastAsia="Arial" w:hAnsi="Arial"/>
          <w:sz w:val="18"/>
          <w:szCs w:val="18"/>
          <w:color w:val="auto"/>
        </w:rPr>
        <w:t>conditions and potentially other conditions, as well as a requirement to submit to the ED a letter of credit in an amount equal to at least 10% of the annual Title IV program funds received by the institution during its most recently completed fiscal year, although the ED could require a letter of credit based on a higher percentage of the institution’s annual Title IV program funds. The borrower defense to repayment regulations that take effect on July 1, 2017, expand the list of circumstances that could require an institution to provide the ED with a letter of credit or other form of acceptable financial protection. Moreover, the new borrower defense to repayment regulations may increase the required minimum letter of credit amount beyond 10% of annual Title IV funds to include additional amounts that the ED determines are needed to fully cover any estimated potential losses. If an institution is unable to submit a required letter of credit or to comply with ED imposed conditions, the institution could be subject to loss of Title IV eligibility, financial penalties and other conditions or sanctions. For the 2016 fiscal year, Kaplan University expects to have a composite score of 1.8, based on its own assessment using ED methodology. However, the ED will make its own determination once it receives and reviews Kaplan University’s audited financial statements for the 2016 fiscal year.</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If Kaplan University fails to meet the composite score standard or any of the other financial responsibility standards, it may be required to post</w:t>
      </w:r>
    </w:p>
    <w:p>
      <w:pPr>
        <w:spacing w:after="0" w:line="223" w:lineRule="auto"/>
        <w:rPr>
          <w:sz w:val="20"/>
          <w:szCs w:val="20"/>
          <w:color w:val="auto"/>
        </w:rPr>
      </w:pPr>
      <w:r>
        <w:rPr>
          <w:rFonts w:ascii="Arial" w:cs="Arial" w:eastAsia="Arial" w:hAnsi="Arial"/>
          <w:sz w:val="18"/>
          <w:szCs w:val="18"/>
          <w:color w:val="auto"/>
        </w:rPr>
        <w:t>a letter of credit in favor of the ED and possibly may be subject to other sanctions, including limitation or termination of its participation in</w:t>
      </w:r>
    </w:p>
    <w:p>
      <w:pPr>
        <w:spacing w:after="0" w:line="220" w:lineRule="auto"/>
        <w:rPr>
          <w:sz w:val="20"/>
          <w:szCs w:val="20"/>
          <w:color w:val="auto"/>
        </w:rPr>
      </w:pPr>
      <w:r>
        <w:rPr>
          <w:rFonts w:ascii="Arial" w:cs="Arial" w:eastAsia="Arial" w:hAnsi="Arial"/>
          <w:sz w:val="18"/>
          <w:szCs w:val="18"/>
          <w:color w:val="auto"/>
        </w:rPr>
        <w:t>Title IV programs. A requirement to post a letter of credit or the imposition of any one or more other sanctions by the ED could have a material</w:t>
      </w:r>
    </w:p>
    <w:p>
      <w:pPr>
        <w:spacing w:after="0"/>
        <w:rPr>
          <w:sz w:val="20"/>
          <w:szCs w:val="20"/>
          <w:color w:val="auto"/>
        </w:rPr>
      </w:pPr>
      <w:r>
        <w:rPr>
          <w:rFonts w:ascii="Arial" w:cs="Arial" w:eastAsia="Arial" w:hAnsi="Arial"/>
          <w:sz w:val="18"/>
          <w:szCs w:val="18"/>
          <w:color w:val="auto"/>
        </w:rPr>
        <w:t>adverse effect on Kaplan’s results of operations.</w:t>
      </w:r>
    </w:p>
    <w:p>
      <w:pPr>
        <w:spacing w:after="0" w:line="120" w:lineRule="exact"/>
        <w:rPr>
          <w:sz w:val="20"/>
          <w:szCs w:val="20"/>
          <w:color w:val="auto"/>
        </w:rPr>
      </w:pPr>
    </w:p>
    <w:p>
      <w:pPr>
        <w:ind w:left="260" w:right="380" w:hanging="252"/>
        <w:spacing w:after="0" w:line="256" w:lineRule="auto"/>
        <w:tabs>
          <w:tab w:leader="none" w:pos="26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Failure to Demonstrate Administrative Capability Could Result in Loss of Eligibility to Participate in Title IV Programs or Other Sanctions</w:t>
      </w:r>
    </w:p>
    <w:p>
      <w:pPr>
        <w:spacing w:after="0" w:line="20" w:lineRule="exact"/>
        <w:rPr>
          <w:sz w:val="20"/>
          <w:szCs w:val="20"/>
          <w:color w:val="auto"/>
        </w:rPr>
      </w:pPr>
    </w:p>
    <w:p>
      <w:pPr>
        <w:ind w:right="260"/>
        <w:spacing w:after="0" w:line="227" w:lineRule="auto"/>
        <w:rPr>
          <w:sz w:val="20"/>
          <w:szCs w:val="20"/>
          <w:color w:val="auto"/>
        </w:rPr>
      </w:pPr>
      <w:r>
        <w:rPr>
          <w:rFonts w:ascii="Arial" w:cs="Arial" w:eastAsia="Arial" w:hAnsi="Arial"/>
          <w:sz w:val="18"/>
          <w:szCs w:val="18"/>
          <w:color w:val="auto"/>
        </w:rPr>
        <w:t>ED regulations specify extensive criteria that an institution must satisfy to establish that it has the required “administrative capability” to participate in Title IV programs. These criteria include, but are not limited to, requirements relating to the institution’s compliance with all applicable Title IV requirements; the institution’s administration of Title IV programs; the institution’s compliance with certain reporting, disclosure and record-keeping obligations; and the institution’s ability to maintain cohort default rates below prescribed thresholds. Failure to comply with these criteria could result in the loss or limitation of the eligibility of Kaplan University to participate in the Title IV programs, a requirement to pay fines or to repay Title IV program funds, a denial or refusal by the ED to consider a school’s application for renewal of its certification to participate in the Title IV programs, civil or criminal penalties or other sanctions. Any one or more of these actions by the ED could have a material adverse effect on Kaplan’s results of operations.</w:t>
      </w:r>
    </w:p>
    <w:p>
      <w:pPr>
        <w:spacing w:after="0" w:line="106" w:lineRule="exact"/>
        <w:rPr>
          <w:sz w:val="20"/>
          <w:szCs w:val="20"/>
          <w:color w:val="auto"/>
        </w:rPr>
      </w:pPr>
    </w:p>
    <w:p>
      <w:pPr>
        <w:ind w:left="260" w:right="540" w:hanging="252"/>
        <w:spacing w:after="0" w:line="256" w:lineRule="auto"/>
        <w:tabs>
          <w:tab w:leader="none" w:pos="26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Failure to Obtain Regulatory Approval of Transactions Involving a Change of Control May Result in the Loss of the Ability to Operate Schools or to Participate in U.S. Federal Student Financial Aid Programs</w:t>
      </w:r>
    </w:p>
    <w:p>
      <w:pPr>
        <w:spacing w:after="0" w:line="20" w:lineRule="exact"/>
        <w:rPr>
          <w:sz w:val="20"/>
          <w:szCs w:val="20"/>
          <w:color w:val="auto"/>
        </w:rPr>
      </w:pPr>
    </w:p>
    <w:p>
      <w:pPr>
        <w:ind w:right="80"/>
        <w:spacing w:after="0" w:line="228" w:lineRule="auto"/>
        <w:rPr>
          <w:sz w:val="20"/>
          <w:szCs w:val="20"/>
          <w:color w:val="auto"/>
        </w:rPr>
      </w:pPr>
      <w:r>
        <w:rPr>
          <w:rFonts w:ascii="Arial" w:cs="Arial" w:eastAsia="Arial" w:hAnsi="Arial"/>
          <w:sz w:val="18"/>
          <w:szCs w:val="18"/>
          <w:color w:val="auto"/>
        </w:rPr>
        <w:t>If Kaplan University experiences a change of control under the standards of applicable state agencies, accrediting agencies or the ED, it must seek the approval of the relevant agencies. An institution that undergoes a change of control, which may include a change of control of the institution</w:t>
      </w:r>
      <w:r>
        <w:rPr>
          <w:rFonts w:ascii="Arial" w:cs="Arial" w:eastAsia="Arial" w:hAnsi="Arial"/>
          <w:sz w:val="14"/>
          <w:szCs w:val="14"/>
          <w:b w:val="1"/>
          <w:bCs w:val="1"/>
          <w:color w:val="auto"/>
        </w:rPr>
        <w:t>’</w:t>
      </w:r>
      <w:r>
        <w:rPr>
          <w:rFonts w:ascii="Arial" w:cs="Arial" w:eastAsia="Arial" w:hAnsi="Arial"/>
          <w:sz w:val="18"/>
          <w:szCs w:val="18"/>
          <w:color w:val="auto"/>
        </w:rPr>
        <w:t>s parent corporation or other owners, must be reviewed and recertified by the ED and obtain approvals from certain state agencies and accrediting bodies, in some cases prior to the change of control. The failure of Kaplan University to reestablish its state authorization, accreditation or ED certification following a change of control as defined by the applicable agency could result in a suspension of operating authority or suspension or loss of U.S. Federal student financial aid funding, which could have a material adverse effect on Kaplan University’s student population and revenue.</w:t>
      </w:r>
    </w:p>
    <w:p>
      <w:pPr>
        <w:spacing w:after="0" w:line="107" w:lineRule="exact"/>
        <w:rPr>
          <w:sz w:val="20"/>
          <w:szCs w:val="20"/>
          <w:color w:val="auto"/>
        </w:rPr>
      </w:pPr>
    </w:p>
    <w:p>
      <w:pPr>
        <w:ind w:left="260" w:right="460" w:hanging="252"/>
        <w:spacing w:after="0" w:line="256" w:lineRule="auto"/>
        <w:tabs>
          <w:tab w:leader="none" w:pos="26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Actions of Other Postsecondary Education Institutions and Related Media Coverage May Negatively Influence the Regulatory Environment and Kaplan’s Reputation</w:t>
      </w:r>
    </w:p>
    <w:p>
      <w:pPr>
        <w:spacing w:after="0" w:line="20" w:lineRule="exact"/>
        <w:rPr>
          <w:sz w:val="20"/>
          <w:szCs w:val="20"/>
          <w:color w:val="auto"/>
        </w:rPr>
      </w:pPr>
    </w:p>
    <w:p>
      <w:pPr>
        <w:ind w:right="80"/>
        <w:spacing w:after="0" w:line="228" w:lineRule="auto"/>
        <w:rPr>
          <w:sz w:val="20"/>
          <w:szCs w:val="20"/>
          <w:color w:val="auto"/>
        </w:rPr>
      </w:pPr>
      <w:r>
        <w:rPr>
          <w:rFonts w:ascii="Arial" w:cs="Arial" w:eastAsia="Arial" w:hAnsi="Arial"/>
          <w:sz w:val="18"/>
          <w:szCs w:val="18"/>
          <w:color w:val="auto"/>
        </w:rPr>
        <w:t>The HELP Committee hearings and various state Attorneys General’s actions, along with other recent investigations and lawsuits, have included allegations against various for-profit schools of, among other things, deceptive trade practices, false claims against the U.S. and noncompliance with state and ED regulations. These allegations have attracted significant negative media coverage. Allegations against private-sector postsecondary education institutions have impacted and may continue to impact general public perceptions of private-sector educational institutions, including Kaplan, in a negative manner. Negative media coverage regarding other educational institutions or regarding Kaplan directly could damage Kaplan’s reputation, reduce student demand for Kaplan programs or lead to increased regulatory scrutiny and could negatively impact Kaplan’s operating results.</w:t>
      </w:r>
    </w:p>
    <w:p>
      <w:pPr>
        <w:spacing w:after="0" w:line="107" w:lineRule="exact"/>
        <w:rPr>
          <w:sz w:val="20"/>
          <w:szCs w:val="20"/>
          <w:color w:val="auto"/>
        </w:rPr>
      </w:pPr>
    </w:p>
    <w:p>
      <w:pPr>
        <w:ind w:left="260" w:right="120" w:hanging="252"/>
        <w:spacing w:after="0" w:line="256" w:lineRule="auto"/>
        <w:tabs>
          <w:tab w:leader="none" w:pos="26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Changes in the Extent to Which Standardized Tests Are Used in the Admissions Process by Colleges or Graduate Schools Could Reduce Demand for KTP Offerings</w:t>
      </w:r>
    </w:p>
    <w:p>
      <w:pPr>
        <w:spacing w:after="0" w:line="20" w:lineRule="exact"/>
        <w:rPr>
          <w:sz w:val="20"/>
          <w:szCs w:val="20"/>
          <w:color w:val="auto"/>
        </w:rPr>
      </w:pPr>
    </w:p>
    <w:p>
      <w:pPr>
        <w:jc w:val="both"/>
        <w:spacing w:after="0" w:line="234" w:lineRule="auto"/>
        <w:rPr>
          <w:sz w:val="20"/>
          <w:szCs w:val="20"/>
          <w:color w:val="auto"/>
        </w:rPr>
      </w:pPr>
      <w:r>
        <w:rPr>
          <w:rFonts w:ascii="Arial" w:cs="Arial" w:eastAsia="Arial" w:hAnsi="Arial"/>
          <w:sz w:val="18"/>
          <w:szCs w:val="18"/>
          <w:color w:val="auto"/>
        </w:rPr>
        <w:t>A substantial portion of Kaplan’s revenue is generated by KTP. The source of this income is fees charged for courses that prepare students for a broad range of admissions examinations that are required for admission to colleges and graduate schools. Historically, colleges and graduate schools have required standardized tests as part of the admissions process. There has been some movement away from this historical reliance on standardized admissions tests among a small number of colleges that have adopted “test-optional” admissions policies. Any</w:t>
      </w: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724" w:right="259" w:bottom="1440" w:gutter="0" w:footer="0" w:header="0"/>
        </w:sectPr>
      </w:pPr>
    </w:p>
    <w:bookmarkStart w:id="28" w:name="page29"/>
    <w:bookmarkEnd w:id="28"/>
    <w:p>
      <w:pPr>
        <w:ind w:right="380"/>
        <w:spacing w:after="0" w:line="260" w:lineRule="auto"/>
        <w:rPr>
          <w:sz w:val="20"/>
          <w:szCs w:val="20"/>
          <w:color w:val="auto"/>
        </w:rPr>
      </w:pPr>
      <w:r>
        <w:rPr>
          <w:rFonts w:ascii="Arial" w:cs="Arial" w:eastAsia="Arial" w:hAnsi="Arial"/>
          <w:sz w:val="18"/>
          <w:szCs w:val="18"/>
          <w:color w:val="auto"/>
        </w:rPr>
        <w:t>significant reduction in the use of standardized tests in the college or graduate school admissions process could have an adverse effect on Kaplan’s operating results.</w:t>
      </w:r>
    </w:p>
    <w:p>
      <w:pPr>
        <w:spacing w:after="0" w:line="90" w:lineRule="exact"/>
        <w:rPr>
          <w:sz w:val="20"/>
          <w:szCs w:val="20"/>
          <w:color w:val="auto"/>
        </w:rPr>
      </w:pPr>
    </w:p>
    <w:p>
      <w:pPr>
        <w:ind w:left="260" w:right="680" w:hanging="252"/>
        <w:spacing w:after="0" w:line="256" w:lineRule="auto"/>
        <w:tabs>
          <w:tab w:leader="none" w:pos="26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Changes in the Extent to Which Licensing and Proficiency Examinations Are Used to Qualify Individuals to Pursue Certain Careers Could Reduce Demand for Kaplan Offerings</w:t>
      </w:r>
    </w:p>
    <w:p>
      <w:pPr>
        <w:spacing w:after="0" w:line="20" w:lineRule="exact"/>
        <w:rPr>
          <w:sz w:val="20"/>
          <w:szCs w:val="20"/>
          <w:color w:val="auto"/>
        </w:rPr>
      </w:pPr>
    </w:p>
    <w:p>
      <w:pPr>
        <w:ind w:right="160"/>
        <w:spacing w:after="0"/>
        <w:rPr>
          <w:sz w:val="20"/>
          <w:szCs w:val="20"/>
          <w:color w:val="auto"/>
        </w:rPr>
      </w:pPr>
      <w:r>
        <w:rPr>
          <w:rFonts w:ascii="Arial" w:cs="Arial" w:eastAsia="Arial" w:hAnsi="Arial"/>
          <w:sz w:val="18"/>
          <w:szCs w:val="18"/>
          <w:color w:val="auto"/>
        </w:rPr>
        <w:t>A substantial portion of PACE and Kaplan International’s revenue comes from preparing individuals for licensing or technical proficiency examinations in various fields. Any significant relaxation or elimination of licensing or technical proficiency requirements in those fields served by PACE and Kaplan International’s businesses could negatively impact Kaplan’s operating results.</w:t>
      </w:r>
    </w:p>
    <w:p>
      <w:pPr>
        <w:spacing w:after="0" w:line="106" w:lineRule="exact"/>
        <w:rPr>
          <w:sz w:val="20"/>
          <w:szCs w:val="20"/>
          <w:color w:val="auto"/>
        </w:rPr>
      </w:pPr>
    </w:p>
    <w:p>
      <w:pPr>
        <w:ind w:left="260" w:hanging="252"/>
        <w:spacing w:after="0"/>
        <w:tabs>
          <w:tab w:leader="none" w:pos="26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Difficulties of Managing Foreign Operations Could Negatively Affect Kaplan’s Business</w:t>
      </w:r>
    </w:p>
    <w:p>
      <w:pPr>
        <w:spacing w:after="0" w:line="79" w:lineRule="exact"/>
        <w:rPr>
          <w:sz w:val="20"/>
          <w:szCs w:val="20"/>
          <w:color w:val="auto"/>
        </w:rPr>
      </w:pPr>
    </w:p>
    <w:p>
      <w:pPr>
        <w:ind w:right="140"/>
        <w:spacing w:after="0" w:line="229" w:lineRule="auto"/>
        <w:rPr>
          <w:sz w:val="20"/>
          <w:szCs w:val="20"/>
          <w:color w:val="auto"/>
        </w:rPr>
      </w:pPr>
      <w:r>
        <w:rPr>
          <w:rFonts w:ascii="Arial" w:cs="Arial" w:eastAsia="Arial" w:hAnsi="Arial"/>
          <w:sz w:val="18"/>
          <w:szCs w:val="18"/>
          <w:color w:val="auto"/>
        </w:rPr>
        <w:t>Kaplan has operations and investments in a growing number of foreign countries, including Australia, Canada, China, Colombia, France, Germany, India, Ireland, Japan, Mexico, New Zealand, Nigeria, Singapore, the U.K. and Venezuela. Kaplan also conducts business in the Middle East. Operating in foreign countries presents a number of inherent risks, including the difficulties of complying with unfamiliar laws and regulations, effectively managing and staffing foreign operations, successfully navigating local customs and practices, preparing for potential political and economic instability and adapting to currency exchange rate fluctuations. Failure to effectively manage these risks could have a material adverse effect on Kaplan’s operating results.</w:t>
      </w:r>
    </w:p>
    <w:p>
      <w:pPr>
        <w:spacing w:after="0" w:line="110" w:lineRule="exact"/>
        <w:rPr>
          <w:sz w:val="20"/>
          <w:szCs w:val="20"/>
          <w:color w:val="auto"/>
        </w:rPr>
      </w:pPr>
    </w:p>
    <w:p>
      <w:pPr>
        <w:ind w:left="260" w:hanging="252"/>
        <w:spacing w:after="0"/>
        <w:tabs>
          <w:tab w:leader="none" w:pos="26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Changes in International Regulatory and Physical Environments Could Negatively Affect International Student Enrollments</w:t>
      </w:r>
    </w:p>
    <w:p>
      <w:pPr>
        <w:spacing w:after="0" w:line="79" w:lineRule="exact"/>
        <w:rPr>
          <w:sz w:val="20"/>
          <w:szCs w:val="20"/>
          <w:color w:val="auto"/>
        </w:rPr>
      </w:pPr>
    </w:p>
    <w:p>
      <w:pPr>
        <w:spacing w:after="0" w:line="224" w:lineRule="auto"/>
        <w:rPr>
          <w:sz w:val="20"/>
          <w:szCs w:val="20"/>
          <w:color w:val="auto"/>
        </w:rPr>
      </w:pPr>
      <w:r>
        <w:rPr>
          <w:rFonts w:ascii="Arial" w:cs="Arial" w:eastAsia="Arial" w:hAnsi="Arial"/>
          <w:sz w:val="18"/>
          <w:szCs w:val="18"/>
          <w:color w:val="auto"/>
        </w:rPr>
        <w:t>A substantial portion of Kaplan International’s revenue comes from programs that prepare international students to study and travel in English-speaking countries, principally the U.S., the U.K., Australia and Singapore. Kaplan International’s ability to enroll students in these programs is directly dependent on its ability to comply with complex regulatory environments. For example, on June 23, 2016, the U.K. held a referendum in which voters approved a proposal that the U.K. leave the EU, commonly referred to as “Brexit.” As a result of the referendum, there has been a sharp decline in the value of the British pound sterling as compared to the U.S. dollar and other currencies. In the longer term, the impact on Kaplan International from Brexit will depend, in part, on the outcome of future negotiations regarding the terms of the U.K.’s withdrawal from the EU. The timing of the negotiations and its impact on recruitment of international students is uncertain. The outcome may disrupt the free movement of students and employees. It is possible that EU nationals’ ability to enter the U.K. for long- or short-term study will change or that changes in laws affecting EU nationals could also apply to international students presently covered by the Tier 4 (KI Pathways) or student visitor visa regime (KI English). It is also unclear how international student recruitment agents and prospective international students will view the U.K. as a study destination after the EU exit negotiations and the U.K.’s eventual departure from the EU. If the U.K. exit from the EU and related perceptions of the U.K. as a study destination have a significant negative impact on Kaplan’s ability to recruit international students, Kaplan’s results of operations and cash flows would be adversely and materially impacted.</w:t>
      </w:r>
    </w:p>
    <w:p>
      <w:pPr>
        <w:spacing w:after="0" w:line="109" w:lineRule="exact"/>
        <w:rPr>
          <w:sz w:val="20"/>
          <w:szCs w:val="20"/>
          <w:color w:val="auto"/>
        </w:rPr>
      </w:pPr>
    </w:p>
    <w:p>
      <w:pPr>
        <w:ind w:right="280"/>
        <w:spacing w:after="0" w:line="234" w:lineRule="auto"/>
        <w:rPr>
          <w:sz w:val="20"/>
          <w:szCs w:val="20"/>
          <w:color w:val="auto"/>
        </w:rPr>
      </w:pPr>
      <w:r>
        <w:rPr>
          <w:rFonts w:ascii="Arial" w:cs="Arial" w:eastAsia="Arial" w:hAnsi="Arial"/>
          <w:sz w:val="18"/>
          <w:szCs w:val="18"/>
          <w:color w:val="auto"/>
        </w:rPr>
        <w:t>On January 27, 2017, President Trump signed an executive order barring citizens from Syria, Iraq, Iran, Yemen, Libya, Somalia, and Sudan from entering the U.S. for 90 days and also suspended the admission of all refugees for 120 days. Although the ultimate enforcement and implementation of this or any subsequent order cannot be predicted, negative perceptions regarding travel to the U.S. could have a material adverse impact on Kaplan’s business.</w:t>
      </w:r>
    </w:p>
    <w:p>
      <w:pPr>
        <w:spacing w:after="0" w:line="111" w:lineRule="exact"/>
        <w:rPr>
          <w:sz w:val="20"/>
          <w:szCs w:val="20"/>
          <w:color w:val="auto"/>
        </w:rPr>
      </w:pPr>
    </w:p>
    <w:p>
      <w:pPr>
        <w:ind w:right="540"/>
        <w:spacing w:after="0"/>
        <w:rPr>
          <w:sz w:val="20"/>
          <w:szCs w:val="20"/>
          <w:color w:val="auto"/>
        </w:rPr>
      </w:pPr>
      <w:r>
        <w:rPr>
          <w:rFonts w:ascii="Arial" w:cs="Arial" w:eastAsia="Arial" w:hAnsi="Arial"/>
          <w:sz w:val="18"/>
          <w:szCs w:val="18"/>
          <w:color w:val="auto"/>
        </w:rPr>
        <w:t>Any significant changes to the regulatory environment, or a natural disaster or pandemic in either the students’ countries of origin or the countries to which they desire to study, could negatively affect Kaplan’s ability to attract and retain students, which could have a negative impact Kaplan’s operating results.</w:t>
      </w:r>
    </w:p>
    <w:p>
      <w:pPr>
        <w:spacing w:after="0" w:line="106" w:lineRule="exact"/>
        <w:rPr>
          <w:sz w:val="20"/>
          <w:szCs w:val="20"/>
          <w:color w:val="auto"/>
        </w:rPr>
      </w:pPr>
    </w:p>
    <w:p>
      <w:pPr>
        <w:ind w:left="260" w:hanging="252"/>
        <w:spacing w:after="0"/>
        <w:tabs>
          <w:tab w:leader="none" w:pos="26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Failure to Comply With Regulations Applicable to International Operations Could Negatively Impact Kaplan’s Business</w:t>
      </w:r>
    </w:p>
    <w:p>
      <w:pPr>
        <w:spacing w:after="0" w:line="79" w:lineRule="exact"/>
        <w:rPr>
          <w:sz w:val="20"/>
          <w:szCs w:val="20"/>
          <w:color w:val="auto"/>
        </w:rPr>
      </w:pPr>
    </w:p>
    <w:p>
      <w:pPr>
        <w:ind w:right="100"/>
        <w:spacing w:after="0" w:line="231" w:lineRule="auto"/>
        <w:rPr>
          <w:sz w:val="20"/>
          <w:szCs w:val="20"/>
          <w:color w:val="auto"/>
        </w:rPr>
      </w:pPr>
      <w:r>
        <w:rPr>
          <w:rFonts w:ascii="Arial" w:cs="Arial" w:eastAsia="Arial" w:hAnsi="Arial"/>
          <w:sz w:val="18"/>
          <w:szCs w:val="18"/>
          <w:color w:val="auto"/>
        </w:rPr>
        <w:t>Kaplan is subject to a wide range of regulations relating to its international operations. These include domestic laws with extra-territorial reach, such as the U.S. Foreign Corrupt Practices Act, international laws with extra-territorial reach, such as the U.K. Bribery Act, as well as the local regulatory schemes of the countries in which Kaplan operates. Compliance with these regulations requires utmost vigilance. Failure to comply can result in the imposition of significant penalties or revocation of Kaplan’s authority to operate in the applicable jurisdiction, each of which could have a material adverse effect on Kaplan’s operating results.</w:t>
      </w:r>
    </w:p>
    <w:p>
      <w:pPr>
        <w:spacing w:after="0" w:line="109" w:lineRule="exact"/>
        <w:rPr>
          <w:sz w:val="20"/>
          <w:szCs w:val="20"/>
          <w:color w:val="auto"/>
        </w:rPr>
      </w:pPr>
    </w:p>
    <w:p>
      <w:pPr>
        <w:ind w:left="260" w:right="440" w:hanging="252"/>
        <w:spacing w:after="0" w:line="256" w:lineRule="auto"/>
        <w:tabs>
          <w:tab w:leader="none" w:pos="26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Changing Perceptions About the Effectiveness of Television Broadcasting in Delivering Advertising May Adversely Affect the Profitability of Television Broadcasting</w:t>
      </w:r>
    </w:p>
    <w:p>
      <w:pPr>
        <w:spacing w:after="0" w:line="20" w:lineRule="exact"/>
        <w:rPr>
          <w:sz w:val="20"/>
          <w:szCs w:val="20"/>
          <w:color w:val="auto"/>
        </w:rPr>
      </w:pPr>
    </w:p>
    <w:p>
      <w:pPr>
        <w:ind w:right="180"/>
        <w:spacing w:after="0"/>
        <w:rPr>
          <w:sz w:val="20"/>
          <w:szCs w:val="20"/>
          <w:color w:val="auto"/>
        </w:rPr>
      </w:pPr>
      <w:r>
        <w:rPr>
          <w:rFonts w:ascii="Arial" w:cs="Arial" w:eastAsia="Arial" w:hAnsi="Arial"/>
          <w:sz w:val="18"/>
          <w:szCs w:val="18"/>
          <w:color w:val="auto"/>
        </w:rPr>
        <w:t>Historically, television broadcasting has been viewed as a cost-effective method of delivering various forms of advertising. There can be no guarantee that this historical perception will guide future decisions by advertisers. To the extent that advertisers shift advertising expenditures away from television to other media outlets, the profitability of the Company’s television broadcasting business will suffer.</w:t>
      </w: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724" w:right="259" w:bottom="1440" w:gutter="0" w:footer="0" w:header="0"/>
        </w:sectPr>
      </w:pPr>
    </w:p>
    <w:bookmarkStart w:id="29" w:name="page30"/>
    <w:bookmarkEnd w:id="29"/>
    <w:p>
      <w:pPr>
        <w:ind w:left="260" w:right="500" w:hanging="252"/>
        <w:spacing w:after="0" w:line="256" w:lineRule="auto"/>
        <w:tabs>
          <w:tab w:leader="none" w:pos="26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Increased Competition Resulting From Technological Innovations in News, Information and Video Programming Distribution Systems Could Adversely Affect the Company’s Operating Results</w:t>
      </w:r>
    </w:p>
    <w:p>
      <w:pPr>
        <w:spacing w:after="0" w:line="20" w:lineRule="exact"/>
        <w:rPr>
          <w:sz w:val="20"/>
          <w:szCs w:val="20"/>
          <w:color w:val="auto"/>
        </w:rPr>
      </w:pPr>
    </w:p>
    <w:p>
      <w:pPr>
        <w:ind w:right="240"/>
        <w:spacing w:after="0" w:line="234" w:lineRule="auto"/>
        <w:rPr>
          <w:sz w:val="20"/>
          <w:szCs w:val="20"/>
          <w:color w:val="auto"/>
        </w:rPr>
      </w:pPr>
      <w:r>
        <w:rPr>
          <w:rFonts w:ascii="Arial" w:cs="Arial" w:eastAsia="Arial" w:hAnsi="Arial"/>
          <w:sz w:val="18"/>
          <w:szCs w:val="18"/>
          <w:color w:val="auto"/>
        </w:rPr>
        <w:t>The continuing growth and technological expansion of Internet-based services has increased competitive pressure on the Company’s media businesses. The development and deployment of new technologies have the potential to negatively and significantly affect the Company’s media businesses in ways that cannot now be reliably predicted and that may have a material adverse effect on the Company’s operating results.</w:t>
      </w:r>
    </w:p>
    <w:p>
      <w:pPr>
        <w:spacing w:after="0" w:line="109" w:lineRule="exact"/>
        <w:rPr>
          <w:sz w:val="20"/>
          <w:szCs w:val="20"/>
          <w:color w:val="auto"/>
        </w:rPr>
      </w:pPr>
    </w:p>
    <w:p>
      <w:pPr>
        <w:ind w:left="260" w:right="360" w:hanging="252"/>
        <w:spacing w:after="0" w:line="256" w:lineRule="auto"/>
        <w:tabs>
          <w:tab w:leader="none" w:pos="26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Changes in the Nature and Extent of Government Regulations Could Adversely Affect the Company’s Television Broadcasting Business and Other Businesses</w:t>
      </w:r>
    </w:p>
    <w:p>
      <w:pPr>
        <w:spacing w:after="0" w:line="20" w:lineRule="exact"/>
        <w:rPr>
          <w:sz w:val="20"/>
          <w:szCs w:val="20"/>
          <w:color w:val="auto"/>
        </w:rPr>
      </w:pPr>
    </w:p>
    <w:p>
      <w:pPr>
        <w:spacing w:after="0" w:line="229" w:lineRule="auto"/>
        <w:rPr>
          <w:sz w:val="20"/>
          <w:szCs w:val="20"/>
          <w:color w:val="auto"/>
        </w:rPr>
      </w:pPr>
      <w:r>
        <w:rPr>
          <w:rFonts w:ascii="Arial" w:cs="Arial" w:eastAsia="Arial" w:hAnsi="Arial"/>
          <w:sz w:val="18"/>
          <w:szCs w:val="18"/>
          <w:color w:val="auto"/>
        </w:rPr>
        <w:t>The Company’s television broadcasting business operates in a highly regulated environment. Complying with applicable regulations has significantly increased, and may continue to increase, the costs and has reduced the revenues of the business. Changes in regulations have the potential to negatively impact the television broadcasting business, not only by increasing compliance costs and reducing revenues through restrictions on certain types of advertising, limitations on pricing flexibility or other means, but also by possibly creating more favorable regulatory environments for the providers of competing services. More generally, all of the Company’s businesses could have their profitability or their competitive positions adversely affected by significant changes in applicable regulations.</w:t>
      </w:r>
    </w:p>
    <w:p>
      <w:pPr>
        <w:spacing w:after="0" w:line="110" w:lineRule="exact"/>
        <w:rPr>
          <w:sz w:val="20"/>
          <w:szCs w:val="20"/>
          <w:color w:val="auto"/>
        </w:rPr>
      </w:pPr>
    </w:p>
    <w:p>
      <w:pPr>
        <w:ind w:left="260" w:hanging="252"/>
        <w:spacing w:after="0"/>
        <w:tabs>
          <w:tab w:leader="none" w:pos="26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Potential Liability for Intellectual Property Infringement Could Adversely Affect the Company’s Businesses</w:t>
      </w:r>
    </w:p>
    <w:p>
      <w:pPr>
        <w:spacing w:after="0" w:line="79" w:lineRule="exact"/>
        <w:rPr>
          <w:sz w:val="20"/>
          <w:szCs w:val="20"/>
          <w:color w:val="auto"/>
        </w:rPr>
      </w:pPr>
    </w:p>
    <w:p>
      <w:pPr>
        <w:ind w:right="40"/>
        <w:spacing w:after="0" w:line="227" w:lineRule="auto"/>
        <w:rPr>
          <w:sz w:val="20"/>
          <w:szCs w:val="20"/>
          <w:color w:val="auto"/>
        </w:rPr>
      </w:pPr>
      <w:r>
        <w:rPr>
          <w:rFonts w:ascii="Arial" w:cs="Arial" w:eastAsia="Arial" w:hAnsi="Arial"/>
          <w:sz w:val="18"/>
          <w:szCs w:val="18"/>
          <w:color w:val="auto"/>
        </w:rPr>
        <w:t>The Company periodically receives claims from third parties alleging that the Company’s businesses infringe on the intellectual property rights of others. It is likely that the Company will continue to be subject to similar claims, particularly as they relate to its media businesses. Other parts of the Company’s business could also be subject to such claims. Addressing intellectual product claims is a time-consuming and expensive endeavor, regardless of the merits of the claims. In order to resolve such a claim, the Company could determine the need to change its method of doing business, enter into a licensing agreement or incur substantial monetary liability. It is also possible that one of the Company’s businesses could be enjoined from using the intellectual property at issue, causing it to significantly alter its operations. Although the Company cannot predict the impact at this time, if any such claim is successful, the outcome would likely affect the business utilizing the intellectual property at issue and could have a material adverse effect on that business’s operating results or prospects.</w:t>
      </w:r>
    </w:p>
    <w:p>
      <w:pPr>
        <w:spacing w:after="0" w:line="106" w:lineRule="exact"/>
        <w:rPr>
          <w:sz w:val="20"/>
          <w:szCs w:val="20"/>
          <w:color w:val="auto"/>
        </w:rPr>
      </w:pPr>
    </w:p>
    <w:p>
      <w:pPr>
        <w:ind w:left="260" w:hanging="252"/>
        <w:spacing w:after="0"/>
        <w:tabs>
          <w:tab w:leader="none" w:pos="26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Failure to Comply With Privacy Laws or Regulations Could Have an Adverse Effect on the Company’s Business</w:t>
      </w:r>
    </w:p>
    <w:p>
      <w:pPr>
        <w:spacing w:after="0" w:line="79" w:lineRule="exact"/>
        <w:rPr>
          <w:sz w:val="20"/>
          <w:szCs w:val="20"/>
          <w:color w:val="auto"/>
        </w:rPr>
      </w:pPr>
    </w:p>
    <w:p>
      <w:pPr>
        <w:spacing w:after="0" w:line="227" w:lineRule="auto"/>
        <w:rPr>
          <w:sz w:val="20"/>
          <w:szCs w:val="20"/>
          <w:color w:val="auto"/>
        </w:rPr>
      </w:pPr>
      <w:r>
        <w:rPr>
          <w:rFonts w:ascii="Arial" w:cs="Arial" w:eastAsia="Arial" w:hAnsi="Arial"/>
          <w:sz w:val="18"/>
          <w:szCs w:val="18"/>
          <w:color w:val="auto"/>
        </w:rPr>
        <w:t>Various federal, state and international laws and regulations govern the collection, use, retention, sharing and security of consumer data. This area of the law is evolving, and interpretations of applicable laws and regulations differ. Legislative activity in the privacy area may result in new laws that are relevant to the Company’s operations, for example, use of consumer data for marketing or advertising and new general data privacy regulations adopted by the European Union known as the General Data Protection Regulation (GDPR). Complying with the enhanced obligations imposed by the GDPR may result in significant costs to the Company's business and require the Company to amend certain of its business practices. Claims of failure to comply with the Company’s privacy policies or applicable laws or regulations could form the basis of governmental or private-party actions against the Company and could result in significant penalties. Such claims and actions could cause damage to the Company’s reputation and could have an adverse effect on the Company’s business.</w:t>
      </w:r>
    </w:p>
    <w:p>
      <w:pPr>
        <w:spacing w:after="0" w:line="106" w:lineRule="exact"/>
        <w:rPr>
          <w:sz w:val="20"/>
          <w:szCs w:val="20"/>
          <w:color w:val="auto"/>
        </w:rPr>
      </w:pPr>
    </w:p>
    <w:p>
      <w:pPr>
        <w:ind w:left="260" w:right="200" w:hanging="252"/>
        <w:spacing w:after="0" w:line="256" w:lineRule="auto"/>
        <w:tabs>
          <w:tab w:leader="none" w:pos="26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Extensive Regulation of the Health Care Industry Could Adversely Affect the Company’s Health Care Businesses and Results of Operations</w:t>
      </w:r>
    </w:p>
    <w:p>
      <w:pPr>
        <w:spacing w:after="0" w:line="20" w:lineRule="exact"/>
        <w:rPr>
          <w:sz w:val="20"/>
          <w:szCs w:val="20"/>
          <w:color w:val="auto"/>
        </w:rPr>
      </w:pPr>
    </w:p>
    <w:p>
      <w:pPr>
        <w:ind w:right="20"/>
        <w:spacing w:after="0" w:line="224" w:lineRule="auto"/>
        <w:rPr>
          <w:sz w:val="20"/>
          <w:szCs w:val="20"/>
          <w:color w:val="auto"/>
        </w:rPr>
      </w:pPr>
      <w:r>
        <w:rPr>
          <w:rFonts w:ascii="Arial" w:cs="Arial" w:eastAsia="Arial" w:hAnsi="Arial"/>
          <w:sz w:val="18"/>
          <w:szCs w:val="18"/>
          <w:color w:val="auto"/>
        </w:rPr>
        <w:t>The home health and hospice industries are subject to extensive federal, state and local laws, with regulations affecting matters including licensure and certification, quality of services, qualifications of personnel, confidentiality and security of medical records, relationships with physicians and other referral sources, operating policies and procedures, and billing and coding practices. These laws and regulations change frequently, and the manner in which they will be interpreted is subject to change in ways that may not be predicted. Currently, there is significant uncertainty regarding the future of the Patient Protection and Affordable Care Act of 2010, as well as other regulations affecting the home health and hospice industries. Reimbursement for services by third-party payers, including Medicare, Medicaid and private health insurance providers, continues to decline, while authorization and compliance requirements continue to add to the cost of providing those services. Managed-care organizations, hospitals, physician practices and other third-party payers continue to consolidate in response to the evolving regulatory environment, thereby enhancing their ability to influence the delivery of health care services and decreasing the number of organizations serving patients. This consolidation could adversely impact Graham Healthcare Group’s businesses if they are unable to maintain their ability to participate in established networks. Changes in existing laws or regulations, in their interpretation and enforcement, and the enactment of new laws or regulations could have a material adverse effect on the Company’s health care businesses’ operations.</w:t>
      </w:r>
    </w:p>
    <w:p>
      <w:pPr>
        <w:spacing w:after="0" w:line="200" w:lineRule="exact"/>
        <w:rPr>
          <w:sz w:val="20"/>
          <w:szCs w:val="20"/>
          <w:color w:val="auto"/>
        </w:rPr>
      </w:pPr>
    </w:p>
    <w:p>
      <w:pPr>
        <w:spacing w:after="0" w:line="2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80"/>
          </w:cols>
          <w:pgMar w:left="240" w:top="722" w:right="279" w:bottom="1440" w:gutter="0" w:footer="0" w:header="0"/>
        </w:sectPr>
      </w:pPr>
    </w:p>
    <w:bookmarkStart w:id="30" w:name="page31"/>
    <w:bookmarkEnd w:id="30"/>
    <w:p>
      <w:pPr>
        <w:ind w:left="260" w:right="60" w:hanging="252"/>
        <w:spacing w:after="0" w:line="256" w:lineRule="auto"/>
        <w:tabs>
          <w:tab w:leader="none" w:pos="26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System Disruptions and Security Threats to the Company’s Technology Infrastructure Could Have a Material Adverse Effect on Its Businesses</w:t>
      </w:r>
    </w:p>
    <w:p>
      <w:pPr>
        <w:spacing w:after="0" w:line="20" w:lineRule="exact"/>
        <w:rPr>
          <w:sz w:val="20"/>
          <w:szCs w:val="20"/>
          <w:color w:val="auto"/>
        </w:rPr>
      </w:pPr>
    </w:p>
    <w:p>
      <w:pPr>
        <w:ind w:right="80"/>
        <w:spacing w:after="0" w:line="231" w:lineRule="auto"/>
        <w:rPr>
          <w:sz w:val="20"/>
          <w:szCs w:val="20"/>
          <w:color w:val="auto"/>
        </w:rPr>
      </w:pPr>
      <w:r>
        <w:rPr>
          <w:rFonts w:ascii="Arial" w:cs="Arial" w:eastAsia="Arial" w:hAnsi="Arial"/>
          <w:sz w:val="18"/>
          <w:szCs w:val="18"/>
          <w:color w:val="auto"/>
        </w:rPr>
        <w:t>Kaplan’s reputation and ability to attract and retain students is highly dependent on the performance and reliability of its information technology platforms with respect to its online and campus-based education offerings. Kaplan’s delivery of these programs could be negatively affected due to events beyond its control, including natural disasters and network and telecommunications failures. Any such computer system error or failure could result in a significant outage that materially disrupts Kaplan’s online and on-ground operations and could have a material adverse effect on Kaplan’s business.</w:t>
      </w:r>
    </w:p>
    <w:p>
      <w:pPr>
        <w:spacing w:after="0" w:line="111" w:lineRule="exact"/>
        <w:rPr>
          <w:sz w:val="20"/>
          <w:szCs w:val="20"/>
          <w:color w:val="auto"/>
        </w:rPr>
      </w:pPr>
    </w:p>
    <w:p>
      <w:pPr>
        <w:ind w:right="140"/>
        <w:spacing w:after="0" w:line="231" w:lineRule="auto"/>
        <w:rPr>
          <w:sz w:val="20"/>
          <w:szCs w:val="20"/>
          <w:color w:val="auto"/>
        </w:rPr>
      </w:pPr>
      <w:r>
        <w:rPr>
          <w:rFonts w:ascii="Arial" w:cs="Arial" w:eastAsia="Arial" w:hAnsi="Arial"/>
          <w:sz w:val="18"/>
          <w:szCs w:val="18"/>
          <w:color w:val="auto"/>
        </w:rPr>
        <w:t>The Company’s computer networks may also be vulnerable to unauthorized access, computer hackers, computer viruses and other security threats. Despite the Company's efforts to prevent security breaches, including unauthorized access to student and patient data and personally identifiable information, its systems may still be vulnerable to these threats. A user who circumvents security measures could misappropriate proprietary information or cause disruptions or malfunctions in operations. Any of these events could have a material adverse effect on the Company’s business and results of operations.</w:t>
      </w:r>
    </w:p>
    <w:p>
      <w:pPr>
        <w:spacing w:after="0" w:line="109" w:lineRule="exact"/>
        <w:rPr>
          <w:sz w:val="20"/>
          <w:szCs w:val="20"/>
          <w:color w:val="auto"/>
        </w:rPr>
      </w:pPr>
    </w:p>
    <w:p>
      <w:pPr>
        <w:ind w:left="260" w:hanging="252"/>
        <w:spacing w:after="0"/>
        <w:tabs>
          <w:tab w:leader="none" w:pos="26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Failure to Successfully Assimilate Acquired Businesses Could Negatively Affect the Company’s Business</w:t>
      </w:r>
    </w:p>
    <w:p>
      <w:pPr>
        <w:spacing w:after="0" w:line="79" w:lineRule="exact"/>
        <w:rPr>
          <w:sz w:val="20"/>
          <w:szCs w:val="20"/>
          <w:color w:val="auto"/>
        </w:rPr>
      </w:pPr>
    </w:p>
    <w:p>
      <w:pPr>
        <w:spacing w:after="0" w:line="227" w:lineRule="auto"/>
        <w:rPr>
          <w:sz w:val="20"/>
          <w:szCs w:val="20"/>
          <w:color w:val="auto"/>
        </w:rPr>
      </w:pPr>
      <w:r>
        <w:rPr>
          <w:rFonts w:ascii="Arial" w:cs="Arial" w:eastAsia="Arial" w:hAnsi="Arial"/>
          <w:sz w:val="18"/>
          <w:szCs w:val="18"/>
          <w:color w:val="auto"/>
        </w:rPr>
        <w:t>The Company’s Kaplan subsidiary has historically been an active acquirer of businesses that provide educational services. Kaplan completed three acquisitions in 2016 and expects to continue to acquire businesses from time to time, as do the Company and its other subsidiaries. Acquisitions involve various inherent risks and uncertainties, including difficulties in efficiently integrating the service offerings, accounting and other administrative systems of an acquired business; the challenges of assimilating and retaining key personnel; the consequences of diverting the attention of senior management from existing operations; the possibility that an acquired business does not meet or exceed the financial projections that supported the purchase price; and the possible failure of the due diligence process to identify significant business risks or undisclosed liabilities associated with the acquired business. A failure to effectively manage growth and integrate acquired businesses could have a material adverse effect on the Company</w:t>
      </w:r>
      <w:r>
        <w:rPr>
          <w:rFonts w:ascii="Arial" w:cs="Arial" w:eastAsia="Arial" w:hAnsi="Arial"/>
          <w:sz w:val="14"/>
          <w:szCs w:val="14"/>
          <w:b w:val="1"/>
          <w:bCs w:val="1"/>
          <w:color w:val="auto"/>
        </w:rPr>
        <w:t>’</w:t>
      </w:r>
      <w:r>
        <w:rPr>
          <w:rFonts w:ascii="Arial" w:cs="Arial" w:eastAsia="Arial" w:hAnsi="Arial"/>
          <w:sz w:val="18"/>
          <w:szCs w:val="18"/>
          <w:color w:val="auto"/>
        </w:rPr>
        <w:t>s operating results.</w:t>
      </w:r>
    </w:p>
    <w:p>
      <w:pPr>
        <w:spacing w:after="0" w:line="106" w:lineRule="exact"/>
        <w:rPr>
          <w:sz w:val="20"/>
          <w:szCs w:val="20"/>
          <w:color w:val="auto"/>
        </w:rPr>
      </w:pPr>
    </w:p>
    <w:p>
      <w:pPr>
        <w:ind w:left="260" w:hanging="252"/>
        <w:spacing w:after="0"/>
        <w:tabs>
          <w:tab w:leader="none" w:pos="26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Changes in Business Conditions May Cause Goodwill and Other Intangible Assets to Become Impaired</w:t>
      </w:r>
    </w:p>
    <w:p>
      <w:pPr>
        <w:spacing w:after="0" w:line="79" w:lineRule="exact"/>
        <w:rPr>
          <w:sz w:val="20"/>
          <w:szCs w:val="20"/>
          <w:color w:val="auto"/>
        </w:rPr>
      </w:pPr>
    </w:p>
    <w:p>
      <w:pPr>
        <w:ind w:right="220"/>
        <w:spacing w:after="0" w:line="226" w:lineRule="auto"/>
        <w:rPr>
          <w:sz w:val="20"/>
          <w:szCs w:val="20"/>
          <w:color w:val="auto"/>
        </w:rPr>
      </w:pPr>
      <w:r>
        <w:rPr>
          <w:rFonts w:ascii="Arial" w:cs="Arial" w:eastAsia="Arial" w:hAnsi="Arial"/>
          <w:sz w:val="18"/>
          <w:szCs w:val="18"/>
          <w:color w:val="auto"/>
        </w:rPr>
        <w:t>Goodwill generally represents the purchase price paid in excess of the fair value of net tangible and intangible assets acquired in a business combination. Goodwill is not amortized and remains on the Company’s balance sheet indefinitely unless there is an impairment or a sale of a portion of the business. Goodwill is subject to an impairment test on an annual basis and when circumstances indicate that an impairment is more likely than not. Such circumstances include an adverse change in the business climate for one of the Company’s businesses or a decision to dispose of a business or a significant portion of a business. The Company’s businesses each face uncertainty in their business environment due to a variety of factors. The Company may experience unforeseen circumstances that adversely affect the value of the Company’s goodwill or intangible assets and trigger an evaluation of the amount of the recorded goodwill and intangible assets. Future write-offs of goodwill or other intangible assets as a result of an impairment in the business could adversely affect the Company’s results of operations and financial condition.</w:t>
      </w:r>
    </w:p>
    <w:p>
      <w:pPr>
        <w:spacing w:after="0" w:line="108" w:lineRule="exact"/>
        <w:rPr>
          <w:sz w:val="20"/>
          <w:szCs w:val="20"/>
          <w:color w:val="auto"/>
        </w:rPr>
      </w:pPr>
    </w:p>
    <w:p>
      <w:pPr>
        <w:ind w:left="260" w:hanging="252"/>
        <w:spacing w:after="0"/>
        <w:tabs>
          <w:tab w:leader="none" w:pos="260"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The Spin-Off of Cable ONE Could Result in Significant Tax Liability to the Company and its Stockholders</w:t>
      </w:r>
    </w:p>
    <w:p>
      <w:pPr>
        <w:spacing w:after="0" w:line="79" w:lineRule="exact"/>
        <w:rPr>
          <w:sz w:val="20"/>
          <w:szCs w:val="20"/>
          <w:color w:val="auto"/>
        </w:rPr>
      </w:pPr>
    </w:p>
    <w:p>
      <w:pPr>
        <w:jc w:val="both"/>
        <w:ind w:right="60"/>
        <w:spacing w:after="0" w:line="290" w:lineRule="auto"/>
        <w:rPr>
          <w:sz w:val="20"/>
          <w:szCs w:val="20"/>
          <w:color w:val="auto"/>
        </w:rPr>
      </w:pPr>
      <w:r>
        <w:rPr>
          <w:rFonts w:ascii="Arial" w:cs="Arial" w:eastAsia="Arial" w:hAnsi="Arial"/>
          <w:sz w:val="17"/>
          <w:szCs w:val="17"/>
          <w:color w:val="auto"/>
        </w:rPr>
        <w:t>In connection with the Company's spin-off of Cable ONE, it received a written opinion of counsel to the effect that the distribution of Cable ONE common stock in the spin-off (Distribution) should qualify for non-recognition of gain and loss under Section 355 of the Internal Revenue Code.</w:t>
      </w:r>
    </w:p>
    <w:p>
      <w:pPr>
        <w:spacing w:after="0" w:line="68" w:lineRule="exact"/>
        <w:rPr>
          <w:sz w:val="20"/>
          <w:szCs w:val="20"/>
          <w:color w:val="auto"/>
        </w:rPr>
      </w:pPr>
    </w:p>
    <w:p>
      <w:pPr>
        <w:ind w:right="40"/>
        <w:spacing w:after="0" w:line="234" w:lineRule="auto"/>
        <w:rPr>
          <w:sz w:val="20"/>
          <w:szCs w:val="20"/>
          <w:color w:val="auto"/>
        </w:rPr>
      </w:pPr>
      <w:r>
        <w:rPr>
          <w:rFonts w:ascii="Arial" w:cs="Arial" w:eastAsia="Arial" w:hAnsi="Arial"/>
          <w:sz w:val="18"/>
          <w:szCs w:val="18"/>
          <w:color w:val="auto"/>
        </w:rPr>
        <w:t>The opinion assumed that the spin-off was completed according to the terms of the transaction documents for the spin-off and relied on the facts as stated in those documents and a number of other documents. The opinion cannot be relied on if any of these assumptions or statements is incorrect, incomplete or inaccurate in any material respect. The opinion of counsel is not binding on the Internal Revenue Service or the courts, and there can be no assurance that the Internal Revenue Service or a court will not take a contrary position.</w:t>
      </w:r>
    </w:p>
    <w:p>
      <w:pPr>
        <w:spacing w:after="0" w:line="111" w:lineRule="exact"/>
        <w:rPr>
          <w:sz w:val="20"/>
          <w:szCs w:val="20"/>
          <w:color w:val="auto"/>
        </w:rPr>
      </w:pPr>
    </w:p>
    <w:p>
      <w:pPr>
        <w:ind w:right="80"/>
        <w:spacing w:after="0" w:line="227" w:lineRule="auto"/>
        <w:rPr>
          <w:sz w:val="20"/>
          <w:szCs w:val="20"/>
          <w:color w:val="auto"/>
        </w:rPr>
      </w:pPr>
      <w:r>
        <w:rPr>
          <w:rFonts w:ascii="Arial" w:cs="Arial" w:eastAsia="Arial" w:hAnsi="Arial"/>
          <w:sz w:val="18"/>
          <w:szCs w:val="18"/>
          <w:color w:val="auto"/>
        </w:rPr>
        <w:t>If the Distribution were determined not to qualify for non-recognition of gain and loss, the Company's stockholders could be subject to tax. In this case, each U.S. stockholder who received Cable ONE common stock in the Distribution would generally be treated as receiving a distribution in an amount equal to the fair market value of the Cable ONE common stock received in the Distribution, which would generally result in (1) a taxable dividend to the holder to the extent of the holder’s pro rata share of our current and accumulated earnings and profits; (2) a reduction in the holder’s tax basis (but not below zero) in the Company's common stock to the extent the amount received exceeds the holder’s share of our earnings and profits; and (3) a taxable gain from the exchange of the Company's common stock to the extent the amount received exceeds the sum of the holder’s share of the Company's earnings and profits and the holder’s tax basis in the Company's common stock.</w:t>
      </w: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722" w:right="239" w:bottom="1440" w:gutter="0" w:footer="0" w:header="0"/>
        </w:sectPr>
      </w:pPr>
    </w:p>
    <w:bookmarkStart w:id="31" w:name="page32"/>
    <w:bookmarkEnd w:id="31"/>
    <w:p>
      <w:pPr>
        <w:ind w:right="20"/>
        <w:spacing w:after="0" w:line="227" w:lineRule="auto"/>
        <w:rPr>
          <w:sz w:val="20"/>
          <w:szCs w:val="20"/>
          <w:color w:val="auto"/>
        </w:rPr>
      </w:pPr>
      <w:r>
        <w:rPr>
          <w:rFonts w:ascii="Arial" w:cs="Arial" w:eastAsia="Arial" w:hAnsi="Arial"/>
          <w:sz w:val="18"/>
          <w:szCs w:val="18"/>
          <w:color w:val="auto"/>
        </w:rPr>
        <w:t>In addition, Section 355(e) of the Internal Revenue Code generally creates a presumption that the Distribution would be taxable to the Company, but not to the Company's stockholders, if the Company, Cable ONE or any of the Company's respective stockholders were to engage in transactions that result in a 50% or greater change by vote or value in the ownership of the Company's stock or the stock of Cable ONE during the four-year period beginning on the date that begins two years before the date of the Distribution, unless it were established that such transactions and the Distribution were not part of a plan or series of related transactions giving effect to such a change in ownership. If the Distribution were taxable to the Company due to such a 50% or greater change in ownership, the Company would recognize a gain equal to the excess of the fair market value of the Cable ONE common stock distributed to the Company's stockholders in the Distribution over the Company's tax basis in the Cable ONE common stock. Any such tax liability could be material.</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146" w:lineRule="exact"/>
        <w:rPr>
          <w:sz w:val="20"/>
          <w:szCs w:val="20"/>
          <w:color w:val="auto"/>
        </w:rPr>
      </w:pPr>
    </w:p>
    <w:p>
      <w:pPr>
        <w:ind w:right="260"/>
        <w:spacing w:after="0" w:line="260" w:lineRule="auto"/>
        <w:rPr>
          <w:sz w:val="20"/>
          <w:szCs w:val="20"/>
          <w:color w:val="auto"/>
        </w:rPr>
      </w:pPr>
      <w:r>
        <w:rPr>
          <w:rFonts w:ascii="Arial" w:cs="Arial" w:eastAsia="Arial" w:hAnsi="Arial"/>
          <w:sz w:val="18"/>
          <w:szCs w:val="18"/>
          <w:color w:val="auto"/>
        </w:rPr>
        <w:t>The Company leases space for its corporate offices in Arlington, VA. The space consists of 33,815 square feet of office space, and the lease expires in 2024, subject to an option of the Company to extend.</w:t>
      </w:r>
    </w:p>
    <w:p>
      <w:pPr>
        <w:spacing w:after="0" w:line="92" w:lineRule="exact"/>
        <w:rPr>
          <w:sz w:val="20"/>
          <w:szCs w:val="20"/>
          <w:color w:val="auto"/>
        </w:rPr>
      </w:pPr>
    </w:p>
    <w:p>
      <w:pPr>
        <w:ind w:right="260"/>
        <w:spacing w:after="0" w:line="234" w:lineRule="auto"/>
        <w:rPr>
          <w:sz w:val="20"/>
          <w:szCs w:val="20"/>
          <w:color w:val="auto"/>
        </w:rPr>
      </w:pPr>
      <w:r>
        <w:rPr>
          <w:rFonts w:ascii="Arial" w:cs="Arial" w:eastAsia="Arial" w:hAnsi="Arial"/>
          <w:sz w:val="18"/>
          <w:szCs w:val="18"/>
          <w:color w:val="auto"/>
        </w:rPr>
        <w:t>Directly or through its subsidiaries, Kaplan owns a total of four properties: a 30,000-square-foot, six-story building located at 131 West 56th Street in New York City, used by KI English North America as an education center primarily for international students; a redeveloped 47,410-square-foot, four-story brick building in Lincoln, NE, used by Kaplan University; a 4,000-square-foot office condominium in Chapel Hill, NC, utilized by KTP; and a 15,000-square-foot, three-story building in Berkeley, CA, used by KTP and KIC North America.</w:t>
      </w:r>
    </w:p>
    <w:p>
      <w:pPr>
        <w:spacing w:after="0" w:line="111" w:lineRule="exact"/>
        <w:rPr>
          <w:sz w:val="20"/>
          <w:szCs w:val="20"/>
          <w:color w:val="auto"/>
        </w:rPr>
      </w:pPr>
    </w:p>
    <w:p>
      <w:pPr>
        <w:ind w:right="20"/>
        <w:spacing w:after="0" w:line="238" w:lineRule="auto"/>
        <w:rPr>
          <w:sz w:val="20"/>
          <w:szCs w:val="20"/>
          <w:color w:val="auto"/>
        </w:rPr>
      </w:pPr>
      <w:r>
        <w:rPr>
          <w:rFonts w:ascii="Arial" w:cs="Arial" w:eastAsia="Arial" w:hAnsi="Arial"/>
          <w:sz w:val="17"/>
          <w:szCs w:val="17"/>
          <w:color w:val="auto"/>
        </w:rPr>
        <w:t>In the U.S., Kaplan, Inc. and KHE lease corporate offices, together with a data center, call center and employee-training facilities, in two 97,000-square-foot buildings located on adjacent lots in Fort Lauderdale, FL. Both of those leases will expire in 2018. Kaplan, Inc. and KHE share corporate office space in a 22,000-square-foot office building in Alpharetta, GA, under a lease that expires in 2021. KHE leases 62,500 square feet of corporate office space in Chicago, IL, under a lease that will expire in 2022 (of which approximately 21,000 square feet have been subleased through the remainder of the term). KHE also separately leases 76,500 square feet of office space in Chicago, IL; however, the location has been entirely subleased through the remainder of the lease term. In addition, KHE separately leases two corporate offices, totaling 64,128 square feet, in La Crosse, WI, under leases that will expire in 2022; a two-story, 124,500-square-foot building in Orlando, FL, that is used as an additional support center (of which approximately 48,000 square feet have been subleased to a third party), pursuant to a lease that will expire in 2021; and 88,800 square feet of corporate office space in Plantation, FL, for a term that expires in 2021. Kaplan, Inc. and KTP have signed a sublease for 84,500 square feet in New York (expiring in May 2021). Kaplan, Inc. and KTP also separately lease 159,540 square feet in New York; however, the location has been entirely subleased to two different parties through the remainder of the lease term.</w:t>
      </w:r>
    </w:p>
    <w:p>
      <w:pPr>
        <w:spacing w:after="0" w:line="110" w:lineRule="exact"/>
        <w:rPr>
          <w:sz w:val="20"/>
          <w:szCs w:val="20"/>
          <w:color w:val="auto"/>
        </w:rPr>
      </w:pPr>
    </w:p>
    <w:p>
      <w:pPr>
        <w:ind w:right="300"/>
        <w:spacing w:after="0" w:line="260" w:lineRule="auto"/>
        <w:rPr>
          <w:sz w:val="20"/>
          <w:szCs w:val="20"/>
          <w:color w:val="auto"/>
        </w:rPr>
      </w:pPr>
      <w:r>
        <w:rPr>
          <w:rFonts w:ascii="Arial" w:cs="Arial" w:eastAsia="Arial" w:hAnsi="Arial"/>
          <w:sz w:val="18"/>
          <w:szCs w:val="18"/>
          <w:color w:val="auto"/>
        </w:rPr>
        <w:t>In addition, the KI English business maintains more than 50 leases in the U.S., comprising an aggregate of approximately 1.7 million square feet of instructional and dormitory space.</w:t>
      </w:r>
    </w:p>
    <w:p>
      <w:pPr>
        <w:spacing w:after="0" w:line="92"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Overseas, Dublin Business School’s facilities in Dublin, Ireland, are located in five buildings, aggregating approximately 74,000 square feet of space, that are rented under leases expiring between 2017 and 2029. Kaplan Publishing has an office and distribution warehouse in Wokingham, Berkshire, U.K., of 27,000 square feet, under a lease expiring in 2026. Kaplan Financial’s largest leaseholds are office and instructional spaces in London, U.K., of 33,000 square feet (expiring in 2033) and 50,200 square feet (comprising two leases) obtained in January 2015 and expiring in 2030; office and instructional space in Birmingham, U.K., of 23,600 square feet (expiring in 2017); office and instructional space in Manchester, U.K., of 26,900 square feet (comprising five separate leases, one lease of 11,244 square feet expiring in March 2017 and the remaining four separate leases of 15,656 square feet expiring in 2022); office and instructional space in Wales, U.K., of 34,000 square feet (notice to terminate this lease has been served, to expire in December 2016); office and instructional space in Singapore, of 162,000 square feet (comprising five separate leases, expiring between 2016 and 2021); and office and instructional space in Hong Kong, of 30,850 square feet. Palace House in London, which was previously occupied by Kaplan Law School, with 20,200 square feet of space in London, U.K. (comprising four separate leases, expiring in 2017), is now primarily occupied by the KIC Pathways business. In addition, Kaplan has entered into two separate leases in Glasgow, Scotland, for 58,000 square feet and 22,400 square feet, respectively, of dormitory space that was constructed and opened to students in 2012. These leases expire in 2032. In addition, Kaplan leases approximately 143,000 square feet of dormitory space as the main tenant of a student residential building in Nottingham, U.K. Kaplan has further entered into a lease agreement for a residential college in Bournemouth, England, which comprises approximately 175,000 square feet. In Australia, Kaplan leases one location in Melbourne, with an aggregate of approximately 23,000 square feet; four locations in Sydney, of approximately 13,000 square feet; one location in Brisbane, of 39,000 square feet; two locations in Cairns, of 7,000 square feet; and two locations in Adelaide, of 24,750 square</w:t>
      </w: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724" w:right="239" w:bottom="1440" w:gutter="0" w:footer="0" w:header="0"/>
        </w:sectPr>
      </w:pPr>
    </w:p>
    <w:bookmarkStart w:id="32" w:name="page33"/>
    <w:bookmarkEnd w:id="32"/>
    <w:p>
      <w:pPr>
        <w:ind w:right="180"/>
        <w:spacing w:after="0" w:line="231" w:lineRule="auto"/>
        <w:rPr>
          <w:sz w:val="20"/>
          <w:szCs w:val="20"/>
          <w:color w:val="auto"/>
        </w:rPr>
      </w:pPr>
      <w:r>
        <w:rPr>
          <w:rFonts w:ascii="Arial" w:cs="Arial" w:eastAsia="Arial" w:hAnsi="Arial"/>
          <w:sz w:val="18"/>
          <w:szCs w:val="18"/>
          <w:color w:val="auto"/>
        </w:rPr>
        <w:t>feet. These leases expire at various times, from 2017 through 2022. The University of Adelaide College (formerly Bradford College), in Adelaide, Australia, leases one location, with an aggregate of 38,890 square feet; and Murdoch Institute of Technology is housed in one location on the Murdoch University campus, under a license agreement, of 3,750 square feet. In New Zealand, Kaplan leases one location of approximately 10,300 square feet. These leases expire in 2018 and 2021. All other Kaplan facilities in the U.S. and overseas (including administrative offices and instructional locations) occupy leased premises that are for less space than those listed above.</w:t>
      </w:r>
    </w:p>
    <w:p>
      <w:pPr>
        <w:spacing w:after="0" w:line="111" w:lineRule="exact"/>
        <w:rPr>
          <w:sz w:val="20"/>
          <w:szCs w:val="20"/>
          <w:color w:val="auto"/>
        </w:rPr>
      </w:pPr>
    </w:p>
    <w:p>
      <w:pPr>
        <w:jc w:val="both"/>
        <w:ind w:right="300"/>
        <w:spacing w:after="0"/>
        <w:rPr>
          <w:sz w:val="20"/>
          <w:szCs w:val="20"/>
          <w:color w:val="auto"/>
        </w:rPr>
      </w:pPr>
      <w:r>
        <w:rPr>
          <w:rFonts w:ascii="Arial" w:cs="Arial" w:eastAsia="Arial" w:hAnsi="Arial"/>
          <w:sz w:val="18"/>
          <w:szCs w:val="18"/>
          <w:color w:val="auto"/>
        </w:rPr>
        <w:t>The offices of the Company’s broadcasting operations are located in leased space in Chicago, IL. The operations of each of the Company’s television stations are owned by subsidiaries of the Company, as are the related tower sites (except in Houston, Orlando and Jacksonville, where the tower sites are 50% owned).</w:t>
      </w:r>
    </w:p>
    <w:p>
      <w:pPr>
        <w:spacing w:after="0" w:line="108" w:lineRule="exact"/>
        <w:rPr>
          <w:sz w:val="20"/>
          <w:szCs w:val="20"/>
          <w:color w:val="auto"/>
        </w:rPr>
      </w:pPr>
    </w:p>
    <w:p>
      <w:pPr>
        <w:ind w:right="100"/>
        <w:spacing w:after="0" w:line="231" w:lineRule="auto"/>
        <w:rPr>
          <w:sz w:val="20"/>
          <w:szCs w:val="20"/>
          <w:color w:val="auto"/>
        </w:rPr>
      </w:pPr>
      <w:r>
        <w:rPr>
          <w:rFonts w:ascii="Arial" w:cs="Arial" w:eastAsia="Arial" w:hAnsi="Arial"/>
          <w:sz w:val="18"/>
          <w:szCs w:val="18"/>
          <w:color w:val="auto"/>
        </w:rPr>
        <w:t>Celtic’s headquarters office is located in leased space in Mars, PA. This lease expires in 2017. In addition to its headquarters, Celtic leases 13 small office spaces in its various service territories: Carlisle, PA; Mechanicsburg, PA; Williamsport, PA; Harrisburg, PA; Kingston, PA; Milford, PA; Stroudsburg, PA; Rockville, MD; Owings Mills, MD; Shiloh, IL; Marion, IL; Mt. Carmel, IL; and Mt. Vernon, IL. Additionally, Celtic leases space for a hospice inpatient unit in Wilkes-Barre, PA. Celtic also owns a total of four properties located in Carlinville, IL; Centralia, IL; Murphysboro, IL; and Benton, IL.</w:t>
      </w:r>
    </w:p>
    <w:p>
      <w:pPr>
        <w:spacing w:after="0" w:line="111" w:lineRule="exact"/>
        <w:rPr>
          <w:sz w:val="20"/>
          <w:szCs w:val="20"/>
          <w:color w:val="auto"/>
        </w:rPr>
      </w:pPr>
    </w:p>
    <w:p>
      <w:pPr>
        <w:ind w:right="140"/>
        <w:spacing w:after="0" w:line="260" w:lineRule="auto"/>
        <w:rPr>
          <w:sz w:val="20"/>
          <w:szCs w:val="20"/>
          <w:color w:val="auto"/>
        </w:rPr>
      </w:pPr>
      <w:r>
        <w:rPr>
          <w:rFonts w:ascii="Arial" w:cs="Arial" w:eastAsia="Arial" w:hAnsi="Arial"/>
          <w:sz w:val="18"/>
          <w:szCs w:val="18"/>
          <w:color w:val="auto"/>
        </w:rPr>
        <w:t>Residential’s Michigan headquarters offices are located in leased space in Troy, MI. Residential also leases office space in Grand Rapids, MI, and in Lansing, MI. In Illinois, Residential’s main office is located in Downer’s Grove, IL.</w:t>
      </w:r>
    </w:p>
    <w:p>
      <w:pPr>
        <w:spacing w:after="0" w:line="92" w:lineRule="exact"/>
        <w:rPr>
          <w:sz w:val="20"/>
          <w:szCs w:val="20"/>
          <w:color w:val="auto"/>
        </w:rPr>
      </w:pPr>
    </w:p>
    <w:p>
      <w:pPr>
        <w:ind w:right="80"/>
        <w:spacing w:after="0" w:line="234" w:lineRule="auto"/>
        <w:rPr>
          <w:sz w:val="20"/>
          <w:szCs w:val="20"/>
          <w:color w:val="auto"/>
        </w:rPr>
      </w:pPr>
      <w:r>
        <w:rPr>
          <w:rFonts w:ascii="Arial" w:cs="Arial" w:eastAsia="Arial" w:hAnsi="Arial"/>
          <w:sz w:val="18"/>
          <w:szCs w:val="18"/>
          <w:color w:val="auto"/>
        </w:rPr>
        <w:t>Forney has 20,000 square feet of corporate office space in Addison, TX. That lease began in April 2014 and expires in 2024. Forney’s manufacturing facility is located in Monterrey, Mexico, in a building that contains 85,169 square feet of office and manufacturing space under a lease that expires in 2020. Forney also leases sales offices in Shanghai, Beijing and Singapore; the combined office space is less than 3,000 square feet, and the leases are renewable annually.</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Joyce/Dayton owns three properties: its corporate headquarters in Kettering, OH, and manufacturing facilities in Portland, IN, and Clayton, OH.</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It also leases a manufacturing facility in West Hartford, CT.</w:t>
      </w:r>
    </w:p>
    <w:p>
      <w:pPr>
        <w:spacing w:after="0" w:line="13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Dekko owns seven U.S. properties: a 200,600-square-foot headquarters office and manufacturing building in Garrett, IN; a 65,950-square-foot manufacturing building in Avilla, IN; 64,500 square feet of manufacturing and warehouse space in Ardmore, AL; 61,750 square feet of warehouse space in El Paso, TX; and a 22,500-square-foot new product development center in LaOtto, IN. In addition, Dekko owns 126,000 square feet of manufacturing and office space in Juarez, Mexico. In the U.S., Group leases 46,370 square feet of manufacturing and warehouse space in North Webster, IN, under a lease that expires in 2016; a 30,000-square-foot warehouse building in Kendallville, IN, pursuant to a month-to-month lease; and a data/training facility in Kendallville, IN, under a lease expiring in 2020. Dekko also separately leases two office condominiums in Chicago, IL, and Grand Rapids, MI. Both of those leases will expire in 2018. Electri-Cable Assemblies leases 33,208 square feet of manufacturing and warehouse space in Shelton, CT, under a lease that expires in 2021 and 24,324 square feet of manufacturing and warehouse space in Shelton, CT, under a lease that expires in 2020.</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color w:val="auto"/>
        </w:rPr>
        <w:t>The Slate Group leases office space in Brooklyn, NY, and Washington, DC.</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SocialCode leases office space in Washington, DC; New York, NY; San Francisco, CA; Los Angeles, CA; and Chicago, IL.</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46" w:lineRule="exact"/>
        <w:rPr>
          <w:sz w:val="20"/>
          <w:szCs w:val="20"/>
          <w:color w:val="auto"/>
        </w:rPr>
      </w:pPr>
    </w:p>
    <w:p>
      <w:pPr>
        <w:ind w:right="160"/>
        <w:spacing w:after="0" w:line="229" w:lineRule="auto"/>
        <w:rPr>
          <w:sz w:val="20"/>
          <w:szCs w:val="20"/>
          <w:color w:val="auto"/>
        </w:rPr>
      </w:pPr>
      <w:r>
        <w:rPr>
          <w:rFonts w:ascii="Arial" w:cs="Arial" w:eastAsia="Arial" w:hAnsi="Arial"/>
          <w:sz w:val="18"/>
          <w:szCs w:val="18"/>
          <w:color w:val="auto"/>
        </w:rPr>
        <w:t>On February 6, 2008, a purported class-action lawsuit was filed in the U.S. District Court for the Central District of California by purchasers of BAR/BRI bar review courses, from July 2006 onward, alleging antitrust claims against Kaplan and West Publishing Corporation, BAR/BRI’s former owner. On April 10, 2008, the court granted defendants’ motion to dismiss, a decision that was reversed by the Ninth Circuit Court of Appeals on November 7, 2011. The Ninth Circuit also referred the matter to a mediator for the purpose of exploring a settlement. In the fourth quarter of 2012, the parties reached a comprehensive agreement to settle the matter. The settlement was approved by the District Court in September 2013 and will be administered following the resolution of appeals relating to attorney fees.</w:t>
      </w:r>
    </w:p>
    <w:p>
      <w:pPr>
        <w:spacing w:after="0" w:line="112" w:lineRule="exact"/>
        <w:rPr>
          <w:sz w:val="20"/>
          <w:szCs w:val="20"/>
          <w:color w:val="auto"/>
        </w:rPr>
      </w:pPr>
    </w:p>
    <w:p>
      <w:pPr>
        <w:ind w:right="180"/>
        <w:spacing w:after="0" w:line="229" w:lineRule="auto"/>
        <w:rPr>
          <w:sz w:val="20"/>
          <w:szCs w:val="20"/>
          <w:color w:val="auto"/>
        </w:rPr>
      </w:pPr>
      <w:r>
        <w:rPr>
          <w:rFonts w:ascii="Arial" w:cs="Arial" w:eastAsia="Arial" w:hAnsi="Arial"/>
          <w:sz w:val="18"/>
          <w:szCs w:val="18"/>
          <w:color w:val="auto"/>
        </w:rPr>
        <w:t>On or about January 17, 2008, an Assistant U.S. Attorney in the Civil Division of the U.S. Attorney’s Office for the Eastern District of Pennsylvania contacted KHE’s former Broomall campus and made inquiries about the Surgical Technology program, including the program’s eligibility for Title IV U.S. Federal financial aid, the program’s student loan defaults, licensing and accreditation. Kaplan responded to the information requests and fully cooperated with the inquiry. The ED also conducted a program review at the Broomall campus, and Kaplan likewise cooperated with the program review. On July 22, 2011, the U.S. Attorney’s Office for the Eastern District of Pennsylvania announced that it had entered into a comprehensive settlement agreement with Kaplan that resolved the U.S. Attorney’s</w:t>
      </w:r>
    </w:p>
    <w:p>
      <w:pPr>
        <w:spacing w:after="0" w:line="200" w:lineRule="exact"/>
        <w:rPr>
          <w:sz w:val="20"/>
          <w:szCs w:val="20"/>
          <w:color w:val="auto"/>
        </w:rPr>
      </w:pPr>
    </w:p>
    <w:p>
      <w:pPr>
        <w:spacing w:after="0" w:line="27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80"/>
          </w:cols>
          <w:pgMar w:left="240" w:top="724" w:right="279" w:bottom="1440" w:gutter="0" w:footer="0" w:header="0"/>
        </w:sectPr>
      </w:pPr>
    </w:p>
    <w:bookmarkStart w:id="33" w:name="page34"/>
    <w:bookmarkEnd w:id="33"/>
    <w:p>
      <w:pPr>
        <w:ind w:right="20"/>
        <w:spacing w:after="0" w:line="229" w:lineRule="auto"/>
        <w:rPr>
          <w:sz w:val="20"/>
          <w:szCs w:val="20"/>
          <w:color w:val="auto"/>
        </w:rPr>
      </w:pPr>
      <w:r>
        <w:rPr>
          <w:rFonts w:ascii="Arial" w:cs="Arial" w:eastAsia="Arial" w:hAnsi="Arial"/>
          <w:sz w:val="18"/>
          <w:szCs w:val="18"/>
          <w:color w:val="auto"/>
        </w:rPr>
        <w:t>inquiry, provided for the conclusion of the ED’s program review and also settled a previously sealed U.S. Federal False Claims Act (False Claims Act) complaint that had been filed by a former employee of the CHI-Broomall campus. The total amount of all required payments by Broomall under the agreements was $1.6 million. Pursuant to the comprehensive settlement agreement, the U.S. Attorney inquiry has been closed, the False Claims Act complaint (</w:t>
      </w:r>
      <w:r>
        <w:rPr>
          <w:rFonts w:ascii="Arial" w:cs="Arial" w:eastAsia="Arial" w:hAnsi="Arial"/>
          <w:sz w:val="18"/>
          <w:szCs w:val="18"/>
          <w:i w:val="1"/>
          <w:iCs w:val="1"/>
          <w:color w:val="auto"/>
        </w:rPr>
        <w:t>United States of America</w:t>
      </w:r>
      <w:r>
        <w:rPr>
          <w:rFonts w:ascii="Arial" w:cs="Arial" w:eastAsia="Arial" w:hAnsi="Arial"/>
          <w:sz w:val="18"/>
          <w:szCs w:val="18"/>
          <w:color w:val="auto"/>
        </w:rPr>
        <w:t xml:space="preserve"> ex rel. </w:t>
      </w:r>
      <w:r>
        <w:rPr>
          <w:rFonts w:ascii="Arial" w:cs="Arial" w:eastAsia="Arial" w:hAnsi="Arial"/>
          <w:sz w:val="18"/>
          <w:szCs w:val="18"/>
          <w:i w:val="1"/>
          <w:iCs w:val="1"/>
          <w:color w:val="auto"/>
        </w:rPr>
        <w:t>David Goodstein</w:t>
      </w:r>
      <w:r>
        <w:rPr>
          <w:rFonts w:ascii="Arial" w:cs="Arial" w:eastAsia="Arial" w:hAnsi="Arial"/>
          <w:sz w:val="18"/>
          <w:szCs w:val="18"/>
          <w:color w:val="auto"/>
        </w:rPr>
        <w:t xml:space="preserve"> v. </w:t>
      </w:r>
      <w:r>
        <w:rPr>
          <w:rFonts w:ascii="Arial" w:cs="Arial" w:eastAsia="Arial" w:hAnsi="Arial"/>
          <w:sz w:val="18"/>
          <w:szCs w:val="18"/>
          <w:i w:val="1"/>
          <w:iCs w:val="1"/>
          <w:color w:val="auto"/>
        </w:rPr>
        <w:t>Kaplan, Inc.</w:t>
      </w:r>
      <w:r>
        <w:rPr>
          <w:rFonts w:ascii="Arial" w:cs="Arial" w:eastAsia="Arial" w:hAnsi="Arial"/>
          <w:sz w:val="18"/>
          <w:szCs w:val="18"/>
          <w:color w:val="auto"/>
        </w:rPr>
        <w:t xml:space="preserve"> et al.) was dismissed with prejudice and the ED will issue a final program review determination. However, to date, the ED has not issued the final report. At this time, Kaplan cannot predict the contents of the pending final program review determination or the ultimate impact the proceedings may have on Kaplan.</w:t>
      </w:r>
    </w:p>
    <w:p>
      <w:pPr>
        <w:spacing w:after="0" w:line="112" w:lineRule="exact"/>
        <w:rPr>
          <w:sz w:val="20"/>
          <w:szCs w:val="20"/>
          <w:color w:val="auto"/>
        </w:rPr>
      </w:pPr>
    </w:p>
    <w:p>
      <w:pPr>
        <w:ind w:right="100"/>
        <w:spacing w:after="0" w:line="231" w:lineRule="auto"/>
        <w:rPr>
          <w:sz w:val="20"/>
          <w:szCs w:val="20"/>
          <w:color w:val="auto"/>
        </w:rPr>
      </w:pPr>
      <w:r>
        <w:rPr>
          <w:rFonts w:ascii="Arial" w:cs="Arial" w:eastAsia="Arial" w:hAnsi="Arial"/>
          <w:sz w:val="18"/>
          <w:szCs w:val="18"/>
          <w:color w:val="auto"/>
        </w:rPr>
        <w:t xml:space="preserve">During 2014, certain Kaplan subsidiaries were subject to two other unsealed cases filed by former employees that include, among other allegations, claims under the False Claims Act relating to eligibility for Title IV funding. The U.S. Government declined to intervene in all cases, and, as previously reported, court decisions either dismissed the cases in their entirety or narrowed the scope of their allegations. The two cases are captioned </w:t>
      </w:r>
      <w:r>
        <w:rPr>
          <w:rFonts w:ascii="Arial" w:cs="Arial" w:eastAsia="Arial" w:hAnsi="Arial"/>
          <w:sz w:val="18"/>
          <w:szCs w:val="18"/>
          <w:i w:val="1"/>
          <w:iCs w:val="1"/>
          <w:color w:val="auto"/>
        </w:rPr>
        <w:t>United States of America</w:t>
      </w:r>
      <w:r>
        <w:rPr>
          <w:rFonts w:ascii="Arial" w:cs="Arial" w:eastAsia="Arial" w:hAnsi="Arial"/>
          <w:sz w:val="18"/>
          <w:szCs w:val="18"/>
          <w:color w:val="auto"/>
        </w:rPr>
        <w:t xml:space="preserve"> ex rel. </w:t>
      </w:r>
      <w:r>
        <w:rPr>
          <w:rFonts w:ascii="Arial" w:cs="Arial" w:eastAsia="Arial" w:hAnsi="Arial"/>
          <w:sz w:val="18"/>
          <w:szCs w:val="18"/>
          <w:i w:val="1"/>
          <w:iCs w:val="1"/>
          <w:color w:val="auto"/>
        </w:rPr>
        <w:t>Carlos Urquilla-Diaz</w:t>
      </w:r>
      <w:r>
        <w:rPr>
          <w:rFonts w:ascii="Arial" w:cs="Arial" w:eastAsia="Arial" w:hAnsi="Arial"/>
          <w:sz w:val="18"/>
          <w:szCs w:val="18"/>
          <w:color w:val="auto"/>
        </w:rPr>
        <w:t xml:space="preserve"> et al. v. </w:t>
      </w:r>
      <w:r>
        <w:rPr>
          <w:rFonts w:ascii="Arial" w:cs="Arial" w:eastAsia="Arial" w:hAnsi="Arial"/>
          <w:sz w:val="18"/>
          <w:szCs w:val="18"/>
          <w:i w:val="1"/>
          <w:iCs w:val="1"/>
          <w:color w:val="auto"/>
        </w:rPr>
        <w:t>Kaplan University</w:t>
      </w:r>
      <w:r>
        <w:rPr>
          <w:rFonts w:ascii="Arial" w:cs="Arial" w:eastAsia="Arial" w:hAnsi="Arial"/>
          <w:sz w:val="18"/>
          <w:szCs w:val="18"/>
          <w:color w:val="auto"/>
        </w:rPr>
        <w:t xml:space="preserve"> et al. (unsealed March 25, 2008) and </w:t>
      </w:r>
      <w:r>
        <w:rPr>
          <w:rFonts w:ascii="Arial" w:cs="Arial" w:eastAsia="Arial" w:hAnsi="Arial"/>
          <w:sz w:val="18"/>
          <w:szCs w:val="18"/>
          <w:i w:val="1"/>
          <w:iCs w:val="1"/>
          <w:color w:val="auto"/>
        </w:rPr>
        <w:t xml:space="preserve">United States of America </w:t>
      </w:r>
      <w:r>
        <w:rPr>
          <w:rFonts w:ascii="Arial" w:cs="Arial" w:eastAsia="Arial" w:hAnsi="Arial"/>
          <w:sz w:val="18"/>
          <w:szCs w:val="18"/>
          <w:color w:val="auto"/>
        </w:rPr>
        <w:t>ex rel.</w:t>
      </w:r>
      <w:r>
        <w:rPr>
          <w:rFonts w:ascii="Arial" w:cs="Arial" w:eastAsia="Arial" w:hAnsi="Arial"/>
          <w:sz w:val="18"/>
          <w:szCs w:val="18"/>
          <w:i w:val="1"/>
          <w:iCs w:val="1"/>
          <w:color w:val="auto"/>
        </w:rPr>
        <w:t xml:space="preserve"> Charles Jajdelski </w:t>
      </w:r>
      <w:r>
        <w:rPr>
          <w:rFonts w:ascii="Arial" w:cs="Arial" w:eastAsia="Arial" w:hAnsi="Arial"/>
          <w:sz w:val="18"/>
          <w:szCs w:val="18"/>
          <w:color w:val="auto"/>
        </w:rPr>
        <w:t>v.</w:t>
      </w:r>
      <w:r>
        <w:rPr>
          <w:rFonts w:ascii="Arial" w:cs="Arial" w:eastAsia="Arial" w:hAnsi="Arial"/>
          <w:sz w:val="18"/>
          <w:szCs w:val="18"/>
          <w:i w:val="1"/>
          <w:iCs w:val="1"/>
          <w:color w:val="auto"/>
        </w:rPr>
        <w:t xml:space="preserve"> Kaplan Higher Education Corp. </w:t>
      </w:r>
      <w:r>
        <w:rPr>
          <w:rFonts w:ascii="Arial" w:cs="Arial" w:eastAsia="Arial" w:hAnsi="Arial"/>
          <w:sz w:val="18"/>
          <w:szCs w:val="18"/>
          <w:color w:val="auto"/>
        </w:rPr>
        <w:t>et al. (unsealed January 6, 2009).</w:t>
      </w:r>
    </w:p>
    <w:p>
      <w:pPr>
        <w:spacing w:after="0" w:line="111" w:lineRule="exact"/>
        <w:rPr>
          <w:sz w:val="20"/>
          <w:szCs w:val="20"/>
          <w:color w:val="auto"/>
        </w:rPr>
      </w:pPr>
    </w:p>
    <w:p>
      <w:pPr>
        <w:spacing w:after="0" w:line="224" w:lineRule="auto"/>
        <w:rPr>
          <w:sz w:val="20"/>
          <w:szCs w:val="20"/>
          <w:color w:val="auto"/>
        </w:rPr>
      </w:pPr>
      <w:r>
        <w:rPr>
          <w:rFonts w:ascii="Arial" w:cs="Arial" w:eastAsia="Arial" w:hAnsi="Arial"/>
          <w:sz w:val="18"/>
          <w:szCs w:val="18"/>
          <w:color w:val="auto"/>
        </w:rPr>
        <w:t>On August 17, 2011, the U.S. District Court for the Southern District of Florida issued a series of rulings in the Diaz case, which included three separate complaints: Diaz, Wilcox and Gillespie. The court dismissed the Wilcox complaint in its entirety; dismissed all False Claims Act allegations in the Diaz complaint, leaving only an individual employment claim; and dismissed in part the Gillespie complaint, thereby limiting the scope and time frame of its False Claims Act allegations regarding compliance with the U.S. Federal Rehabilitation Act. On October 31, 2012, the court entered summary judgment in favor of the Company as to the sole remaining employment claim in the Diaz complaint. On July 16, 2013, the court likewise entered summary judgment in favor of the Company on all remaining claims in the Gillespie complaint. Diaz and Gillespie each appealed to the U.S. Court of Appeals for the Eleventh Judicial Circuit. Arguments on both appeals were heard on February 3, 2015. On March 11, 2015, the appellate court issued a decision affirming the lower court’s dismissal of all of Gillespie</w:t>
      </w:r>
      <w:r>
        <w:rPr>
          <w:rFonts w:ascii="Arial" w:cs="Arial" w:eastAsia="Arial" w:hAnsi="Arial"/>
          <w:sz w:val="14"/>
          <w:szCs w:val="14"/>
          <w:b w:val="1"/>
          <w:bCs w:val="1"/>
          <w:color w:val="auto"/>
        </w:rPr>
        <w:t>’</w:t>
      </w:r>
      <w:r>
        <w:rPr>
          <w:rFonts w:ascii="Arial" w:cs="Arial" w:eastAsia="Arial" w:hAnsi="Arial"/>
          <w:sz w:val="18"/>
          <w:szCs w:val="18"/>
          <w:color w:val="auto"/>
        </w:rPr>
        <w:t>s claims, however Gillespie continues to file challenges to the appellate decision. The appellate court also dismissed three of the four Diaz claims, but reversed and remanded on Diaz</w:t>
      </w:r>
      <w:r>
        <w:rPr>
          <w:rFonts w:ascii="Arial" w:cs="Arial" w:eastAsia="Arial" w:hAnsi="Arial"/>
          <w:sz w:val="14"/>
          <w:szCs w:val="14"/>
          <w:b w:val="1"/>
          <w:bCs w:val="1"/>
          <w:color w:val="auto"/>
        </w:rPr>
        <w:t>’</w:t>
      </w:r>
      <w:r>
        <w:rPr>
          <w:rFonts w:ascii="Arial" w:cs="Arial" w:eastAsia="Arial" w:hAnsi="Arial"/>
          <w:sz w:val="18"/>
          <w:szCs w:val="18"/>
          <w:color w:val="auto"/>
        </w:rPr>
        <w:t>s claim that incentive compensation for admissions representatives was improperly based solely on enrollment counts. Kaplan filed an answer to Diaz</w:t>
      </w:r>
      <w:r>
        <w:rPr>
          <w:rFonts w:ascii="Arial" w:cs="Arial" w:eastAsia="Arial" w:hAnsi="Arial"/>
          <w:sz w:val="14"/>
          <w:szCs w:val="14"/>
          <w:b w:val="1"/>
          <w:bCs w:val="1"/>
          <w:color w:val="auto"/>
        </w:rPr>
        <w:t>’</w:t>
      </w:r>
      <w:r>
        <w:rPr>
          <w:rFonts w:ascii="Arial" w:cs="Arial" w:eastAsia="Arial" w:hAnsi="Arial"/>
          <w:sz w:val="18"/>
          <w:szCs w:val="18"/>
          <w:color w:val="auto"/>
        </w:rPr>
        <w:t>s amended complaint on September 11, 2015. Kaplan filed a motion to dismiss Diaz's claims, and a hearing was held on December 17, 2015. On March 24, 2016, the Court denied the motion to dismiss. Discovery in the case closed in January 2017. Kaplan filed a motion for summary judgment on February 21, 2017. A trial, if needed, is scheduled for July 10, 2017.</w:t>
      </w:r>
    </w:p>
    <w:p>
      <w:pPr>
        <w:spacing w:after="0" w:line="109" w:lineRule="exact"/>
        <w:rPr>
          <w:sz w:val="20"/>
          <w:szCs w:val="20"/>
          <w:color w:val="auto"/>
        </w:rPr>
      </w:pPr>
    </w:p>
    <w:p>
      <w:pPr>
        <w:spacing w:after="0" w:line="229" w:lineRule="auto"/>
        <w:rPr>
          <w:sz w:val="20"/>
          <w:szCs w:val="20"/>
          <w:color w:val="auto"/>
        </w:rPr>
      </w:pPr>
      <w:r>
        <w:rPr>
          <w:rFonts w:ascii="Arial" w:cs="Arial" w:eastAsia="Arial" w:hAnsi="Arial"/>
          <w:sz w:val="18"/>
          <w:szCs w:val="18"/>
          <w:color w:val="auto"/>
        </w:rPr>
        <w:t>On July 7, 2011, the U.S. District Court for the District of Nevada dismissed the Jajdelski complaint in its entirety and entered a final judgment in favor of Kaplan. On February 13, 2013, the U.S. Circuit Court for the Ninth Judicial Circuit affirmed the dismissal in part and reversed the dismissal on one allegation under the False Claims Act relating to eligibility for Title IV funding based on claims of false attendance. The surviving claim was remanded to the District Court, where Kaplan was again granted summary judgment on March 9, 2015. Plaintiff has appealed this judgment and briefing is complete. Despite the sale of the nationally accredited Kaplan Higher Education Campuses business, Kaplan retains liability for these claims.</w:t>
      </w:r>
    </w:p>
    <w:p>
      <w:pPr>
        <w:spacing w:after="0" w:line="112" w:lineRule="exact"/>
        <w:rPr>
          <w:sz w:val="20"/>
          <w:szCs w:val="20"/>
          <w:color w:val="auto"/>
        </w:rPr>
      </w:pPr>
    </w:p>
    <w:p>
      <w:pPr>
        <w:ind w:right="40"/>
        <w:spacing w:after="0" w:line="231" w:lineRule="auto"/>
        <w:rPr>
          <w:sz w:val="20"/>
          <w:szCs w:val="20"/>
          <w:color w:val="auto"/>
        </w:rPr>
      </w:pPr>
      <w:r>
        <w:rPr>
          <w:rFonts w:ascii="Arial" w:cs="Arial" w:eastAsia="Arial" w:hAnsi="Arial"/>
          <w:sz w:val="18"/>
          <w:szCs w:val="18"/>
          <w:color w:val="auto"/>
        </w:rPr>
        <w:t>On December 22, 2014, a former student representative filed a purported class- and collective-action lawsuit in the U.S. District Court for the Northern District of Illinois, in which she asserts claims under the Illinois Minimum Wage Law and the Fair Labor Standards Act (FLSA) (</w:t>
      </w:r>
      <w:r>
        <w:rPr>
          <w:rFonts w:ascii="Arial" w:cs="Arial" w:eastAsia="Arial" w:hAnsi="Arial"/>
          <w:sz w:val="18"/>
          <w:szCs w:val="18"/>
          <w:i w:val="1"/>
          <w:iCs w:val="1"/>
          <w:color w:val="auto"/>
        </w:rPr>
        <w:t>Sharon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Freeman </w:t>
      </w:r>
      <w:r>
        <w:rPr>
          <w:rFonts w:ascii="Arial" w:cs="Arial" w:eastAsia="Arial" w:hAnsi="Arial"/>
          <w:sz w:val="18"/>
          <w:szCs w:val="18"/>
          <w:color w:val="auto"/>
        </w:rPr>
        <w:t>v</w:t>
      </w:r>
      <w:r>
        <w:rPr>
          <w:rFonts w:ascii="Arial" w:cs="Arial" w:eastAsia="Arial" w:hAnsi="Arial"/>
          <w:sz w:val="18"/>
          <w:szCs w:val="18"/>
          <w:i w:val="1"/>
          <w:iCs w:val="1"/>
          <w:color w:val="auto"/>
        </w:rPr>
        <w:t>. Kaplan, Inc.</w:t>
      </w:r>
      <w:r>
        <w:rPr>
          <w:rFonts w:ascii="Arial" w:cs="Arial" w:eastAsia="Arial" w:hAnsi="Arial"/>
          <w:sz w:val="18"/>
          <w:szCs w:val="18"/>
          <w:color w:val="auto"/>
        </w:rPr>
        <w:t>). The plaintiff alleges that she and other law students who were student representatives, on their respective law school</w:t>
      </w:r>
      <w:r>
        <w:rPr>
          <w:rFonts w:ascii="Arial" w:cs="Arial" w:eastAsia="Arial" w:hAnsi="Arial"/>
          <w:sz w:val="18"/>
          <w:szCs w:val="18"/>
          <w:i w:val="1"/>
          <w:iCs w:val="1"/>
          <w:color w:val="auto"/>
        </w:rPr>
        <w:t xml:space="preserve"> </w:t>
      </w:r>
      <w:r>
        <w:rPr>
          <w:rFonts w:ascii="Arial" w:cs="Arial" w:eastAsia="Arial" w:hAnsi="Arial"/>
          <w:sz w:val="18"/>
          <w:szCs w:val="18"/>
          <w:color w:val="auto"/>
        </w:rPr>
        <w:t>campuses, of Kaplan’s bar exam preparation business should have been classified as employees and paid minimum wage. The parties reached an agreement to settle this matter, and in June, the settlement was approved by the District Court.</w:t>
      </w:r>
    </w:p>
    <w:p>
      <w:pPr>
        <w:spacing w:after="0" w:line="111" w:lineRule="exact"/>
        <w:rPr>
          <w:sz w:val="20"/>
          <w:szCs w:val="20"/>
          <w:color w:val="auto"/>
        </w:rPr>
      </w:pPr>
    </w:p>
    <w:p>
      <w:pPr>
        <w:ind w:right="120"/>
        <w:spacing w:after="0" w:line="231" w:lineRule="auto"/>
        <w:rPr>
          <w:sz w:val="20"/>
          <w:szCs w:val="20"/>
          <w:color w:val="auto"/>
        </w:rPr>
      </w:pPr>
      <w:r>
        <w:rPr>
          <w:rFonts w:ascii="Arial" w:cs="Arial" w:eastAsia="Arial" w:hAnsi="Arial"/>
          <w:sz w:val="18"/>
          <w:szCs w:val="18"/>
          <w:color w:val="auto"/>
        </w:rPr>
        <w:t>On February 7, 2011, KHE received a Civil Investigative Demand from the Office of the Attorney General of the State of Illinois. The demand primarily sought information pertaining to Kaplan University’s online students who are residents of Illinois. KHE has cooperated with the Illinois Attorney General and provided the requested information. Although the matter is not technically closed and KHE may receive further requests for information from the Illinois Attorney General, there has been no such further correspondence over the past five years to date. The Company cannot predict the outcome of this inquiry.</w:t>
      </w:r>
    </w:p>
    <w:p>
      <w:pPr>
        <w:spacing w:after="0" w:line="111" w:lineRule="exact"/>
        <w:rPr>
          <w:sz w:val="20"/>
          <w:szCs w:val="20"/>
          <w:color w:val="auto"/>
        </w:rPr>
      </w:pPr>
    </w:p>
    <w:p>
      <w:pPr>
        <w:ind w:right="180"/>
        <w:spacing w:after="0" w:line="231" w:lineRule="auto"/>
        <w:rPr>
          <w:sz w:val="20"/>
          <w:szCs w:val="20"/>
          <w:color w:val="auto"/>
        </w:rPr>
      </w:pPr>
      <w:r>
        <w:rPr>
          <w:rFonts w:ascii="Arial" w:cs="Arial" w:eastAsia="Arial" w:hAnsi="Arial"/>
          <w:sz w:val="18"/>
          <w:szCs w:val="18"/>
          <w:color w:val="auto"/>
        </w:rPr>
        <w:t>On July 20, 2011, KHE received a subpoena from the Office of the Attorney General of the State of Delaware. The demand primarily sought information pertaining to Kaplan University’s online students and Kaplan Higher Education Campuses’ former students who are residents of Delaware. KHE has cooperated with the Delaware Attorney General and provided the information requested in the subpoena. Although the matter is not technically closed and KHE may receive further requests for information from the Delaware Attorney General, there has been no such further correspondence over the past five years to date. The Company cannot predict the outcome of this inquiry.</w:t>
      </w:r>
    </w:p>
    <w:p>
      <w:pPr>
        <w:spacing w:after="0" w:line="111" w:lineRule="exact"/>
        <w:rPr>
          <w:sz w:val="20"/>
          <w:szCs w:val="20"/>
          <w:color w:val="auto"/>
        </w:rPr>
      </w:pPr>
    </w:p>
    <w:p>
      <w:pPr>
        <w:ind w:right="80"/>
        <w:spacing w:after="0"/>
        <w:rPr>
          <w:sz w:val="20"/>
          <w:szCs w:val="20"/>
          <w:color w:val="auto"/>
        </w:rPr>
      </w:pPr>
      <w:r>
        <w:rPr>
          <w:rFonts w:ascii="Arial" w:cs="Arial" w:eastAsia="Arial" w:hAnsi="Arial"/>
          <w:sz w:val="18"/>
          <w:szCs w:val="18"/>
          <w:color w:val="auto"/>
        </w:rPr>
        <w:t>On January 16, 2012, prior to Kaplan’s sale of the Kidum Group in Israel, the Kidum Group received notice of a putative class-action complaint against the Kidum Group’s Wall Street Institute business, alleging violations of Israeli consumer protection law in connection with certain enrollment and refund policies. Kaplan has continuing</w:t>
      </w: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724" w:right="239" w:bottom="1440" w:gutter="0" w:footer="0" w:header="0"/>
        </w:sectPr>
      </w:pPr>
    </w:p>
    <w:bookmarkStart w:id="34" w:name="page35"/>
    <w:bookmarkEnd w:id="34"/>
    <w:p>
      <w:pPr>
        <w:ind w:right="80"/>
        <w:spacing w:after="0" w:line="231" w:lineRule="auto"/>
        <w:rPr>
          <w:sz w:val="20"/>
          <w:szCs w:val="20"/>
          <w:color w:val="auto"/>
        </w:rPr>
      </w:pPr>
      <w:r>
        <w:rPr>
          <w:rFonts w:ascii="Arial" w:cs="Arial" w:eastAsia="Arial" w:hAnsi="Arial"/>
          <w:sz w:val="18"/>
          <w:szCs w:val="18"/>
          <w:color w:val="auto"/>
        </w:rPr>
        <w:t>obligations to the purchaser under the terms of the agreement of sale. In January 2016, Israel’s Central District Court issued a ruling allowing the case to proceed as a class action. Plaintiffs filed an amended claim on May 3, 2016, in order to comply with the court’s class certification order. Kidum filed its statement of defense to the amended claim on September 15, 2016, and plaintiffs filed their reply on November 15, 2016. A pre-trial hearing was held on November 20, 2016, and discovery began in January. At this time, the Company cannot predict the outcome of this matter.</w:t>
      </w:r>
    </w:p>
    <w:p>
      <w:pPr>
        <w:spacing w:after="0" w:line="111" w:lineRule="exact"/>
        <w:rPr>
          <w:sz w:val="20"/>
          <w:szCs w:val="20"/>
          <w:color w:val="auto"/>
        </w:rPr>
      </w:pPr>
    </w:p>
    <w:p>
      <w:pPr>
        <w:ind w:right="40"/>
        <w:spacing w:after="0" w:line="229" w:lineRule="auto"/>
        <w:rPr>
          <w:sz w:val="20"/>
          <w:szCs w:val="20"/>
          <w:color w:val="auto"/>
        </w:rPr>
      </w:pPr>
      <w:r>
        <w:rPr>
          <w:rFonts w:ascii="Arial" w:cs="Arial" w:eastAsia="Arial" w:hAnsi="Arial"/>
          <w:sz w:val="18"/>
          <w:szCs w:val="18"/>
          <w:color w:val="auto"/>
        </w:rPr>
        <w:t>On September 30, 2016, a purported class-action lawsuit was filed against KHE and Education Corporation of America d/b/a Brightwood College, in Alameda County Superior Court, in Oakland, CA, by Donna Hillman alleging violations of California wage and hour laws as they apply to “adjunct” or part-time faculty. The complaint seeks a declaratory judgment that Kaplan violated the California Labor Code and an award of damages for allegedly unpaid wages, penalties under the California Labor Code, interest and attorney’s fees. A response and general denial was filed on November 2, 2016. KHE moved to transfer the venue to Sacramento, CA. Mediation has been set for March 7, 2017. At this time, the Company cannot predict the outcome of this matter.</w:t>
      </w:r>
    </w:p>
    <w:p>
      <w:pPr>
        <w:spacing w:after="0" w:line="112" w:lineRule="exact"/>
        <w:rPr>
          <w:sz w:val="20"/>
          <w:szCs w:val="20"/>
          <w:color w:val="auto"/>
        </w:rPr>
      </w:pPr>
    </w:p>
    <w:p>
      <w:pPr>
        <w:ind w:right="180"/>
        <w:spacing w:after="0" w:line="234" w:lineRule="auto"/>
        <w:rPr>
          <w:sz w:val="20"/>
          <w:szCs w:val="20"/>
          <w:color w:val="auto"/>
        </w:rPr>
      </w:pPr>
      <w:r>
        <w:rPr>
          <w:rFonts w:ascii="Arial" w:cs="Arial" w:eastAsia="Arial" w:hAnsi="Arial"/>
          <w:sz w:val="18"/>
          <w:szCs w:val="18"/>
          <w:color w:val="auto"/>
        </w:rPr>
        <w:t>On March 28, 2016, a purported class-action lawsuit was filed in the U.S. District Court for the Northern District of Illinois by Erin Fries, a physical therapist formerly employed by Residential, against Residential Home Health, LLC, Residential Home Health Illinois, LLC, and David Curtis. The complaint alleges violations of the FLSA and the Illinois minimum wage law. The complaint seeks damages, attorney’s fees and costs. At this time, the Company cannot predict the outcome of this matter.</w:t>
      </w:r>
    </w:p>
    <w:p>
      <w:pPr>
        <w:spacing w:after="0" w:line="111" w:lineRule="exact"/>
        <w:rPr>
          <w:sz w:val="20"/>
          <w:szCs w:val="20"/>
          <w:color w:val="auto"/>
        </w:rPr>
      </w:pPr>
    </w:p>
    <w:p>
      <w:pPr>
        <w:ind w:right="120"/>
        <w:spacing w:after="0" w:line="229" w:lineRule="auto"/>
        <w:rPr>
          <w:sz w:val="20"/>
          <w:szCs w:val="20"/>
          <w:color w:val="auto"/>
        </w:rPr>
      </w:pPr>
      <w:r>
        <w:rPr>
          <w:rFonts w:ascii="Arial" w:cs="Arial" w:eastAsia="Arial" w:hAnsi="Arial"/>
          <w:sz w:val="18"/>
          <w:szCs w:val="18"/>
          <w:color w:val="auto"/>
        </w:rPr>
        <w:t>The Company and its subsidiaries are also subject to complaints and administrative proceedings and are defendants in various other civil lawsuits that have arisen in the ordinary course of their businesses, including contract disputes; actions alleging negligence, libel, invasion of privacy; trademark, copyright and patent infringement; False Claims Act violations; violations of applicable wage and hour laws; and statutory or common law claims involving current and former students and employees. While it is not possible to predict the outcomes of these lawsuits, in the opinion of management, their ultimate dispositions should not have a material adverse effect on the Company’s business, financial condition, results of operations or cash flows.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158" w:lineRule="exact"/>
        <w:rPr>
          <w:sz w:val="20"/>
          <w:szCs w:val="20"/>
          <w:color w:val="auto"/>
        </w:rPr>
      </w:pPr>
    </w:p>
    <w:p>
      <w:pPr>
        <w:ind w:right="880"/>
        <w:spacing w:after="0" w:line="408" w:lineRule="auto"/>
        <w:rPr>
          <w:sz w:val="20"/>
          <w:szCs w:val="20"/>
          <w:color w:val="auto"/>
        </w:rPr>
      </w:pPr>
      <w:r>
        <w:rPr>
          <w:rFonts w:ascii="Arial" w:cs="Arial" w:eastAsia="Arial" w:hAnsi="Arial"/>
          <w:sz w:val="18"/>
          <w:szCs w:val="18"/>
          <w:b w:val="1"/>
          <w:bCs w:val="1"/>
          <w:color w:val="auto"/>
        </w:rPr>
        <w:t xml:space="preserve">Item 5. Market for the Registrant’s Common Equity, Related Stockholder Matters and Issuer Purchases of Equity Securities. </w:t>
      </w:r>
      <w:r>
        <w:rPr>
          <w:rFonts w:ascii="Arial" w:cs="Arial" w:eastAsia="Arial" w:hAnsi="Arial"/>
          <w:sz w:val="18"/>
          <w:szCs w:val="18"/>
          <w:b w:val="1"/>
          <w:bCs w:val="1"/>
          <w:i w:val="1"/>
          <w:iCs w:val="1"/>
          <w:color w:val="auto"/>
        </w:rPr>
        <w:t>Market Information and Holders</w:t>
      </w:r>
    </w:p>
    <w:p>
      <w:pPr>
        <w:spacing w:after="0" w:line="1" w:lineRule="exact"/>
        <w:rPr>
          <w:sz w:val="20"/>
          <w:szCs w:val="20"/>
          <w:color w:val="auto"/>
        </w:rPr>
      </w:pPr>
    </w:p>
    <w:p>
      <w:pPr>
        <w:ind w:right="740"/>
        <w:spacing w:after="0" w:line="260" w:lineRule="auto"/>
        <w:rPr>
          <w:sz w:val="20"/>
          <w:szCs w:val="20"/>
          <w:color w:val="auto"/>
        </w:rPr>
      </w:pPr>
      <w:r>
        <w:rPr>
          <w:rFonts w:ascii="Arial" w:cs="Arial" w:eastAsia="Arial" w:hAnsi="Arial"/>
          <w:sz w:val="18"/>
          <w:szCs w:val="18"/>
          <w:color w:val="auto"/>
        </w:rPr>
        <w:t>The Company’s Class B Common Stock is traded on the New York Stock Exchange under the symbol “GHC.” The Company’s Class A Common Stock is not publicly traded.</w:t>
      </w:r>
    </w:p>
    <w:p>
      <w:pPr>
        <w:spacing w:after="0" w:line="92" w:lineRule="exact"/>
        <w:rPr>
          <w:sz w:val="20"/>
          <w:szCs w:val="20"/>
          <w:color w:val="auto"/>
        </w:rPr>
      </w:pPr>
    </w:p>
    <w:p>
      <w:pPr>
        <w:ind w:right="380"/>
        <w:spacing w:after="0" w:line="260" w:lineRule="auto"/>
        <w:rPr>
          <w:sz w:val="20"/>
          <w:szCs w:val="20"/>
          <w:color w:val="auto"/>
        </w:rPr>
      </w:pPr>
      <w:r>
        <w:rPr>
          <w:rFonts w:ascii="Arial" w:cs="Arial" w:eastAsia="Arial" w:hAnsi="Arial"/>
          <w:sz w:val="18"/>
          <w:szCs w:val="18"/>
          <w:color w:val="auto"/>
        </w:rPr>
        <w:t>The high and low sales prices of the Company’s Class B Common Stock are listed below (amounts for the first half of 2015 were revised to reflect the Cable ONE spin-off).</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9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jc w:val="right"/>
              <w:ind w:right="3"/>
              <w:spacing w:after="0"/>
              <w:rPr>
                <w:sz w:val="20"/>
                <w:szCs w:val="20"/>
                <w:color w:val="auto"/>
              </w:rPr>
            </w:pPr>
            <w:r>
              <w:rPr>
                <w:rFonts w:ascii="Arial" w:cs="Arial" w:eastAsia="Arial" w:hAnsi="Arial"/>
                <w:sz w:val="14"/>
                <w:szCs w:val="14"/>
                <w:b w:val="1"/>
                <w:bCs w:val="1"/>
                <w:color w:val="auto"/>
                <w:w w:val="96"/>
              </w:rPr>
              <w:t>2016</w:t>
            </w:r>
          </w:p>
        </w:tc>
        <w:tc>
          <w:tcPr>
            <w:tcW w:w="6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jc w:val="right"/>
              <w:ind w:right="3"/>
              <w:spacing w:after="0"/>
              <w:rPr>
                <w:sz w:val="20"/>
                <w:szCs w:val="20"/>
                <w:color w:val="auto"/>
              </w:rPr>
            </w:pPr>
            <w:r>
              <w:rPr>
                <w:rFonts w:ascii="Arial" w:cs="Arial" w:eastAsia="Arial" w:hAnsi="Arial"/>
                <w:sz w:val="14"/>
                <w:szCs w:val="14"/>
                <w:color w:val="auto"/>
                <w:w w:val="96"/>
              </w:rPr>
              <w:t>2015</w:t>
            </w:r>
          </w:p>
        </w:tc>
        <w:tc>
          <w:tcPr>
            <w:tcW w:w="600" w:type="dxa"/>
            <w:vAlign w:val="bottom"/>
            <w:tcBorders>
              <w:bottom w:val="single" w:sz="8" w:color="auto"/>
            </w:tcBorders>
          </w:tcPr>
          <w:p>
            <w:pPr>
              <w:spacing w:after="0"/>
              <w:rPr>
                <w:sz w:val="17"/>
                <w:szCs w:val="17"/>
                <w:color w:val="auto"/>
              </w:rPr>
            </w:pPr>
          </w:p>
        </w:tc>
      </w:tr>
      <w:tr>
        <w:trPr>
          <w:trHeight w:val="264"/>
        </w:trPr>
        <w:tc>
          <w:tcPr>
            <w:tcW w:w="79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Quarter</w:t>
            </w:r>
          </w:p>
        </w:tc>
        <w:tc>
          <w:tcPr>
            <w:tcW w:w="18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ind w:right="61"/>
              <w:spacing w:after="0"/>
              <w:rPr>
                <w:sz w:val="20"/>
                <w:szCs w:val="20"/>
                <w:color w:val="auto"/>
              </w:rPr>
            </w:pPr>
            <w:r>
              <w:rPr>
                <w:rFonts w:ascii="Arial" w:cs="Arial" w:eastAsia="Arial" w:hAnsi="Arial"/>
                <w:sz w:val="14"/>
                <w:szCs w:val="14"/>
                <w:b w:val="1"/>
                <w:bCs w:val="1"/>
                <w:color w:val="auto"/>
              </w:rPr>
              <w:t>High</w:t>
            </w:r>
          </w:p>
        </w:tc>
        <w:tc>
          <w:tcPr>
            <w:tcW w:w="40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181"/>
              <w:spacing w:after="0"/>
              <w:rPr>
                <w:sz w:val="20"/>
                <w:szCs w:val="20"/>
                <w:color w:val="auto"/>
              </w:rPr>
            </w:pPr>
            <w:r>
              <w:rPr>
                <w:rFonts w:ascii="Arial" w:cs="Arial" w:eastAsia="Arial" w:hAnsi="Arial"/>
                <w:sz w:val="14"/>
                <w:szCs w:val="14"/>
                <w:b w:val="1"/>
                <w:bCs w:val="1"/>
                <w:color w:val="auto"/>
              </w:rPr>
              <w:t>Low</w:t>
            </w:r>
          </w:p>
        </w:tc>
        <w:tc>
          <w:tcPr>
            <w:tcW w:w="28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ind w:right="81"/>
              <w:spacing w:after="0"/>
              <w:rPr>
                <w:sz w:val="20"/>
                <w:szCs w:val="20"/>
                <w:color w:val="auto"/>
              </w:rPr>
            </w:pPr>
            <w:r>
              <w:rPr>
                <w:rFonts w:ascii="Arial" w:cs="Arial" w:eastAsia="Arial" w:hAnsi="Arial"/>
                <w:sz w:val="14"/>
                <w:szCs w:val="14"/>
                <w:color w:val="auto"/>
              </w:rPr>
              <w:t>High</w:t>
            </w:r>
          </w:p>
        </w:tc>
        <w:tc>
          <w:tcPr>
            <w:tcW w:w="40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181"/>
              <w:spacing w:after="0"/>
              <w:rPr>
                <w:sz w:val="20"/>
                <w:szCs w:val="20"/>
                <w:color w:val="auto"/>
              </w:rPr>
            </w:pPr>
            <w:r>
              <w:rPr>
                <w:rFonts w:ascii="Arial" w:cs="Arial" w:eastAsia="Arial" w:hAnsi="Arial"/>
                <w:sz w:val="14"/>
                <w:szCs w:val="14"/>
                <w:color w:val="auto"/>
              </w:rPr>
              <w:t>Low</w:t>
            </w:r>
          </w:p>
        </w:tc>
      </w:tr>
      <w:tr>
        <w:trPr>
          <w:trHeight w:val="257"/>
        </w:trPr>
        <w:tc>
          <w:tcPr>
            <w:tcW w:w="7900" w:type="dxa"/>
            <w:vAlign w:val="bottom"/>
          </w:tcPr>
          <w:p>
            <w:pPr>
              <w:ind w:left="40"/>
              <w:spacing w:after="0"/>
              <w:rPr>
                <w:sz w:val="20"/>
                <w:szCs w:val="20"/>
                <w:color w:val="auto"/>
              </w:rPr>
            </w:pPr>
            <w:r>
              <w:rPr>
                <w:rFonts w:ascii="Arial" w:cs="Arial" w:eastAsia="Arial" w:hAnsi="Arial"/>
                <w:sz w:val="16"/>
                <w:szCs w:val="16"/>
                <w:color w:val="auto"/>
              </w:rPr>
              <w:t>January–March</w:t>
            </w: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520" w:type="dxa"/>
            <w:vAlign w:val="bottom"/>
          </w:tcPr>
          <w:p>
            <w:pPr>
              <w:jc w:val="right"/>
              <w:spacing w:after="0"/>
              <w:rPr>
                <w:sz w:val="20"/>
                <w:szCs w:val="20"/>
                <w:color w:val="auto"/>
              </w:rPr>
            </w:pPr>
            <w:r>
              <w:rPr>
                <w:rFonts w:ascii="Arial" w:cs="Arial" w:eastAsia="Arial" w:hAnsi="Arial"/>
                <w:sz w:val="16"/>
                <w:szCs w:val="16"/>
                <w:b w:val="1"/>
                <w:bCs w:val="1"/>
                <w:color w:val="auto"/>
              </w:rPr>
              <w:t>532</w:t>
            </w:r>
          </w:p>
        </w:tc>
        <w:tc>
          <w:tcPr>
            <w:tcW w:w="4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620" w:type="dxa"/>
            <w:vAlign w:val="bottom"/>
          </w:tcPr>
          <w:p>
            <w:pPr>
              <w:jc w:val="right"/>
              <w:ind w:right="41"/>
              <w:spacing w:after="0"/>
              <w:rPr>
                <w:sz w:val="20"/>
                <w:szCs w:val="20"/>
                <w:color w:val="auto"/>
              </w:rPr>
            </w:pPr>
            <w:r>
              <w:rPr>
                <w:rFonts w:ascii="Arial" w:cs="Arial" w:eastAsia="Arial" w:hAnsi="Arial"/>
                <w:sz w:val="16"/>
                <w:szCs w:val="16"/>
                <w:b w:val="1"/>
                <w:bCs w:val="1"/>
                <w:color w:val="auto"/>
              </w:rPr>
              <w:t>425</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664</w:t>
            </w:r>
          </w:p>
        </w:tc>
        <w:tc>
          <w:tcPr>
            <w:tcW w:w="400" w:type="dxa"/>
            <w:vAlign w:val="bottom"/>
          </w:tcPr>
          <w:p>
            <w:pPr>
              <w:jc w:val="right"/>
              <w:ind w:right="3"/>
              <w:spacing w:after="0"/>
              <w:rPr>
                <w:sz w:val="20"/>
                <w:szCs w:val="20"/>
                <w:color w:val="auto"/>
              </w:rPr>
            </w:pPr>
            <w:r>
              <w:rPr>
                <w:rFonts w:ascii="Arial" w:cs="Arial" w:eastAsia="Arial" w:hAnsi="Arial"/>
                <w:sz w:val="16"/>
                <w:szCs w:val="16"/>
                <w:color w:val="auto"/>
              </w:rPr>
              <w:t>$</w:t>
            </w:r>
          </w:p>
        </w:tc>
        <w:tc>
          <w:tcPr>
            <w:tcW w:w="600" w:type="dxa"/>
            <w:vAlign w:val="bottom"/>
          </w:tcPr>
          <w:p>
            <w:pPr>
              <w:jc w:val="right"/>
              <w:ind w:right="21"/>
              <w:spacing w:after="0"/>
              <w:rPr>
                <w:sz w:val="20"/>
                <w:szCs w:val="20"/>
                <w:color w:val="auto"/>
              </w:rPr>
            </w:pPr>
            <w:r>
              <w:rPr>
                <w:rFonts w:ascii="Arial" w:cs="Arial" w:eastAsia="Arial" w:hAnsi="Arial"/>
                <w:sz w:val="16"/>
                <w:szCs w:val="16"/>
                <w:color w:val="auto"/>
              </w:rPr>
              <w:t>505</w:t>
            </w:r>
          </w:p>
        </w:tc>
      </w:tr>
      <w:tr>
        <w:trPr>
          <w:trHeight w:val="270"/>
        </w:trPr>
        <w:tc>
          <w:tcPr>
            <w:tcW w:w="7900" w:type="dxa"/>
            <w:vAlign w:val="bottom"/>
          </w:tcPr>
          <w:p>
            <w:pPr>
              <w:ind w:left="40"/>
              <w:spacing w:after="0"/>
              <w:rPr>
                <w:sz w:val="20"/>
                <w:szCs w:val="20"/>
                <w:color w:val="auto"/>
              </w:rPr>
            </w:pPr>
            <w:r>
              <w:rPr>
                <w:rFonts w:ascii="Arial" w:cs="Arial" w:eastAsia="Arial" w:hAnsi="Arial"/>
                <w:sz w:val="16"/>
                <w:szCs w:val="16"/>
                <w:color w:val="auto"/>
              </w:rPr>
              <w:t>April–June</w:t>
            </w:r>
          </w:p>
        </w:tc>
        <w:tc>
          <w:tcPr>
            <w:tcW w:w="18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Arial" w:cs="Arial" w:eastAsia="Arial" w:hAnsi="Arial"/>
                <w:sz w:val="16"/>
                <w:szCs w:val="16"/>
                <w:b w:val="1"/>
                <w:bCs w:val="1"/>
                <w:color w:val="auto"/>
              </w:rPr>
              <w:t>520</w:t>
            </w:r>
          </w:p>
        </w:tc>
        <w:tc>
          <w:tcPr>
            <w:tcW w:w="400" w:type="dxa"/>
            <w:vAlign w:val="bottom"/>
          </w:tcPr>
          <w:p>
            <w:pPr>
              <w:spacing w:after="0"/>
              <w:rPr>
                <w:sz w:val="23"/>
                <w:szCs w:val="23"/>
                <w:color w:val="auto"/>
              </w:rPr>
            </w:pPr>
          </w:p>
        </w:tc>
        <w:tc>
          <w:tcPr>
            <w:tcW w:w="620" w:type="dxa"/>
            <w:vAlign w:val="bottom"/>
          </w:tcPr>
          <w:p>
            <w:pPr>
              <w:jc w:val="right"/>
              <w:ind w:right="41"/>
              <w:spacing w:after="0"/>
              <w:rPr>
                <w:sz w:val="20"/>
                <w:szCs w:val="20"/>
                <w:color w:val="auto"/>
              </w:rPr>
            </w:pPr>
            <w:r>
              <w:rPr>
                <w:rFonts w:ascii="Arial" w:cs="Arial" w:eastAsia="Arial" w:hAnsi="Arial"/>
                <w:sz w:val="16"/>
                <w:szCs w:val="16"/>
                <w:b w:val="1"/>
                <w:bCs w:val="1"/>
                <w:color w:val="auto"/>
              </w:rPr>
              <w:t>452</w:t>
            </w:r>
          </w:p>
        </w:tc>
        <w:tc>
          <w:tcPr>
            <w:tcW w:w="28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676</w:t>
            </w:r>
          </w:p>
        </w:tc>
        <w:tc>
          <w:tcPr>
            <w:tcW w:w="400" w:type="dxa"/>
            <w:vAlign w:val="bottom"/>
          </w:tcPr>
          <w:p>
            <w:pPr>
              <w:spacing w:after="0"/>
              <w:rPr>
                <w:sz w:val="23"/>
                <w:szCs w:val="23"/>
                <w:color w:val="auto"/>
              </w:rPr>
            </w:pPr>
          </w:p>
        </w:tc>
        <w:tc>
          <w:tcPr>
            <w:tcW w:w="600" w:type="dxa"/>
            <w:vAlign w:val="bottom"/>
          </w:tcPr>
          <w:p>
            <w:pPr>
              <w:jc w:val="right"/>
              <w:ind w:right="21"/>
              <w:spacing w:after="0"/>
              <w:rPr>
                <w:sz w:val="20"/>
                <w:szCs w:val="20"/>
                <w:color w:val="auto"/>
              </w:rPr>
            </w:pPr>
            <w:r>
              <w:rPr>
                <w:rFonts w:ascii="Arial" w:cs="Arial" w:eastAsia="Arial" w:hAnsi="Arial"/>
                <w:sz w:val="16"/>
                <w:szCs w:val="16"/>
                <w:color w:val="auto"/>
              </w:rPr>
              <w:t>575</w:t>
            </w:r>
          </w:p>
        </w:tc>
      </w:tr>
      <w:tr>
        <w:trPr>
          <w:trHeight w:val="270"/>
        </w:trPr>
        <w:tc>
          <w:tcPr>
            <w:tcW w:w="7900" w:type="dxa"/>
            <w:vAlign w:val="bottom"/>
          </w:tcPr>
          <w:p>
            <w:pPr>
              <w:ind w:left="40"/>
              <w:spacing w:after="0"/>
              <w:rPr>
                <w:sz w:val="20"/>
                <w:szCs w:val="20"/>
                <w:color w:val="auto"/>
              </w:rPr>
            </w:pPr>
            <w:r>
              <w:rPr>
                <w:rFonts w:ascii="Arial" w:cs="Arial" w:eastAsia="Arial" w:hAnsi="Arial"/>
                <w:sz w:val="16"/>
                <w:szCs w:val="16"/>
                <w:color w:val="auto"/>
              </w:rPr>
              <w:t>July–September</w:t>
            </w:r>
          </w:p>
        </w:tc>
        <w:tc>
          <w:tcPr>
            <w:tcW w:w="18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Arial" w:cs="Arial" w:eastAsia="Arial" w:hAnsi="Arial"/>
                <w:sz w:val="16"/>
                <w:szCs w:val="16"/>
                <w:b w:val="1"/>
                <w:bCs w:val="1"/>
                <w:color w:val="auto"/>
              </w:rPr>
              <w:t>527</w:t>
            </w:r>
          </w:p>
        </w:tc>
        <w:tc>
          <w:tcPr>
            <w:tcW w:w="400" w:type="dxa"/>
            <w:vAlign w:val="bottom"/>
          </w:tcPr>
          <w:p>
            <w:pPr>
              <w:spacing w:after="0"/>
              <w:rPr>
                <w:sz w:val="23"/>
                <w:szCs w:val="23"/>
                <w:color w:val="auto"/>
              </w:rPr>
            </w:pPr>
          </w:p>
        </w:tc>
        <w:tc>
          <w:tcPr>
            <w:tcW w:w="620" w:type="dxa"/>
            <w:vAlign w:val="bottom"/>
          </w:tcPr>
          <w:p>
            <w:pPr>
              <w:jc w:val="right"/>
              <w:ind w:right="41"/>
              <w:spacing w:after="0"/>
              <w:rPr>
                <w:sz w:val="20"/>
                <w:szCs w:val="20"/>
                <w:color w:val="auto"/>
              </w:rPr>
            </w:pPr>
            <w:r>
              <w:rPr>
                <w:rFonts w:ascii="Arial" w:cs="Arial" w:eastAsia="Arial" w:hAnsi="Arial"/>
                <w:sz w:val="16"/>
                <w:szCs w:val="16"/>
                <w:b w:val="1"/>
                <w:bCs w:val="1"/>
                <w:color w:val="auto"/>
              </w:rPr>
              <w:t>474</w:t>
            </w:r>
          </w:p>
        </w:tc>
        <w:tc>
          <w:tcPr>
            <w:tcW w:w="28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724</w:t>
            </w:r>
          </w:p>
        </w:tc>
        <w:tc>
          <w:tcPr>
            <w:tcW w:w="400" w:type="dxa"/>
            <w:vAlign w:val="bottom"/>
          </w:tcPr>
          <w:p>
            <w:pPr>
              <w:spacing w:after="0"/>
              <w:rPr>
                <w:sz w:val="23"/>
                <w:szCs w:val="23"/>
                <w:color w:val="auto"/>
              </w:rPr>
            </w:pPr>
          </w:p>
        </w:tc>
        <w:tc>
          <w:tcPr>
            <w:tcW w:w="600" w:type="dxa"/>
            <w:vAlign w:val="bottom"/>
          </w:tcPr>
          <w:p>
            <w:pPr>
              <w:jc w:val="right"/>
              <w:ind w:right="21"/>
              <w:spacing w:after="0"/>
              <w:rPr>
                <w:sz w:val="20"/>
                <w:szCs w:val="20"/>
                <w:color w:val="auto"/>
              </w:rPr>
            </w:pPr>
            <w:r>
              <w:rPr>
                <w:rFonts w:ascii="Arial" w:cs="Arial" w:eastAsia="Arial" w:hAnsi="Arial"/>
                <w:sz w:val="16"/>
                <w:szCs w:val="16"/>
                <w:color w:val="auto"/>
              </w:rPr>
              <w:t>565</w:t>
            </w:r>
          </w:p>
        </w:tc>
      </w:tr>
      <w:tr>
        <w:trPr>
          <w:trHeight w:val="270"/>
        </w:trPr>
        <w:tc>
          <w:tcPr>
            <w:tcW w:w="7900" w:type="dxa"/>
            <w:vAlign w:val="bottom"/>
          </w:tcPr>
          <w:p>
            <w:pPr>
              <w:ind w:left="40"/>
              <w:spacing w:after="0"/>
              <w:rPr>
                <w:sz w:val="20"/>
                <w:szCs w:val="20"/>
                <w:color w:val="auto"/>
              </w:rPr>
            </w:pPr>
            <w:r>
              <w:rPr>
                <w:rFonts w:ascii="Arial" w:cs="Arial" w:eastAsia="Arial" w:hAnsi="Arial"/>
                <w:sz w:val="16"/>
                <w:szCs w:val="16"/>
                <w:color w:val="auto"/>
              </w:rPr>
              <w:t>October–December</w:t>
            </w:r>
          </w:p>
        </w:tc>
        <w:tc>
          <w:tcPr>
            <w:tcW w:w="18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Arial" w:cs="Arial" w:eastAsia="Arial" w:hAnsi="Arial"/>
                <w:sz w:val="16"/>
                <w:szCs w:val="16"/>
                <w:b w:val="1"/>
                <w:bCs w:val="1"/>
                <w:color w:val="auto"/>
              </w:rPr>
              <w:t>548</w:t>
            </w:r>
          </w:p>
        </w:tc>
        <w:tc>
          <w:tcPr>
            <w:tcW w:w="400" w:type="dxa"/>
            <w:vAlign w:val="bottom"/>
          </w:tcPr>
          <w:p>
            <w:pPr>
              <w:spacing w:after="0"/>
              <w:rPr>
                <w:sz w:val="23"/>
                <w:szCs w:val="23"/>
                <w:color w:val="auto"/>
              </w:rPr>
            </w:pPr>
          </w:p>
        </w:tc>
        <w:tc>
          <w:tcPr>
            <w:tcW w:w="620" w:type="dxa"/>
            <w:vAlign w:val="bottom"/>
          </w:tcPr>
          <w:p>
            <w:pPr>
              <w:jc w:val="right"/>
              <w:ind w:right="41"/>
              <w:spacing w:after="0"/>
              <w:rPr>
                <w:sz w:val="20"/>
                <w:szCs w:val="20"/>
                <w:color w:val="auto"/>
              </w:rPr>
            </w:pPr>
            <w:r>
              <w:rPr>
                <w:rFonts w:ascii="Arial" w:cs="Arial" w:eastAsia="Arial" w:hAnsi="Arial"/>
                <w:sz w:val="16"/>
                <w:szCs w:val="16"/>
                <w:b w:val="1"/>
                <w:bCs w:val="1"/>
                <w:color w:val="auto"/>
              </w:rPr>
              <w:t>441</w:t>
            </w:r>
          </w:p>
        </w:tc>
        <w:tc>
          <w:tcPr>
            <w:tcW w:w="28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608</w:t>
            </w:r>
          </w:p>
        </w:tc>
        <w:tc>
          <w:tcPr>
            <w:tcW w:w="400" w:type="dxa"/>
            <w:vAlign w:val="bottom"/>
          </w:tcPr>
          <w:p>
            <w:pPr>
              <w:spacing w:after="0"/>
              <w:rPr>
                <w:sz w:val="23"/>
                <w:szCs w:val="23"/>
                <w:color w:val="auto"/>
              </w:rPr>
            </w:pPr>
          </w:p>
        </w:tc>
        <w:tc>
          <w:tcPr>
            <w:tcW w:w="600" w:type="dxa"/>
            <w:vAlign w:val="bottom"/>
          </w:tcPr>
          <w:p>
            <w:pPr>
              <w:jc w:val="right"/>
              <w:ind w:right="21"/>
              <w:spacing w:after="0"/>
              <w:rPr>
                <w:sz w:val="20"/>
                <w:szCs w:val="20"/>
                <w:color w:val="auto"/>
              </w:rPr>
            </w:pPr>
            <w:r>
              <w:rPr>
                <w:rFonts w:ascii="Arial" w:cs="Arial" w:eastAsia="Arial" w:hAnsi="Arial"/>
                <w:sz w:val="16"/>
                <w:szCs w:val="16"/>
                <w:color w:val="auto"/>
              </w:rPr>
              <w:t>469</w:t>
            </w:r>
          </w:p>
        </w:tc>
      </w:tr>
    </w:tbl>
    <w:p>
      <w:pPr>
        <w:spacing w:after="0" w:line="133" w:lineRule="exact"/>
        <w:rPr>
          <w:sz w:val="20"/>
          <w:szCs w:val="20"/>
          <w:color w:val="auto"/>
        </w:rPr>
      </w:pPr>
    </w:p>
    <w:p>
      <w:pPr>
        <w:ind w:right="260"/>
        <w:spacing w:after="0" w:line="260" w:lineRule="auto"/>
        <w:rPr>
          <w:sz w:val="20"/>
          <w:szCs w:val="20"/>
          <w:color w:val="auto"/>
        </w:rPr>
      </w:pPr>
      <w:r>
        <w:rPr>
          <w:rFonts w:ascii="Arial" w:cs="Arial" w:eastAsia="Arial" w:hAnsi="Arial"/>
          <w:sz w:val="18"/>
          <w:szCs w:val="18"/>
          <w:color w:val="auto"/>
        </w:rPr>
        <w:t>At January 31, 2017, there were 27 holders of record of the Company’s Class A Common Stock and 455 holders of record of the Company’s Class B Common Stock.</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 Information</w:t>
      </w:r>
    </w:p>
    <w:p>
      <w:pPr>
        <w:spacing w:after="0" w:line="144" w:lineRule="exact"/>
        <w:rPr>
          <w:sz w:val="20"/>
          <w:szCs w:val="20"/>
          <w:color w:val="auto"/>
        </w:rPr>
      </w:pPr>
    </w:p>
    <w:p>
      <w:pPr>
        <w:ind w:right="40"/>
        <w:spacing w:after="0"/>
        <w:rPr>
          <w:sz w:val="20"/>
          <w:szCs w:val="20"/>
          <w:color w:val="auto"/>
        </w:rPr>
      </w:pPr>
      <w:r>
        <w:rPr>
          <w:rFonts w:ascii="Arial" w:cs="Arial" w:eastAsia="Arial" w:hAnsi="Arial"/>
          <w:sz w:val="18"/>
          <w:szCs w:val="18"/>
          <w:color w:val="auto"/>
        </w:rPr>
        <w:t>Both classes of the Company’s Common Stock participate equally as to dividends. Total dividends paid during 2016 were $4.84. Total dividends paid during 2015 were $9.10, with three quarterly dividends paid at a rate of $2.65 per share and one dividend paid at a rate of $1.15 per share. The quarterly dividend rate was adjusted as a result of the spin-off of Cable ONE.</w:t>
      </w: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724" w:right="2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i w:val="1"/>
          <w:iCs w:val="1"/>
          <w:color w:val="auto"/>
        </w:rPr>
        <w:t>Securities Authorized for Issuance Under Equity Compensation Plans</w:t>
      </w:r>
    </w:p>
    <w:p>
      <w:pPr>
        <w:spacing w:after="0" w:line="144" w:lineRule="exact"/>
        <w:rPr>
          <w:sz w:val="20"/>
          <w:szCs w:val="20"/>
          <w:color w:val="auto"/>
        </w:rPr>
      </w:pPr>
    </w:p>
    <w:p>
      <w:pPr>
        <w:ind w:right="520"/>
        <w:spacing w:after="0" w:line="245" w:lineRule="auto"/>
        <w:rPr>
          <w:sz w:val="20"/>
          <w:szCs w:val="20"/>
          <w:color w:val="auto"/>
        </w:rPr>
      </w:pPr>
      <w:r>
        <w:rPr>
          <w:rFonts w:ascii="Arial" w:cs="Arial" w:eastAsia="Arial" w:hAnsi="Arial"/>
          <w:sz w:val="18"/>
          <w:szCs w:val="18"/>
          <w:color w:val="auto"/>
        </w:rPr>
        <w:t>The following table and the footnote thereto set forth certain information as of December 31, 2016, concerning compensation plans of the Company under which equity securities of the Company are authorized to be issued.</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660" w:type="dxa"/>
            <w:vAlign w:val="bottom"/>
          </w:tcPr>
          <w:p>
            <w:pPr>
              <w:spacing w:after="0"/>
              <w:rPr>
                <w:sz w:val="14"/>
                <w:szCs w:val="14"/>
                <w:color w:val="auto"/>
              </w:rPr>
            </w:pPr>
          </w:p>
        </w:tc>
        <w:tc>
          <w:tcPr>
            <w:tcW w:w="2360" w:type="dxa"/>
            <w:vAlign w:val="bottom"/>
          </w:tcPr>
          <w:p>
            <w:pPr>
              <w:jc w:val="center"/>
              <w:spacing w:after="0"/>
              <w:rPr>
                <w:sz w:val="20"/>
                <w:szCs w:val="20"/>
                <w:color w:val="auto"/>
              </w:rPr>
            </w:pPr>
            <w:r>
              <w:rPr>
                <w:rFonts w:ascii="Arial" w:cs="Arial" w:eastAsia="Arial" w:hAnsi="Arial"/>
                <w:sz w:val="14"/>
                <w:szCs w:val="14"/>
                <w:b w:val="1"/>
                <w:bCs w:val="1"/>
                <w:color w:val="auto"/>
              </w:rPr>
              <w:t>Number of Securities</w:t>
            </w:r>
          </w:p>
        </w:tc>
        <w:tc>
          <w:tcPr>
            <w:tcW w:w="220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60" w:type="dxa"/>
            <w:vAlign w:val="bottom"/>
          </w:tcPr>
          <w:p>
            <w:pPr>
              <w:spacing w:after="0"/>
              <w:rPr>
                <w:sz w:val="14"/>
                <w:szCs w:val="14"/>
                <w:color w:val="auto"/>
              </w:rPr>
            </w:pPr>
          </w:p>
        </w:tc>
        <w:tc>
          <w:tcPr>
            <w:tcW w:w="2360" w:type="dxa"/>
            <w:vAlign w:val="bottom"/>
          </w:tcPr>
          <w:p>
            <w:pPr>
              <w:jc w:val="center"/>
              <w:spacing w:after="0"/>
              <w:rPr>
                <w:sz w:val="20"/>
                <w:szCs w:val="20"/>
                <w:color w:val="auto"/>
              </w:rPr>
            </w:pPr>
            <w:r>
              <w:rPr>
                <w:rFonts w:ascii="Arial" w:cs="Arial" w:eastAsia="Arial" w:hAnsi="Arial"/>
                <w:sz w:val="14"/>
                <w:szCs w:val="14"/>
                <w:b w:val="1"/>
                <w:bCs w:val="1"/>
                <w:color w:val="auto"/>
              </w:rPr>
              <w:t>to Be Issued Upon</w:t>
            </w:r>
          </w:p>
        </w:tc>
        <w:tc>
          <w:tcPr>
            <w:tcW w:w="2200" w:type="dxa"/>
            <w:vAlign w:val="bottom"/>
          </w:tcPr>
          <w:p>
            <w:pPr>
              <w:jc w:val="center"/>
              <w:ind w:left="105"/>
              <w:spacing w:after="0"/>
              <w:rPr>
                <w:sz w:val="20"/>
                <w:szCs w:val="20"/>
                <w:color w:val="auto"/>
              </w:rPr>
            </w:pPr>
            <w:r>
              <w:rPr>
                <w:rFonts w:ascii="Arial" w:cs="Arial" w:eastAsia="Arial" w:hAnsi="Arial"/>
                <w:sz w:val="14"/>
                <w:szCs w:val="14"/>
                <w:b w:val="1"/>
                <w:bCs w:val="1"/>
                <w:color w:val="auto"/>
              </w:rPr>
              <w:t>Weighted Average</w:t>
            </w:r>
          </w:p>
        </w:tc>
        <w:tc>
          <w:tcPr>
            <w:tcW w:w="3200" w:type="dxa"/>
            <w:vAlign w:val="bottom"/>
          </w:tcPr>
          <w:p>
            <w:pPr>
              <w:jc w:val="center"/>
              <w:ind w:left="165"/>
              <w:spacing w:after="0"/>
              <w:rPr>
                <w:sz w:val="20"/>
                <w:szCs w:val="20"/>
                <w:color w:val="auto"/>
              </w:rPr>
            </w:pPr>
            <w:r>
              <w:rPr>
                <w:rFonts w:ascii="Arial" w:cs="Arial" w:eastAsia="Arial" w:hAnsi="Arial"/>
                <w:sz w:val="14"/>
                <w:szCs w:val="14"/>
                <w:b w:val="1"/>
                <w:bCs w:val="1"/>
                <w:color w:val="auto"/>
              </w:rPr>
              <w:t>Number of Securities Remaining Available</w:t>
            </w:r>
          </w:p>
        </w:tc>
        <w:tc>
          <w:tcPr>
            <w:tcW w:w="0" w:type="dxa"/>
            <w:vAlign w:val="bottom"/>
          </w:tcPr>
          <w:p>
            <w:pPr>
              <w:spacing w:after="0"/>
              <w:rPr>
                <w:sz w:val="1"/>
                <w:szCs w:val="1"/>
                <w:color w:val="auto"/>
              </w:rPr>
            </w:pPr>
          </w:p>
        </w:tc>
      </w:tr>
      <w:tr>
        <w:trPr>
          <w:trHeight w:val="162"/>
        </w:trPr>
        <w:tc>
          <w:tcPr>
            <w:tcW w:w="3660" w:type="dxa"/>
            <w:vAlign w:val="bottom"/>
          </w:tcPr>
          <w:p>
            <w:pPr>
              <w:spacing w:after="0"/>
              <w:rPr>
                <w:sz w:val="14"/>
                <w:szCs w:val="14"/>
                <w:color w:val="auto"/>
              </w:rPr>
            </w:pPr>
          </w:p>
        </w:tc>
        <w:tc>
          <w:tcPr>
            <w:tcW w:w="2360" w:type="dxa"/>
            <w:vAlign w:val="bottom"/>
          </w:tcPr>
          <w:p>
            <w:pPr>
              <w:jc w:val="center"/>
              <w:spacing w:after="0"/>
              <w:rPr>
                <w:sz w:val="20"/>
                <w:szCs w:val="20"/>
                <w:color w:val="auto"/>
              </w:rPr>
            </w:pPr>
            <w:r>
              <w:rPr>
                <w:rFonts w:ascii="Arial" w:cs="Arial" w:eastAsia="Arial" w:hAnsi="Arial"/>
                <w:sz w:val="14"/>
                <w:szCs w:val="14"/>
                <w:b w:val="1"/>
                <w:bCs w:val="1"/>
                <w:color w:val="auto"/>
              </w:rPr>
              <w:t>Exercise of</w:t>
            </w:r>
          </w:p>
        </w:tc>
        <w:tc>
          <w:tcPr>
            <w:tcW w:w="2200" w:type="dxa"/>
            <w:vAlign w:val="bottom"/>
          </w:tcPr>
          <w:p>
            <w:pPr>
              <w:jc w:val="center"/>
              <w:ind w:left="125"/>
              <w:spacing w:after="0"/>
              <w:rPr>
                <w:sz w:val="20"/>
                <w:szCs w:val="20"/>
                <w:color w:val="auto"/>
              </w:rPr>
            </w:pPr>
            <w:r>
              <w:rPr>
                <w:rFonts w:ascii="Arial" w:cs="Arial" w:eastAsia="Arial" w:hAnsi="Arial"/>
                <w:sz w:val="14"/>
                <w:szCs w:val="14"/>
                <w:b w:val="1"/>
                <w:bCs w:val="1"/>
                <w:color w:val="auto"/>
              </w:rPr>
              <w:t>Exercise Price of</w:t>
            </w:r>
          </w:p>
        </w:tc>
        <w:tc>
          <w:tcPr>
            <w:tcW w:w="3200" w:type="dxa"/>
            <w:vAlign w:val="bottom"/>
          </w:tcPr>
          <w:p>
            <w:pPr>
              <w:jc w:val="center"/>
              <w:ind w:left="165"/>
              <w:spacing w:after="0"/>
              <w:rPr>
                <w:sz w:val="20"/>
                <w:szCs w:val="20"/>
                <w:color w:val="auto"/>
              </w:rPr>
            </w:pPr>
            <w:r>
              <w:rPr>
                <w:rFonts w:ascii="Arial" w:cs="Arial" w:eastAsia="Arial" w:hAnsi="Arial"/>
                <w:sz w:val="14"/>
                <w:szCs w:val="14"/>
                <w:b w:val="1"/>
                <w:bCs w:val="1"/>
                <w:color w:val="auto"/>
              </w:rPr>
              <w:t>for Future Issuance Under Equity</w:t>
            </w:r>
          </w:p>
        </w:tc>
        <w:tc>
          <w:tcPr>
            <w:tcW w:w="0" w:type="dxa"/>
            <w:vAlign w:val="bottom"/>
          </w:tcPr>
          <w:p>
            <w:pPr>
              <w:spacing w:after="0"/>
              <w:rPr>
                <w:sz w:val="1"/>
                <w:szCs w:val="1"/>
                <w:color w:val="auto"/>
              </w:rPr>
            </w:pPr>
          </w:p>
        </w:tc>
      </w:tr>
      <w:tr>
        <w:trPr>
          <w:trHeight w:val="162"/>
        </w:trPr>
        <w:tc>
          <w:tcPr>
            <w:tcW w:w="3660" w:type="dxa"/>
            <w:vAlign w:val="bottom"/>
          </w:tcPr>
          <w:p>
            <w:pPr>
              <w:spacing w:after="0"/>
              <w:rPr>
                <w:sz w:val="14"/>
                <w:szCs w:val="14"/>
                <w:color w:val="auto"/>
              </w:rPr>
            </w:pPr>
          </w:p>
        </w:tc>
        <w:tc>
          <w:tcPr>
            <w:tcW w:w="2360" w:type="dxa"/>
            <w:vAlign w:val="bottom"/>
          </w:tcPr>
          <w:p>
            <w:pPr>
              <w:jc w:val="center"/>
              <w:spacing w:after="0"/>
              <w:rPr>
                <w:sz w:val="20"/>
                <w:szCs w:val="20"/>
                <w:color w:val="auto"/>
              </w:rPr>
            </w:pPr>
            <w:r>
              <w:rPr>
                <w:rFonts w:ascii="Arial" w:cs="Arial" w:eastAsia="Arial" w:hAnsi="Arial"/>
                <w:sz w:val="14"/>
                <w:szCs w:val="14"/>
                <w:b w:val="1"/>
                <w:bCs w:val="1"/>
                <w:color w:val="auto"/>
              </w:rPr>
              <w:t>Outstanding Options,</w:t>
            </w:r>
          </w:p>
        </w:tc>
        <w:tc>
          <w:tcPr>
            <w:tcW w:w="2200" w:type="dxa"/>
            <w:vAlign w:val="bottom"/>
          </w:tcPr>
          <w:p>
            <w:pPr>
              <w:jc w:val="center"/>
              <w:ind w:left="105"/>
              <w:spacing w:after="0"/>
              <w:rPr>
                <w:sz w:val="20"/>
                <w:szCs w:val="20"/>
                <w:color w:val="auto"/>
              </w:rPr>
            </w:pPr>
            <w:r>
              <w:rPr>
                <w:rFonts w:ascii="Arial" w:cs="Arial" w:eastAsia="Arial" w:hAnsi="Arial"/>
                <w:sz w:val="14"/>
                <w:szCs w:val="14"/>
                <w:b w:val="1"/>
                <w:bCs w:val="1"/>
                <w:color w:val="auto"/>
              </w:rPr>
              <w:t>Outstanding Options,</w:t>
            </w:r>
          </w:p>
        </w:tc>
        <w:tc>
          <w:tcPr>
            <w:tcW w:w="3200" w:type="dxa"/>
            <w:vAlign w:val="bottom"/>
          </w:tcPr>
          <w:p>
            <w:pPr>
              <w:jc w:val="center"/>
              <w:ind w:left="165"/>
              <w:spacing w:after="0"/>
              <w:rPr>
                <w:sz w:val="20"/>
                <w:szCs w:val="20"/>
                <w:color w:val="auto"/>
              </w:rPr>
            </w:pPr>
            <w:r>
              <w:rPr>
                <w:rFonts w:ascii="Arial" w:cs="Arial" w:eastAsia="Arial" w:hAnsi="Arial"/>
                <w:sz w:val="14"/>
                <w:szCs w:val="14"/>
                <w:b w:val="1"/>
                <w:bCs w:val="1"/>
                <w:color w:val="auto"/>
              </w:rPr>
              <w:t>Compensation Plans (Excluding</w:t>
            </w:r>
          </w:p>
        </w:tc>
        <w:tc>
          <w:tcPr>
            <w:tcW w:w="0" w:type="dxa"/>
            <w:vAlign w:val="bottom"/>
          </w:tcPr>
          <w:p>
            <w:pPr>
              <w:spacing w:after="0"/>
              <w:rPr>
                <w:sz w:val="1"/>
                <w:szCs w:val="1"/>
                <w:color w:val="auto"/>
              </w:rPr>
            </w:pPr>
          </w:p>
        </w:tc>
      </w:tr>
      <w:tr>
        <w:trPr>
          <w:trHeight w:val="203"/>
        </w:trPr>
        <w:tc>
          <w:tcPr>
            <w:tcW w:w="3660" w:type="dxa"/>
            <w:vAlign w:val="bottom"/>
          </w:tcPr>
          <w:p>
            <w:pPr>
              <w:spacing w:after="0"/>
              <w:rPr>
                <w:sz w:val="17"/>
                <w:szCs w:val="17"/>
                <w:color w:val="auto"/>
              </w:rPr>
            </w:pPr>
          </w:p>
        </w:tc>
        <w:tc>
          <w:tcPr>
            <w:tcW w:w="2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Warrants and Rights</w:t>
            </w:r>
          </w:p>
        </w:tc>
        <w:tc>
          <w:tcPr>
            <w:tcW w:w="2200" w:type="dxa"/>
            <w:vAlign w:val="bottom"/>
            <w:tcBorders>
              <w:bottom w:val="single" w:sz="8" w:color="auto"/>
            </w:tcBorders>
          </w:tcPr>
          <w:p>
            <w:pPr>
              <w:jc w:val="center"/>
              <w:ind w:left="125"/>
              <w:spacing w:after="0"/>
              <w:rPr>
                <w:sz w:val="20"/>
                <w:szCs w:val="20"/>
                <w:color w:val="auto"/>
              </w:rPr>
            </w:pPr>
            <w:r>
              <w:rPr>
                <w:rFonts w:ascii="Arial" w:cs="Arial" w:eastAsia="Arial" w:hAnsi="Arial"/>
                <w:sz w:val="14"/>
                <w:szCs w:val="14"/>
                <w:b w:val="1"/>
                <w:bCs w:val="1"/>
                <w:color w:val="auto"/>
              </w:rPr>
              <w:t>Warrants and Rights</w:t>
            </w:r>
          </w:p>
        </w:tc>
        <w:tc>
          <w:tcPr>
            <w:tcW w:w="3200" w:type="dxa"/>
            <w:vAlign w:val="bottom"/>
            <w:tcBorders>
              <w:bottom w:val="single" w:sz="8" w:color="auto"/>
            </w:tcBorders>
          </w:tcPr>
          <w:p>
            <w:pPr>
              <w:jc w:val="center"/>
              <w:ind w:left="165"/>
              <w:spacing w:after="0"/>
              <w:rPr>
                <w:sz w:val="20"/>
                <w:szCs w:val="20"/>
                <w:color w:val="auto"/>
              </w:rPr>
            </w:pPr>
            <w:r>
              <w:rPr>
                <w:rFonts w:ascii="Arial" w:cs="Arial" w:eastAsia="Arial" w:hAnsi="Arial"/>
                <w:sz w:val="14"/>
                <w:szCs w:val="14"/>
                <w:b w:val="1"/>
                <w:bCs w:val="1"/>
                <w:color w:val="auto"/>
              </w:rPr>
              <w:t>Securities Reflected in Column (a))</w:t>
            </w:r>
          </w:p>
        </w:tc>
        <w:tc>
          <w:tcPr>
            <w:tcW w:w="0" w:type="dxa"/>
            <w:vAlign w:val="bottom"/>
          </w:tcPr>
          <w:p>
            <w:pPr>
              <w:spacing w:after="0"/>
              <w:rPr>
                <w:sz w:val="1"/>
                <w:szCs w:val="1"/>
                <w:color w:val="auto"/>
              </w:rPr>
            </w:pPr>
          </w:p>
        </w:tc>
      </w:tr>
      <w:tr>
        <w:trPr>
          <w:trHeight w:val="264"/>
        </w:trPr>
        <w:tc>
          <w:tcPr>
            <w:tcW w:w="3660" w:type="dxa"/>
            <w:vAlign w:val="bottom"/>
            <w:tcBorders>
              <w:bottom w:val="single" w:sz="8" w:color="auto"/>
            </w:tcBorders>
          </w:tcPr>
          <w:p>
            <w:pPr>
              <w:ind w:left="1360"/>
              <w:spacing w:after="0"/>
              <w:rPr>
                <w:sz w:val="20"/>
                <w:szCs w:val="20"/>
                <w:color w:val="auto"/>
              </w:rPr>
            </w:pPr>
            <w:r>
              <w:rPr>
                <w:rFonts w:ascii="Arial" w:cs="Arial" w:eastAsia="Arial" w:hAnsi="Arial"/>
                <w:sz w:val="14"/>
                <w:szCs w:val="14"/>
                <w:b w:val="1"/>
                <w:bCs w:val="1"/>
                <w:color w:val="auto"/>
              </w:rPr>
              <w:t>Plan Category</w:t>
            </w:r>
          </w:p>
        </w:tc>
        <w:tc>
          <w:tcPr>
            <w:tcW w:w="2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(a)</w:t>
            </w:r>
          </w:p>
        </w:tc>
        <w:tc>
          <w:tcPr>
            <w:tcW w:w="2200" w:type="dxa"/>
            <w:vAlign w:val="bottom"/>
            <w:tcBorders>
              <w:bottom w:val="single" w:sz="8" w:color="auto"/>
            </w:tcBorders>
          </w:tcPr>
          <w:p>
            <w:pPr>
              <w:jc w:val="center"/>
              <w:ind w:left="105"/>
              <w:spacing w:after="0"/>
              <w:rPr>
                <w:sz w:val="20"/>
                <w:szCs w:val="20"/>
                <w:color w:val="auto"/>
              </w:rPr>
            </w:pPr>
            <w:r>
              <w:rPr>
                <w:rFonts w:ascii="Arial" w:cs="Arial" w:eastAsia="Arial" w:hAnsi="Arial"/>
                <w:sz w:val="14"/>
                <w:szCs w:val="14"/>
                <w:b w:val="1"/>
                <w:bCs w:val="1"/>
                <w:color w:val="auto"/>
              </w:rPr>
              <w:t>(b)</w:t>
            </w:r>
          </w:p>
        </w:tc>
        <w:tc>
          <w:tcPr>
            <w:tcW w:w="3200" w:type="dxa"/>
            <w:vAlign w:val="bottom"/>
            <w:tcBorders>
              <w:bottom w:val="single" w:sz="8" w:color="auto"/>
            </w:tcBorders>
          </w:tcPr>
          <w:p>
            <w:pPr>
              <w:jc w:val="center"/>
              <w:ind w:left="165"/>
              <w:spacing w:after="0"/>
              <w:rPr>
                <w:sz w:val="20"/>
                <w:szCs w:val="20"/>
                <w:color w:val="auto"/>
              </w:rPr>
            </w:pPr>
            <w:r>
              <w:rPr>
                <w:rFonts w:ascii="Arial" w:cs="Arial" w:eastAsia="Arial" w:hAnsi="Arial"/>
                <w:sz w:val="14"/>
                <w:szCs w:val="14"/>
                <w:b w:val="1"/>
                <w:bCs w:val="1"/>
                <w:color w:val="auto"/>
                <w:w w:val="93"/>
              </w:rPr>
              <w:t>(c)</w:t>
            </w:r>
          </w:p>
        </w:tc>
        <w:tc>
          <w:tcPr>
            <w:tcW w:w="0" w:type="dxa"/>
            <w:vAlign w:val="bottom"/>
          </w:tcPr>
          <w:p>
            <w:pPr>
              <w:spacing w:after="0"/>
              <w:rPr>
                <w:sz w:val="1"/>
                <w:szCs w:val="1"/>
                <w:color w:val="auto"/>
              </w:rPr>
            </w:pPr>
          </w:p>
        </w:tc>
      </w:tr>
      <w:tr>
        <w:trPr>
          <w:trHeight w:val="192"/>
        </w:trPr>
        <w:tc>
          <w:tcPr>
            <w:tcW w:w="3660" w:type="dxa"/>
            <w:vAlign w:val="bottom"/>
          </w:tcPr>
          <w:p>
            <w:pPr>
              <w:ind w:left="40"/>
              <w:spacing w:after="0"/>
              <w:rPr>
                <w:sz w:val="20"/>
                <w:szCs w:val="20"/>
                <w:color w:val="auto"/>
              </w:rPr>
            </w:pPr>
            <w:r>
              <w:rPr>
                <w:rFonts w:ascii="Arial" w:cs="Arial" w:eastAsia="Arial" w:hAnsi="Arial"/>
                <w:sz w:val="16"/>
                <w:szCs w:val="16"/>
                <w:color w:val="auto"/>
              </w:rPr>
              <w:t>Equity compensation plans approved by security</w:t>
            </w:r>
          </w:p>
        </w:tc>
        <w:tc>
          <w:tcPr>
            <w:tcW w:w="236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3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3660" w:type="dxa"/>
            <w:vAlign w:val="bottom"/>
          </w:tcPr>
          <w:p>
            <w:pPr>
              <w:ind w:left="120"/>
              <w:spacing w:after="0"/>
              <w:rPr>
                <w:sz w:val="20"/>
                <w:szCs w:val="20"/>
                <w:color w:val="auto"/>
              </w:rPr>
            </w:pPr>
            <w:r>
              <w:rPr>
                <w:rFonts w:ascii="Arial" w:cs="Arial" w:eastAsia="Arial" w:hAnsi="Arial"/>
                <w:sz w:val="16"/>
                <w:szCs w:val="16"/>
                <w:color w:val="auto"/>
              </w:rPr>
              <w:t>holders</w:t>
            </w:r>
          </w:p>
        </w:tc>
        <w:tc>
          <w:tcPr>
            <w:tcW w:w="2360" w:type="dxa"/>
            <w:vAlign w:val="bottom"/>
          </w:tcPr>
          <w:p>
            <w:pPr>
              <w:jc w:val="right"/>
              <w:ind w:right="765"/>
              <w:spacing w:after="0"/>
              <w:rPr>
                <w:sz w:val="20"/>
                <w:szCs w:val="20"/>
                <w:color w:val="auto"/>
              </w:rPr>
            </w:pPr>
            <w:r>
              <w:rPr>
                <w:rFonts w:ascii="Arial" w:cs="Arial" w:eastAsia="Arial" w:hAnsi="Arial"/>
                <w:sz w:val="16"/>
                <w:szCs w:val="16"/>
                <w:color w:val="auto"/>
              </w:rPr>
              <w:t>186,996</w:t>
            </w:r>
          </w:p>
        </w:tc>
        <w:tc>
          <w:tcPr>
            <w:tcW w:w="2200" w:type="dxa"/>
            <w:vAlign w:val="bottom"/>
          </w:tcPr>
          <w:p>
            <w:pPr>
              <w:jc w:val="right"/>
              <w:ind w:right="565"/>
              <w:spacing w:after="0"/>
              <w:rPr>
                <w:sz w:val="20"/>
                <w:szCs w:val="20"/>
                <w:color w:val="auto"/>
              </w:rPr>
            </w:pPr>
            <w:r>
              <w:rPr>
                <w:rFonts w:ascii="Arial" w:cs="Arial" w:eastAsia="Arial" w:hAnsi="Arial"/>
                <w:sz w:val="16"/>
                <w:szCs w:val="16"/>
                <w:color w:val="auto"/>
              </w:rPr>
              <w:t>$559.62</w:t>
            </w:r>
          </w:p>
        </w:tc>
        <w:tc>
          <w:tcPr>
            <w:tcW w:w="3200" w:type="dxa"/>
            <w:vAlign w:val="bottom"/>
          </w:tcPr>
          <w:p>
            <w:pPr>
              <w:ind w:left="16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4"/>
        </w:trPr>
        <w:tc>
          <w:tcPr>
            <w:tcW w:w="3660" w:type="dxa"/>
            <w:vAlign w:val="bottom"/>
          </w:tcPr>
          <w:p>
            <w:pPr>
              <w:ind w:left="40"/>
              <w:spacing w:after="0"/>
              <w:rPr>
                <w:sz w:val="20"/>
                <w:szCs w:val="20"/>
                <w:color w:val="auto"/>
              </w:rPr>
            </w:pPr>
            <w:r>
              <w:rPr>
                <w:rFonts w:ascii="Arial" w:cs="Arial" w:eastAsia="Arial" w:hAnsi="Arial"/>
                <w:sz w:val="16"/>
                <w:szCs w:val="16"/>
                <w:color w:val="auto"/>
              </w:rPr>
              <w:t>Equity compensation plans not approved by</w:t>
            </w:r>
          </w:p>
        </w:tc>
        <w:tc>
          <w:tcPr>
            <w:tcW w:w="236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3660" w:type="dxa"/>
            <w:vAlign w:val="bottom"/>
          </w:tcPr>
          <w:p>
            <w:pPr>
              <w:ind w:left="120"/>
              <w:spacing w:after="0"/>
              <w:rPr>
                <w:sz w:val="20"/>
                <w:szCs w:val="20"/>
                <w:color w:val="auto"/>
              </w:rPr>
            </w:pPr>
            <w:r>
              <w:rPr>
                <w:rFonts w:ascii="Arial" w:cs="Arial" w:eastAsia="Arial" w:hAnsi="Arial"/>
                <w:sz w:val="16"/>
                <w:szCs w:val="16"/>
                <w:color w:val="auto"/>
              </w:rPr>
              <w:t>security holders</w:t>
            </w:r>
          </w:p>
        </w:tc>
        <w:tc>
          <w:tcPr>
            <w:tcW w:w="2360" w:type="dxa"/>
            <w:vAlign w:val="bottom"/>
            <w:tcBorders>
              <w:bottom w:val="single" w:sz="8" w:color="auto"/>
            </w:tcBorders>
          </w:tcPr>
          <w:p>
            <w:pPr>
              <w:jc w:val="right"/>
              <w:ind w:right="765"/>
              <w:spacing w:after="0"/>
              <w:rPr>
                <w:sz w:val="20"/>
                <w:szCs w:val="20"/>
                <w:color w:val="auto"/>
              </w:rPr>
            </w:pPr>
            <w:r>
              <w:rPr>
                <w:rFonts w:ascii="Arial" w:cs="Arial" w:eastAsia="Arial" w:hAnsi="Arial"/>
                <w:sz w:val="16"/>
                <w:szCs w:val="16"/>
                <w:color w:val="auto"/>
              </w:rPr>
              <w:t>—</w:t>
            </w:r>
          </w:p>
        </w:tc>
        <w:tc>
          <w:tcPr>
            <w:tcW w:w="2200" w:type="dxa"/>
            <w:vAlign w:val="bottom"/>
            <w:tcBorders>
              <w:bottom w:val="single" w:sz="8" w:color="auto"/>
            </w:tcBorders>
          </w:tcPr>
          <w:p>
            <w:pPr>
              <w:jc w:val="right"/>
              <w:ind w:right="565"/>
              <w:spacing w:after="0"/>
              <w:rPr>
                <w:sz w:val="20"/>
                <w:szCs w:val="20"/>
                <w:color w:val="auto"/>
              </w:rPr>
            </w:pPr>
            <w:r>
              <w:rPr>
                <w:rFonts w:ascii="Arial" w:cs="Arial" w:eastAsia="Arial" w:hAnsi="Arial"/>
                <w:sz w:val="16"/>
                <w:szCs w:val="16"/>
                <w:color w:val="auto"/>
              </w:rPr>
              <w:t>—</w:t>
            </w:r>
          </w:p>
        </w:tc>
        <w:tc>
          <w:tcPr>
            <w:tcW w:w="3200" w:type="dxa"/>
            <w:vAlign w:val="bottom"/>
            <w:tcBorders>
              <w:bottom w:val="single" w:sz="8" w:color="auto"/>
            </w:tcBorders>
          </w:tcPr>
          <w:p>
            <w:pPr>
              <w:ind w:left="16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8"/>
        </w:trPr>
        <w:tc>
          <w:tcPr>
            <w:tcW w:w="3660" w:type="dxa"/>
            <w:vAlign w:val="bottom"/>
          </w:tcPr>
          <w:p>
            <w:pPr>
              <w:ind w:left="280"/>
              <w:spacing w:after="0"/>
              <w:rPr>
                <w:sz w:val="20"/>
                <w:szCs w:val="20"/>
                <w:color w:val="auto"/>
              </w:rPr>
            </w:pPr>
            <w:r>
              <w:rPr>
                <w:rFonts w:ascii="Arial" w:cs="Arial" w:eastAsia="Arial" w:hAnsi="Arial"/>
                <w:sz w:val="16"/>
                <w:szCs w:val="16"/>
                <w:color w:val="auto"/>
              </w:rPr>
              <w:t>Total</w:t>
            </w:r>
          </w:p>
        </w:tc>
        <w:tc>
          <w:tcPr>
            <w:tcW w:w="2360" w:type="dxa"/>
            <w:vAlign w:val="bottom"/>
            <w:tcBorders>
              <w:bottom w:val="single" w:sz="8" w:color="auto"/>
            </w:tcBorders>
          </w:tcPr>
          <w:p>
            <w:pPr>
              <w:jc w:val="right"/>
              <w:ind w:right="765"/>
              <w:spacing w:after="0"/>
              <w:rPr>
                <w:sz w:val="20"/>
                <w:szCs w:val="20"/>
                <w:color w:val="auto"/>
              </w:rPr>
            </w:pPr>
            <w:r>
              <w:rPr>
                <w:rFonts w:ascii="Arial" w:cs="Arial" w:eastAsia="Arial" w:hAnsi="Arial"/>
                <w:sz w:val="16"/>
                <w:szCs w:val="16"/>
                <w:color w:val="auto"/>
              </w:rPr>
              <w:t>186,996</w:t>
            </w:r>
          </w:p>
        </w:tc>
        <w:tc>
          <w:tcPr>
            <w:tcW w:w="2200" w:type="dxa"/>
            <w:vAlign w:val="bottom"/>
            <w:tcBorders>
              <w:bottom w:val="single" w:sz="8" w:color="auto"/>
            </w:tcBorders>
          </w:tcPr>
          <w:p>
            <w:pPr>
              <w:jc w:val="right"/>
              <w:ind w:right="565"/>
              <w:spacing w:after="0"/>
              <w:rPr>
                <w:sz w:val="20"/>
                <w:szCs w:val="20"/>
                <w:color w:val="auto"/>
              </w:rPr>
            </w:pPr>
            <w:r>
              <w:rPr>
                <w:rFonts w:ascii="Arial" w:cs="Arial" w:eastAsia="Arial" w:hAnsi="Arial"/>
                <w:sz w:val="16"/>
                <w:szCs w:val="16"/>
                <w:color w:val="auto"/>
              </w:rPr>
              <w:t>$559.62</w:t>
            </w:r>
          </w:p>
        </w:tc>
        <w:tc>
          <w:tcPr>
            <w:tcW w:w="3200" w:type="dxa"/>
            <w:vAlign w:val="bottom"/>
            <w:tcBorders>
              <w:bottom w:val="single" w:sz="8" w:color="auto"/>
            </w:tcBorders>
          </w:tcPr>
          <w:p>
            <w:pPr>
              <w:ind w:left="16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3660" w:type="dxa"/>
            <w:vAlign w:val="bottom"/>
            <w:vMerge w:val="restart"/>
          </w:tcPr>
          <w:p>
            <w:pPr>
              <w:spacing w:after="0"/>
              <w:rPr>
                <w:sz w:val="20"/>
                <w:szCs w:val="20"/>
                <w:color w:val="auto"/>
              </w:rPr>
            </w:pPr>
            <w:r>
              <w:rPr>
                <w:rFonts w:ascii="Arial" w:cs="Arial" w:eastAsia="Arial" w:hAnsi="Arial"/>
                <w:sz w:val="11"/>
                <w:szCs w:val="11"/>
                <w:color w:val="auto"/>
              </w:rPr>
              <w:t>____________</w:t>
            </w:r>
          </w:p>
        </w:tc>
        <w:tc>
          <w:tcPr>
            <w:tcW w:w="2360" w:type="dxa"/>
            <w:vAlign w:val="bottom"/>
            <w:tcBorders>
              <w:bottom w:val="single" w:sz="8" w:color="auto"/>
            </w:tcBorders>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c>
          <w:tcPr>
            <w:tcW w:w="3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3660" w:type="dxa"/>
            <w:vAlign w:val="bottom"/>
            <w:vMerge w:val="continue"/>
          </w:tcPr>
          <w:p>
            <w:pPr>
              <w:spacing w:after="0"/>
              <w:rPr>
                <w:sz w:val="12"/>
                <w:szCs w:val="12"/>
                <w:color w:val="auto"/>
              </w:rPr>
            </w:pPr>
          </w:p>
        </w:tc>
        <w:tc>
          <w:tcPr>
            <w:tcW w:w="236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52" w:lineRule="exact"/>
        <w:rPr>
          <w:sz w:val="20"/>
          <w:szCs w:val="20"/>
          <w:color w:val="auto"/>
        </w:rPr>
      </w:pPr>
    </w:p>
    <w:p>
      <w:pPr>
        <w:spacing w:after="0" w:line="228" w:lineRule="auto"/>
        <w:rPr>
          <w:sz w:val="20"/>
          <w:szCs w:val="20"/>
          <w:color w:val="auto"/>
        </w:rPr>
      </w:pPr>
      <w:r>
        <w:rPr>
          <w:rFonts w:ascii="Arial" w:cs="Arial" w:eastAsia="Arial" w:hAnsi="Arial"/>
          <w:sz w:val="12"/>
          <w:szCs w:val="12"/>
          <w:color w:val="auto"/>
        </w:rPr>
        <w:t>This table does not include information relating to restricted stock grants awarded under the Graham Holdings Company’s Incentive Compensation Plan, which plan has been approved by the stockholders of the Company. At December 31, 2016, there were 25,325 shares of restricted stock outstanding under the 2012–2016 Award Cycle and 19,100 shares of restricted stock outstanding under the 2015–2018 Award Cycle that had been awarded to employees of the Company and its subsidiaries under that Plan. In addition, the Company has from time to time awarded special discretionary grants of restricted stock to employees of the Company and its subsidiaries. At December 31, 2016, there were a total of 22,800 shares of restricted stock outstanding under special discretionary grants approved by the Compensation Committee of the Board of Directors. At December 31, 2016, a total of 446,170 shares of restricted stock and stock options were available for future awards.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Purchases of Equity Securities by the Issuer and Affiliated Purchasers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During the quarter ended December 31, 2016, the Company purchased shares of its Class B Common Stock as set forth in the following table:</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1340" w:type="dxa"/>
            <w:vAlign w:val="bottom"/>
          </w:tcPr>
          <w:p>
            <w:pPr>
              <w:jc w:val="center"/>
              <w:ind w:right="3"/>
              <w:spacing w:after="0"/>
              <w:rPr>
                <w:sz w:val="20"/>
                <w:szCs w:val="20"/>
                <w:color w:val="auto"/>
              </w:rPr>
            </w:pPr>
            <w:r>
              <w:rPr>
                <w:rFonts w:ascii="Arial" w:cs="Arial" w:eastAsia="Arial" w:hAnsi="Arial"/>
                <w:sz w:val="14"/>
                <w:szCs w:val="14"/>
                <w:b w:val="1"/>
                <w:bCs w:val="1"/>
                <w:color w:val="auto"/>
                <w:w w:val="99"/>
              </w:rPr>
              <w:t>Total Number</w:t>
            </w: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rPr>
              <w:t>Average</w:t>
            </w:r>
          </w:p>
        </w:tc>
        <w:tc>
          <w:tcPr>
            <w:tcW w:w="2400" w:type="dxa"/>
            <w:vAlign w:val="bottom"/>
          </w:tcPr>
          <w:p>
            <w:pPr>
              <w:jc w:val="center"/>
              <w:spacing w:after="0"/>
              <w:rPr>
                <w:sz w:val="20"/>
                <w:szCs w:val="20"/>
                <w:color w:val="auto"/>
              </w:rPr>
            </w:pPr>
            <w:r>
              <w:rPr>
                <w:rFonts w:ascii="Arial" w:cs="Arial" w:eastAsia="Arial" w:hAnsi="Arial"/>
                <w:sz w:val="14"/>
                <w:szCs w:val="14"/>
                <w:b w:val="1"/>
                <w:bCs w:val="1"/>
                <w:color w:val="auto"/>
              </w:rPr>
              <w:t>Total Number of Shares</w:t>
            </w:r>
          </w:p>
        </w:tc>
        <w:tc>
          <w:tcPr>
            <w:tcW w:w="2720" w:type="dxa"/>
            <w:vAlign w:val="bottom"/>
          </w:tcPr>
          <w:p>
            <w:pPr>
              <w:jc w:val="center"/>
              <w:ind w:left="23"/>
              <w:spacing w:after="0"/>
              <w:rPr>
                <w:sz w:val="20"/>
                <w:szCs w:val="20"/>
                <w:color w:val="auto"/>
              </w:rPr>
            </w:pPr>
            <w:r>
              <w:rPr>
                <w:rFonts w:ascii="Arial" w:cs="Arial" w:eastAsia="Arial" w:hAnsi="Arial"/>
                <w:sz w:val="14"/>
                <w:szCs w:val="14"/>
                <w:b w:val="1"/>
                <w:bCs w:val="1"/>
                <w:color w:val="auto"/>
              </w:rPr>
              <w:t>Maximum Number of Shares That</w:t>
            </w:r>
          </w:p>
        </w:tc>
      </w:tr>
      <w:tr>
        <w:trPr>
          <w:trHeight w:val="162"/>
        </w:trPr>
        <w:tc>
          <w:tcPr>
            <w:tcW w:w="4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1340" w:type="dxa"/>
            <w:vAlign w:val="bottom"/>
          </w:tcPr>
          <w:p>
            <w:pPr>
              <w:jc w:val="center"/>
              <w:ind w:right="3"/>
              <w:spacing w:after="0"/>
              <w:rPr>
                <w:sz w:val="20"/>
                <w:szCs w:val="20"/>
                <w:color w:val="auto"/>
              </w:rPr>
            </w:pPr>
            <w:r>
              <w:rPr>
                <w:rFonts w:ascii="Arial" w:cs="Arial" w:eastAsia="Arial" w:hAnsi="Arial"/>
                <w:sz w:val="14"/>
                <w:szCs w:val="14"/>
                <w:b w:val="1"/>
                <w:bCs w:val="1"/>
                <w:color w:val="auto"/>
              </w:rPr>
              <w:t>of Shares</w:t>
            </w: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rPr>
              <w:t>Price Paid</w:t>
            </w:r>
          </w:p>
        </w:tc>
        <w:tc>
          <w:tcPr>
            <w:tcW w:w="2400" w:type="dxa"/>
            <w:vAlign w:val="bottom"/>
          </w:tcPr>
          <w:p>
            <w:pPr>
              <w:jc w:val="center"/>
              <w:spacing w:after="0"/>
              <w:rPr>
                <w:sz w:val="20"/>
                <w:szCs w:val="20"/>
                <w:color w:val="auto"/>
              </w:rPr>
            </w:pPr>
            <w:r>
              <w:rPr>
                <w:rFonts w:ascii="Arial" w:cs="Arial" w:eastAsia="Arial" w:hAnsi="Arial"/>
                <w:sz w:val="14"/>
                <w:szCs w:val="14"/>
                <w:b w:val="1"/>
                <w:bCs w:val="1"/>
                <w:color w:val="auto"/>
              </w:rPr>
              <w:t>Purchased as Part of</w:t>
            </w:r>
          </w:p>
        </w:tc>
        <w:tc>
          <w:tcPr>
            <w:tcW w:w="2720" w:type="dxa"/>
            <w:vAlign w:val="bottom"/>
          </w:tcPr>
          <w:p>
            <w:pPr>
              <w:jc w:val="center"/>
              <w:ind w:left="23"/>
              <w:spacing w:after="0"/>
              <w:rPr>
                <w:sz w:val="20"/>
                <w:szCs w:val="20"/>
                <w:color w:val="auto"/>
              </w:rPr>
            </w:pPr>
            <w:r>
              <w:rPr>
                <w:rFonts w:ascii="Arial" w:cs="Arial" w:eastAsia="Arial" w:hAnsi="Arial"/>
                <w:sz w:val="14"/>
                <w:szCs w:val="14"/>
                <w:b w:val="1"/>
                <w:bCs w:val="1"/>
                <w:color w:val="auto"/>
              </w:rPr>
              <w:t>May Yet Be Purchased Under the</w:t>
            </w:r>
          </w:p>
        </w:tc>
      </w:tr>
      <w:tr>
        <w:trPr>
          <w:trHeight w:val="203"/>
        </w:trPr>
        <w:tc>
          <w:tcPr>
            <w:tcW w:w="40" w:type="dxa"/>
            <w:vAlign w:val="bottom"/>
          </w:tcPr>
          <w:p>
            <w:pPr>
              <w:spacing w:after="0"/>
              <w:rPr>
                <w:sz w:val="17"/>
                <w:szCs w:val="17"/>
                <w:color w:val="auto"/>
              </w:rPr>
            </w:pPr>
          </w:p>
        </w:tc>
        <w:tc>
          <w:tcPr>
            <w:tcW w:w="36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Period</w:t>
            </w:r>
          </w:p>
        </w:tc>
        <w:tc>
          <w:tcPr>
            <w:tcW w:w="1340" w:type="dxa"/>
            <w:vAlign w:val="bottom"/>
            <w:tcBorders>
              <w:bottom w:val="single" w:sz="8" w:color="auto"/>
            </w:tcBorders>
          </w:tcPr>
          <w:p>
            <w:pPr>
              <w:jc w:val="center"/>
              <w:ind w:right="3"/>
              <w:spacing w:after="0"/>
              <w:rPr>
                <w:sz w:val="20"/>
                <w:szCs w:val="20"/>
                <w:color w:val="auto"/>
              </w:rPr>
            </w:pPr>
            <w:r>
              <w:rPr>
                <w:rFonts w:ascii="Arial" w:cs="Arial" w:eastAsia="Arial" w:hAnsi="Arial"/>
                <w:sz w:val="14"/>
                <w:szCs w:val="14"/>
                <w:b w:val="1"/>
                <w:bCs w:val="1"/>
                <w:color w:val="auto"/>
              </w:rPr>
              <w:t>Purchased</w:t>
            </w: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per Share</w:t>
            </w:r>
          </w:p>
        </w:tc>
        <w:tc>
          <w:tcPr>
            <w:tcW w:w="2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Publicly Announced Plan*</w:t>
            </w:r>
          </w:p>
        </w:tc>
        <w:tc>
          <w:tcPr>
            <w:tcW w:w="2720" w:type="dxa"/>
            <w:vAlign w:val="bottom"/>
            <w:tcBorders>
              <w:bottom w:val="single" w:sz="8" w:color="auto"/>
            </w:tcBorders>
          </w:tcPr>
          <w:p>
            <w:pPr>
              <w:jc w:val="center"/>
              <w:ind w:left="3"/>
              <w:spacing w:after="0"/>
              <w:rPr>
                <w:sz w:val="20"/>
                <w:szCs w:val="20"/>
                <w:color w:val="auto"/>
              </w:rPr>
            </w:pPr>
            <w:r>
              <w:rPr>
                <w:rFonts w:ascii="Arial" w:cs="Arial" w:eastAsia="Arial" w:hAnsi="Arial"/>
                <w:sz w:val="14"/>
                <w:szCs w:val="14"/>
                <w:b w:val="1"/>
                <w:bCs w:val="1"/>
                <w:color w:val="auto"/>
              </w:rPr>
              <w:t>Plan*</w:t>
            </w:r>
          </w:p>
        </w:tc>
      </w:tr>
      <w:tr>
        <w:trPr>
          <w:trHeight w:val="263"/>
        </w:trPr>
        <w:tc>
          <w:tcPr>
            <w:tcW w:w="3680" w:type="dxa"/>
            <w:vAlign w:val="bottom"/>
            <w:gridSpan w:val="2"/>
          </w:tcPr>
          <w:p>
            <w:pPr>
              <w:ind w:left="60"/>
              <w:spacing w:after="0"/>
              <w:rPr>
                <w:sz w:val="20"/>
                <w:szCs w:val="20"/>
                <w:color w:val="auto"/>
              </w:rPr>
            </w:pPr>
            <w:r>
              <w:rPr>
                <w:rFonts w:ascii="Arial" w:cs="Arial" w:eastAsia="Arial" w:hAnsi="Arial"/>
                <w:sz w:val="14"/>
                <w:szCs w:val="14"/>
                <w:b w:val="1"/>
                <w:bCs w:val="1"/>
                <w:color w:val="auto"/>
              </w:rPr>
              <w:t>2016</w:t>
            </w:r>
          </w:p>
        </w:tc>
        <w:tc>
          <w:tcPr>
            <w:tcW w:w="13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2400" w:type="dxa"/>
            <w:vAlign w:val="bottom"/>
          </w:tcPr>
          <w:p>
            <w:pPr>
              <w:spacing w:after="0"/>
              <w:rPr>
                <w:sz w:val="22"/>
                <w:szCs w:val="22"/>
                <w:color w:val="auto"/>
              </w:rPr>
            </w:pPr>
          </w:p>
        </w:tc>
        <w:tc>
          <w:tcPr>
            <w:tcW w:w="2720" w:type="dxa"/>
            <w:vAlign w:val="bottom"/>
          </w:tcPr>
          <w:p>
            <w:pPr>
              <w:spacing w:after="0"/>
              <w:rPr>
                <w:sz w:val="22"/>
                <w:szCs w:val="22"/>
                <w:color w:val="auto"/>
              </w:rPr>
            </w:pPr>
          </w:p>
        </w:tc>
      </w:tr>
      <w:tr>
        <w:trPr>
          <w:trHeight w:val="257"/>
        </w:trPr>
        <w:tc>
          <w:tcPr>
            <w:tcW w:w="40" w:type="dxa"/>
            <w:vAlign w:val="bottom"/>
          </w:tcPr>
          <w:p>
            <w:pPr>
              <w:spacing w:after="0"/>
              <w:rPr>
                <w:sz w:val="22"/>
                <w:szCs w:val="22"/>
                <w:color w:val="auto"/>
              </w:rPr>
            </w:pPr>
          </w:p>
        </w:tc>
        <w:tc>
          <w:tcPr>
            <w:tcW w:w="3640" w:type="dxa"/>
            <w:vAlign w:val="bottom"/>
          </w:tcPr>
          <w:p>
            <w:pPr>
              <w:ind w:left="20"/>
              <w:spacing w:after="0"/>
              <w:rPr>
                <w:sz w:val="20"/>
                <w:szCs w:val="20"/>
                <w:color w:val="auto"/>
              </w:rPr>
            </w:pPr>
            <w:r>
              <w:rPr>
                <w:rFonts w:ascii="Arial" w:cs="Arial" w:eastAsia="Arial" w:hAnsi="Arial"/>
                <w:sz w:val="16"/>
                <w:szCs w:val="16"/>
                <w:color w:val="auto"/>
              </w:rPr>
              <w:t>October</w:t>
            </w:r>
          </w:p>
        </w:tc>
        <w:tc>
          <w:tcPr>
            <w:tcW w:w="1340" w:type="dxa"/>
            <w:vAlign w:val="bottom"/>
          </w:tcPr>
          <w:p>
            <w:pPr>
              <w:jc w:val="center"/>
              <w:ind w:right="3"/>
              <w:spacing w:after="0"/>
              <w:rPr>
                <w:sz w:val="20"/>
                <w:szCs w:val="20"/>
                <w:color w:val="auto"/>
              </w:rPr>
            </w:pPr>
            <w:r>
              <w:rPr>
                <w:rFonts w:ascii="Arial" w:cs="Arial" w:eastAsia="Arial" w:hAnsi="Arial"/>
                <w:sz w:val="16"/>
                <w:szCs w:val="16"/>
                <w:color w:val="auto"/>
              </w:rPr>
              <w:t>4,021</w:t>
            </w:r>
          </w:p>
        </w:tc>
        <w:tc>
          <w:tcPr>
            <w:tcW w:w="1260" w:type="dxa"/>
            <w:vAlign w:val="bottom"/>
          </w:tcPr>
          <w:p>
            <w:pPr>
              <w:jc w:val="center"/>
              <w:spacing w:after="0"/>
              <w:rPr>
                <w:sz w:val="20"/>
                <w:szCs w:val="20"/>
                <w:color w:val="auto"/>
              </w:rPr>
            </w:pPr>
            <w:r>
              <w:rPr>
                <w:rFonts w:ascii="Arial" w:cs="Arial" w:eastAsia="Arial" w:hAnsi="Arial"/>
                <w:sz w:val="16"/>
                <w:szCs w:val="16"/>
                <w:color w:val="auto"/>
              </w:rPr>
              <w:t>$474.50</w:t>
            </w:r>
          </w:p>
        </w:tc>
        <w:tc>
          <w:tcPr>
            <w:tcW w:w="2400" w:type="dxa"/>
            <w:vAlign w:val="bottom"/>
          </w:tcPr>
          <w:p>
            <w:pPr>
              <w:jc w:val="center"/>
              <w:spacing w:after="0"/>
              <w:rPr>
                <w:sz w:val="20"/>
                <w:szCs w:val="20"/>
                <w:color w:val="auto"/>
              </w:rPr>
            </w:pPr>
            <w:r>
              <w:rPr>
                <w:rFonts w:ascii="Arial" w:cs="Arial" w:eastAsia="Arial" w:hAnsi="Arial"/>
                <w:sz w:val="16"/>
                <w:szCs w:val="16"/>
                <w:color w:val="auto"/>
              </w:rPr>
              <w:t>4,021</w:t>
            </w:r>
          </w:p>
        </w:tc>
        <w:tc>
          <w:tcPr>
            <w:tcW w:w="2720" w:type="dxa"/>
            <w:vAlign w:val="bottom"/>
          </w:tcPr>
          <w:p>
            <w:pPr>
              <w:jc w:val="center"/>
              <w:ind w:left="23"/>
              <w:spacing w:after="0"/>
              <w:rPr>
                <w:sz w:val="20"/>
                <w:szCs w:val="20"/>
                <w:color w:val="auto"/>
              </w:rPr>
            </w:pPr>
            <w:r>
              <w:rPr>
                <w:rFonts w:ascii="Arial" w:cs="Arial" w:eastAsia="Arial" w:hAnsi="Arial"/>
                <w:sz w:val="16"/>
                <w:szCs w:val="16"/>
                <w:color w:val="auto"/>
              </w:rPr>
              <w:t>260,838</w:t>
            </w:r>
          </w:p>
        </w:tc>
      </w:tr>
      <w:tr>
        <w:trPr>
          <w:trHeight w:val="270"/>
        </w:trPr>
        <w:tc>
          <w:tcPr>
            <w:tcW w:w="40" w:type="dxa"/>
            <w:vAlign w:val="bottom"/>
          </w:tcPr>
          <w:p>
            <w:pPr>
              <w:spacing w:after="0"/>
              <w:rPr>
                <w:sz w:val="23"/>
                <w:szCs w:val="23"/>
                <w:color w:val="auto"/>
              </w:rPr>
            </w:pPr>
          </w:p>
        </w:tc>
        <w:tc>
          <w:tcPr>
            <w:tcW w:w="3640" w:type="dxa"/>
            <w:vAlign w:val="bottom"/>
          </w:tcPr>
          <w:p>
            <w:pPr>
              <w:ind w:left="20"/>
              <w:spacing w:after="0"/>
              <w:rPr>
                <w:sz w:val="20"/>
                <w:szCs w:val="20"/>
                <w:color w:val="auto"/>
              </w:rPr>
            </w:pPr>
            <w:r>
              <w:rPr>
                <w:rFonts w:ascii="Arial" w:cs="Arial" w:eastAsia="Arial" w:hAnsi="Arial"/>
                <w:sz w:val="16"/>
                <w:szCs w:val="16"/>
                <w:color w:val="auto"/>
              </w:rPr>
              <w:t>November</w:t>
            </w:r>
          </w:p>
        </w:tc>
        <w:tc>
          <w:tcPr>
            <w:tcW w:w="1340" w:type="dxa"/>
            <w:vAlign w:val="bottom"/>
          </w:tcPr>
          <w:p>
            <w:pPr>
              <w:jc w:val="center"/>
              <w:ind w:right="3"/>
              <w:spacing w:after="0"/>
              <w:rPr>
                <w:sz w:val="20"/>
                <w:szCs w:val="20"/>
                <w:color w:val="auto"/>
              </w:rPr>
            </w:pPr>
            <w:r>
              <w:rPr>
                <w:rFonts w:ascii="Arial" w:cs="Arial" w:eastAsia="Arial" w:hAnsi="Arial"/>
                <w:sz w:val="16"/>
                <w:szCs w:val="16"/>
                <w:color w:val="auto"/>
              </w:rPr>
              <w:t>36,562</w:t>
            </w:r>
          </w:p>
        </w:tc>
        <w:tc>
          <w:tcPr>
            <w:tcW w:w="1260" w:type="dxa"/>
            <w:vAlign w:val="bottom"/>
          </w:tcPr>
          <w:p>
            <w:pPr>
              <w:jc w:val="center"/>
              <w:spacing w:after="0"/>
              <w:rPr>
                <w:sz w:val="20"/>
                <w:szCs w:val="20"/>
                <w:color w:val="auto"/>
              </w:rPr>
            </w:pPr>
            <w:r>
              <w:rPr>
                <w:rFonts w:ascii="Arial" w:cs="Arial" w:eastAsia="Arial" w:hAnsi="Arial"/>
                <w:sz w:val="16"/>
                <w:szCs w:val="16"/>
                <w:color w:val="auto"/>
              </w:rPr>
              <w:t>457.10</w:t>
            </w:r>
          </w:p>
        </w:tc>
        <w:tc>
          <w:tcPr>
            <w:tcW w:w="2400" w:type="dxa"/>
            <w:vAlign w:val="bottom"/>
          </w:tcPr>
          <w:p>
            <w:pPr>
              <w:jc w:val="center"/>
              <w:spacing w:after="0"/>
              <w:rPr>
                <w:sz w:val="20"/>
                <w:szCs w:val="20"/>
                <w:color w:val="auto"/>
              </w:rPr>
            </w:pPr>
            <w:r>
              <w:rPr>
                <w:rFonts w:ascii="Arial" w:cs="Arial" w:eastAsia="Arial" w:hAnsi="Arial"/>
                <w:sz w:val="16"/>
                <w:szCs w:val="16"/>
                <w:color w:val="auto"/>
              </w:rPr>
              <w:t>36,562</w:t>
            </w:r>
          </w:p>
        </w:tc>
        <w:tc>
          <w:tcPr>
            <w:tcW w:w="2720" w:type="dxa"/>
            <w:vAlign w:val="bottom"/>
          </w:tcPr>
          <w:p>
            <w:pPr>
              <w:jc w:val="center"/>
              <w:ind w:left="23"/>
              <w:spacing w:after="0"/>
              <w:rPr>
                <w:sz w:val="20"/>
                <w:szCs w:val="20"/>
                <w:color w:val="auto"/>
              </w:rPr>
            </w:pPr>
            <w:r>
              <w:rPr>
                <w:rFonts w:ascii="Arial" w:cs="Arial" w:eastAsia="Arial" w:hAnsi="Arial"/>
                <w:sz w:val="16"/>
                <w:szCs w:val="16"/>
                <w:color w:val="auto"/>
              </w:rPr>
              <w:t>224,276</w:t>
            </w:r>
          </w:p>
        </w:tc>
      </w:tr>
      <w:tr>
        <w:trPr>
          <w:trHeight w:val="279"/>
        </w:trPr>
        <w:tc>
          <w:tcPr>
            <w:tcW w:w="40" w:type="dxa"/>
            <w:vAlign w:val="bottom"/>
          </w:tcPr>
          <w:p>
            <w:pPr>
              <w:spacing w:after="0"/>
              <w:rPr>
                <w:sz w:val="24"/>
                <w:szCs w:val="24"/>
                <w:color w:val="auto"/>
              </w:rPr>
            </w:pPr>
          </w:p>
        </w:tc>
        <w:tc>
          <w:tcPr>
            <w:tcW w:w="3640" w:type="dxa"/>
            <w:vAlign w:val="bottom"/>
          </w:tcPr>
          <w:p>
            <w:pPr>
              <w:ind w:left="20"/>
              <w:spacing w:after="0"/>
              <w:rPr>
                <w:sz w:val="20"/>
                <w:szCs w:val="20"/>
                <w:color w:val="auto"/>
              </w:rPr>
            </w:pPr>
            <w:r>
              <w:rPr>
                <w:rFonts w:ascii="Arial" w:cs="Arial" w:eastAsia="Arial" w:hAnsi="Arial"/>
                <w:sz w:val="16"/>
                <w:szCs w:val="16"/>
                <w:color w:val="auto"/>
              </w:rPr>
              <w:t>December</w:t>
            </w:r>
          </w:p>
        </w:tc>
        <w:tc>
          <w:tcPr>
            <w:tcW w:w="1340" w:type="dxa"/>
            <w:vAlign w:val="bottom"/>
            <w:tcBorders>
              <w:bottom w:val="single" w:sz="8" w:color="auto"/>
            </w:tcBorders>
          </w:tcPr>
          <w:p>
            <w:pPr>
              <w:jc w:val="center"/>
              <w:ind w:right="3"/>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9"/>
              </w:rPr>
              <w:t>—</w:t>
            </w:r>
          </w:p>
        </w:tc>
        <w:tc>
          <w:tcPr>
            <w:tcW w:w="24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2720" w:type="dxa"/>
            <w:vAlign w:val="bottom"/>
          </w:tcPr>
          <w:p>
            <w:pPr>
              <w:jc w:val="center"/>
              <w:ind w:left="23"/>
              <w:spacing w:after="0"/>
              <w:rPr>
                <w:sz w:val="20"/>
                <w:szCs w:val="20"/>
                <w:color w:val="auto"/>
              </w:rPr>
            </w:pPr>
            <w:r>
              <w:rPr>
                <w:rFonts w:ascii="Arial" w:cs="Arial" w:eastAsia="Arial" w:hAnsi="Arial"/>
                <w:sz w:val="16"/>
                <w:szCs w:val="16"/>
                <w:color w:val="auto"/>
              </w:rPr>
              <w:t>224,276</w:t>
            </w:r>
          </w:p>
        </w:tc>
      </w:tr>
      <w:tr>
        <w:trPr>
          <w:trHeight w:val="277"/>
        </w:trPr>
        <w:tc>
          <w:tcPr>
            <w:tcW w:w="40" w:type="dxa"/>
            <w:vAlign w:val="bottom"/>
          </w:tcPr>
          <w:p>
            <w:pPr>
              <w:spacing w:after="0"/>
              <w:rPr>
                <w:sz w:val="24"/>
                <w:szCs w:val="24"/>
                <w:color w:val="auto"/>
              </w:rPr>
            </w:pPr>
          </w:p>
        </w:tc>
        <w:tc>
          <w:tcPr>
            <w:tcW w:w="3640" w:type="dxa"/>
            <w:vAlign w:val="bottom"/>
          </w:tcPr>
          <w:p>
            <w:pPr>
              <w:jc w:val="center"/>
              <w:ind w:right="2661"/>
              <w:spacing w:after="0"/>
              <w:rPr>
                <w:sz w:val="20"/>
                <w:szCs w:val="20"/>
                <w:color w:val="auto"/>
              </w:rPr>
            </w:pPr>
            <w:r>
              <w:rPr>
                <w:rFonts w:ascii="Arial" w:cs="Arial" w:eastAsia="Arial" w:hAnsi="Arial"/>
                <w:sz w:val="16"/>
                <w:szCs w:val="16"/>
                <w:b w:val="1"/>
                <w:bCs w:val="1"/>
                <w:color w:val="auto"/>
                <w:w w:val="99"/>
              </w:rPr>
              <w:t>Total</w:t>
            </w:r>
          </w:p>
        </w:tc>
        <w:tc>
          <w:tcPr>
            <w:tcW w:w="1340" w:type="dxa"/>
            <w:vAlign w:val="bottom"/>
            <w:tcBorders>
              <w:bottom w:val="single" w:sz="8" w:color="auto"/>
            </w:tcBorders>
          </w:tcPr>
          <w:p>
            <w:pPr>
              <w:jc w:val="center"/>
              <w:ind w:right="3"/>
              <w:spacing w:after="0"/>
              <w:rPr>
                <w:sz w:val="20"/>
                <w:szCs w:val="20"/>
                <w:color w:val="auto"/>
              </w:rPr>
            </w:pPr>
            <w:r>
              <w:rPr>
                <w:rFonts w:ascii="Arial" w:cs="Arial" w:eastAsia="Arial" w:hAnsi="Arial"/>
                <w:sz w:val="16"/>
                <w:szCs w:val="16"/>
                <w:color w:val="auto"/>
              </w:rPr>
              <w:t>40,583</w:t>
            </w: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$458.82</w:t>
            </w:r>
          </w:p>
        </w:tc>
        <w:tc>
          <w:tcPr>
            <w:tcW w:w="24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40,583</w:t>
            </w:r>
          </w:p>
        </w:tc>
        <w:tc>
          <w:tcPr>
            <w:tcW w:w="2720" w:type="dxa"/>
            <w:vAlign w:val="bottom"/>
          </w:tcPr>
          <w:p>
            <w:pPr>
              <w:spacing w:after="0"/>
              <w:rPr>
                <w:sz w:val="24"/>
                <w:szCs w:val="24"/>
                <w:color w:val="auto"/>
              </w:rPr>
            </w:pPr>
          </w:p>
        </w:tc>
      </w:tr>
      <w:tr>
        <w:trPr>
          <w:trHeight w:val="156"/>
        </w:trPr>
        <w:tc>
          <w:tcPr>
            <w:tcW w:w="3680" w:type="dxa"/>
            <w:vAlign w:val="bottom"/>
            <w:gridSpan w:val="2"/>
          </w:tcPr>
          <w:p>
            <w:pPr>
              <w:jc w:val="right"/>
              <w:ind w:right="2641"/>
              <w:spacing w:after="0" w:line="156" w:lineRule="exact"/>
              <w:rPr>
                <w:sz w:val="20"/>
                <w:szCs w:val="20"/>
                <w:color w:val="auto"/>
              </w:rPr>
            </w:pPr>
            <w:r>
              <w:rPr>
                <w:rFonts w:ascii="Arial" w:cs="Arial" w:eastAsia="Arial" w:hAnsi="Arial"/>
                <w:sz w:val="14"/>
                <w:szCs w:val="14"/>
                <w:color w:val="auto"/>
              </w:rPr>
              <w:t>____________</w:t>
            </w:r>
          </w:p>
        </w:tc>
        <w:tc>
          <w:tcPr>
            <w:tcW w:w="13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2720" w:type="dxa"/>
            <w:vAlign w:val="bottom"/>
          </w:tcPr>
          <w:p>
            <w:pPr>
              <w:spacing w:after="0"/>
              <w:rPr>
                <w:sz w:val="13"/>
                <w:szCs w:val="13"/>
                <w:color w:val="auto"/>
              </w:rPr>
            </w:pPr>
          </w:p>
        </w:tc>
      </w:tr>
    </w:tbl>
    <w:p>
      <w:pPr>
        <w:ind w:right="260"/>
        <w:spacing w:after="0" w:line="221" w:lineRule="auto"/>
        <w:rPr>
          <w:sz w:val="20"/>
          <w:szCs w:val="20"/>
          <w:color w:val="auto"/>
        </w:rPr>
      </w:pPr>
      <w:r>
        <w:rPr>
          <w:rFonts w:ascii="Arial" w:cs="Arial" w:eastAsia="Arial" w:hAnsi="Arial"/>
          <w:sz w:val="13"/>
          <w:szCs w:val="13"/>
          <w:color w:val="auto"/>
        </w:rPr>
        <w:t>*On May 14, 2015, the Company’s Board of Directors authorized the Company to purchase, on the open market or otherwise, up to 500,000 shares of its Class B Common Stock. There is no expiration date for that authorization. All purchases made during the quarter ended December 31, 2016, were open market transactions.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 Graph</w:t>
      </w:r>
    </w:p>
    <w:p>
      <w:pPr>
        <w:spacing w:after="0" w:line="144" w:lineRule="exact"/>
        <w:rPr>
          <w:sz w:val="20"/>
          <w:szCs w:val="20"/>
          <w:color w:val="auto"/>
        </w:rPr>
      </w:pPr>
    </w:p>
    <w:p>
      <w:pPr>
        <w:ind w:right="20"/>
        <w:spacing w:after="0" w:line="224" w:lineRule="auto"/>
        <w:rPr>
          <w:sz w:val="20"/>
          <w:szCs w:val="20"/>
          <w:color w:val="auto"/>
        </w:rPr>
      </w:pPr>
      <w:r>
        <w:rPr>
          <w:rFonts w:ascii="Arial" w:cs="Arial" w:eastAsia="Arial" w:hAnsi="Arial"/>
          <w:sz w:val="18"/>
          <w:szCs w:val="18"/>
          <w:color w:val="auto"/>
        </w:rPr>
        <w:t>The following graph is a comparison of the yearly percentage change in the Company’s cumulative total shareholder return with the cumulative total return of the Standard &amp; Poor’s 500 Stock Index and a custom peer group index comprised of education companies. The Standard &amp; Poor’s 500 Stock Index is comprised of 500 U.S. companies in the industrial, transportation, utilities and financial industries and is weighted by market capitalization. The custom peer group of education companies includes American Public Education Inc., Apollo Education Group Inc., Bridgepoint Education Inc., Capella Education Co., DeVry Education Group Inc., Grand Canyon Education Inc., National American University Holdings Inc. and Strayer Education Inc. The Company is using a custom peer index of education companies because the Company is a diversified education and media company. Its largest business is Kaplan, Inc., a leading global provider of educational services to individuals, schools and businesses. The graph reflects the investment of $ 100 on December 31, 2011, in the Company’s Class B Common Stock, the Standard &amp; Poor’s 500 Stock Index and the custom peer group index of education companies. For purposes of this graph, it has been assumed that dividends were reinvested on the date paid in the case of the Company and on a quarterly basis in the case of the Standard &amp; Poor’s 500 Index and the custom peer group index of education companies.</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724" w:right="239" w:bottom="1440" w:gutter="0" w:footer="0" w:header="0"/>
        </w:sectPr>
      </w:pPr>
    </w:p>
    <w:bookmarkStart w:id="36" w:name="page37"/>
    <w:bookmarkEnd w:id="3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1546860</wp:posOffset>
            </wp:positionH>
            <wp:positionV relativeFrom="page">
              <wp:posOffset>483235</wp:posOffset>
            </wp:positionV>
            <wp:extent cx="4467860" cy="28987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4467860" cy="2898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0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December 31</w:t>
            </w:r>
          </w:p>
        </w:tc>
        <w:tc>
          <w:tcPr>
            <w:tcW w:w="280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color w:val="auto"/>
              </w:rPr>
              <w:t>2011</w:t>
            </w:r>
          </w:p>
        </w:tc>
        <w:tc>
          <w:tcPr>
            <w:tcW w:w="116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color w:val="auto"/>
              </w:rPr>
              <w:t>2012</w:t>
            </w:r>
          </w:p>
        </w:tc>
        <w:tc>
          <w:tcPr>
            <w:tcW w:w="114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2013</w:t>
            </w:r>
          </w:p>
        </w:tc>
        <w:tc>
          <w:tcPr>
            <w:tcW w:w="114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2014</w:t>
            </w:r>
          </w:p>
        </w:tc>
        <w:tc>
          <w:tcPr>
            <w:tcW w:w="112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2015</w:t>
            </w:r>
          </w:p>
        </w:tc>
        <w:tc>
          <w:tcPr>
            <w:tcW w:w="106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2016</w:t>
            </w:r>
          </w:p>
        </w:tc>
      </w:tr>
    </w:tbl>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3540" w:type="dxa"/>
            <w:vAlign w:val="bottom"/>
          </w:tcPr>
          <w:p>
            <w:pPr>
              <w:ind w:left="40"/>
              <w:spacing w:after="0"/>
              <w:rPr>
                <w:sz w:val="20"/>
                <w:szCs w:val="20"/>
                <w:color w:val="auto"/>
              </w:rPr>
            </w:pPr>
            <w:r>
              <w:rPr>
                <w:rFonts w:ascii="Arial" w:cs="Arial" w:eastAsia="Arial" w:hAnsi="Arial"/>
                <w:sz w:val="15"/>
                <w:szCs w:val="15"/>
                <w:color w:val="auto"/>
              </w:rPr>
              <w:t>Graham Holdings Company</w:t>
            </w:r>
          </w:p>
        </w:tc>
        <w:tc>
          <w:tcPr>
            <w:tcW w:w="2420" w:type="dxa"/>
            <w:vAlign w:val="bottom"/>
          </w:tcPr>
          <w:p>
            <w:pPr>
              <w:jc w:val="right"/>
              <w:ind w:right="263"/>
              <w:spacing w:after="0"/>
              <w:rPr>
                <w:sz w:val="20"/>
                <w:szCs w:val="20"/>
                <w:color w:val="auto"/>
              </w:rPr>
            </w:pPr>
            <w:r>
              <w:rPr>
                <w:rFonts w:ascii="Arial" w:cs="Arial" w:eastAsia="Arial" w:hAnsi="Arial"/>
                <w:sz w:val="15"/>
                <w:szCs w:val="15"/>
                <w:color w:val="auto"/>
              </w:rPr>
              <w:t>100.00</w:t>
            </w:r>
          </w:p>
        </w:tc>
        <w:tc>
          <w:tcPr>
            <w:tcW w:w="1160" w:type="dxa"/>
            <w:vAlign w:val="bottom"/>
          </w:tcPr>
          <w:p>
            <w:pPr>
              <w:jc w:val="right"/>
              <w:ind w:right="263"/>
              <w:spacing w:after="0"/>
              <w:rPr>
                <w:sz w:val="20"/>
                <w:szCs w:val="20"/>
                <w:color w:val="auto"/>
              </w:rPr>
            </w:pPr>
            <w:r>
              <w:rPr>
                <w:rFonts w:ascii="Arial" w:cs="Arial" w:eastAsia="Arial" w:hAnsi="Arial"/>
                <w:sz w:val="15"/>
                <w:szCs w:val="15"/>
                <w:color w:val="auto"/>
              </w:rPr>
              <w:t>102.29</w:t>
            </w:r>
          </w:p>
        </w:tc>
        <w:tc>
          <w:tcPr>
            <w:tcW w:w="1140" w:type="dxa"/>
            <w:vAlign w:val="bottom"/>
          </w:tcPr>
          <w:p>
            <w:pPr>
              <w:jc w:val="right"/>
              <w:ind w:right="243"/>
              <w:spacing w:after="0"/>
              <w:rPr>
                <w:sz w:val="20"/>
                <w:szCs w:val="20"/>
                <w:color w:val="auto"/>
              </w:rPr>
            </w:pPr>
            <w:r>
              <w:rPr>
                <w:rFonts w:ascii="Arial" w:cs="Arial" w:eastAsia="Arial" w:hAnsi="Arial"/>
                <w:sz w:val="15"/>
                <w:szCs w:val="15"/>
                <w:color w:val="auto"/>
              </w:rPr>
              <w:t>185.79</w:t>
            </w:r>
          </w:p>
        </w:tc>
        <w:tc>
          <w:tcPr>
            <w:tcW w:w="1140" w:type="dxa"/>
            <w:vAlign w:val="bottom"/>
          </w:tcPr>
          <w:p>
            <w:pPr>
              <w:jc w:val="right"/>
              <w:ind w:right="243"/>
              <w:spacing w:after="0"/>
              <w:rPr>
                <w:sz w:val="20"/>
                <w:szCs w:val="20"/>
                <w:color w:val="auto"/>
              </w:rPr>
            </w:pPr>
            <w:r>
              <w:rPr>
                <w:rFonts w:ascii="Arial" w:cs="Arial" w:eastAsia="Arial" w:hAnsi="Arial"/>
                <w:sz w:val="15"/>
                <w:szCs w:val="15"/>
                <w:color w:val="auto"/>
              </w:rPr>
              <w:t>245.53</w:t>
            </w:r>
          </w:p>
        </w:tc>
        <w:tc>
          <w:tcPr>
            <w:tcW w:w="1120" w:type="dxa"/>
            <w:vAlign w:val="bottom"/>
          </w:tcPr>
          <w:p>
            <w:pPr>
              <w:jc w:val="right"/>
              <w:ind w:right="243"/>
              <w:spacing w:after="0"/>
              <w:rPr>
                <w:sz w:val="20"/>
                <w:szCs w:val="20"/>
                <w:color w:val="auto"/>
              </w:rPr>
            </w:pPr>
            <w:r>
              <w:rPr>
                <w:rFonts w:ascii="Arial" w:cs="Arial" w:eastAsia="Arial" w:hAnsi="Arial"/>
                <w:sz w:val="15"/>
                <w:szCs w:val="15"/>
                <w:color w:val="auto"/>
              </w:rPr>
              <w:t>230.17</w:t>
            </w:r>
          </w:p>
        </w:tc>
        <w:tc>
          <w:tcPr>
            <w:tcW w:w="800" w:type="dxa"/>
            <w:vAlign w:val="bottom"/>
          </w:tcPr>
          <w:p>
            <w:pPr>
              <w:jc w:val="right"/>
              <w:spacing w:after="0"/>
              <w:rPr>
                <w:sz w:val="20"/>
                <w:szCs w:val="20"/>
                <w:color w:val="auto"/>
              </w:rPr>
            </w:pPr>
            <w:r>
              <w:rPr>
                <w:rFonts w:ascii="Arial" w:cs="Arial" w:eastAsia="Arial" w:hAnsi="Arial"/>
                <w:sz w:val="15"/>
                <w:szCs w:val="15"/>
                <w:b w:val="1"/>
                <w:bCs w:val="1"/>
                <w:color w:val="auto"/>
              </w:rPr>
              <w:t>245.41</w:t>
            </w:r>
          </w:p>
        </w:tc>
      </w:tr>
      <w:tr>
        <w:trPr>
          <w:trHeight w:val="270"/>
        </w:trPr>
        <w:tc>
          <w:tcPr>
            <w:tcW w:w="3540" w:type="dxa"/>
            <w:vAlign w:val="bottom"/>
          </w:tcPr>
          <w:p>
            <w:pPr>
              <w:ind w:left="40"/>
              <w:spacing w:after="0"/>
              <w:rPr>
                <w:sz w:val="20"/>
                <w:szCs w:val="20"/>
                <w:color w:val="auto"/>
              </w:rPr>
            </w:pPr>
            <w:r>
              <w:rPr>
                <w:rFonts w:ascii="Arial" w:cs="Arial" w:eastAsia="Arial" w:hAnsi="Arial"/>
                <w:sz w:val="15"/>
                <w:szCs w:val="15"/>
                <w:color w:val="auto"/>
              </w:rPr>
              <w:t>S&amp;P 500 Index</w:t>
            </w:r>
          </w:p>
        </w:tc>
        <w:tc>
          <w:tcPr>
            <w:tcW w:w="2420" w:type="dxa"/>
            <w:vAlign w:val="bottom"/>
          </w:tcPr>
          <w:p>
            <w:pPr>
              <w:jc w:val="right"/>
              <w:ind w:right="263"/>
              <w:spacing w:after="0"/>
              <w:rPr>
                <w:sz w:val="20"/>
                <w:szCs w:val="20"/>
                <w:color w:val="auto"/>
              </w:rPr>
            </w:pPr>
            <w:r>
              <w:rPr>
                <w:rFonts w:ascii="Arial" w:cs="Arial" w:eastAsia="Arial" w:hAnsi="Arial"/>
                <w:sz w:val="15"/>
                <w:szCs w:val="15"/>
                <w:color w:val="auto"/>
              </w:rPr>
              <w:t>100.00</w:t>
            </w:r>
          </w:p>
        </w:tc>
        <w:tc>
          <w:tcPr>
            <w:tcW w:w="1160" w:type="dxa"/>
            <w:vAlign w:val="bottom"/>
          </w:tcPr>
          <w:p>
            <w:pPr>
              <w:jc w:val="right"/>
              <w:ind w:right="263"/>
              <w:spacing w:after="0"/>
              <w:rPr>
                <w:sz w:val="20"/>
                <w:szCs w:val="20"/>
                <w:color w:val="auto"/>
              </w:rPr>
            </w:pPr>
            <w:r>
              <w:rPr>
                <w:rFonts w:ascii="Arial" w:cs="Arial" w:eastAsia="Arial" w:hAnsi="Arial"/>
                <w:sz w:val="15"/>
                <w:szCs w:val="15"/>
                <w:color w:val="auto"/>
              </w:rPr>
              <w:t>116.00</w:t>
            </w:r>
          </w:p>
        </w:tc>
        <w:tc>
          <w:tcPr>
            <w:tcW w:w="1140" w:type="dxa"/>
            <w:vAlign w:val="bottom"/>
          </w:tcPr>
          <w:p>
            <w:pPr>
              <w:jc w:val="right"/>
              <w:ind w:right="243"/>
              <w:spacing w:after="0"/>
              <w:rPr>
                <w:sz w:val="20"/>
                <w:szCs w:val="20"/>
                <w:color w:val="auto"/>
              </w:rPr>
            </w:pPr>
            <w:r>
              <w:rPr>
                <w:rFonts w:ascii="Arial" w:cs="Arial" w:eastAsia="Arial" w:hAnsi="Arial"/>
                <w:sz w:val="15"/>
                <w:szCs w:val="15"/>
                <w:color w:val="auto"/>
              </w:rPr>
              <w:t>153.57</w:t>
            </w:r>
          </w:p>
        </w:tc>
        <w:tc>
          <w:tcPr>
            <w:tcW w:w="1140" w:type="dxa"/>
            <w:vAlign w:val="bottom"/>
          </w:tcPr>
          <w:p>
            <w:pPr>
              <w:jc w:val="right"/>
              <w:ind w:right="243"/>
              <w:spacing w:after="0"/>
              <w:rPr>
                <w:sz w:val="20"/>
                <w:szCs w:val="20"/>
                <w:color w:val="auto"/>
              </w:rPr>
            </w:pPr>
            <w:r>
              <w:rPr>
                <w:rFonts w:ascii="Arial" w:cs="Arial" w:eastAsia="Arial" w:hAnsi="Arial"/>
                <w:sz w:val="15"/>
                <w:szCs w:val="15"/>
                <w:color w:val="auto"/>
              </w:rPr>
              <w:t>174.60</w:t>
            </w:r>
          </w:p>
        </w:tc>
        <w:tc>
          <w:tcPr>
            <w:tcW w:w="1120" w:type="dxa"/>
            <w:vAlign w:val="bottom"/>
          </w:tcPr>
          <w:p>
            <w:pPr>
              <w:jc w:val="right"/>
              <w:ind w:right="243"/>
              <w:spacing w:after="0"/>
              <w:rPr>
                <w:sz w:val="20"/>
                <w:szCs w:val="20"/>
                <w:color w:val="auto"/>
              </w:rPr>
            </w:pPr>
            <w:r>
              <w:rPr>
                <w:rFonts w:ascii="Arial" w:cs="Arial" w:eastAsia="Arial" w:hAnsi="Arial"/>
                <w:sz w:val="15"/>
                <w:szCs w:val="15"/>
                <w:color w:val="auto"/>
              </w:rPr>
              <w:t>177.01</w:t>
            </w:r>
          </w:p>
        </w:tc>
        <w:tc>
          <w:tcPr>
            <w:tcW w:w="800" w:type="dxa"/>
            <w:vAlign w:val="bottom"/>
          </w:tcPr>
          <w:p>
            <w:pPr>
              <w:jc w:val="right"/>
              <w:spacing w:after="0"/>
              <w:rPr>
                <w:sz w:val="20"/>
                <w:szCs w:val="20"/>
                <w:color w:val="auto"/>
              </w:rPr>
            </w:pPr>
            <w:r>
              <w:rPr>
                <w:rFonts w:ascii="Arial" w:cs="Arial" w:eastAsia="Arial" w:hAnsi="Arial"/>
                <w:sz w:val="15"/>
                <w:szCs w:val="15"/>
                <w:b w:val="1"/>
                <w:bCs w:val="1"/>
                <w:color w:val="auto"/>
              </w:rPr>
              <w:t>198.18</w:t>
            </w:r>
          </w:p>
        </w:tc>
      </w:tr>
      <w:tr>
        <w:trPr>
          <w:trHeight w:val="270"/>
        </w:trPr>
        <w:tc>
          <w:tcPr>
            <w:tcW w:w="3540" w:type="dxa"/>
            <w:vAlign w:val="bottom"/>
          </w:tcPr>
          <w:p>
            <w:pPr>
              <w:ind w:left="40"/>
              <w:spacing w:after="0"/>
              <w:rPr>
                <w:sz w:val="20"/>
                <w:szCs w:val="20"/>
                <w:color w:val="auto"/>
              </w:rPr>
            </w:pPr>
            <w:r>
              <w:rPr>
                <w:rFonts w:ascii="Arial" w:cs="Arial" w:eastAsia="Arial" w:hAnsi="Arial"/>
                <w:sz w:val="15"/>
                <w:szCs w:val="15"/>
                <w:color w:val="auto"/>
              </w:rPr>
              <w:t>New Education Peer Group</w:t>
            </w:r>
          </w:p>
        </w:tc>
        <w:tc>
          <w:tcPr>
            <w:tcW w:w="2420" w:type="dxa"/>
            <w:vAlign w:val="bottom"/>
          </w:tcPr>
          <w:p>
            <w:pPr>
              <w:jc w:val="right"/>
              <w:ind w:right="263"/>
              <w:spacing w:after="0"/>
              <w:rPr>
                <w:sz w:val="20"/>
                <w:szCs w:val="20"/>
                <w:color w:val="auto"/>
              </w:rPr>
            </w:pPr>
            <w:r>
              <w:rPr>
                <w:rFonts w:ascii="Arial" w:cs="Arial" w:eastAsia="Arial" w:hAnsi="Arial"/>
                <w:sz w:val="15"/>
                <w:szCs w:val="15"/>
                <w:color w:val="auto"/>
              </w:rPr>
              <w:t>100.00</w:t>
            </w:r>
          </w:p>
        </w:tc>
        <w:tc>
          <w:tcPr>
            <w:tcW w:w="1160" w:type="dxa"/>
            <w:vAlign w:val="bottom"/>
          </w:tcPr>
          <w:p>
            <w:pPr>
              <w:jc w:val="right"/>
              <w:ind w:right="263"/>
              <w:spacing w:after="0"/>
              <w:rPr>
                <w:sz w:val="20"/>
                <w:szCs w:val="20"/>
                <w:color w:val="auto"/>
              </w:rPr>
            </w:pPr>
            <w:r>
              <w:rPr>
                <w:rFonts w:ascii="Arial" w:cs="Arial" w:eastAsia="Arial" w:hAnsi="Arial"/>
                <w:sz w:val="15"/>
                <w:szCs w:val="15"/>
                <w:color w:val="auto"/>
              </w:rPr>
              <w:t>55.19</w:t>
            </w:r>
          </w:p>
        </w:tc>
        <w:tc>
          <w:tcPr>
            <w:tcW w:w="1140" w:type="dxa"/>
            <w:vAlign w:val="bottom"/>
          </w:tcPr>
          <w:p>
            <w:pPr>
              <w:jc w:val="right"/>
              <w:ind w:right="243"/>
              <w:spacing w:after="0"/>
              <w:rPr>
                <w:sz w:val="20"/>
                <w:szCs w:val="20"/>
                <w:color w:val="auto"/>
              </w:rPr>
            </w:pPr>
            <w:r>
              <w:rPr>
                <w:rFonts w:ascii="Arial" w:cs="Arial" w:eastAsia="Arial" w:hAnsi="Arial"/>
                <w:sz w:val="15"/>
                <w:szCs w:val="15"/>
                <w:color w:val="auto"/>
              </w:rPr>
              <w:t>79.22</w:t>
            </w:r>
          </w:p>
        </w:tc>
        <w:tc>
          <w:tcPr>
            <w:tcW w:w="1140" w:type="dxa"/>
            <w:vAlign w:val="bottom"/>
          </w:tcPr>
          <w:p>
            <w:pPr>
              <w:jc w:val="right"/>
              <w:ind w:right="243"/>
              <w:spacing w:after="0"/>
              <w:rPr>
                <w:sz w:val="20"/>
                <w:szCs w:val="20"/>
                <w:color w:val="auto"/>
              </w:rPr>
            </w:pPr>
            <w:r>
              <w:rPr>
                <w:rFonts w:ascii="Arial" w:cs="Arial" w:eastAsia="Arial" w:hAnsi="Arial"/>
                <w:sz w:val="15"/>
                <w:szCs w:val="15"/>
                <w:color w:val="auto"/>
              </w:rPr>
              <w:t>92.95</w:t>
            </w:r>
          </w:p>
        </w:tc>
        <w:tc>
          <w:tcPr>
            <w:tcW w:w="1120" w:type="dxa"/>
            <w:vAlign w:val="bottom"/>
          </w:tcPr>
          <w:p>
            <w:pPr>
              <w:jc w:val="right"/>
              <w:ind w:right="243"/>
              <w:spacing w:after="0"/>
              <w:rPr>
                <w:sz w:val="20"/>
                <w:szCs w:val="20"/>
                <w:color w:val="auto"/>
              </w:rPr>
            </w:pPr>
            <w:r>
              <w:rPr>
                <w:rFonts w:ascii="Arial" w:cs="Arial" w:eastAsia="Arial" w:hAnsi="Arial"/>
                <w:sz w:val="15"/>
                <w:szCs w:val="15"/>
                <w:color w:val="auto"/>
              </w:rPr>
              <w:t>49.36</w:t>
            </w:r>
          </w:p>
        </w:tc>
        <w:tc>
          <w:tcPr>
            <w:tcW w:w="800" w:type="dxa"/>
            <w:vAlign w:val="bottom"/>
          </w:tcPr>
          <w:p>
            <w:pPr>
              <w:jc w:val="right"/>
              <w:spacing w:after="0"/>
              <w:rPr>
                <w:sz w:val="20"/>
                <w:szCs w:val="20"/>
                <w:color w:val="auto"/>
              </w:rPr>
            </w:pPr>
            <w:r>
              <w:rPr>
                <w:rFonts w:ascii="Arial" w:cs="Arial" w:eastAsia="Arial" w:hAnsi="Arial"/>
                <w:sz w:val="15"/>
                <w:szCs w:val="15"/>
                <w:b w:val="1"/>
                <w:bCs w:val="1"/>
                <w:color w:val="auto"/>
              </w:rPr>
              <w:t>68.92</w:t>
            </w:r>
          </w:p>
        </w:tc>
      </w:tr>
      <w:tr>
        <w:trPr>
          <w:trHeight w:val="154"/>
        </w:trPr>
        <w:tc>
          <w:tcPr>
            <w:tcW w:w="3540" w:type="dxa"/>
            <w:vAlign w:val="bottom"/>
          </w:tcPr>
          <w:p>
            <w:pPr>
              <w:jc w:val="right"/>
              <w:ind w:right="2749"/>
              <w:spacing w:after="0"/>
              <w:rPr>
                <w:sz w:val="20"/>
                <w:szCs w:val="20"/>
                <w:color w:val="auto"/>
              </w:rPr>
            </w:pPr>
            <w:r>
              <w:rPr>
                <w:rFonts w:ascii="Arial" w:cs="Arial" w:eastAsia="Arial" w:hAnsi="Arial"/>
                <w:sz w:val="11"/>
                <w:szCs w:val="11"/>
                <w:color w:val="auto"/>
                <w:w w:val="95"/>
              </w:rPr>
              <w:t>____________</w:t>
            </w:r>
          </w:p>
        </w:tc>
        <w:tc>
          <w:tcPr>
            <w:tcW w:w="24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0" w:type="dxa"/>
            <w:vAlign w:val="bottom"/>
          </w:tcPr>
          <w:p>
            <w:pPr>
              <w:spacing w:after="0"/>
              <w:rPr>
                <w:sz w:val="13"/>
                <w:szCs w:val="13"/>
                <w:color w:val="auto"/>
              </w:rPr>
            </w:pPr>
          </w:p>
        </w:tc>
      </w:tr>
    </w:tbl>
    <w:p>
      <w:pPr>
        <w:spacing w:after="0" w:line="174" w:lineRule="exact"/>
        <w:rPr>
          <w:sz w:val="20"/>
          <w:szCs w:val="20"/>
          <w:color w:val="auto"/>
        </w:rPr>
      </w:pPr>
    </w:p>
    <w:p>
      <w:pPr>
        <w:spacing w:after="0"/>
        <w:rPr>
          <w:sz w:val="20"/>
          <w:szCs w:val="20"/>
          <w:color w:val="auto"/>
        </w:rPr>
      </w:pPr>
      <w:r>
        <w:rPr>
          <w:rFonts w:ascii="Arial" w:cs="Arial" w:eastAsia="Arial" w:hAnsi="Arial"/>
          <w:sz w:val="13"/>
          <w:szCs w:val="13"/>
          <w:color w:val="auto"/>
        </w:rPr>
        <w:t>ITT Educational Services Inc. is no longer included in the New Education Peer Group due to its removal from the NYSE in 2016.</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146" w:lineRule="exact"/>
        <w:rPr>
          <w:sz w:val="20"/>
          <w:szCs w:val="20"/>
          <w:color w:val="auto"/>
        </w:rPr>
      </w:pPr>
    </w:p>
    <w:p>
      <w:pPr>
        <w:ind w:right="300"/>
        <w:spacing w:after="0"/>
        <w:rPr>
          <w:sz w:val="20"/>
          <w:szCs w:val="20"/>
          <w:color w:val="auto"/>
        </w:rPr>
      </w:pPr>
      <w:r>
        <w:rPr>
          <w:rFonts w:ascii="Arial" w:cs="Arial" w:eastAsia="Arial" w:hAnsi="Arial"/>
          <w:sz w:val="18"/>
          <w:szCs w:val="18"/>
          <w:color w:val="auto"/>
        </w:rPr>
        <w:t>See the information for the years 2012 through 2016 contained in the table titled “Five-Year Summary of Selected Historical Financial Data,” which is included in this Annual Report on Form 10-K and listed in the index to financial information on page 40 hereof (with only the information for such years to be deemed filed as part of this Annual Report on Form 10-K).</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46" w:lineRule="exact"/>
        <w:rPr>
          <w:sz w:val="20"/>
          <w:szCs w:val="20"/>
          <w:color w:val="auto"/>
        </w:rPr>
      </w:pPr>
    </w:p>
    <w:p>
      <w:pPr>
        <w:ind w:right="220"/>
        <w:spacing w:after="0" w:line="260" w:lineRule="auto"/>
        <w:rPr>
          <w:sz w:val="20"/>
          <w:szCs w:val="20"/>
          <w:color w:val="auto"/>
        </w:rPr>
      </w:pPr>
      <w:r>
        <w:rPr>
          <w:rFonts w:ascii="Arial" w:cs="Arial" w:eastAsia="Arial" w:hAnsi="Arial"/>
          <w:sz w:val="18"/>
          <w:szCs w:val="18"/>
          <w:color w:val="auto"/>
        </w:rPr>
        <w:t>See the information contained under the heading “Management’s Discussion and Analysis of Results of Operations and Financial Condition,” which is included in this Annual Report on Form 10-K and listed in the index to financial information on page 40 hereof.</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46" w:lineRule="exact"/>
        <w:rPr>
          <w:sz w:val="20"/>
          <w:szCs w:val="20"/>
          <w:color w:val="auto"/>
        </w:rPr>
      </w:pPr>
    </w:p>
    <w:p>
      <w:pPr>
        <w:ind w:right="300"/>
        <w:spacing w:after="0"/>
        <w:rPr>
          <w:sz w:val="20"/>
          <w:szCs w:val="20"/>
          <w:color w:val="auto"/>
        </w:rPr>
      </w:pPr>
      <w:r>
        <w:rPr>
          <w:rFonts w:ascii="Arial" w:cs="Arial" w:eastAsia="Arial" w:hAnsi="Arial"/>
          <w:sz w:val="18"/>
          <w:szCs w:val="18"/>
          <w:color w:val="auto"/>
        </w:rPr>
        <w:t>The Company is exposed to market risk in the normal course of its business due primarily to its ownership of marketable equity securities, which are subject to equity price risk; to its borrowing and cash-management activities, which are subject to interest rate risk; and to its non-U.S. business operations, which are subject to foreign exchange rate risk.</w:t>
      </w:r>
    </w:p>
    <w:p>
      <w:pPr>
        <w:spacing w:after="0" w:line="108" w:lineRule="exact"/>
        <w:rPr>
          <w:sz w:val="20"/>
          <w:szCs w:val="20"/>
          <w:color w:val="auto"/>
        </w:rPr>
      </w:pPr>
    </w:p>
    <w:p>
      <w:pPr>
        <w:ind w:right="320"/>
        <w:spacing w:after="0"/>
        <w:rPr>
          <w:sz w:val="20"/>
          <w:szCs w:val="20"/>
          <w:color w:val="auto"/>
        </w:rPr>
      </w:pPr>
      <w:r>
        <w:rPr>
          <w:rFonts w:ascii="Arial" w:cs="Arial" w:eastAsia="Arial" w:hAnsi="Arial"/>
          <w:sz w:val="18"/>
          <w:szCs w:val="18"/>
          <w:b w:val="1"/>
          <w:bCs w:val="1"/>
          <w:i w:val="1"/>
          <w:iCs w:val="1"/>
          <w:color w:val="auto"/>
        </w:rPr>
        <w:t xml:space="preserve">Equity Price Risk. </w:t>
      </w:r>
      <w:r>
        <w:rPr>
          <w:rFonts w:ascii="Arial" w:cs="Arial" w:eastAsia="Arial" w:hAnsi="Arial"/>
          <w:sz w:val="18"/>
          <w:szCs w:val="18"/>
          <w:color w:val="auto"/>
        </w:rPr>
        <w:t>The Company has common stock investments in several publicly traded companies (as discussed in Note 4 to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Company’s Consolidated Financial Statements) that are subject to market price volatility. The fair value of these common stock investments totaled $424.2 million at December 31, 2016.</w:t>
      </w: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440" w:right="239" w:bottom="1440" w:gutter="0" w:footer="0" w:header="0"/>
        </w:sectPr>
      </w:pPr>
    </w:p>
    <w:bookmarkStart w:id="37" w:name="page38"/>
    <w:bookmarkEnd w:id="37"/>
    <w:p>
      <w:pPr>
        <w:ind w:right="140"/>
        <w:spacing w:after="0" w:line="227" w:lineRule="auto"/>
        <w:rPr>
          <w:sz w:val="20"/>
          <w:szCs w:val="20"/>
          <w:color w:val="auto"/>
        </w:rPr>
      </w:pPr>
      <w:r>
        <w:rPr>
          <w:rFonts w:ascii="Arial" w:cs="Arial" w:eastAsia="Arial" w:hAnsi="Arial"/>
          <w:sz w:val="18"/>
          <w:szCs w:val="18"/>
          <w:b w:val="1"/>
          <w:bCs w:val="1"/>
          <w:i w:val="1"/>
          <w:iCs w:val="1"/>
          <w:color w:val="auto"/>
        </w:rPr>
        <w:t xml:space="preserve">Interest Rate Risk. </w:t>
      </w:r>
      <w:r>
        <w:rPr>
          <w:rFonts w:ascii="Arial" w:cs="Arial" w:eastAsia="Arial" w:hAnsi="Arial"/>
          <w:sz w:val="18"/>
          <w:szCs w:val="18"/>
          <w:color w:val="auto"/>
        </w:rPr>
        <w:t>The Company’s long-term debt primarily consists of $400 million principal amount of 7.25% unsecured notes due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February 1, 2019 (the Notes). At December 31, 2016, the aggregate fair value of the Notes, based upon quoted market prices, was $438.7 million. An increase in the market rate of interest applicable to the Notes would not increase the Company’s interest expense with respect to the Notes since the rate of interest the Company is required to pay on the Notes is fixed, but such an increase in rates would affect the fair value of the Notes. Assuming, hypothetically, that the market interest rate applicable to the Notes was 100 basis points higher than the Notes’ stated interest rate of 7.25%, the fair value of the Notes at December 31, 2016, would have been approximately $392.5 million. Conversely, if the market interest rate applicable to the Notes was 100 basis points lower than the Notes’ stated interest rate, the fair value of the Notes at such date would have been approximately $407.7 million.</w:t>
      </w:r>
    </w:p>
    <w:p>
      <w:pPr>
        <w:spacing w:after="0" w:line="108"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On July 25, 2016, Kaplan borrowed £75 million under the Kaplan Credit Agreement. On the same date, Kaplan entered into an interest rate swap agreement with a total notional value of £75 million and a maturity date of July 1, 2020. The interest rate swap agreement will pay Kaplan variable interest on the £75 million notional amount at the three-month LIBOR, and Kaplan will pay the counterparties a fixed rate of 0.51%, effectively resulting in a total fixed interest rate of 2.01% on the outstanding borrowings at the current applicable margin of 1.50%. The interest rate swap agreement was entered into to convert the variable rate British pound borrowing under the Kaplan Credit Agreement into a fixed rate borrowing. The Company provided a guarantee on any borrowings under the Kaplan Credit Agreement. Based on the terms of the interest rate swap agreement and the underlying borrowing, the interest rate swap agreement was determined to be effective, and thus qualifies as a cash flow hedge. As such, changes in the fair value of the interest rate swap are recorded in other comprehensive income on the accompanying Condensed Consolidated Balance Sheets until earnings are affected by the variability of cash flows.</w:t>
      </w:r>
    </w:p>
    <w:p>
      <w:pPr>
        <w:spacing w:after="0" w:line="110" w:lineRule="exact"/>
        <w:rPr>
          <w:sz w:val="20"/>
          <w:szCs w:val="20"/>
          <w:color w:val="auto"/>
        </w:rPr>
      </w:pPr>
    </w:p>
    <w:p>
      <w:pPr>
        <w:spacing w:after="0" w:line="227" w:lineRule="auto"/>
        <w:rPr>
          <w:sz w:val="20"/>
          <w:szCs w:val="20"/>
          <w:color w:val="auto"/>
        </w:rPr>
      </w:pPr>
      <w:r>
        <w:rPr>
          <w:rFonts w:ascii="Arial" w:cs="Arial" w:eastAsia="Arial" w:hAnsi="Arial"/>
          <w:sz w:val="18"/>
          <w:szCs w:val="18"/>
          <w:b w:val="1"/>
          <w:bCs w:val="1"/>
          <w:i w:val="1"/>
          <w:iCs w:val="1"/>
          <w:color w:val="auto"/>
        </w:rPr>
        <w:t xml:space="preserve">Foreign Exchange Rate Risk. </w:t>
      </w:r>
      <w:r>
        <w:rPr>
          <w:rFonts w:ascii="Arial" w:cs="Arial" w:eastAsia="Arial" w:hAnsi="Arial"/>
          <w:sz w:val="18"/>
          <w:szCs w:val="18"/>
          <w:color w:val="auto"/>
        </w:rPr>
        <w:t>The Company is exposed to foreign exchange rate risk primarily at its Kaplan international operations, and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primary exposure relates to the exchange rate between the U.S. dollar and the British pound and the Australian dollar. This exposure includes British pound and Australian dollar denominated intercompany loans on U.S.-based Kaplan entities with a functional currency in U.S. dollars. In 2016, the Company reported foreign currency losses of $39.9 million, largely as a result of the decline in the British pound currency in 2016; this includes a realized $16.5 million loss related to a British pound intercompany advance made in the first quarter of 2016 related to Kaplan's U.K. acquisitions that has been repaid. In the third quarter of 2016, certain intercompany loans were capitalized and other intercompany loans were designated as long-term investments. In 2015, the Company reported unrealized foreign currency losses of $15.6 million. In 2014, the Company reported unrealized foreign currency losses of $11.1 million.</w:t>
      </w:r>
    </w:p>
    <w:p>
      <w:pPr>
        <w:spacing w:after="0" w:line="108" w:lineRule="exact"/>
        <w:rPr>
          <w:sz w:val="20"/>
          <w:szCs w:val="20"/>
          <w:color w:val="auto"/>
        </w:rPr>
      </w:pPr>
    </w:p>
    <w:p>
      <w:pPr>
        <w:ind w:right="140"/>
        <w:spacing w:after="0"/>
        <w:rPr>
          <w:sz w:val="20"/>
          <w:szCs w:val="20"/>
          <w:color w:val="auto"/>
        </w:rPr>
      </w:pPr>
      <w:r>
        <w:rPr>
          <w:rFonts w:ascii="Arial" w:cs="Arial" w:eastAsia="Arial" w:hAnsi="Arial"/>
          <w:sz w:val="18"/>
          <w:szCs w:val="18"/>
          <w:color w:val="auto"/>
        </w:rPr>
        <w:t>If the values of the British pound and the Australian dollar relative to the U.S. dollar had been 10% lower than the values that prevailed during 2016, the Company’s pre-tax income for 2016 would have been approximately $21 million lower. Conversely, if such values had been 10% higher, the Company’s reported pre-tax income for 2016 would have been approximately $21 million higher.</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146" w:lineRule="exact"/>
        <w:rPr>
          <w:sz w:val="20"/>
          <w:szCs w:val="20"/>
          <w:color w:val="auto"/>
        </w:rPr>
      </w:pPr>
    </w:p>
    <w:p>
      <w:pPr>
        <w:ind w:right="20"/>
        <w:spacing w:after="0" w:line="234" w:lineRule="auto"/>
        <w:rPr>
          <w:sz w:val="20"/>
          <w:szCs w:val="20"/>
          <w:color w:val="auto"/>
        </w:rPr>
      </w:pPr>
      <w:r>
        <w:rPr>
          <w:rFonts w:ascii="Arial" w:cs="Arial" w:eastAsia="Arial" w:hAnsi="Arial"/>
          <w:sz w:val="18"/>
          <w:szCs w:val="18"/>
          <w:color w:val="auto"/>
        </w:rPr>
        <w:t>See the Company’s Consolidated Financial Statements at December 31, 2016, and for the periods then ended, together with the report of PricewaterhouseCoopers LLP thereon and the information contained in Note 20 to said Consolidated Financial Statements titled “Summary of Quarterly Operating Results and Comprehensive Income (Unaudited),” which are included in this Annual Report on Form 10-K and listed in the index to financial information on page 40 hereof.</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44" w:lineRule="exact"/>
        <w:rPr>
          <w:sz w:val="20"/>
          <w:szCs w:val="20"/>
          <w:color w:val="auto"/>
        </w:rPr>
      </w:pPr>
    </w:p>
    <w:p>
      <w:pPr>
        <w:jc w:val="both"/>
        <w:spacing w:after="0" w:line="227" w:lineRule="auto"/>
        <w:rPr>
          <w:sz w:val="20"/>
          <w:szCs w:val="20"/>
          <w:color w:val="auto"/>
        </w:rPr>
      </w:pPr>
      <w:r>
        <w:rPr>
          <w:rFonts w:ascii="Arial" w:cs="Arial" w:eastAsia="Arial" w:hAnsi="Arial"/>
          <w:sz w:val="18"/>
          <w:szCs w:val="18"/>
          <w:color w:val="auto"/>
        </w:rPr>
        <w:t>An evaluation was performed by the Company’s management, with the participation of the Company’s Chief Executive Officer (the Company’s principal executive officer) and the Company’s Senior Vice President–Finance (the Company’s principal financial officer), of the effectiveness of the Company’s disclosure controls and procedures (as defined in Exchange Act Rules 13a-15(e) and 15d-15(e)), as of December 31, 2016.</w:t>
      </w:r>
    </w:p>
    <w:p>
      <w:pPr>
        <w:spacing w:after="0" w:line="2" w:lineRule="exact"/>
        <w:rPr>
          <w:sz w:val="20"/>
          <w:szCs w:val="20"/>
          <w:color w:val="auto"/>
        </w:rPr>
      </w:pPr>
    </w:p>
    <w:p>
      <w:pPr>
        <w:ind w:right="280"/>
        <w:spacing w:after="0" w:line="225" w:lineRule="auto"/>
        <w:rPr>
          <w:sz w:val="20"/>
          <w:szCs w:val="20"/>
          <w:color w:val="auto"/>
        </w:rPr>
      </w:pPr>
      <w:r>
        <w:rPr>
          <w:rFonts w:ascii="Arial" w:cs="Arial" w:eastAsia="Arial" w:hAnsi="Arial"/>
          <w:sz w:val="18"/>
          <w:szCs w:val="18"/>
          <w:color w:val="auto"/>
        </w:rPr>
        <w:t>Based on that evaluation, the Company’s Chief Executive Officer and Senior Vice President–Finance have concluded that the Company’s disclosure controls and procedures, as designed and implemented, are effective in ensuring that information required to be disclosed by the Company in the reports that it files or submits under the Exchange Act is recorded, processed, summarized and reported within the time periods specified in the Securities and Exchange Commission’s rules and forms and is accumulated and communicated to management, including the Chief Executive Officer and Senior Vice President–Finance, in a manner that allows timely decisions regarding required disclosure.</w:t>
      </w:r>
    </w:p>
    <w:p>
      <w:pPr>
        <w:spacing w:after="0" w:line="200" w:lineRule="exact"/>
        <w:rPr>
          <w:sz w:val="20"/>
          <w:szCs w:val="20"/>
          <w:color w:val="auto"/>
        </w:rPr>
      </w:pPr>
    </w:p>
    <w:p>
      <w:pPr>
        <w:spacing w:after="0" w:line="2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380"/>
          </w:cols>
          <w:pgMar w:left="240" w:top="724" w:right="279" w:bottom="1440" w:gutter="0" w:footer="0" w:header="0"/>
        </w:sectPr>
      </w:pPr>
    </w:p>
    <w:bookmarkStart w:id="38" w:name="page39"/>
    <w:bookmarkEnd w:id="38"/>
    <w:p>
      <w:pPr>
        <w:ind w:right="5160"/>
        <w:spacing w:after="0" w:line="407" w:lineRule="auto"/>
        <w:rPr>
          <w:sz w:val="20"/>
          <w:szCs w:val="20"/>
          <w:color w:val="auto"/>
        </w:rPr>
      </w:pPr>
      <w:r>
        <w:rPr>
          <w:rFonts w:ascii="Arial" w:cs="Arial" w:eastAsia="Arial" w:hAnsi="Arial"/>
          <w:sz w:val="18"/>
          <w:szCs w:val="18"/>
          <w:b w:val="1"/>
          <w:bCs w:val="1"/>
          <w:i w:val="1"/>
          <w:iCs w:val="1"/>
          <w:color w:val="auto"/>
        </w:rPr>
        <w:t xml:space="preserve">Management’s Report on Internal Control Over Financial Reporting </w:t>
      </w:r>
      <w:r>
        <w:rPr>
          <w:rFonts w:ascii="Arial" w:cs="Arial" w:eastAsia="Arial" w:hAnsi="Arial"/>
          <w:sz w:val="18"/>
          <w:szCs w:val="18"/>
          <w:color w:val="auto"/>
        </w:rPr>
        <w:t xml:space="preserve">Management’s report set forth on page 61 is incorporated herein by reference. </w:t>
      </w:r>
      <w:r>
        <w:rPr>
          <w:rFonts w:ascii="Arial" w:cs="Arial" w:eastAsia="Arial" w:hAnsi="Arial"/>
          <w:sz w:val="18"/>
          <w:szCs w:val="18"/>
          <w:b w:val="1"/>
          <w:bCs w:val="1"/>
          <w:i w:val="1"/>
          <w:iCs w:val="1"/>
          <w:color w:val="auto"/>
        </w:rPr>
        <w:t>Changes in Internal Control Over Financial Reporting</w:t>
      </w:r>
    </w:p>
    <w:p>
      <w:pPr>
        <w:ind w:right="300"/>
        <w:spacing w:after="0" w:line="260" w:lineRule="auto"/>
        <w:rPr>
          <w:sz w:val="20"/>
          <w:szCs w:val="20"/>
          <w:color w:val="auto"/>
        </w:rPr>
      </w:pPr>
      <w:r>
        <w:rPr>
          <w:rFonts w:ascii="Arial" w:cs="Arial" w:eastAsia="Arial" w:hAnsi="Arial"/>
          <w:sz w:val="18"/>
          <w:szCs w:val="18"/>
          <w:color w:val="auto"/>
        </w:rPr>
        <w:t>There has been no change in the Company’s internal control over financial reporting during the quarter ended December 31, 2016, that has materially affected, or is reasonably likely to materially affect, the Company’s internal control over financial reporting.</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42" w:lineRule="exact"/>
        <w:rPr>
          <w:sz w:val="20"/>
          <w:szCs w:val="20"/>
          <w:color w:val="auto"/>
        </w:rPr>
      </w:pPr>
    </w:p>
    <w:p>
      <w:pPr>
        <w:ind w:left="5380"/>
        <w:spacing w:after="0"/>
        <w:rPr>
          <w:sz w:val="20"/>
          <w:szCs w:val="20"/>
          <w:color w:val="auto"/>
        </w:rPr>
      </w:pPr>
      <w:r>
        <w:rPr>
          <w:rFonts w:ascii="Arial" w:cs="Arial" w:eastAsia="Arial" w:hAnsi="Arial"/>
          <w:sz w:val="18"/>
          <w:szCs w:val="18"/>
          <w:b w:val="1"/>
          <w:bCs w:val="1"/>
          <w:color w:val="auto"/>
        </w:rPr>
        <w:t>PART III</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46" w:lineRule="exact"/>
        <w:rPr>
          <w:sz w:val="20"/>
          <w:szCs w:val="20"/>
          <w:color w:val="auto"/>
        </w:rPr>
      </w:pPr>
    </w:p>
    <w:p>
      <w:pPr>
        <w:ind w:right="400"/>
        <w:spacing w:after="0" w:line="234" w:lineRule="auto"/>
        <w:rPr>
          <w:sz w:val="20"/>
          <w:szCs w:val="20"/>
          <w:color w:val="auto"/>
        </w:rPr>
      </w:pPr>
      <w:r>
        <w:rPr>
          <w:rFonts w:ascii="Arial" w:cs="Arial" w:eastAsia="Arial" w:hAnsi="Arial"/>
          <w:sz w:val="18"/>
          <w:szCs w:val="18"/>
          <w:color w:val="auto"/>
        </w:rPr>
        <w:t>The information contained under the heading “Executive Officers” in Item 1 hereof and the information contained under the headings “Nominees for Election by Class A Shareholders,” “Nominees for Election by Class B Shareholders,” “Audit Committee” and “Section 16(a) Beneficial Ownership Reporting Compliance” in the definitive Proxy Statement for the Company’s 2017 Annual Meeting of Stockholders is incorporated herein by reference thereto.</w:t>
      </w:r>
    </w:p>
    <w:p>
      <w:pPr>
        <w:spacing w:after="0" w:line="111" w:lineRule="exact"/>
        <w:rPr>
          <w:sz w:val="20"/>
          <w:szCs w:val="20"/>
          <w:color w:val="auto"/>
        </w:rPr>
      </w:pPr>
    </w:p>
    <w:p>
      <w:pPr>
        <w:spacing w:after="0" w:line="229" w:lineRule="auto"/>
        <w:rPr>
          <w:sz w:val="20"/>
          <w:szCs w:val="20"/>
          <w:color w:val="auto"/>
        </w:rPr>
      </w:pPr>
      <w:r>
        <w:rPr>
          <w:rFonts w:ascii="Arial" w:cs="Arial" w:eastAsia="Arial" w:hAnsi="Arial"/>
          <w:sz w:val="18"/>
          <w:szCs w:val="18"/>
          <w:color w:val="auto"/>
        </w:rPr>
        <w:t>The Company has adopted codes of conduct that constitute “codes of ethics” as that term is defined in paragraph (b) of Item 406 of Regulation S-K and that apply to the Company’s principal executive officer, principal financial officer, principal accounting officer or controller and to any persons performing similar functions. Such codes of conduct are posted on the Company’s website, the address of which is ghco.com</w:t>
      </w:r>
      <w:r>
        <w:rPr>
          <w:rFonts w:ascii="Arial" w:cs="Arial" w:eastAsia="Arial" w:hAnsi="Arial"/>
          <w:sz w:val="18"/>
          <w:szCs w:val="18"/>
          <w:i w:val="1"/>
          <w:iCs w:val="1"/>
          <w:color w:val="auto"/>
        </w:rPr>
        <w:t>,</w:t>
      </w:r>
      <w:r>
        <w:rPr>
          <w:rFonts w:ascii="Arial" w:cs="Arial" w:eastAsia="Arial" w:hAnsi="Arial"/>
          <w:sz w:val="18"/>
          <w:szCs w:val="18"/>
          <w:color w:val="auto"/>
        </w:rPr>
        <w:t xml:space="preserve"> and the Company intends to satisfy the disclosure requirements under Item 5.05 of Form 8-K with respect to certain amendments to, and waivers of the requirements of, the provisions of such codes of conduct applicable to the officers and persons referred to above by posting the required information on its website.</w:t>
      </w:r>
    </w:p>
    <w:p>
      <w:pPr>
        <w:spacing w:after="0" w:line="112" w:lineRule="exact"/>
        <w:rPr>
          <w:sz w:val="20"/>
          <w:szCs w:val="20"/>
          <w:color w:val="auto"/>
        </w:rPr>
      </w:pPr>
    </w:p>
    <w:p>
      <w:pPr>
        <w:ind w:right="240"/>
        <w:spacing w:after="0" w:line="234" w:lineRule="auto"/>
        <w:rPr>
          <w:sz w:val="20"/>
          <w:szCs w:val="20"/>
          <w:color w:val="auto"/>
        </w:rPr>
      </w:pPr>
      <w:r>
        <w:rPr>
          <w:rFonts w:ascii="Arial" w:cs="Arial" w:eastAsia="Arial" w:hAnsi="Arial"/>
          <w:sz w:val="18"/>
          <w:szCs w:val="18"/>
          <w:color w:val="auto"/>
        </w:rPr>
        <w:t>In addition to the certifications of the Company’s Chief Executive Officer and Chief Financial Officer filed as exhibits to this Annual Report on Form 10-K, on May 24, 2016, the Company’s Chief Executive Officer submitted to the New York Stock Exchange the annual certification regarding compliance with the NYSE’s corporate governance listing standards required by Section 303A.12(a) of the NYSE Listed Company Manual.</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contained under the headings “Director Compensation,” “Compensation Committee Interlocks and Insider Participation,” “Executive Compensation” and “Compensation Committee Report” in the definitive Proxy Statement for the Company’s 2017 Annual Meeting of Stockholders is incorporated herein by reference thereto.</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46" w:lineRule="exact"/>
        <w:rPr>
          <w:sz w:val="20"/>
          <w:szCs w:val="20"/>
          <w:color w:val="auto"/>
        </w:rPr>
      </w:pPr>
    </w:p>
    <w:p>
      <w:pPr>
        <w:ind w:right="20"/>
        <w:spacing w:after="0" w:line="260" w:lineRule="auto"/>
        <w:rPr>
          <w:sz w:val="20"/>
          <w:szCs w:val="20"/>
          <w:color w:val="auto"/>
        </w:rPr>
      </w:pPr>
      <w:r>
        <w:rPr>
          <w:rFonts w:ascii="Arial" w:cs="Arial" w:eastAsia="Arial" w:hAnsi="Arial"/>
          <w:sz w:val="18"/>
          <w:szCs w:val="18"/>
          <w:color w:val="auto"/>
        </w:rPr>
        <w:t>The information contained under the heading “Stock Holdings of Certain Beneficial Owners and Management” in the definitive Proxy Statement for the Company’s 2017 Annual Meeting of Stockholders is incorporated herein by reference thereto.</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46" w:lineRule="exact"/>
        <w:rPr>
          <w:sz w:val="20"/>
          <w:szCs w:val="20"/>
          <w:color w:val="auto"/>
        </w:rPr>
      </w:pPr>
    </w:p>
    <w:p>
      <w:pPr>
        <w:ind w:right="200"/>
        <w:spacing w:after="0"/>
        <w:rPr>
          <w:sz w:val="20"/>
          <w:szCs w:val="20"/>
          <w:color w:val="auto"/>
        </w:rPr>
      </w:pPr>
      <w:r>
        <w:rPr>
          <w:rFonts w:ascii="Arial" w:cs="Arial" w:eastAsia="Arial" w:hAnsi="Arial"/>
          <w:sz w:val="18"/>
          <w:szCs w:val="18"/>
          <w:color w:val="auto"/>
        </w:rPr>
        <w:t>The information contained under the headings “Transactions With Related Persons, Promoters and Certain Control Persons” and “Controlled Company” in the definitive Proxy Statement for the Company’s 2017 Annual Meeting of Stockholders is incorporated herein by reference thereto.</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146" w:lineRule="exact"/>
        <w:rPr>
          <w:sz w:val="20"/>
          <w:szCs w:val="20"/>
          <w:color w:val="auto"/>
        </w:rPr>
      </w:pPr>
    </w:p>
    <w:p>
      <w:pPr>
        <w:ind w:right="520"/>
        <w:spacing w:after="0" w:line="260" w:lineRule="auto"/>
        <w:rPr>
          <w:sz w:val="20"/>
          <w:szCs w:val="20"/>
          <w:color w:val="auto"/>
        </w:rPr>
      </w:pPr>
      <w:r>
        <w:rPr>
          <w:rFonts w:ascii="Arial" w:cs="Arial" w:eastAsia="Arial" w:hAnsi="Arial"/>
          <w:sz w:val="18"/>
          <w:szCs w:val="18"/>
          <w:color w:val="auto"/>
        </w:rPr>
        <w:t>The information contained under the heading “Audit Committee Report” in the definitive Proxy Statement for the Company’s 2017 Annual Meeting of Stockholders is incorporated herein by reference thereto.</w:t>
      </w: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724" w:right="259" w:bottom="1440" w:gutter="0" w:footer="0" w:header="0"/>
        </w:sectPr>
      </w:pPr>
    </w:p>
    <w:bookmarkStart w:id="39" w:name="page40"/>
    <w:bookmarkEnd w:id="39"/>
    <w:p>
      <w:pPr>
        <w:ind w:left="5360"/>
        <w:spacing w:after="0"/>
        <w:rPr>
          <w:sz w:val="20"/>
          <w:szCs w:val="20"/>
          <w:color w:val="auto"/>
        </w:rPr>
      </w:pPr>
      <w:r>
        <w:rPr>
          <w:rFonts w:ascii="Arial" w:cs="Arial" w:eastAsia="Arial" w:hAnsi="Arial"/>
          <w:sz w:val="18"/>
          <w:szCs w:val="18"/>
          <w:b w:val="1"/>
          <w:bCs w:val="1"/>
          <w:color w:val="auto"/>
        </w:rPr>
        <w:t>PART IV</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documents are filed as part of this report:</w:t>
      </w:r>
    </w:p>
    <w:p>
      <w:pPr>
        <w:spacing w:after="0" w:line="144" w:lineRule="exact"/>
        <w:rPr>
          <w:sz w:val="20"/>
          <w:szCs w:val="20"/>
          <w:color w:val="auto"/>
        </w:rPr>
      </w:pPr>
    </w:p>
    <w:p>
      <w:pPr>
        <w:ind w:left="860" w:hanging="406"/>
        <w:spacing w:after="0"/>
        <w:tabs>
          <w:tab w:leader="none" w:pos="860" w:val="left"/>
        </w:tabs>
        <w:numPr>
          <w:ilvl w:val="1"/>
          <w:numId w:val="4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Financial Statements. </w:t>
      </w:r>
      <w:r>
        <w:rPr>
          <w:rFonts w:ascii="Arial" w:cs="Arial" w:eastAsia="Arial" w:hAnsi="Arial"/>
          <w:sz w:val="18"/>
          <w:szCs w:val="18"/>
          <w:color w:val="auto"/>
        </w:rPr>
        <w:t>As listed in the index to financial information on page 40 hereof.</w:t>
      </w:r>
    </w:p>
    <w:p>
      <w:pPr>
        <w:spacing w:after="0" w:line="144" w:lineRule="exact"/>
        <w:rPr>
          <w:rFonts w:ascii="Arial" w:cs="Arial" w:eastAsia="Arial" w:hAnsi="Arial"/>
          <w:sz w:val="18"/>
          <w:szCs w:val="18"/>
          <w:color w:val="auto"/>
        </w:rPr>
      </w:pPr>
    </w:p>
    <w:p>
      <w:pPr>
        <w:ind w:left="840" w:hanging="400"/>
        <w:spacing w:after="0"/>
        <w:tabs>
          <w:tab w:leader="none" w:pos="840" w:val="left"/>
        </w:tabs>
        <w:numPr>
          <w:ilvl w:val="0"/>
          <w:numId w:val="4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Exhibits.  </w:t>
      </w:r>
      <w:r>
        <w:rPr>
          <w:rFonts w:ascii="Arial" w:cs="Arial" w:eastAsia="Arial" w:hAnsi="Arial"/>
          <w:sz w:val="18"/>
          <w:szCs w:val="18"/>
          <w:color w:val="auto"/>
        </w:rPr>
        <w:t>As listed in the index to exhibits on page 116 hereof.</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30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0219"/>
          </w:cols>
          <w:pgMar w:left="240" w:top="722" w:right="1440" w:bottom="1440" w:gutter="0" w:footer="0" w:header="0"/>
        </w:sectPr>
      </w:pPr>
    </w:p>
    <w:bookmarkStart w:id="40" w:name="page41"/>
    <w:bookmarkEnd w:id="40"/>
    <w:p>
      <w:pPr>
        <w:jc w:val="center"/>
        <w:ind w:left="440"/>
        <w:spacing w:after="0"/>
        <w:rPr>
          <w:sz w:val="20"/>
          <w:szCs w:val="20"/>
          <w:color w:val="auto"/>
        </w:rPr>
      </w:pPr>
      <w:r>
        <w:rPr>
          <w:rFonts w:ascii="Arial" w:cs="Arial" w:eastAsia="Arial" w:hAnsi="Arial"/>
          <w:sz w:val="18"/>
          <w:szCs w:val="18"/>
          <w:b w:val="1"/>
          <w:bCs w:val="1"/>
          <w:color w:val="auto"/>
        </w:rPr>
        <w:t>SIGNATURES</w:t>
      </w:r>
    </w:p>
    <w:p>
      <w:pPr>
        <w:spacing w:after="0" w:line="227" w:lineRule="exact"/>
        <w:rPr>
          <w:sz w:val="20"/>
          <w:szCs w:val="20"/>
          <w:color w:val="auto"/>
        </w:rPr>
      </w:pPr>
    </w:p>
    <w:p>
      <w:pPr>
        <w:ind w:right="280"/>
        <w:spacing w:after="0" w:line="292"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 on February 24, 2017.</w:t>
      </w:r>
    </w:p>
    <w:p>
      <w:pPr>
        <w:spacing w:after="0" w:line="307" w:lineRule="exact"/>
        <w:rPr>
          <w:sz w:val="20"/>
          <w:szCs w:val="20"/>
          <w:color w:val="auto"/>
        </w:rPr>
      </w:pPr>
    </w:p>
    <w:p>
      <w:pPr>
        <w:jc w:val="center"/>
        <w:ind w:left="7080"/>
        <w:spacing w:after="0"/>
        <w:rPr>
          <w:sz w:val="20"/>
          <w:szCs w:val="20"/>
          <w:color w:val="auto"/>
        </w:rPr>
      </w:pPr>
      <w:r>
        <w:rPr>
          <w:rFonts w:ascii="Arial" w:cs="Arial" w:eastAsia="Arial" w:hAnsi="Arial"/>
          <w:sz w:val="18"/>
          <w:szCs w:val="18"/>
          <w:color w:val="auto"/>
        </w:rPr>
        <w:t>GRAHAM HOLDINGS COMPANY</w:t>
      </w:r>
    </w:p>
    <w:p>
      <w:pPr>
        <w:spacing w:after="0" w:line="50" w:lineRule="exact"/>
        <w:rPr>
          <w:sz w:val="20"/>
          <w:szCs w:val="20"/>
          <w:color w:val="auto"/>
        </w:rPr>
      </w:pPr>
    </w:p>
    <w:p>
      <w:pPr>
        <w:jc w:val="center"/>
        <w:ind w:left="7080"/>
        <w:spacing w:after="0"/>
        <w:rPr>
          <w:sz w:val="20"/>
          <w:szCs w:val="20"/>
          <w:color w:val="auto"/>
        </w:rPr>
      </w:pPr>
      <w:r>
        <w:rPr>
          <w:rFonts w:ascii="Arial" w:cs="Arial" w:eastAsia="Arial" w:hAnsi="Arial"/>
          <w:sz w:val="18"/>
          <w:szCs w:val="18"/>
          <w:color w:val="auto"/>
        </w:rPr>
        <w:t>(Registrant)</w:t>
      </w:r>
    </w:p>
    <w:p>
      <w:pPr>
        <w:spacing w:after="0" w:line="347" w:lineRule="exact"/>
        <w:rPr>
          <w:sz w:val="20"/>
          <w:szCs w:val="20"/>
          <w:color w:val="auto"/>
        </w:rPr>
      </w:pPr>
    </w:p>
    <w:p>
      <w:pPr>
        <w:ind w:left="6700"/>
        <w:spacing w:after="0"/>
        <w:tabs>
          <w:tab w:leader="none" w:pos="86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Hal S.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4498975</wp:posOffset>
            </wp:positionH>
            <wp:positionV relativeFrom="paragraph">
              <wp:posOffset>54610</wp:posOffset>
            </wp:positionV>
            <wp:extent cx="27527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84" w:lineRule="exact"/>
        <w:rPr>
          <w:sz w:val="20"/>
          <w:szCs w:val="20"/>
          <w:color w:val="auto"/>
        </w:rPr>
      </w:pPr>
    </w:p>
    <w:p>
      <w:pPr>
        <w:jc w:val="center"/>
        <w:ind w:left="7080"/>
        <w:spacing w:after="0"/>
        <w:rPr>
          <w:sz w:val="20"/>
          <w:szCs w:val="20"/>
          <w:color w:val="auto"/>
        </w:rPr>
      </w:pPr>
      <w:r>
        <w:rPr>
          <w:rFonts w:ascii="Arial" w:cs="Arial" w:eastAsia="Arial" w:hAnsi="Arial"/>
          <w:sz w:val="18"/>
          <w:szCs w:val="18"/>
          <w:color w:val="auto"/>
        </w:rPr>
        <w:t>Hal S. Jones</w:t>
      </w:r>
    </w:p>
    <w:p>
      <w:pPr>
        <w:spacing w:after="0" w:line="50" w:lineRule="exact"/>
        <w:rPr>
          <w:sz w:val="20"/>
          <w:szCs w:val="20"/>
          <w:color w:val="auto"/>
        </w:rPr>
      </w:pPr>
    </w:p>
    <w:p>
      <w:pPr>
        <w:jc w:val="center"/>
        <w:ind w:left="7080"/>
        <w:spacing w:after="0"/>
        <w:rPr>
          <w:sz w:val="20"/>
          <w:szCs w:val="20"/>
          <w:color w:val="auto"/>
        </w:rPr>
      </w:pPr>
      <w:r>
        <w:rPr>
          <w:rFonts w:ascii="Arial" w:cs="Arial" w:eastAsia="Arial" w:hAnsi="Arial"/>
          <w:sz w:val="18"/>
          <w:szCs w:val="18"/>
          <w:color w:val="auto"/>
        </w:rPr>
        <w:t>Senior Vice President–Finance</w:t>
      </w:r>
    </w:p>
    <w:p>
      <w:pPr>
        <w:spacing w:after="0" w:line="200" w:lineRule="exact"/>
        <w:rPr>
          <w:sz w:val="20"/>
          <w:szCs w:val="20"/>
          <w:color w:val="auto"/>
        </w:rPr>
      </w:pPr>
    </w:p>
    <w:p>
      <w:pPr>
        <w:spacing w:after="0" w:line="255" w:lineRule="exact"/>
        <w:rPr>
          <w:sz w:val="20"/>
          <w:szCs w:val="20"/>
          <w:color w:val="auto"/>
        </w:rPr>
      </w:pPr>
    </w:p>
    <w:p>
      <w:pPr>
        <w:ind w:right="180"/>
        <w:spacing w:after="0" w:line="292"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indicated on February 24, 2017:</w:t>
      </w:r>
    </w:p>
    <w:p>
      <w:pPr>
        <w:spacing w:after="0" w:line="194" w:lineRule="exact"/>
        <w:rPr>
          <w:sz w:val="20"/>
          <w:szCs w:val="20"/>
          <w:color w:val="auto"/>
        </w:rPr>
      </w:pPr>
    </w:p>
    <w:tbl>
      <w:tblPr>
        <w:tblLayout w:type="fixed"/>
        <w:tblInd w:w="880" w:type="dxa"/>
        <w:tblCellMar>
          <w:top w:w="0" w:type="dxa"/>
          <w:left w:w="0" w:type="dxa"/>
          <w:bottom w:w="0" w:type="dxa"/>
          <w:right w:w="0" w:type="dxa"/>
        </w:tblCellMar>
      </w:tblPr>
      <w:tr>
        <w:trPr>
          <w:trHeight w:val="207"/>
        </w:trPr>
        <w:tc>
          <w:tcPr>
            <w:tcW w:w="3160" w:type="dxa"/>
            <w:vAlign w:val="bottom"/>
          </w:tcPr>
          <w:p>
            <w:pPr>
              <w:jc w:val="center"/>
              <w:ind w:right="930"/>
              <w:spacing w:after="0"/>
              <w:rPr>
                <w:sz w:val="20"/>
                <w:szCs w:val="20"/>
                <w:color w:val="auto"/>
              </w:rPr>
            </w:pPr>
            <w:r>
              <w:rPr>
                <w:rFonts w:ascii="Arial" w:cs="Arial" w:eastAsia="Arial" w:hAnsi="Arial"/>
                <w:sz w:val="18"/>
                <w:szCs w:val="18"/>
                <w:color w:val="auto"/>
                <w:w w:val="99"/>
              </w:rPr>
              <w:t>Timothy J. O’Shaughnessy</w:t>
            </w:r>
          </w:p>
        </w:tc>
        <w:tc>
          <w:tcPr>
            <w:tcW w:w="3720" w:type="dxa"/>
            <w:vAlign w:val="bottom"/>
          </w:tcPr>
          <w:p>
            <w:pPr>
              <w:jc w:val="center"/>
              <w:ind w:left="930"/>
              <w:spacing w:after="0"/>
              <w:rPr>
                <w:sz w:val="20"/>
                <w:szCs w:val="20"/>
                <w:color w:val="auto"/>
              </w:rPr>
            </w:pPr>
            <w:r>
              <w:rPr>
                <w:rFonts w:ascii="Arial" w:cs="Arial" w:eastAsia="Arial" w:hAnsi="Arial"/>
                <w:sz w:val="18"/>
                <w:szCs w:val="18"/>
                <w:color w:val="auto"/>
              </w:rPr>
              <w:t>President, Chief Executive Officer</w:t>
            </w:r>
          </w:p>
        </w:tc>
      </w:tr>
      <w:tr>
        <w:trPr>
          <w:trHeight w:val="203"/>
        </w:trPr>
        <w:tc>
          <w:tcPr>
            <w:tcW w:w="3160" w:type="dxa"/>
            <w:vAlign w:val="bottom"/>
          </w:tcPr>
          <w:p>
            <w:pPr>
              <w:spacing w:after="0"/>
              <w:rPr>
                <w:sz w:val="17"/>
                <w:szCs w:val="17"/>
                <w:color w:val="auto"/>
              </w:rPr>
            </w:pPr>
          </w:p>
        </w:tc>
        <w:tc>
          <w:tcPr>
            <w:tcW w:w="3720" w:type="dxa"/>
            <w:vAlign w:val="bottom"/>
          </w:tcPr>
          <w:p>
            <w:pPr>
              <w:jc w:val="center"/>
              <w:ind w:left="990"/>
              <w:spacing w:after="0" w:line="202" w:lineRule="exact"/>
              <w:rPr>
                <w:sz w:val="20"/>
                <w:szCs w:val="20"/>
                <w:color w:val="auto"/>
              </w:rPr>
            </w:pPr>
            <w:r>
              <w:rPr>
                <w:rFonts w:ascii="Arial" w:cs="Arial" w:eastAsia="Arial" w:hAnsi="Arial"/>
                <w:sz w:val="18"/>
                <w:szCs w:val="18"/>
                <w:color w:val="auto"/>
                <w:w w:val="99"/>
              </w:rPr>
              <w:t>(Principal Executive Officer) and</w:t>
            </w:r>
          </w:p>
        </w:tc>
      </w:tr>
      <w:tr>
        <w:trPr>
          <w:trHeight w:val="243"/>
        </w:trPr>
        <w:tc>
          <w:tcPr>
            <w:tcW w:w="3160" w:type="dxa"/>
            <w:vAlign w:val="bottom"/>
          </w:tcPr>
          <w:p>
            <w:pPr>
              <w:spacing w:after="0"/>
              <w:rPr>
                <w:sz w:val="21"/>
                <w:szCs w:val="21"/>
                <w:color w:val="auto"/>
              </w:rPr>
            </w:pPr>
          </w:p>
        </w:tc>
        <w:tc>
          <w:tcPr>
            <w:tcW w:w="3720" w:type="dxa"/>
            <w:vAlign w:val="bottom"/>
          </w:tcPr>
          <w:p>
            <w:pPr>
              <w:jc w:val="center"/>
              <w:ind w:left="930"/>
              <w:spacing w:after="0"/>
              <w:rPr>
                <w:sz w:val="20"/>
                <w:szCs w:val="20"/>
                <w:color w:val="auto"/>
              </w:rPr>
            </w:pPr>
            <w:r>
              <w:rPr>
                <w:rFonts w:ascii="Arial" w:cs="Arial" w:eastAsia="Arial" w:hAnsi="Arial"/>
                <w:sz w:val="18"/>
                <w:szCs w:val="18"/>
                <w:color w:val="auto"/>
                <w:w w:val="98"/>
              </w:rPr>
              <w:t>Director</w:t>
            </w:r>
          </w:p>
        </w:tc>
      </w:tr>
      <w:tr>
        <w:trPr>
          <w:trHeight w:val="459"/>
        </w:trPr>
        <w:tc>
          <w:tcPr>
            <w:tcW w:w="3160" w:type="dxa"/>
            <w:vAlign w:val="bottom"/>
          </w:tcPr>
          <w:p>
            <w:pPr>
              <w:jc w:val="center"/>
              <w:ind w:right="930"/>
              <w:spacing w:after="0"/>
              <w:rPr>
                <w:sz w:val="20"/>
                <w:szCs w:val="20"/>
                <w:color w:val="auto"/>
              </w:rPr>
            </w:pPr>
            <w:r>
              <w:rPr>
                <w:rFonts w:ascii="Arial" w:cs="Arial" w:eastAsia="Arial" w:hAnsi="Arial"/>
                <w:sz w:val="18"/>
                <w:szCs w:val="18"/>
                <w:color w:val="auto"/>
                <w:w w:val="99"/>
              </w:rPr>
              <w:t>Hal S. Jones</w:t>
            </w:r>
          </w:p>
        </w:tc>
        <w:tc>
          <w:tcPr>
            <w:tcW w:w="3720" w:type="dxa"/>
            <w:vAlign w:val="bottom"/>
          </w:tcPr>
          <w:p>
            <w:pPr>
              <w:jc w:val="center"/>
              <w:ind w:left="930"/>
              <w:spacing w:after="0"/>
              <w:rPr>
                <w:sz w:val="20"/>
                <w:szCs w:val="20"/>
                <w:color w:val="auto"/>
              </w:rPr>
            </w:pPr>
            <w:r>
              <w:rPr>
                <w:rFonts w:ascii="Arial" w:cs="Arial" w:eastAsia="Arial" w:hAnsi="Arial"/>
                <w:sz w:val="18"/>
                <w:szCs w:val="18"/>
                <w:color w:val="auto"/>
                <w:w w:val="99"/>
              </w:rPr>
              <w:t>Senior Vice President–Finance</w:t>
            </w:r>
          </w:p>
        </w:tc>
      </w:tr>
      <w:tr>
        <w:trPr>
          <w:trHeight w:val="243"/>
        </w:trPr>
        <w:tc>
          <w:tcPr>
            <w:tcW w:w="3160" w:type="dxa"/>
            <w:vAlign w:val="bottom"/>
          </w:tcPr>
          <w:p>
            <w:pPr>
              <w:spacing w:after="0"/>
              <w:rPr>
                <w:sz w:val="21"/>
                <w:szCs w:val="21"/>
                <w:color w:val="auto"/>
              </w:rPr>
            </w:pPr>
          </w:p>
        </w:tc>
        <w:tc>
          <w:tcPr>
            <w:tcW w:w="3720" w:type="dxa"/>
            <w:vAlign w:val="bottom"/>
          </w:tcPr>
          <w:p>
            <w:pPr>
              <w:jc w:val="center"/>
              <w:ind w:left="930"/>
              <w:spacing w:after="0"/>
              <w:rPr>
                <w:sz w:val="20"/>
                <w:szCs w:val="20"/>
                <w:color w:val="auto"/>
              </w:rPr>
            </w:pPr>
            <w:r>
              <w:rPr>
                <w:rFonts w:ascii="Arial" w:cs="Arial" w:eastAsia="Arial" w:hAnsi="Arial"/>
                <w:sz w:val="18"/>
                <w:szCs w:val="18"/>
                <w:color w:val="auto"/>
                <w:w w:val="99"/>
              </w:rPr>
              <w:t>(Principal Financial Officer)</w:t>
            </w:r>
          </w:p>
        </w:tc>
      </w:tr>
      <w:tr>
        <w:trPr>
          <w:trHeight w:val="500"/>
        </w:trPr>
        <w:tc>
          <w:tcPr>
            <w:tcW w:w="3160" w:type="dxa"/>
            <w:vAlign w:val="bottom"/>
          </w:tcPr>
          <w:p>
            <w:pPr>
              <w:jc w:val="center"/>
              <w:ind w:right="930"/>
              <w:spacing w:after="0"/>
              <w:rPr>
                <w:sz w:val="20"/>
                <w:szCs w:val="20"/>
                <w:color w:val="auto"/>
              </w:rPr>
            </w:pPr>
            <w:r>
              <w:rPr>
                <w:rFonts w:ascii="Arial" w:cs="Arial" w:eastAsia="Arial" w:hAnsi="Arial"/>
                <w:sz w:val="18"/>
                <w:szCs w:val="18"/>
                <w:color w:val="auto"/>
                <w:w w:val="99"/>
              </w:rPr>
              <w:t>Wallace R. Cooney</w:t>
            </w:r>
          </w:p>
        </w:tc>
        <w:tc>
          <w:tcPr>
            <w:tcW w:w="3720" w:type="dxa"/>
            <w:vAlign w:val="bottom"/>
          </w:tcPr>
          <w:p>
            <w:pPr>
              <w:jc w:val="center"/>
              <w:ind w:left="930"/>
              <w:spacing w:after="0"/>
              <w:rPr>
                <w:sz w:val="20"/>
                <w:szCs w:val="20"/>
                <w:color w:val="auto"/>
              </w:rPr>
            </w:pPr>
            <w:r>
              <w:rPr>
                <w:rFonts w:ascii="Arial" w:cs="Arial" w:eastAsia="Arial" w:hAnsi="Arial"/>
                <w:sz w:val="18"/>
                <w:szCs w:val="18"/>
                <w:color w:val="auto"/>
              </w:rPr>
              <w:t>Principal Accounting Officer</w:t>
            </w:r>
          </w:p>
        </w:tc>
      </w:tr>
      <w:tr>
        <w:trPr>
          <w:trHeight w:val="500"/>
        </w:trPr>
        <w:tc>
          <w:tcPr>
            <w:tcW w:w="3160" w:type="dxa"/>
            <w:vAlign w:val="bottom"/>
          </w:tcPr>
          <w:p>
            <w:pPr>
              <w:jc w:val="center"/>
              <w:ind w:right="930"/>
              <w:spacing w:after="0"/>
              <w:rPr>
                <w:sz w:val="20"/>
                <w:szCs w:val="20"/>
                <w:color w:val="auto"/>
              </w:rPr>
            </w:pPr>
            <w:r>
              <w:rPr>
                <w:rFonts w:ascii="Arial" w:cs="Arial" w:eastAsia="Arial" w:hAnsi="Arial"/>
                <w:sz w:val="18"/>
                <w:szCs w:val="18"/>
                <w:color w:val="auto"/>
              </w:rPr>
              <w:t>Donald E. Graham</w:t>
            </w:r>
          </w:p>
        </w:tc>
        <w:tc>
          <w:tcPr>
            <w:tcW w:w="3720" w:type="dxa"/>
            <w:vAlign w:val="bottom"/>
          </w:tcPr>
          <w:p>
            <w:pPr>
              <w:jc w:val="center"/>
              <w:ind w:left="930"/>
              <w:spacing w:after="0"/>
              <w:rPr>
                <w:sz w:val="20"/>
                <w:szCs w:val="20"/>
                <w:color w:val="auto"/>
              </w:rPr>
            </w:pPr>
            <w:r>
              <w:rPr>
                <w:rFonts w:ascii="Arial" w:cs="Arial" w:eastAsia="Arial" w:hAnsi="Arial"/>
                <w:sz w:val="18"/>
                <w:szCs w:val="18"/>
                <w:color w:val="auto"/>
              </w:rPr>
              <w:t>Chairman of the Board</w:t>
            </w:r>
          </w:p>
        </w:tc>
      </w:tr>
      <w:tr>
        <w:trPr>
          <w:trHeight w:val="270"/>
        </w:trPr>
        <w:tc>
          <w:tcPr>
            <w:tcW w:w="3160" w:type="dxa"/>
            <w:vAlign w:val="bottom"/>
          </w:tcPr>
          <w:p>
            <w:pPr>
              <w:jc w:val="center"/>
              <w:ind w:right="910"/>
              <w:spacing w:after="0"/>
              <w:rPr>
                <w:sz w:val="20"/>
                <w:szCs w:val="20"/>
                <w:color w:val="auto"/>
              </w:rPr>
            </w:pPr>
            <w:r>
              <w:rPr>
                <w:rFonts w:ascii="Arial" w:cs="Arial" w:eastAsia="Arial" w:hAnsi="Arial"/>
                <w:sz w:val="18"/>
                <w:szCs w:val="18"/>
                <w:color w:val="auto"/>
                <w:w w:val="99"/>
              </w:rPr>
              <w:t>Lee C. Bollinger</w:t>
            </w:r>
          </w:p>
        </w:tc>
        <w:tc>
          <w:tcPr>
            <w:tcW w:w="3720" w:type="dxa"/>
            <w:vAlign w:val="bottom"/>
          </w:tcPr>
          <w:p>
            <w:pPr>
              <w:jc w:val="center"/>
              <w:ind w:left="930"/>
              <w:spacing w:after="0"/>
              <w:rPr>
                <w:sz w:val="20"/>
                <w:szCs w:val="20"/>
                <w:color w:val="auto"/>
              </w:rPr>
            </w:pPr>
            <w:r>
              <w:rPr>
                <w:rFonts w:ascii="Arial" w:cs="Arial" w:eastAsia="Arial" w:hAnsi="Arial"/>
                <w:sz w:val="18"/>
                <w:szCs w:val="18"/>
                <w:color w:val="auto"/>
                <w:w w:val="98"/>
              </w:rPr>
              <w:t>Director</w:t>
            </w:r>
          </w:p>
        </w:tc>
      </w:tr>
      <w:tr>
        <w:trPr>
          <w:trHeight w:val="257"/>
        </w:trPr>
        <w:tc>
          <w:tcPr>
            <w:tcW w:w="3160" w:type="dxa"/>
            <w:vAlign w:val="bottom"/>
          </w:tcPr>
          <w:p>
            <w:pPr>
              <w:jc w:val="center"/>
              <w:ind w:right="930"/>
              <w:spacing w:after="0"/>
              <w:rPr>
                <w:sz w:val="20"/>
                <w:szCs w:val="20"/>
                <w:color w:val="auto"/>
              </w:rPr>
            </w:pPr>
            <w:r>
              <w:rPr>
                <w:rFonts w:ascii="Arial" w:cs="Arial" w:eastAsia="Arial" w:hAnsi="Arial"/>
                <w:sz w:val="18"/>
                <w:szCs w:val="18"/>
                <w:color w:val="auto"/>
                <w:w w:val="99"/>
              </w:rPr>
              <w:t>Christopher C. Davis</w:t>
            </w:r>
          </w:p>
        </w:tc>
        <w:tc>
          <w:tcPr>
            <w:tcW w:w="3720" w:type="dxa"/>
            <w:vAlign w:val="bottom"/>
          </w:tcPr>
          <w:p>
            <w:pPr>
              <w:jc w:val="center"/>
              <w:ind w:left="930"/>
              <w:spacing w:after="0"/>
              <w:rPr>
                <w:sz w:val="20"/>
                <w:szCs w:val="20"/>
                <w:color w:val="auto"/>
              </w:rPr>
            </w:pPr>
            <w:r>
              <w:rPr>
                <w:rFonts w:ascii="Arial" w:cs="Arial" w:eastAsia="Arial" w:hAnsi="Arial"/>
                <w:sz w:val="18"/>
                <w:szCs w:val="18"/>
                <w:color w:val="auto"/>
                <w:w w:val="98"/>
              </w:rPr>
              <w:t>Director</w:t>
            </w:r>
          </w:p>
        </w:tc>
      </w:tr>
      <w:tr>
        <w:trPr>
          <w:trHeight w:val="257"/>
        </w:trPr>
        <w:tc>
          <w:tcPr>
            <w:tcW w:w="3160" w:type="dxa"/>
            <w:vAlign w:val="bottom"/>
          </w:tcPr>
          <w:p>
            <w:pPr>
              <w:jc w:val="center"/>
              <w:ind w:right="930"/>
              <w:spacing w:after="0"/>
              <w:rPr>
                <w:sz w:val="20"/>
                <w:szCs w:val="20"/>
                <w:color w:val="auto"/>
              </w:rPr>
            </w:pPr>
            <w:r>
              <w:rPr>
                <w:rFonts w:ascii="Arial" w:cs="Arial" w:eastAsia="Arial" w:hAnsi="Arial"/>
                <w:sz w:val="18"/>
                <w:szCs w:val="18"/>
                <w:color w:val="auto"/>
                <w:w w:val="99"/>
              </w:rPr>
              <w:t>Thomas S. Gayner</w:t>
            </w:r>
          </w:p>
        </w:tc>
        <w:tc>
          <w:tcPr>
            <w:tcW w:w="3720" w:type="dxa"/>
            <w:vAlign w:val="bottom"/>
          </w:tcPr>
          <w:p>
            <w:pPr>
              <w:jc w:val="center"/>
              <w:ind w:left="930"/>
              <w:spacing w:after="0"/>
              <w:rPr>
                <w:sz w:val="20"/>
                <w:szCs w:val="20"/>
                <w:color w:val="auto"/>
              </w:rPr>
            </w:pPr>
            <w:r>
              <w:rPr>
                <w:rFonts w:ascii="Arial" w:cs="Arial" w:eastAsia="Arial" w:hAnsi="Arial"/>
                <w:sz w:val="18"/>
                <w:szCs w:val="18"/>
                <w:color w:val="auto"/>
                <w:w w:val="98"/>
              </w:rPr>
              <w:t>Director</w:t>
            </w:r>
          </w:p>
        </w:tc>
      </w:tr>
      <w:tr>
        <w:trPr>
          <w:trHeight w:val="257"/>
        </w:trPr>
        <w:tc>
          <w:tcPr>
            <w:tcW w:w="3160" w:type="dxa"/>
            <w:vAlign w:val="bottom"/>
          </w:tcPr>
          <w:p>
            <w:pPr>
              <w:jc w:val="center"/>
              <w:ind w:right="930"/>
              <w:spacing w:after="0"/>
              <w:rPr>
                <w:sz w:val="20"/>
                <w:szCs w:val="20"/>
                <w:color w:val="auto"/>
              </w:rPr>
            </w:pPr>
            <w:r>
              <w:rPr>
                <w:rFonts w:ascii="Arial" w:cs="Arial" w:eastAsia="Arial" w:hAnsi="Arial"/>
                <w:sz w:val="18"/>
                <w:szCs w:val="18"/>
                <w:color w:val="auto"/>
                <w:w w:val="99"/>
              </w:rPr>
              <w:t>Anne M. Mulcahy</w:t>
            </w:r>
          </w:p>
        </w:tc>
        <w:tc>
          <w:tcPr>
            <w:tcW w:w="3720" w:type="dxa"/>
            <w:vAlign w:val="bottom"/>
          </w:tcPr>
          <w:p>
            <w:pPr>
              <w:jc w:val="center"/>
              <w:ind w:left="930"/>
              <w:spacing w:after="0"/>
              <w:rPr>
                <w:sz w:val="20"/>
                <w:szCs w:val="20"/>
                <w:color w:val="auto"/>
              </w:rPr>
            </w:pPr>
            <w:r>
              <w:rPr>
                <w:rFonts w:ascii="Arial" w:cs="Arial" w:eastAsia="Arial" w:hAnsi="Arial"/>
                <w:sz w:val="18"/>
                <w:szCs w:val="18"/>
                <w:color w:val="auto"/>
                <w:w w:val="98"/>
              </w:rPr>
              <w:t>Director</w:t>
            </w:r>
          </w:p>
        </w:tc>
      </w:tr>
      <w:tr>
        <w:trPr>
          <w:trHeight w:val="257"/>
        </w:trPr>
        <w:tc>
          <w:tcPr>
            <w:tcW w:w="3160" w:type="dxa"/>
            <w:vAlign w:val="bottom"/>
          </w:tcPr>
          <w:p>
            <w:pPr>
              <w:jc w:val="center"/>
              <w:ind w:right="930"/>
              <w:spacing w:after="0"/>
              <w:rPr>
                <w:sz w:val="20"/>
                <w:szCs w:val="20"/>
                <w:color w:val="auto"/>
              </w:rPr>
            </w:pPr>
            <w:r>
              <w:rPr>
                <w:rFonts w:ascii="Arial" w:cs="Arial" w:eastAsia="Arial" w:hAnsi="Arial"/>
                <w:sz w:val="18"/>
                <w:szCs w:val="18"/>
                <w:color w:val="auto"/>
              </w:rPr>
              <w:t>Ronald L. Olson</w:t>
            </w:r>
          </w:p>
        </w:tc>
        <w:tc>
          <w:tcPr>
            <w:tcW w:w="3720" w:type="dxa"/>
            <w:vAlign w:val="bottom"/>
          </w:tcPr>
          <w:p>
            <w:pPr>
              <w:jc w:val="center"/>
              <w:ind w:left="930"/>
              <w:spacing w:after="0"/>
              <w:rPr>
                <w:sz w:val="20"/>
                <w:szCs w:val="20"/>
                <w:color w:val="auto"/>
              </w:rPr>
            </w:pPr>
            <w:r>
              <w:rPr>
                <w:rFonts w:ascii="Arial" w:cs="Arial" w:eastAsia="Arial" w:hAnsi="Arial"/>
                <w:sz w:val="18"/>
                <w:szCs w:val="18"/>
                <w:color w:val="auto"/>
                <w:w w:val="98"/>
              </w:rPr>
              <w:t>Director</w:t>
            </w:r>
          </w:p>
        </w:tc>
      </w:tr>
      <w:tr>
        <w:trPr>
          <w:trHeight w:val="257"/>
        </w:trPr>
        <w:tc>
          <w:tcPr>
            <w:tcW w:w="3160" w:type="dxa"/>
            <w:vAlign w:val="bottom"/>
          </w:tcPr>
          <w:p>
            <w:pPr>
              <w:jc w:val="center"/>
              <w:ind w:right="930"/>
              <w:spacing w:after="0"/>
              <w:rPr>
                <w:sz w:val="20"/>
                <w:szCs w:val="20"/>
                <w:color w:val="auto"/>
              </w:rPr>
            </w:pPr>
            <w:r>
              <w:rPr>
                <w:rFonts w:ascii="Arial" w:cs="Arial" w:eastAsia="Arial" w:hAnsi="Arial"/>
                <w:sz w:val="18"/>
                <w:szCs w:val="18"/>
                <w:color w:val="auto"/>
                <w:w w:val="99"/>
              </w:rPr>
              <w:t>Larry D. Thompson</w:t>
            </w:r>
          </w:p>
        </w:tc>
        <w:tc>
          <w:tcPr>
            <w:tcW w:w="3720" w:type="dxa"/>
            <w:vAlign w:val="bottom"/>
          </w:tcPr>
          <w:p>
            <w:pPr>
              <w:jc w:val="center"/>
              <w:ind w:left="930"/>
              <w:spacing w:after="0"/>
              <w:rPr>
                <w:sz w:val="20"/>
                <w:szCs w:val="20"/>
                <w:color w:val="auto"/>
              </w:rPr>
            </w:pPr>
            <w:r>
              <w:rPr>
                <w:rFonts w:ascii="Arial" w:cs="Arial" w:eastAsia="Arial" w:hAnsi="Arial"/>
                <w:sz w:val="18"/>
                <w:szCs w:val="18"/>
                <w:color w:val="auto"/>
                <w:w w:val="98"/>
              </w:rPr>
              <w:t>Director</w:t>
            </w:r>
          </w:p>
        </w:tc>
      </w:tr>
      <w:tr>
        <w:trPr>
          <w:trHeight w:val="257"/>
        </w:trPr>
        <w:tc>
          <w:tcPr>
            <w:tcW w:w="3160" w:type="dxa"/>
            <w:vAlign w:val="bottom"/>
          </w:tcPr>
          <w:p>
            <w:pPr>
              <w:jc w:val="center"/>
              <w:ind w:right="910"/>
              <w:spacing w:after="0"/>
              <w:rPr>
                <w:sz w:val="20"/>
                <w:szCs w:val="20"/>
                <w:color w:val="auto"/>
              </w:rPr>
            </w:pPr>
            <w:r>
              <w:rPr>
                <w:rFonts w:ascii="Arial" w:cs="Arial" w:eastAsia="Arial" w:hAnsi="Arial"/>
                <w:sz w:val="18"/>
                <w:szCs w:val="18"/>
                <w:color w:val="auto"/>
                <w:w w:val="98"/>
              </w:rPr>
              <w:t>G. Richard Wagoner, Jr.</w:t>
            </w:r>
          </w:p>
        </w:tc>
        <w:tc>
          <w:tcPr>
            <w:tcW w:w="3720" w:type="dxa"/>
            <w:vAlign w:val="bottom"/>
          </w:tcPr>
          <w:p>
            <w:pPr>
              <w:jc w:val="center"/>
              <w:ind w:left="930"/>
              <w:spacing w:after="0"/>
              <w:rPr>
                <w:sz w:val="20"/>
                <w:szCs w:val="20"/>
                <w:color w:val="auto"/>
              </w:rPr>
            </w:pPr>
            <w:r>
              <w:rPr>
                <w:rFonts w:ascii="Arial" w:cs="Arial" w:eastAsia="Arial" w:hAnsi="Arial"/>
                <w:sz w:val="18"/>
                <w:szCs w:val="18"/>
                <w:color w:val="auto"/>
                <w:w w:val="98"/>
              </w:rPr>
              <w:t>Director</w:t>
            </w:r>
          </w:p>
        </w:tc>
      </w:tr>
      <w:tr>
        <w:trPr>
          <w:trHeight w:val="257"/>
        </w:trPr>
        <w:tc>
          <w:tcPr>
            <w:tcW w:w="3160" w:type="dxa"/>
            <w:vAlign w:val="bottom"/>
          </w:tcPr>
          <w:p>
            <w:pPr>
              <w:jc w:val="center"/>
              <w:ind w:right="910"/>
              <w:spacing w:after="0"/>
              <w:rPr>
                <w:sz w:val="20"/>
                <w:szCs w:val="20"/>
                <w:color w:val="auto"/>
              </w:rPr>
            </w:pPr>
            <w:r>
              <w:rPr>
                <w:rFonts w:ascii="Arial" w:cs="Arial" w:eastAsia="Arial" w:hAnsi="Arial"/>
                <w:sz w:val="18"/>
                <w:szCs w:val="18"/>
                <w:color w:val="auto"/>
                <w:w w:val="99"/>
              </w:rPr>
              <w:t>Katharine Weymouth</w:t>
            </w:r>
          </w:p>
        </w:tc>
        <w:tc>
          <w:tcPr>
            <w:tcW w:w="3720" w:type="dxa"/>
            <w:vAlign w:val="bottom"/>
          </w:tcPr>
          <w:p>
            <w:pPr>
              <w:jc w:val="center"/>
              <w:ind w:left="930"/>
              <w:spacing w:after="0"/>
              <w:rPr>
                <w:sz w:val="20"/>
                <w:szCs w:val="20"/>
                <w:color w:val="auto"/>
              </w:rPr>
            </w:pPr>
            <w:r>
              <w:rPr>
                <w:rFonts w:ascii="Arial" w:cs="Arial" w:eastAsia="Arial" w:hAnsi="Arial"/>
                <w:sz w:val="18"/>
                <w:szCs w:val="18"/>
                <w:color w:val="auto"/>
                <w:w w:val="98"/>
              </w:rPr>
              <w:t>Director</w:t>
            </w:r>
          </w:p>
        </w:tc>
      </w:tr>
    </w:tbl>
    <w:p>
      <w:pPr>
        <w:spacing w:after="0" w:line="338" w:lineRule="exact"/>
        <w:rPr>
          <w:sz w:val="20"/>
          <w:szCs w:val="20"/>
          <w:color w:val="auto"/>
        </w:rPr>
      </w:pPr>
    </w:p>
    <w:tbl>
      <w:tblPr>
        <w:tblLayout w:type="fixed"/>
        <w:tblInd w:w="6700" w:type="dxa"/>
        <w:tblCellMar>
          <w:top w:w="0" w:type="dxa"/>
          <w:left w:w="0" w:type="dxa"/>
          <w:bottom w:w="0" w:type="dxa"/>
          <w:right w:w="0" w:type="dxa"/>
        </w:tblCellMar>
      </w:tblPr>
      <w:tr>
        <w:trPr>
          <w:trHeight w:val="256"/>
        </w:trPr>
        <w:tc>
          <w:tcPr>
            <w:tcW w:w="380" w:type="dxa"/>
            <w:vAlign w:val="bottom"/>
          </w:tcPr>
          <w:p>
            <w:pPr>
              <w:spacing w:after="0"/>
              <w:rPr>
                <w:sz w:val="20"/>
                <w:szCs w:val="20"/>
                <w:color w:val="auto"/>
              </w:rPr>
            </w:pPr>
            <w:r>
              <w:rPr>
                <w:rFonts w:ascii="Arial" w:cs="Arial" w:eastAsia="Arial" w:hAnsi="Arial"/>
                <w:sz w:val="18"/>
                <w:szCs w:val="18"/>
                <w:color w:val="auto"/>
              </w:rPr>
              <w:t>By</w:t>
            </w:r>
          </w:p>
        </w:tc>
        <w:tc>
          <w:tcPr>
            <w:tcW w:w="4340" w:type="dxa"/>
            <w:vAlign w:val="bottom"/>
          </w:tcPr>
          <w:p>
            <w:pPr>
              <w:jc w:val="center"/>
              <w:spacing w:after="0"/>
              <w:rPr>
                <w:sz w:val="20"/>
                <w:szCs w:val="20"/>
                <w:color w:val="auto"/>
              </w:rPr>
            </w:pPr>
            <w:r>
              <w:rPr>
                <w:rFonts w:ascii="Arial" w:cs="Arial" w:eastAsia="Arial" w:hAnsi="Arial"/>
                <w:sz w:val="18"/>
                <w:szCs w:val="18"/>
                <w:color w:val="auto"/>
                <w:w w:val="99"/>
              </w:rPr>
              <w:t>/s/ Hal S. Jones</w:t>
            </w:r>
          </w:p>
        </w:tc>
      </w:tr>
      <w:tr>
        <w:trPr>
          <w:trHeight w:val="37"/>
        </w:trPr>
        <w:tc>
          <w:tcPr>
            <w:tcW w:w="380" w:type="dxa"/>
            <w:vAlign w:val="bottom"/>
          </w:tcPr>
          <w:p>
            <w:pPr>
              <w:spacing w:after="0"/>
              <w:rPr>
                <w:sz w:val="3"/>
                <w:szCs w:val="3"/>
                <w:color w:val="auto"/>
              </w:rPr>
            </w:pPr>
          </w:p>
        </w:tc>
        <w:tc>
          <w:tcPr>
            <w:tcW w:w="4340" w:type="dxa"/>
            <w:vAlign w:val="bottom"/>
            <w:tcBorders>
              <w:bottom w:val="single" w:sz="8" w:color="auto"/>
            </w:tcBorders>
          </w:tcPr>
          <w:p>
            <w:pPr>
              <w:spacing w:after="0"/>
              <w:rPr>
                <w:sz w:val="3"/>
                <w:szCs w:val="3"/>
                <w:color w:val="auto"/>
              </w:rPr>
            </w:pPr>
          </w:p>
        </w:tc>
      </w:tr>
      <w:tr>
        <w:trPr>
          <w:trHeight w:val="241"/>
        </w:trPr>
        <w:tc>
          <w:tcPr>
            <w:tcW w:w="380" w:type="dxa"/>
            <w:vAlign w:val="bottom"/>
          </w:tcPr>
          <w:p>
            <w:pPr>
              <w:spacing w:after="0"/>
              <w:rPr>
                <w:sz w:val="20"/>
                <w:szCs w:val="20"/>
                <w:color w:val="auto"/>
              </w:rPr>
            </w:pPr>
          </w:p>
        </w:tc>
        <w:tc>
          <w:tcPr>
            <w:tcW w:w="4340" w:type="dxa"/>
            <w:vAlign w:val="bottom"/>
          </w:tcPr>
          <w:p>
            <w:pPr>
              <w:jc w:val="center"/>
              <w:spacing w:after="0"/>
              <w:rPr>
                <w:sz w:val="20"/>
                <w:szCs w:val="20"/>
                <w:color w:val="auto"/>
              </w:rPr>
            </w:pPr>
            <w:r>
              <w:rPr>
                <w:rFonts w:ascii="Arial" w:cs="Arial" w:eastAsia="Arial" w:hAnsi="Arial"/>
                <w:sz w:val="18"/>
                <w:szCs w:val="18"/>
                <w:color w:val="auto"/>
                <w:w w:val="99"/>
              </w:rPr>
              <w:t>Hal S. Jones</w:t>
            </w:r>
          </w:p>
        </w:tc>
      </w:tr>
      <w:tr>
        <w:trPr>
          <w:trHeight w:val="257"/>
        </w:trPr>
        <w:tc>
          <w:tcPr>
            <w:tcW w:w="380" w:type="dxa"/>
            <w:vAlign w:val="bottom"/>
          </w:tcPr>
          <w:p>
            <w:pPr>
              <w:spacing w:after="0"/>
              <w:rPr>
                <w:sz w:val="22"/>
                <w:szCs w:val="22"/>
                <w:color w:val="auto"/>
              </w:rPr>
            </w:pPr>
          </w:p>
        </w:tc>
        <w:tc>
          <w:tcPr>
            <w:tcW w:w="4340" w:type="dxa"/>
            <w:vAlign w:val="bottom"/>
          </w:tcPr>
          <w:p>
            <w:pPr>
              <w:jc w:val="center"/>
              <w:spacing w:after="0"/>
              <w:rPr>
                <w:sz w:val="20"/>
                <w:szCs w:val="20"/>
                <w:color w:val="auto"/>
              </w:rPr>
            </w:pPr>
            <w:r>
              <w:rPr>
                <w:rFonts w:ascii="Arial" w:cs="Arial" w:eastAsia="Arial" w:hAnsi="Arial"/>
                <w:sz w:val="18"/>
                <w:szCs w:val="18"/>
                <w:color w:val="auto"/>
                <w:w w:val="99"/>
              </w:rPr>
              <w:t>Attorney-in-Fact</w:t>
            </w:r>
          </w:p>
        </w:tc>
      </w:tr>
    </w:tbl>
    <w:p>
      <w:pPr>
        <w:spacing w:after="0" w:line="203" w:lineRule="exact"/>
        <w:rPr>
          <w:sz w:val="20"/>
          <w:szCs w:val="20"/>
          <w:color w:val="auto"/>
        </w:rPr>
      </w:pPr>
    </w:p>
    <w:p>
      <w:pPr>
        <w:jc w:val="both"/>
        <w:ind w:right="240"/>
        <w:spacing w:after="0" w:line="271" w:lineRule="auto"/>
        <w:rPr>
          <w:sz w:val="20"/>
          <w:szCs w:val="20"/>
          <w:color w:val="auto"/>
        </w:rPr>
      </w:pPr>
      <w:r>
        <w:rPr>
          <w:rFonts w:ascii="Arial" w:cs="Arial" w:eastAsia="Arial" w:hAnsi="Arial"/>
          <w:sz w:val="18"/>
          <w:szCs w:val="18"/>
          <w:color w:val="auto"/>
        </w:rPr>
        <w:t>An original power of attorney authorizing Timothy J. O’Shaughnessy, Hal S. Jones, Wallace R. Cooney and Nicole M. Maddrey, and each of them, to sign all reports required to be filed by the Registrant pursuant to the Securities Exchange Act of 1934 on behalf of the above-named directors and officers has been filed with the Securities and Exchange Commission.</w:t>
      </w: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736" w:right="239" w:bottom="1440" w:gutter="0" w:footer="0" w:header="0"/>
        </w:sectPr>
      </w:pPr>
    </w:p>
    <w:bookmarkStart w:id="41" w:name="page42"/>
    <w:bookmarkEnd w:id="41"/>
    <w:p>
      <w:pPr>
        <w:jc w:val="center"/>
        <w:ind w:right="-19"/>
        <w:spacing w:after="0"/>
        <w:rPr>
          <w:sz w:val="20"/>
          <w:szCs w:val="20"/>
          <w:color w:val="auto"/>
        </w:rPr>
      </w:pPr>
      <w:r>
        <w:rPr>
          <w:rFonts w:ascii="Arial" w:cs="Arial" w:eastAsia="Arial" w:hAnsi="Arial"/>
          <w:sz w:val="18"/>
          <w:szCs w:val="18"/>
          <w:b w:val="1"/>
          <w:bCs w:val="1"/>
          <w:color w:val="auto"/>
        </w:rPr>
        <w:t>INDEX TO FINANCIAL INFORMATION</w:t>
      </w:r>
    </w:p>
    <w:p>
      <w:pPr>
        <w:spacing w:after="0" w:line="92" w:lineRule="exact"/>
        <w:rPr>
          <w:sz w:val="20"/>
          <w:szCs w:val="20"/>
          <w:color w:val="auto"/>
        </w:rPr>
      </w:pPr>
    </w:p>
    <w:p>
      <w:pPr>
        <w:ind w:left="3320"/>
        <w:spacing w:after="0"/>
        <w:rPr>
          <w:sz w:val="20"/>
          <w:szCs w:val="20"/>
          <w:color w:val="auto"/>
        </w:rPr>
      </w:pPr>
      <w:r>
        <w:rPr>
          <w:rFonts w:ascii="Arial" w:cs="Arial" w:eastAsia="Arial" w:hAnsi="Arial"/>
          <w:sz w:val="18"/>
          <w:szCs w:val="18"/>
          <w:color w:val="auto"/>
        </w:rPr>
        <w:t>________________________________________________</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GRAHAM HOLDINGS COMPANY</w:t>
      </w:r>
    </w:p>
    <w:p>
      <w:pPr>
        <w:spacing w:after="0" w:line="282" w:lineRule="exact"/>
        <w:rPr>
          <w:sz w:val="20"/>
          <w:szCs w:val="20"/>
          <w:color w:val="auto"/>
        </w:rPr>
      </w:pPr>
    </w:p>
    <w:tbl>
      <w:tblPr>
        <w:tblLayout w:type="fixed"/>
        <w:tblInd w:w="60" w:type="dxa"/>
        <w:tblCellMar>
          <w:top w:w="0" w:type="dxa"/>
          <w:left w:w="0" w:type="dxa"/>
          <w:bottom w:w="0" w:type="dxa"/>
          <w:right w:w="0" w:type="dxa"/>
        </w:tblCellMar>
      </w:tblPr>
      <w:tr>
        <w:trPr>
          <w:trHeight w:val="184"/>
        </w:trPr>
        <w:tc>
          <w:tcPr>
            <w:tcW w:w="9880" w:type="dxa"/>
            <w:vAlign w:val="bottom"/>
          </w:tcPr>
          <w:p>
            <w:pPr>
              <w:spacing w:after="0"/>
              <w:rPr>
                <w:sz w:val="20"/>
                <w:szCs w:val="20"/>
                <w:color w:val="auto"/>
              </w:rPr>
            </w:pPr>
            <w:r>
              <w:rPr>
                <w:rFonts w:ascii="Arial" w:cs="Arial" w:eastAsia="Arial" w:hAnsi="Arial"/>
                <w:sz w:val="16"/>
                <w:szCs w:val="16"/>
                <w:color w:val="auto"/>
              </w:rPr>
              <w:t>Management’s Discussion and Analysis of Results of Operations and Financial Condition (Unaudited)</w:t>
            </w:r>
          </w:p>
        </w:tc>
        <w:tc>
          <w:tcPr>
            <w:tcW w:w="1460" w:type="dxa"/>
            <w:vAlign w:val="bottom"/>
            <w:gridSpan w:val="3"/>
          </w:tcPr>
          <w:p>
            <w:pPr>
              <w:jc w:val="right"/>
              <w:spacing w:after="0"/>
              <w:rPr>
                <w:rFonts w:ascii="Arial" w:cs="Arial" w:eastAsia="Arial" w:hAnsi="Arial"/>
                <w:sz w:val="16"/>
                <w:szCs w:val="16"/>
                <w:color w:val="0000EE"/>
              </w:rPr>
            </w:pPr>
            <w:hyperlink w:anchor="page43">
              <w:r>
                <w:rPr>
                  <w:rFonts w:ascii="Arial" w:cs="Arial" w:eastAsia="Arial" w:hAnsi="Arial"/>
                  <w:sz w:val="16"/>
                  <w:szCs w:val="16"/>
                  <w:color w:val="0000EE"/>
                </w:rPr>
                <w:t>41</w:t>
              </w:r>
            </w:hyperlink>
          </w:p>
        </w:tc>
      </w:tr>
      <w:tr>
        <w:trPr>
          <w:trHeight w:val="397"/>
        </w:trPr>
        <w:tc>
          <w:tcPr>
            <w:tcW w:w="9880" w:type="dxa"/>
            <w:vAlign w:val="bottom"/>
          </w:tcPr>
          <w:p>
            <w:pPr>
              <w:spacing w:after="0"/>
              <w:rPr>
                <w:sz w:val="20"/>
                <w:szCs w:val="20"/>
                <w:color w:val="auto"/>
              </w:rPr>
            </w:pPr>
            <w:r>
              <w:rPr>
                <w:rFonts w:ascii="Arial" w:cs="Arial" w:eastAsia="Arial" w:hAnsi="Arial"/>
                <w:sz w:val="16"/>
                <w:szCs w:val="16"/>
                <w:color w:val="auto"/>
              </w:rPr>
              <w:t>Financial Statements:</w:t>
            </w: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r>
      <w:tr>
        <w:trPr>
          <w:trHeight w:val="340"/>
        </w:trPr>
        <w:tc>
          <w:tcPr>
            <w:tcW w:w="9880" w:type="dxa"/>
            <w:vAlign w:val="bottom"/>
          </w:tcPr>
          <w:p>
            <w:pPr>
              <w:ind w:left="220"/>
              <w:spacing w:after="0"/>
              <w:rPr>
                <w:sz w:val="20"/>
                <w:szCs w:val="20"/>
                <w:color w:val="auto"/>
              </w:rPr>
            </w:pPr>
            <w:r>
              <w:rPr>
                <w:rFonts w:ascii="Arial" w:cs="Arial" w:eastAsia="Arial" w:hAnsi="Arial"/>
                <w:sz w:val="16"/>
                <w:szCs w:val="16"/>
                <w:color w:val="auto"/>
              </w:rPr>
              <w:t>Management’s Report on Internal Control Over Financial Reporting</w:t>
            </w:r>
          </w:p>
        </w:tc>
        <w:tc>
          <w:tcPr>
            <w:tcW w:w="1460" w:type="dxa"/>
            <w:vAlign w:val="bottom"/>
            <w:gridSpan w:val="3"/>
          </w:tcPr>
          <w:p>
            <w:pPr>
              <w:jc w:val="right"/>
              <w:spacing w:after="0"/>
              <w:rPr>
                <w:rFonts w:ascii="Arial" w:cs="Arial" w:eastAsia="Arial" w:hAnsi="Arial"/>
                <w:sz w:val="16"/>
                <w:szCs w:val="16"/>
                <w:color w:val="0000EE"/>
              </w:rPr>
            </w:pPr>
            <w:hyperlink w:anchor="page63">
              <w:r>
                <w:rPr>
                  <w:rFonts w:ascii="Arial" w:cs="Arial" w:eastAsia="Arial" w:hAnsi="Arial"/>
                  <w:sz w:val="16"/>
                  <w:szCs w:val="16"/>
                  <w:color w:val="0000EE"/>
                </w:rPr>
                <w:t>61</w:t>
              </w:r>
            </w:hyperlink>
          </w:p>
        </w:tc>
      </w:tr>
      <w:tr>
        <w:trPr>
          <w:trHeight w:val="20"/>
        </w:trPr>
        <w:tc>
          <w:tcPr>
            <w:tcW w:w="98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358"/>
        </w:trPr>
        <w:tc>
          <w:tcPr>
            <w:tcW w:w="9880" w:type="dxa"/>
            <w:vAlign w:val="bottom"/>
          </w:tcPr>
          <w:p>
            <w:pPr>
              <w:ind w:left="220"/>
              <w:spacing w:after="0"/>
              <w:rPr>
                <w:sz w:val="20"/>
                <w:szCs w:val="20"/>
                <w:color w:val="auto"/>
              </w:rPr>
            </w:pPr>
            <w:r>
              <w:rPr>
                <w:rFonts w:ascii="Arial" w:cs="Arial" w:eastAsia="Arial" w:hAnsi="Arial"/>
                <w:sz w:val="16"/>
                <w:szCs w:val="16"/>
                <w:color w:val="auto"/>
              </w:rPr>
              <w:t>Report of Independent Registered Public Accounting Firm</w:t>
            </w:r>
          </w:p>
        </w:tc>
        <w:tc>
          <w:tcPr>
            <w:tcW w:w="1460" w:type="dxa"/>
            <w:vAlign w:val="bottom"/>
            <w:gridSpan w:val="3"/>
          </w:tcPr>
          <w:p>
            <w:pPr>
              <w:jc w:val="right"/>
              <w:spacing w:after="0"/>
              <w:rPr>
                <w:rFonts w:ascii="Arial" w:cs="Arial" w:eastAsia="Arial" w:hAnsi="Arial"/>
                <w:sz w:val="16"/>
                <w:szCs w:val="16"/>
                <w:color w:val="0000EE"/>
              </w:rPr>
            </w:pPr>
            <w:hyperlink w:anchor="page64">
              <w:r>
                <w:rPr>
                  <w:rFonts w:ascii="Arial" w:cs="Arial" w:eastAsia="Arial" w:hAnsi="Arial"/>
                  <w:sz w:val="16"/>
                  <w:szCs w:val="16"/>
                  <w:color w:val="0000EE"/>
                </w:rPr>
                <w:t>62</w:t>
              </w:r>
            </w:hyperlink>
          </w:p>
        </w:tc>
      </w:tr>
      <w:tr>
        <w:trPr>
          <w:trHeight w:val="20"/>
        </w:trPr>
        <w:tc>
          <w:tcPr>
            <w:tcW w:w="98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358"/>
        </w:trPr>
        <w:tc>
          <w:tcPr>
            <w:tcW w:w="9880" w:type="dxa"/>
            <w:vAlign w:val="bottom"/>
          </w:tcPr>
          <w:p>
            <w:pPr>
              <w:ind w:left="220"/>
              <w:spacing w:after="0"/>
              <w:rPr>
                <w:sz w:val="20"/>
                <w:szCs w:val="20"/>
                <w:color w:val="auto"/>
              </w:rPr>
            </w:pPr>
            <w:r>
              <w:rPr>
                <w:rFonts w:ascii="Arial" w:cs="Arial" w:eastAsia="Arial" w:hAnsi="Arial"/>
                <w:sz w:val="16"/>
                <w:szCs w:val="16"/>
                <w:color w:val="auto"/>
              </w:rPr>
              <w:t>Consolidated Statements of Operations for the Three Years Ended December 31, 2016</w:t>
            </w:r>
          </w:p>
        </w:tc>
        <w:tc>
          <w:tcPr>
            <w:tcW w:w="1460" w:type="dxa"/>
            <w:vAlign w:val="bottom"/>
            <w:gridSpan w:val="3"/>
          </w:tcPr>
          <w:p>
            <w:pPr>
              <w:jc w:val="right"/>
              <w:spacing w:after="0"/>
              <w:rPr>
                <w:rFonts w:ascii="Arial" w:cs="Arial" w:eastAsia="Arial" w:hAnsi="Arial"/>
                <w:sz w:val="16"/>
                <w:szCs w:val="16"/>
                <w:color w:val="0000EE"/>
              </w:rPr>
            </w:pPr>
            <w:hyperlink w:anchor="page65">
              <w:r>
                <w:rPr>
                  <w:rFonts w:ascii="Arial" w:cs="Arial" w:eastAsia="Arial" w:hAnsi="Arial"/>
                  <w:sz w:val="16"/>
                  <w:szCs w:val="16"/>
                  <w:color w:val="0000EE"/>
                </w:rPr>
                <w:t>63</w:t>
              </w:r>
            </w:hyperlink>
          </w:p>
        </w:tc>
      </w:tr>
      <w:tr>
        <w:trPr>
          <w:trHeight w:val="20"/>
        </w:trPr>
        <w:tc>
          <w:tcPr>
            <w:tcW w:w="98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358"/>
        </w:trPr>
        <w:tc>
          <w:tcPr>
            <w:tcW w:w="9880" w:type="dxa"/>
            <w:vAlign w:val="bottom"/>
          </w:tcPr>
          <w:p>
            <w:pPr>
              <w:ind w:left="220"/>
              <w:spacing w:after="0"/>
              <w:rPr>
                <w:sz w:val="20"/>
                <w:szCs w:val="20"/>
                <w:color w:val="auto"/>
              </w:rPr>
            </w:pPr>
            <w:r>
              <w:rPr>
                <w:rFonts w:ascii="Arial" w:cs="Arial" w:eastAsia="Arial" w:hAnsi="Arial"/>
                <w:sz w:val="16"/>
                <w:szCs w:val="16"/>
                <w:color w:val="auto"/>
              </w:rPr>
              <w:t>Consolidated Statements of Comprehensive Income for the Three Years Ended December 31, 2016</w:t>
            </w:r>
          </w:p>
        </w:tc>
        <w:tc>
          <w:tcPr>
            <w:tcW w:w="1460" w:type="dxa"/>
            <w:vAlign w:val="bottom"/>
            <w:gridSpan w:val="3"/>
          </w:tcPr>
          <w:p>
            <w:pPr>
              <w:jc w:val="right"/>
              <w:spacing w:after="0"/>
              <w:rPr>
                <w:rFonts w:ascii="Arial" w:cs="Arial" w:eastAsia="Arial" w:hAnsi="Arial"/>
                <w:sz w:val="16"/>
                <w:szCs w:val="16"/>
                <w:color w:val="0000EE"/>
              </w:rPr>
            </w:pPr>
            <w:hyperlink w:anchor="page66">
              <w:r>
                <w:rPr>
                  <w:rFonts w:ascii="Arial" w:cs="Arial" w:eastAsia="Arial" w:hAnsi="Arial"/>
                  <w:sz w:val="16"/>
                  <w:szCs w:val="16"/>
                  <w:color w:val="0000EE"/>
                </w:rPr>
                <w:t>64</w:t>
              </w:r>
            </w:hyperlink>
          </w:p>
        </w:tc>
      </w:tr>
      <w:tr>
        <w:trPr>
          <w:trHeight w:val="20"/>
        </w:trPr>
        <w:tc>
          <w:tcPr>
            <w:tcW w:w="98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358"/>
        </w:trPr>
        <w:tc>
          <w:tcPr>
            <w:tcW w:w="9880" w:type="dxa"/>
            <w:vAlign w:val="bottom"/>
          </w:tcPr>
          <w:p>
            <w:pPr>
              <w:ind w:left="220"/>
              <w:spacing w:after="0"/>
              <w:rPr>
                <w:sz w:val="20"/>
                <w:szCs w:val="20"/>
                <w:color w:val="auto"/>
              </w:rPr>
            </w:pPr>
            <w:r>
              <w:rPr>
                <w:rFonts w:ascii="Arial" w:cs="Arial" w:eastAsia="Arial" w:hAnsi="Arial"/>
                <w:sz w:val="16"/>
                <w:szCs w:val="16"/>
                <w:color w:val="auto"/>
              </w:rPr>
              <w:t>Consolidated Balance Sheets at December 31, 2016 and 2015</w:t>
            </w:r>
          </w:p>
        </w:tc>
        <w:tc>
          <w:tcPr>
            <w:tcW w:w="1460" w:type="dxa"/>
            <w:vAlign w:val="bottom"/>
            <w:gridSpan w:val="3"/>
          </w:tcPr>
          <w:p>
            <w:pPr>
              <w:jc w:val="right"/>
              <w:spacing w:after="0"/>
              <w:rPr>
                <w:rFonts w:ascii="Arial" w:cs="Arial" w:eastAsia="Arial" w:hAnsi="Arial"/>
                <w:sz w:val="16"/>
                <w:szCs w:val="16"/>
                <w:color w:val="0000EE"/>
              </w:rPr>
            </w:pPr>
            <w:hyperlink w:anchor="page67">
              <w:r>
                <w:rPr>
                  <w:rFonts w:ascii="Arial" w:cs="Arial" w:eastAsia="Arial" w:hAnsi="Arial"/>
                  <w:sz w:val="16"/>
                  <w:szCs w:val="16"/>
                  <w:color w:val="0000EE"/>
                </w:rPr>
                <w:t>65</w:t>
              </w:r>
            </w:hyperlink>
          </w:p>
        </w:tc>
      </w:tr>
      <w:tr>
        <w:trPr>
          <w:trHeight w:val="20"/>
        </w:trPr>
        <w:tc>
          <w:tcPr>
            <w:tcW w:w="98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358"/>
        </w:trPr>
        <w:tc>
          <w:tcPr>
            <w:tcW w:w="9880" w:type="dxa"/>
            <w:vAlign w:val="bottom"/>
          </w:tcPr>
          <w:p>
            <w:pPr>
              <w:ind w:left="220"/>
              <w:spacing w:after="0"/>
              <w:rPr>
                <w:sz w:val="20"/>
                <w:szCs w:val="20"/>
                <w:color w:val="auto"/>
              </w:rPr>
            </w:pPr>
            <w:r>
              <w:rPr>
                <w:rFonts w:ascii="Arial" w:cs="Arial" w:eastAsia="Arial" w:hAnsi="Arial"/>
                <w:sz w:val="16"/>
                <w:szCs w:val="16"/>
                <w:color w:val="auto"/>
              </w:rPr>
              <w:t>Consolidated Statements of Cash Flows for the Three Years Ended December 31, 2016</w:t>
            </w:r>
          </w:p>
        </w:tc>
        <w:tc>
          <w:tcPr>
            <w:tcW w:w="1460" w:type="dxa"/>
            <w:vAlign w:val="bottom"/>
            <w:gridSpan w:val="3"/>
          </w:tcPr>
          <w:p>
            <w:pPr>
              <w:jc w:val="right"/>
              <w:spacing w:after="0"/>
              <w:rPr>
                <w:rFonts w:ascii="Arial" w:cs="Arial" w:eastAsia="Arial" w:hAnsi="Arial"/>
                <w:sz w:val="16"/>
                <w:szCs w:val="16"/>
                <w:color w:val="0000EE"/>
              </w:rPr>
            </w:pPr>
            <w:hyperlink w:anchor="page68">
              <w:r>
                <w:rPr>
                  <w:rFonts w:ascii="Arial" w:cs="Arial" w:eastAsia="Arial" w:hAnsi="Arial"/>
                  <w:sz w:val="16"/>
                  <w:szCs w:val="16"/>
                  <w:color w:val="0000EE"/>
                </w:rPr>
                <w:t>66</w:t>
              </w:r>
            </w:hyperlink>
          </w:p>
        </w:tc>
      </w:tr>
      <w:tr>
        <w:trPr>
          <w:trHeight w:val="20"/>
        </w:trPr>
        <w:tc>
          <w:tcPr>
            <w:tcW w:w="98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358"/>
        </w:trPr>
        <w:tc>
          <w:tcPr>
            <w:tcW w:w="9880" w:type="dxa"/>
            <w:vAlign w:val="bottom"/>
          </w:tcPr>
          <w:p>
            <w:pPr>
              <w:ind w:left="220"/>
              <w:spacing w:after="0"/>
              <w:rPr>
                <w:sz w:val="20"/>
                <w:szCs w:val="20"/>
                <w:color w:val="auto"/>
              </w:rPr>
            </w:pPr>
            <w:r>
              <w:rPr>
                <w:rFonts w:ascii="Arial" w:cs="Arial" w:eastAsia="Arial" w:hAnsi="Arial"/>
                <w:sz w:val="16"/>
                <w:szCs w:val="16"/>
                <w:color w:val="auto"/>
              </w:rPr>
              <w:t>Consolidated Statements of Changes in Common Stockholders’ Equity for the Three Years Ended December 31, 2016</w:t>
            </w:r>
          </w:p>
        </w:tc>
        <w:tc>
          <w:tcPr>
            <w:tcW w:w="1460" w:type="dxa"/>
            <w:vAlign w:val="bottom"/>
            <w:gridSpan w:val="3"/>
          </w:tcPr>
          <w:p>
            <w:pPr>
              <w:jc w:val="right"/>
              <w:spacing w:after="0"/>
              <w:rPr>
                <w:rFonts w:ascii="Arial" w:cs="Arial" w:eastAsia="Arial" w:hAnsi="Arial"/>
                <w:sz w:val="16"/>
                <w:szCs w:val="16"/>
                <w:color w:val="0000EE"/>
              </w:rPr>
            </w:pPr>
            <w:hyperlink w:anchor="page70">
              <w:r>
                <w:rPr>
                  <w:rFonts w:ascii="Arial" w:cs="Arial" w:eastAsia="Arial" w:hAnsi="Arial"/>
                  <w:sz w:val="16"/>
                  <w:szCs w:val="16"/>
                  <w:color w:val="0000EE"/>
                </w:rPr>
                <w:t>67</w:t>
              </w:r>
            </w:hyperlink>
          </w:p>
        </w:tc>
      </w:tr>
      <w:tr>
        <w:trPr>
          <w:trHeight w:val="20"/>
        </w:trPr>
        <w:tc>
          <w:tcPr>
            <w:tcW w:w="98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358"/>
        </w:trPr>
        <w:tc>
          <w:tcPr>
            <w:tcW w:w="9880" w:type="dxa"/>
            <w:vAlign w:val="bottom"/>
          </w:tcPr>
          <w:p>
            <w:pPr>
              <w:ind w:left="220"/>
              <w:spacing w:after="0"/>
              <w:rPr>
                <w:sz w:val="20"/>
                <w:szCs w:val="20"/>
                <w:color w:val="auto"/>
              </w:rPr>
            </w:pPr>
            <w:r>
              <w:rPr>
                <w:rFonts w:ascii="Arial" w:cs="Arial" w:eastAsia="Arial" w:hAnsi="Arial"/>
                <w:sz w:val="16"/>
                <w:szCs w:val="16"/>
                <w:color w:val="auto"/>
              </w:rPr>
              <w:t>Notes to Consolidated Financial Statements</w:t>
            </w:r>
          </w:p>
        </w:tc>
        <w:tc>
          <w:tcPr>
            <w:tcW w:w="1460" w:type="dxa"/>
            <w:vAlign w:val="bottom"/>
            <w:gridSpan w:val="3"/>
          </w:tcPr>
          <w:p>
            <w:pPr>
              <w:jc w:val="right"/>
              <w:spacing w:after="0"/>
              <w:rPr>
                <w:rFonts w:ascii="Arial" w:cs="Arial" w:eastAsia="Arial" w:hAnsi="Arial"/>
                <w:sz w:val="16"/>
                <w:szCs w:val="16"/>
                <w:color w:val="0000EE"/>
              </w:rPr>
            </w:pPr>
            <w:hyperlink w:anchor="page71">
              <w:r>
                <w:rPr>
                  <w:rFonts w:ascii="Arial" w:cs="Arial" w:eastAsia="Arial" w:hAnsi="Arial"/>
                  <w:sz w:val="16"/>
                  <w:szCs w:val="16"/>
                  <w:color w:val="0000EE"/>
                </w:rPr>
                <w:t>68</w:t>
              </w:r>
            </w:hyperlink>
          </w:p>
        </w:tc>
      </w:tr>
      <w:tr>
        <w:trPr>
          <w:trHeight w:val="20"/>
        </w:trPr>
        <w:tc>
          <w:tcPr>
            <w:tcW w:w="98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358"/>
        </w:trPr>
        <w:tc>
          <w:tcPr>
            <w:tcW w:w="9880" w:type="dxa"/>
            <w:vAlign w:val="bottom"/>
          </w:tcPr>
          <w:p>
            <w:pPr>
              <w:spacing w:after="0"/>
              <w:rPr>
                <w:sz w:val="20"/>
                <w:szCs w:val="20"/>
                <w:color w:val="auto"/>
              </w:rPr>
            </w:pPr>
            <w:r>
              <w:rPr>
                <w:rFonts w:ascii="Arial" w:cs="Arial" w:eastAsia="Arial" w:hAnsi="Arial"/>
                <w:sz w:val="16"/>
                <w:szCs w:val="16"/>
                <w:color w:val="auto"/>
              </w:rPr>
              <w:t>Five-Year Summary of Selected Historical Financial Data (Unaudited)</w:t>
            </w:r>
          </w:p>
        </w:tc>
        <w:tc>
          <w:tcPr>
            <w:tcW w:w="1460" w:type="dxa"/>
            <w:vAlign w:val="bottom"/>
            <w:gridSpan w:val="3"/>
          </w:tcPr>
          <w:p>
            <w:pPr>
              <w:jc w:val="right"/>
              <w:spacing w:after="0"/>
              <w:rPr>
                <w:rFonts w:ascii="Arial" w:cs="Arial" w:eastAsia="Arial" w:hAnsi="Arial"/>
                <w:sz w:val="16"/>
                <w:szCs w:val="16"/>
                <w:color w:val="0000EE"/>
              </w:rPr>
            </w:pPr>
            <w:hyperlink w:anchor="page119">
              <w:r>
                <w:rPr>
                  <w:rFonts w:ascii="Arial" w:cs="Arial" w:eastAsia="Arial" w:hAnsi="Arial"/>
                  <w:sz w:val="16"/>
                  <w:szCs w:val="16"/>
                  <w:color w:val="0000EE"/>
                </w:rPr>
                <w:t>115</w:t>
              </w:r>
            </w:hyperlink>
          </w:p>
        </w:tc>
      </w:tr>
      <w:tr>
        <w:trPr>
          <w:trHeight w:val="416"/>
        </w:trPr>
        <w:tc>
          <w:tcPr>
            <w:tcW w:w="9880" w:type="dxa"/>
            <w:vAlign w:val="bottom"/>
          </w:tcPr>
          <w:p>
            <w:pPr>
              <w:ind w:left="3260"/>
              <w:spacing w:after="0"/>
              <w:rPr>
                <w:sz w:val="20"/>
                <w:szCs w:val="20"/>
                <w:color w:val="auto"/>
              </w:rPr>
            </w:pPr>
            <w:r>
              <w:rPr>
                <w:rFonts w:ascii="Arial" w:cs="Arial" w:eastAsia="Arial" w:hAnsi="Arial"/>
                <w:sz w:val="18"/>
                <w:szCs w:val="18"/>
                <w:color w:val="auto"/>
              </w:rPr>
              <w:t>________________________________________________</w:t>
            </w:r>
          </w:p>
        </w:tc>
        <w:tc>
          <w:tcPr>
            <w:tcW w:w="120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r>
    </w:tbl>
    <w:p>
      <w:pPr>
        <w:spacing w:after="0" w:line="91" w:lineRule="exact"/>
        <w:rPr>
          <w:sz w:val="20"/>
          <w:szCs w:val="20"/>
          <w:color w:val="auto"/>
        </w:rPr>
      </w:pPr>
    </w:p>
    <w:p>
      <w:pPr>
        <w:ind w:right="360"/>
        <w:spacing w:after="0" w:line="291" w:lineRule="auto"/>
        <w:rPr>
          <w:sz w:val="20"/>
          <w:szCs w:val="20"/>
          <w:color w:val="auto"/>
        </w:rPr>
      </w:pPr>
      <w:r>
        <w:rPr>
          <w:rFonts w:ascii="Arial" w:cs="Arial" w:eastAsia="Arial" w:hAnsi="Arial"/>
          <w:sz w:val="14"/>
          <w:szCs w:val="14"/>
          <w:color w:val="auto"/>
        </w:rPr>
        <w:t>All schedules have been omitted either because they are not applicable or because the required information is included in the Consolidated Financial Statements or the notes thereto referred to above.</w:t>
      </w: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736" w:right="259" w:bottom="1440" w:gutter="0" w:footer="0" w:header="0"/>
        </w:sectPr>
      </w:pPr>
    </w:p>
    <w:bookmarkStart w:id="42" w:name="page43"/>
    <w:bookmarkEnd w:id="42"/>
    <w:p>
      <w:pPr>
        <w:ind w:right="1060" w:firstLine="1078"/>
        <w:spacing w:after="0" w:line="413" w:lineRule="auto"/>
        <w:rPr>
          <w:sz w:val="20"/>
          <w:szCs w:val="20"/>
          <w:color w:val="auto"/>
        </w:rPr>
      </w:pPr>
      <w:r>
        <w:rPr>
          <w:rFonts w:ascii="Arial" w:cs="Arial" w:eastAsia="Arial" w:hAnsi="Arial"/>
          <w:sz w:val="18"/>
          <w:szCs w:val="18"/>
          <w:b w:val="1"/>
          <w:bCs w:val="1"/>
          <w:color w:val="auto"/>
        </w:rPr>
        <w:t xml:space="preserve">MANAGEMENT’S DISCUSSION AND ANALYSIS OF RESULTS OF OPERATIONS AND FINANCIAL CONDITION </w:t>
      </w:r>
      <w:r>
        <w:rPr>
          <w:rFonts w:ascii="Arial" w:cs="Arial" w:eastAsia="Arial" w:hAnsi="Arial"/>
          <w:sz w:val="18"/>
          <w:szCs w:val="18"/>
          <w:color w:val="auto"/>
        </w:rPr>
        <w:t xml:space="preserve">This analysis should be read in conjunction with the Consolidated Financial Statements and the notes thereto. </w:t>
      </w:r>
      <w:r>
        <w:rPr>
          <w:rFonts w:ascii="Arial" w:cs="Arial" w:eastAsia="Arial" w:hAnsi="Arial"/>
          <w:sz w:val="18"/>
          <w:szCs w:val="18"/>
          <w:b w:val="1"/>
          <w:bCs w:val="1"/>
          <w:color w:val="auto"/>
        </w:rPr>
        <w:t>OVERVIEW</w:t>
      </w:r>
    </w:p>
    <w:p>
      <w:pPr>
        <w:ind w:right="80"/>
        <w:spacing w:after="0" w:line="229" w:lineRule="auto"/>
        <w:rPr>
          <w:sz w:val="20"/>
          <w:szCs w:val="20"/>
          <w:color w:val="auto"/>
        </w:rPr>
      </w:pPr>
      <w:r>
        <w:rPr>
          <w:rFonts w:ascii="Arial" w:cs="Arial" w:eastAsia="Arial" w:hAnsi="Arial"/>
          <w:sz w:val="18"/>
          <w:szCs w:val="18"/>
          <w:color w:val="auto"/>
        </w:rPr>
        <w:t>Graham Holdings Company (the Company) is a diversified education and media company whose operations include educational services; television broadcasting; online, print and local TV news; social-media advertising services; home health and hospice care; and manufacturing. Education is the largest business, and through its subsidiary Kaplan, Inc., the Company provides extensive worldwide education services for individuals, schools and businesses. The Company’s second largest business is television broadcasting. Since November 2012, the Company has completed several acquisitions in home health services and manufacturing. The Company’s business units are diverse and subject to different trends and risks.</w:t>
      </w:r>
    </w:p>
    <w:p>
      <w:pPr>
        <w:spacing w:after="0" w:line="112" w:lineRule="exact"/>
        <w:rPr>
          <w:sz w:val="20"/>
          <w:szCs w:val="20"/>
          <w:color w:val="auto"/>
        </w:rPr>
      </w:pPr>
    </w:p>
    <w:p>
      <w:pPr>
        <w:ind w:right="120"/>
        <w:spacing w:after="0" w:line="229" w:lineRule="auto"/>
        <w:rPr>
          <w:sz w:val="20"/>
          <w:szCs w:val="20"/>
          <w:color w:val="auto"/>
        </w:rPr>
      </w:pPr>
      <w:r>
        <w:rPr>
          <w:rFonts w:ascii="Arial" w:cs="Arial" w:eastAsia="Arial" w:hAnsi="Arial"/>
          <w:sz w:val="18"/>
          <w:szCs w:val="18"/>
          <w:color w:val="auto"/>
        </w:rPr>
        <w:t>The Company’s education division is the largest operating division of the Company, accounting for 64% of the Company’s consolidated revenues in 2016. The Company has devoted significant resources and attention to this division for many years, given its geographic and product diversity; the investment opportunities and growth prospects during this time; and challenges related to government regulation. In recent years, Kaplan has formulated and implemented restructuring plans at most of its businesses, resulting in significant costs in order to establish lower cost levels in future periods. Kaplan is organized into the following three operating segments: Kaplan Higher Education (KHE), Kaplan Test Preparation (KTP) and Kaplan International.</w:t>
      </w:r>
    </w:p>
    <w:p>
      <w:pPr>
        <w:spacing w:after="0" w:line="112" w:lineRule="exact"/>
        <w:rPr>
          <w:sz w:val="20"/>
          <w:szCs w:val="20"/>
          <w:color w:val="auto"/>
        </w:rPr>
      </w:pPr>
    </w:p>
    <w:p>
      <w:pPr>
        <w:ind w:right="40"/>
        <w:spacing w:after="0" w:line="234" w:lineRule="auto"/>
        <w:rPr>
          <w:sz w:val="20"/>
          <w:szCs w:val="20"/>
          <w:color w:val="auto"/>
        </w:rPr>
      </w:pPr>
      <w:r>
        <w:rPr>
          <w:rFonts w:ascii="Arial" w:cs="Arial" w:eastAsia="Arial" w:hAnsi="Arial"/>
          <w:sz w:val="18"/>
          <w:szCs w:val="18"/>
          <w:color w:val="auto"/>
        </w:rPr>
        <w:t>KHE represents 39% of total Kaplan revenues in 2016. KHE’s revenue declined in 2016, largely due to the sale of the KHE Campuses business in 2015 and other school closures, and declines in average enrollments at Kaplan University. Operating income at KHE increased in 2016 due largely to reduced losses at the KHE Campuses business, lower restructuring costs of $7.2 million in 2016 compared to $12.9 million in 2015, and improved results at the domestic professional and other continuing education businesses.</w:t>
      </w:r>
    </w:p>
    <w:p>
      <w:pPr>
        <w:spacing w:after="0" w:line="111" w:lineRule="exact"/>
        <w:rPr>
          <w:sz w:val="20"/>
          <w:szCs w:val="20"/>
          <w:color w:val="auto"/>
        </w:rPr>
      </w:pPr>
    </w:p>
    <w:p>
      <w:pPr>
        <w:ind w:right="120"/>
        <w:spacing w:after="0" w:line="260" w:lineRule="auto"/>
        <w:rPr>
          <w:sz w:val="20"/>
          <w:szCs w:val="20"/>
          <w:color w:val="auto"/>
        </w:rPr>
      </w:pPr>
      <w:r>
        <w:rPr>
          <w:rFonts w:ascii="Arial" w:cs="Arial" w:eastAsia="Arial" w:hAnsi="Arial"/>
          <w:sz w:val="18"/>
          <w:szCs w:val="18"/>
          <w:color w:val="auto"/>
        </w:rPr>
        <w:t>KTP revenues and operating income were down in 2016. Revenues declined due to decreased enrollments. Operating results declined due to KTP's increased investment in new economy skills training programs and a change in enrollment mix.</w:t>
      </w:r>
    </w:p>
    <w:p>
      <w:pPr>
        <w:spacing w:after="0" w:line="92" w:lineRule="exact"/>
        <w:rPr>
          <w:sz w:val="20"/>
          <w:szCs w:val="20"/>
          <w:color w:val="auto"/>
        </w:rPr>
      </w:pPr>
    </w:p>
    <w:p>
      <w:pPr>
        <w:ind w:right="160"/>
        <w:spacing w:after="0" w:line="234" w:lineRule="auto"/>
        <w:rPr>
          <w:sz w:val="20"/>
          <w:szCs w:val="20"/>
          <w:color w:val="auto"/>
        </w:rPr>
      </w:pPr>
      <w:r>
        <w:rPr>
          <w:rFonts w:ascii="Arial" w:cs="Arial" w:eastAsia="Arial" w:hAnsi="Arial"/>
          <w:sz w:val="18"/>
          <w:szCs w:val="18"/>
          <w:color w:val="auto"/>
        </w:rPr>
        <w:t>Kaplan International reported revenue declines for 2016 due to the adverse impact of exchange rates and weakness in English-language and Pathways programs. Kaplan International operating results were down in 2016 due to declines in the English-language and Pathways programs’ results and restructuring costs. Both the revenue and operating income declines were partially offset by growth from 2016 acquisitions.</w:t>
      </w:r>
    </w:p>
    <w:p>
      <w:pPr>
        <w:spacing w:after="0" w:line="111" w:lineRule="exact"/>
        <w:rPr>
          <w:sz w:val="20"/>
          <w:szCs w:val="20"/>
          <w:color w:val="auto"/>
        </w:rPr>
      </w:pPr>
    </w:p>
    <w:p>
      <w:pPr>
        <w:ind w:right="20"/>
        <w:spacing w:after="0" w:line="260" w:lineRule="auto"/>
        <w:rPr>
          <w:sz w:val="20"/>
          <w:szCs w:val="20"/>
          <w:color w:val="auto"/>
        </w:rPr>
      </w:pPr>
      <w:r>
        <w:rPr>
          <w:rFonts w:ascii="Arial" w:cs="Arial" w:eastAsia="Arial" w:hAnsi="Arial"/>
          <w:sz w:val="18"/>
          <w:szCs w:val="18"/>
          <w:color w:val="auto"/>
        </w:rPr>
        <w:t>Kaplan made three acquisitions in 2016, including Mander Portman Woodward, a leading provider of high-quality bespoke education to UK and international students in London, Cambridge and Birmingham; one acquisition in 2015; and three acquisitions in 2014.</w:t>
      </w:r>
    </w:p>
    <w:p>
      <w:pPr>
        <w:spacing w:after="0" w:line="92" w:lineRule="exact"/>
        <w:rPr>
          <w:sz w:val="20"/>
          <w:szCs w:val="20"/>
          <w:color w:val="auto"/>
        </w:rPr>
      </w:pPr>
    </w:p>
    <w:p>
      <w:pPr>
        <w:jc w:val="both"/>
        <w:ind w:right="420"/>
        <w:spacing w:after="0"/>
        <w:rPr>
          <w:sz w:val="20"/>
          <w:szCs w:val="20"/>
          <w:color w:val="auto"/>
        </w:rPr>
      </w:pPr>
      <w:r>
        <w:rPr>
          <w:rFonts w:ascii="Arial" w:cs="Arial" w:eastAsia="Arial" w:hAnsi="Arial"/>
          <w:sz w:val="18"/>
          <w:szCs w:val="18"/>
          <w:color w:val="auto"/>
        </w:rPr>
        <w:t>The Company’s television broadcasting division reported higher revenues and operating income as 2016 included significant political and Olympics-related advertising. In recent years, the television broadcasting division has consistently generated significantly higher operating income amounts and operating income margins than the education division and other businesses.</w:t>
      </w:r>
    </w:p>
    <w:p>
      <w:pPr>
        <w:spacing w:after="0" w:line="108" w:lineRule="exact"/>
        <w:rPr>
          <w:sz w:val="20"/>
          <w:szCs w:val="20"/>
          <w:color w:val="auto"/>
        </w:rPr>
      </w:pPr>
    </w:p>
    <w:p>
      <w:pPr>
        <w:ind w:right="640"/>
        <w:spacing w:after="0" w:line="260" w:lineRule="auto"/>
        <w:rPr>
          <w:sz w:val="20"/>
          <w:szCs w:val="20"/>
          <w:color w:val="auto"/>
        </w:rPr>
      </w:pPr>
      <w:r>
        <w:rPr>
          <w:rFonts w:ascii="Arial" w:cs="Arial" w:eastAsia="Arial" w:hAnsi="Arial"/>
          <w:sz w:val="18"/>
          <w:szCs w:val="18"/>
          <w:color w:val="auto"/>
        </w:rPr>
        <w:t>With the recent Celtic Healthcare, Residential Healthcare, Forney, Joyce/Dayton and Dekko acquisitions and growth at SocialCode, the Company has invested in new lines of business from late 2012 through 2016.</w:t>
      </w:r>
    </w:p>
    <w:p>
      <w:pPr>
        <w:spacing w:after="0" w:line="92"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The Company generates a significant amount of cash from its businesses that is used to support its operations, pay down debt and fund capital expenditures, share repurchases, dividends, acquisitions and other investments.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 2016 COMPARED TO 2015</w:t>
      </w:r>
    </w:p>
    <w:p>
      <w:pPr>
        <w:spacing w:after="0" w:line="146" w:lineRule="exact"/>
        <w:rPr>
          <w:sz w:val="20"/>
          <w:szCs w:val="20"/>
          <w:color w:val="auto"/>
        </w:rPr>
      </w:pPr>
    </w:p>
    <w:p>
      <w:pPr>
        <w:ind w:right="120"/>
        <w:spacing w:after="0" w:line="234" w:lineRule="auto"/>
        <w:rPr>
          <w:sz w:val="20"/>
          <w:szCs w:val="20"/>
          <w:color w:val="auto"/>
        </w:rPr>
      </w:pPr>
      <w:r>
        <w:rPr>
          <w:rFonts w:ascii="Arial" w:cs="Arial" w:eastAsia="Arial" w:hAnsi="Arial"/>
          <w:sz w:val="18"/>
          <w:szCs w:val="18"/>
          <w:color w:val="auto"/>
        </w:rPr>
        <w:t>Income from continuing operations attributable to common shares was $168.6 million ($29.80 per share) for the year ended December 31, 2016, compared to a net loss of $143.5 million ($ 25.23 per share) for the year ended December 31, 2015. Net loss attributable to common shares was $ 101.3 million ($17.87 per share) for the year ended December 31, 2015, including $42.2 million ($7.36 per share) in income from discontinued operations.</w:t>
      </w:r>
    </w:p>
    <w:p>
      <w:pPr>
        <w:spacing w:after="0" w:line="200" w:lineRule="exact"/>
        <w:rPr>
          <w:sz w:val="20"/>
          <w:szCs w:val="20"/>
          <w:color w:val="auto"/>
        </w:rPr>
      </w:pPr>
    </w:p>
    <w:p>
      <w:pPr>
        <w:spacing w:after="0" w:line="27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736" w:right="259" w:bottom="1440" w:gutter="0" w:footer="0" w:header="0"/>
        </w:sectPr>
      </w:pPr>
    </w:p>
    <w:bookmarkStart w:id="43" w:name="page44"/>
    <w:bookmarkEnd w:id="43"/>
    <w:p>
      <w:pPr>
        <w:spacing w:after="0"/>
        <w:rPr>
          <w:sz w:val="20"/>
          <w:szCs w:val="20"/>
          <w:color w:val="auto"/>
        </w:rPr>
      </w:pPr>
      <w:r>
        <w:rPr>
          <w:rFonts w:ascii="Arial" w:cs="Arial" w:eastAsia="Arial" w:hAnsi="Arial"/>
          <w:sz w:val="18"/>
          <w:szCs w:val="18"/>
          <w:color w:val="auto"/>
        </w:rPr>
        <w:t>Items included in the Company’s income from continuing operations for 2016 are listed below:</w:t>
      </w:r>
    </w:p>
    <w:p>
      <w:pPr>
        <w:spacing w:after="0" w:line="90" w:lineRule="exact"/>
        <w:rPr>
          <w:sz w:val="20"/>
          <w:szCs w:val="20"/>
          <w:color w:val="auto"/>
        </w:rPr>
      </w:pPr>
    </w:p>
    <w:p>
      <w:pPr>
        <w:ind w:left="180" w:hanging="172"/>
        <w:spacing w:after="0"/>
        <w:tabs>
          <w:tab w:leader="none" w:pos="1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 $18.0 million gain related to a bulk lump sum pension program offering (after-tax impact of $10.8 million, or $1.92 per share);</w:t>
      </w:r>
    </w:p>
    <w:p>
      <w:pPr>
        <w:spacing w:after="0" w:line="90" w:lineRule="exact"/>
        <w:rPr>
          <w:rFonts w:ascii="Arial" w:cs="Arial" w:eastAsia="Arial" w:hAnsi="Arial"/>
          <w:sz w:val="18"/>
          <w:szCs w:val="18"/>
          <w:color w:val="auto"/>
        </w:rPr>
      </w:pPr>
    </w:p>
    <w:p>
      <w:pPr>
        <w:ind w:left="180" w:hanging="172"/>
        <w:spacing w:after="0"/>
        <w:tabs>
          <w:tab w:leader="none" w:pos="180" w:val="left"/>
        </w:tabs>
        <w:numPr>
          <w:ilvl w:val="0"/>
          <w:numId w:val="42"/>
        </w:numPr>
        <w:rPr>
          <w:rFonts w:ascii="Times New Roman" w:cs="Times New Roman" w:eastAsia="Times New Roman" w:hAnsi="Times New Roman"/>
          <w:sz w:val="18"/>
          <w:szCs w:val="18"/>
          <w:color w:val="auto"/>
        </w:rPr>
      </w:pPr>
      <w:r>
        <w:rPr>
          <w:rFonts w:ascii="Arial" w:cs="Arial" w:eastAsia="Arial" w:hAnsi="Arial"/>
          <w:sz w:val="18"/>
          <w:szCs w:val="18"/>
          <w:color w:val="auto"/>
        </w:rPr>
        <w:t>$11.9 million in restructuring charges at the education division (after-tax impact of $7.7 million, or $1.36 per share);</w:t>
      </w:r>
    </w:p>
    <w:p>
      <w:pPr>
        <w:spacing w:after="0" w:line="89" w:lineRule="exact"/>
        <w:rPr>
          <w:rFonts w:ascii="Times New Roman" w:cs="Times New Roman" w:eastAsia="Times New Roman" w:hAnsi="Times New Roman"/>
          <w:sz w:val="18"/>
          <w:szCs w:val="18"/>
          <w:color w:val="auto"/>
        </w:rPr>
      </w:pPr>
    </w:p>
    <w:p>
      <w:pPr>
        <w:ind w:left="180" w:right="240" w:hanging="172"/>
        <w:spacing w:after="0" w:line="260" w:lineRule="auto"/>
        <w:tabs>
          <w:tab w:leader="none" w:pos="1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$32.2 million net non-operating gain from the sales of land and marketable equity securities (after-tax impact of $20.0 million, or $3.52 per share);</w:t>
      </w:r>
    </w:p>
    <w:p>
      <w:pPr>
        <w:spacing w:after="0" w:line="37" w:lineRule="exact"/>
        <w:rPr>
          <w:rFonts w:ascii="Arial" w:cs="Arial" w:eastAsia="Arial" w:hAnsi="Arial"/>
          <w:sz w:val="18"/>
          <w:szCs w:val="18"/>
          <w:color w:val="auto"/>
        </w:rPr>
      </w:pPr>
    </w:p>
    <w:p>
      <w:pPr>
        <w:ind w:left="180" w:hanging="172"/>
        <w:spacing w:after="0" w:line="260" w:lineRule="auto"/>
        <w:tabs>
          <w:tab w:leader="none" w:pos="1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 $22.2 million non-operating gain arising from the sale of a business and the formation of a joint venture (after-tax impact of $13.6 million, or $2.37 per share);</w:t>
      </w:r>
    </w:p>
    <w:p>
      <w:pPr>
        <w:spacing w:after="0" w:line="37" w:lineRule="exact"/>
        <w:rPr>
          <w:rFonts w:ascii="Arial" w:cs="Arial" w:eastAsia="Arial" w:hAnsi="Arial"/>
          <w:sz w:val="18"/>
          <w:szCs w:val="18"/>
          <w:color w:val="auto"/>
        </w:rPr>
      </w:pPr>
    </w:p>
    <w:p>
      <w:pPr>
        <w:ind w:left="180" w:right="320" w:hanging="172"/>
        <w:spacing w:after="0" w:line="259" w:lineRule="auto"/>
        <w:tabs>
          <w:tab w:leader="none" w:pos="180" w:val="left"/>
        </w:tabs>
        <w:numPr>
          <w:ilvl w:val="0"/>
          <w:numId w:val="42"/>
        </w:numPr>
        <w:rPr>
          <w:rFonts w:ascii="Times New Roman" w:cs="Times New Roman" w:eastAsia="Times New Roman" w:hAnsi="Times New Roman"/>
          <w:sz w:val="18"/>
          <w:szCs w:val="18"/>
          <w:color w:val="auto"/>
        </w:rPr>
      </w:pPr>
      <w:r>
        <w:rPr>
          <w:rFonts w:ascii="Arial" w:cs="Arial" w:eastAsia="Arial" w:hAnsi="Arial"/>
          <w:sz w:val="18"/>
          <w:szCs w:val="18"/>
          <w:color w:val="auto"/>
        </w:rPr>
        <w:t>$37.6 million in non-operating expenses from the write-down of cost method investments and investments in affiliates (after-tax impact of $24.1 million, or $4.27 per share);</w:t>
      </w:r>
    </w:p>
    <w:p>
      <w:pPr>
        <w:spacing w:after="0" w:line="38"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$39.9 million in non-operating foreign currency losses (after-tax impact of $25.5 million, or $4.51 per share);</w:t>
      </w:r>
    </w:p>
    <w:p>
      <w:pPr>
        <w:spacing w:after="0" w:line="90" w:lineRule="exact"/>
        <w:rPr>
          <w:rFonts w:ascii="Arial" w:cs="Arial" w:eastAsia="Arial" w:hAnsi="Arial"/>
          <w:sz w:val="18"/>
          <w:szCs w:val="18"/>
          <w:color w:val="auto"/>
        </w:rPr>
      </w:pPr>
    </w:p>
    <w:p>
      <w:pPr>
        <w:ind w:left="180" w:hanging="172"/>
        <w:spacing w:after="0"/>
        <w:tabs>
          <w:tab w:leader="none" w:pos="1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 net nonrecurring $8.3 million deferred tax benefit related to Kaplan's international operations ($1.47 per share); and</w:t>
      </w:r>
    </w:p>
    <w:p>
      <w:pPr>
        <w:spacing w:after="0" w:line="90" w:lineRule="exact"/>
        <w:rPr>
          <w:rFonts w:ascii="Arial" w:cs="Arial" w:eastAsia="Arial" w:hAnsi="Arial"/>
          <w:sz w:val="18"/>
          <w:szCs w:val="18"/>
          <w:color w:val="auto"/>
        </w:rPr>
      </w:pPr>
    </w:p>
    <w:p>
      <w:pPr>
        <w:ind w:left="180" w:right="260" w:hanging="172"/>
        <w:spacing w:after="0" w:line="260" w:lineRule="auto"/>
        <w:tabs>
          <w:tab w:leader="none" w:pos="1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 favorable $5.6 million out of period deferred tax adjustment related to the KHE goodwill impairment recorded in the third quarter of 2015 ($1.00 per share).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Items included in the Company’s income from continuing operations for 2015 are listed below:</w:t>
      </w:r>
    </w:p>
    <w:p>
      <w:pPr>
        <w:spacing w:after="0" w:line="90" w:lineRule="exact"/>
        <w:rPr>
          <w:sz w:val="20"/>
          <w:szCs w:val="20"/>
          <w:color w:val="auto"/>
        </w:rPr>
      </w:pPr>
    </w:p>
    <w:p>
      <w:pPr>
        <w:ind w:left="180" w:right="120" w:hanging="172"/>
        <w:spacing w:after="0" w:line="259" w:lineRule="auto"/>
        <w:tabs>
          <w:tab w:leader="none" w:pos="180" w:val="left"/>
        </w:tabs>
        <w:numPr>
          <w:ilvl w:val="0"/>
          <w:numId w:val="43"/>
        </w:numPr>
        <w:rPr>
          <w:rFonts w:ascii="Times New Roman" w:cs="Times New Roman" w:eastAsia="Times New Roman" w:hAnsi="Times New Roman"/>
          <w:sz w:val="18"/>
          <w:szCs w:val="18"/>
          <w:color w:val="auto"/>
        </w:rPr>
      </w:pPr>
      <w:r>
        <w:rPr>
          <w:rFonts w:ascii="Arial" w:cs="Arial" w:eastAsia="Arial" w:hAnsi="Arial"/>
          <w:sz w:val="18"/>
          <w:szCs w:val="18"/>
          <w:color w:val="auto"/>
        </w:rPr>
        <w:t>$259.7 million goodwill and long-lived assets impairment charges at the education division and other businesses (after-tax impact of $225.2 million, or $38.96 per share);</w:t>
      </w:r>
    </w:p>
    <w:p>
      <w:pPr>
        <w:spacing w:after="0" w:line="38" w:lineRule="exact"/>
        <w:rPr>
          <w:rFonts w:ascii="Times New Roman" w:cs="Times New Roman" w:eastAsia="Times New Roman" w:hAnsi="Times New Roman"/>
          <w:sz w:val="18"/>
          <w:szCs w:val="18"/>
          <w:color w:val="auto"/>
        </w:rPr>
      </w:pPr>
    </w:p>
    <w:p>
      <w:pPr>
        <w:ind w:left="180" w:right="300" w:hanging="172"/>
        <w:spacing w:after="0" w:line="260" w:lineRule="auto"/>
        <w:tabs>
          <w:tab w:leader="none" w:pos="1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$45.8 million in restructuring charges at the education division, corporate office and other businesses (after-tax impact of $28.9 million, or $4.97 per share);</w:t>
      </w:r>
    </w:p>
    <w:p>
      <w:pPr>
        <w:spacing w:after="0" w:line="37" w:lineRule="exact"/>
        <w:rPr>
          <w:rFonts w:ascii="Arial" w:cs="Arial" w:eastAsia="Arial" w:hAnsi="Arial"/>
          <w:sz w:val="18"/>
          <w:szCs w:val="18"/>
          <w:color w:val="auto"/>
        </w:rPr>
      </w:pPr>
    </w:p>
    <w:p>
      <w:pPr>
        <w:ind w:left="180" w:right="20" w:hanging="172"/>
        <w:spacing w:after="0" w:line="259" w:lineRule="auto"/>
        <w:tabs>
          <w:tab w:leader="none" w:pos="180" w:val="left"/>
        </w:tabs>
        <w:numPr>
          <w:ilvl w:val="0"/>
          <w:numId w:val="43"/>
        </w:numPr>
        <w:rPr>
          <w:rFonts w:ascii="Times New Roman" w:cs="Times New Roman" w:eastAsia="Times New Roman" w:hAnsi="Times New Roman"/>
          <w:sz w:val="18"/>
          <w:szCs w:val="18"/>
          <w:color w:val="auto"/>
        </w:rPr>
      </w:pPr>
      <w:r>
        <w:rPr>
          <w:rFonts w:ascii="Arial" w:cs="Arial" w:eastAsia="Arial" w:hAnsi="Arial"/>
          <w:sz w:val="18"/>
          <w:szCs w:val="18"/>
          <w:color w:val="auto"/>
        </w:rPr>
        <w:t>$24.9 million in expense related to the modification of stock option awards in conjunction with the Cable ONE spin-off and the modification of restricted stock awards (after-tax impact of $15.3 million, or $2.64 per share);</w:t>
      </w:r>
    </w:p>
    <w:p>
      <w:pPr>
        <w:spacing w:after="0" w:line="38" w:lineRule="exact"/>
        <w:rPr>
          <w:rFonts w:ascii="Times New Roman" w:cs="Times New Roman" w:eastAsia="Times New Roman" w:hAnsi="Times New Roman"/>
          <w:sz w:val="18"/>
          <w:szCs w:val="18"/>
          <w:color w:val="auto"/>
        </w:rPr>
      </w:pPr>
    </w:p>
    <w:p>
      <w:pPr>
        <w:ind w:left="180" w:right="80" w:hanging="172"/>
        <w:spacing w:after="0" w:line="259" w:lineRule="auto"/>
        <w:tabs>
          <w:tab w:leader="none" w:pos="180" w:val="left"/>
        </w:tabs>
        <w:numPr>
          <w:ilvl w:val="0"/>
          <w:numId w:val="43"/>
        </w:numPr>
        <w:rPr>
          <w:rFonts w:ascii="Times New Roman" w:cs="Times New Roman" w:eastAsia="Times New Roman" w:hAnsi="Times New Roman"/>
          <w:sz w:val="18"/>
          <w:szCs w:val="18"/>
          <w:color w:val="auto"/>
        </w:rPr>
      </w:pPr>
      <w:r>
        <w:rPr>
          <w:rFonts w:ascii="Arial" w:cs="Arial" w:eastAsia="Arial" w:hAnsi="Arial"/>
          <w:sz w:val="18"/>
          <w:szCs w:val="18"/>
          <w:color w:val="auto"/>
        </w:rPr>
        <w:t>$12.5 million in net non-operating losses arising from the sales of five businesses and an investment, and on the formation of a joint venture (after-tax impact of $15.7 million, or $2.82 per share);</w:t>
      </w:r>
    </w:p>
    <w:p>
      <w:pPr>
        <w:spacing w:after="0" w:line="38"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$21.4 million gain on the sale of land (after-tax impact of $13.2 million, or $2.27 per share); and</w:t>
      </w:r>
    </w:p>
    <w:p>
      <w:pPr>
        <w:spacing w:after="0" w:line="90" w:lineRule="exact"/>
        <w:rPr>
          <w:rFonts w:ascii="Arial" w:cs="Arial" w:eastAsia="Arial" w:hAnsi="Arial"/>
          <w:sz w:val="18"/>
          <w:szCs w:val="18"/>
          <w:color w:val="auto"/>
        </w:rPr>
      </w:pPr>
    </w:p>
    <w:p>
      <w:pPr>
        <w:ind w:left="180" w:hanging="172"/>
        <w:spacing w:after="0"/>
        <w:tabs>
          <w:tab w:leader="none" w:pos="1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$15.6 million in non-operating unrealized foreign currency losses (after-tax impact of $9.7 million, or $1.67 per share).</w:t>
      </w:r>
    </w:p>
    <w:p>
      <w:pPr>
        <w:spacing w:after="0" w:line="90" w:lineRule="exact"/>
        <w:rPr>
          <w:sz w:val="20"/>
          <w:szCs w:val="20"/>
          <w:color w:val="auto"/>
        </w:rPr>
      </w:pPr>
    </w:p>
    <w:p>
      <w:pPr>
        <w:ind w:right="400"/>
        <w:spacing w:after="0" w:line="260" w:lineRule="auto"/>
        <w:rPr>
          <w:sz w:val="20"/>
          <w:szCs w:val="20"/>
          <w:color w:val="auto"/>
        </w:rPr>
      </w:pPr>
      <w:r>
        <w:rPr>
          <w:rFonts w:ascii="Arial" w:cs="Arial" w:eastAsia="Arial" w:hAnsi="Arial"/>
          <w:sz w:val="18"/>
          <w:szCs w:val="18"/>
          <w:color w:val="auto"/>
        </w:rPr>
        <w:t>Revenue for 2016 was $2,481.9 million, down 4% from $2,586.1 million in 2015. Revenues declined at the education division, offset by an increase at the television broadcasting division and in other businesses.</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color w:val="auto"/>
        </w:rPr>
        <w:t>In 2016, education revenue was down by 17%, advertising revenue increased 11% and other revenue increased 51%. The revenue declines at Kaplan account for the reported education revenue. The growth in advertising revenue is due to increased television broadcasting revenue. The increase in other revenues is due primarily to the inclusion of revenues from businesses acquired in 2016 and 2015.</w:t>
      </w:r>
    </w:p>
    <w:p>
      <w:pPr>
        <w:spacing w:after="0" w:line="108" w:lineRule="exact"/>
        <w:rPr>
          <w:sz w:val="20"/>
          <w:szCs w:val="20"/>
          <w:color w:val="auto"/>
        </w:rPr>
      </w:pPr>
    </w:p>
    <w:p>
      <w:pPr>
        <w:jc w:val="both"/>
        <w:spacing w:after="0" w:line="234" w:lineRule="auto"/>
        <w:rPr>
          <w:sz w:val="20"/>
          <w:szCs w:val="20"/>
          <w:color w:val="auto"/>
        </w:rPr>
      </w:pPr>
      <w:r>
        <w:rPr>
          <w:rFonts w:ascii="Arial" w:cs="Arial" w:eastAsia="Arial" w:hAnsi="Arial"/>
          <w:sz w:val="18"/>
          <w:szCs w:val="18"/>
          <w:color w:val="auto"/>
        </w:rPr>
        <w:t>Operating costs and expenses for the year decreased 18% to $2,178.4 million in 2016, from $2,666.9 million in 2015. Expenses were lower at the education division due to goodwill and other long-lived assets impairment charges recorded in 2015, partially offset by increased spending on digital initiatives and network fees at the television broadcasting division in 2016, and increased expenses at other businesses as a result of businesses acquired in 2016 and 2015.</w:t>
      </w:r>
    </w:p>
    <w:p>
      <w:pPr>
        <w:spacing w:after="0" w:line="111" w:lineRule="exact"/>
        <w:rPr>
          <w:sz w:val="20"/>
          <w:szCs w:val="20"/>
          <w:color w:val="auto"/>
        </w:rPr>
      </w:pPr>
    </w:p>
    <w:p>
      <w:pPr>
        <w:ind w:right="520"/>
        <w:spacing w:after="0" w:line="260" w:lineRule="auto"/>
        <w:rPr>
          <w:sz w:val="20"/>
          <w:szCs w:val="20"/>
          <w:color w:val="auto"/>
        </w:rPr>
      </w:pPr>
      <w:r>
        <w:rPr>
          <w:rFonts w:ascii="Arial" w:cs="Arial" w:eastAsia="Arial" w:hAnsi="Arial"/>
          <w:sz w:val="18"/>
          <w:szCs w:val="18"/>
          <w:color w:val="auto"/>
        </w:rPr>
        <w:t>The Company reported operating income for 2016 of $303.5 million, compared with an operating loss of $80.8 million in 2015. Operating results improved at the education and television broadcasting divisions, offset by a decline in other businesses.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Division Results</w:t>
      </w:r>
    </w:p>
    <w:p>
      <w:pPr>
        <w:spacing w:after="0" w:line="144" w:lineRule="exact"/>
        <w:rPr>
          <w:sz w:val="20"/>
          <w:szCs w:val="20"/>
          <w:color w:val="auto"/>
        </w:rPr>
      </w:pPr>
    </w:p>
    <w:p>
      <w:pPr>
        <w:ind w:right="20"/>
        <w:spacing w:after="0" w:line="234" w:lineRule="auto"/>
        <w:rPr>
          <w:sz w:val="20"/>
          <w:szCs w:val="20"/>
          <w:color w:val="auto"/>
        </w:rPr>
      </w:pPr>
      <w:r>
        <w:rPr>
          <w:rFonts w:ascii="Arial" w:cs="Arial" w:eastAsia="Arial" w:hAnsi="Arial"/>
          <w:sz w:val="18"/>
          <w:szCs w:val="18"/>
          <w:b w:val="1"/>
          <w:bCs w:val="1"/>
          <w:color w:val="auto"/>
        </w:rPr>
        <w:t xml:space="preserve">Education Division. </w:t>
      </w:r>
      <w:r>
        <w:rPr>
          <w:rFonts w:ascii="Arial" w:cs="Arial" w:eastAsia="Arial" w:hAnsi="Arial"/>
          <w:sz w:val="18"/>
          <w:szCs w:val="18"/>
          <w:color w:val="auto"/>
        </w:rPr>
        <w:t>Education division revenue in 2016 totaled $1,598.5 million, down 17% from $ 1,927.5 million in 2015</w:t>
      </w:r>
      <w:r>
        <w:rPr>
          <w:rFonts w:ascii="Times New Roman" w:cs="Times New Roman" w:eastAsia="Times New Roman" w:hAnsi="Times New Roman"/>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Kaplan reported</w:t>
      </w:r>
      <w:r>
        <w:rPr>
          <w:rFonts w:ascii="Arial" w:cs="Arial" w:eastAsia="Arial" w:hAnsi="Arial"/>
          <w:sz w:val="18"/>
          <w:szCs w:val="18"/>
          <w:b w:val="1"/>
          <w:bCs w:val="1"/>
          <w:color w:val="auto"/>
        </w:rPr>
        <w:t xml:space="preserve"> </w:t>
      </w:r>
      <w:r>
        <w:rPr>
          <w:rFonts w:ascii="Arial" w:cs="Arial" w:eastAsia="Arial" w:hAnsi="Arial"/>
          <w:sz w:val="18"/>
          <w:szCs w:val="18"/>
          <w:color w:val="auto"/>
        </w:rPr>
        <w:t>operating income of $93.6 million for 2016, compared to an operating loss of $223.5 million in 2015</w:t>
      </w: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Kaplan’s 2015 operating results include goodwill and intangible assets impairment charges of $256.8 million. In 2016, operating results at Kaplan Higher Education (KHE) were up and costs at Kaplan corporate and other declined, partially offset by declines at Kaplan Test Preparation (KTP) and Kaplan International.</w:t>
      </w:r>
    </w:p>
    <w:p>
      <w:pPr>
        <w:spacing w:after="0" w:line="200" w:lineRule="exact"/>
        <w:rPr>
          <w:sz w:val="20"/>
          <w:szCs w:val="20"/>
          <w:color w:val="auto"/>
        </w:rPr>
      </w:pPr>
    </w:p>
    <w:p>
      <w:pPr>
        <w:spacing w:after="0" w:line="27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360"/>
          </w:cols>
          <w:pgMar w:left="240" w:top="724" w:right="299" w:bottom="1440" w:gutter="0" w:footer="0" w:header="0"/>
        </w:sectPr>
      </w:pPr>
    </w:p>
    <w:bookmarkStart w:id="44" w:name="page45"/>
    <w:bookmarkEnd w:id="44"/>
    <w:p>
      <w:pPr>
        <w:jc w:val="both"/>
        <w:ind w:right="140"/>
        <w:spacing w:after="0"/>
        <w:rPr>
          <w:sz w:val="20"/>
          <w:szCs w:val="20"/>
          <w:color w:val="auto"/>
        </w:rPr>
      </w:pPr>
      <w:r>
        <w:rPr>
          <w:rFonts w:ascii="Arial" w:cs="Arial" w:eastAsia="Arial" w:hAnsi="Arial"/>
          <w:sz w:val="18"/>
          <w:szCs w:val="18"/>
          <w:color w:val="auto"/>
        </w:rPr>
        <w:t>In recent years, Kaplan has formulated and implemented restructuring plans at its various businesses that have resulted in restructuring costs in 2016 and 2015, with the objective of establishing lower cost levels in future periods. Across all businesses, restructuring costs totaled $11.9 million in 2016 and $44.4 million in 2015.</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A summary of Kaplan’s operating results is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60" w:type="dxa"/>
            <w:vAlign w:val="bottom"/>
            <w:gridSpan w:val="4"/>
          </w:tcPr>
          <w:p>
            <w:pPr>
              <w:ind w:left="200"/>
              <w:spacing w:after="0"/>
              <w:rPr>
                <w:sz w:val="20"/>
                <w:szCs w:val="20"/>
                <w:color w:val="auto"/>
              </w:rPr>
            </w:pPr>
            <w:r>
              <w:rPr>
                <w:rFonts w:ascii="Arial" w:cs="Arial" w:eastAsia="Arial" w:hAnsi="Arial"/>
                <w:sz w:val="14"/>
                <w:szCs w:val="14"/>
                <w:b w:val="1"/>
                <w:bCs w:val="1"/>
                <w:color w:val="auto"/>
              </w:rPr>
              <w:t>Year Ended December 31</w:t>
            </w: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73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6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ind w:left="200"/>
              <w:spacing w:after="0"/>
              <w:rPr>
                <w:sz w:val="20"/>
                <w:szCs w:val="20"/>
                <w:color w:val="auto"/>
              </w:rPr>
            </w:pPr>
            <w:r>
              <w:rPr>
                <w:rFonts w:ascii="Arial" w:cs="Arial" w:eastAsia="Arial" w:hAnsi="Arial"/>
                <w:sz w:val="14"/>
                <w:szCs w:val="14"/>
                <w:b w:val="1"/>
                <w:bCs w:val="1"/>
                <w:color w:val="auto"/>
              </w:rPr>
              <w:t>2016</w:t>
            </w:r>
          </w:p>
        </w:tc>
        <w:tc>
          <w:tcPr>
            <w:tcW w:w="34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400"/>
              <w:spacing w:after="0"/>
              <w:rPr>
                <w:sz w:val="20"/>
                <w:szCs w:val="20"/>
                <w:color w:val="auto"/>
              </w:rPr>
            </w:pPr>
            <w:r>
              <w:rPr>
                <w:rFonts w:ascii="Arial" w:cs="Arial" w:eastAsia="Arial" w:hAnsi="Arial"/>
                <w:sz w:val="14"/>
                <w:szCs w:val="14"/>
                <w:color w:val="auto"/>
              </w:rPr>
              <w:t>2015</w:t>
            </w:r>
          </w:p>
        </w:tc>
        <w:tc>
          <w:tcPr>
            <w:tcW w:w="10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260"/>
              <w:spacing w:after="0"/>
              <w:rPr>
                <w:sz w:val="20"/>
                <w:szCs w:val="20"/>
                <w:color w:val="auto"/>
              </w:rPr>
            </w:pPr>
            <w:r>
              <w:rPr>
                <w:rFonts w:ascii="Arial" w:cs="Arial" w:eastAsia="Arial" w:hAnsi="Arial"/>
                <w:sz w:val="14"/>
                <w:szCs w:val="14"/>
                <w:color w:val="auto"/>
              </w:rPr>
              <w:t>% Change</w:t>
            </w:r>
          </w:p>
        </w:tc>
        <w:tc>
          <w:tcPr>
            <w:tcW w:w="0" w:type="dxa"/>
            <w:vAlign w:val="bottom"/>
          </w:tcPr>
          <w:p>
            <w:pPr>
              <w:spacing w:after="0"/>
              <w:rPr>
                <w:sz w:val="1"/>
                <w:szCs w:val="1"/>
                <w:color w:val="auto"/>
              </w:rPr>
            </w:pPr>
          </w:p>
        </w:tc>
      </w:tr>
      <w:tr>
        <w:trPr>
          <w:trHeight w:val="257"/>
        </w:trPr>
        <w:tc>
          <w:tcPr>
            <w:tcW w:w="7360" w:type="dxa"/>
            <w:vAlign w:val="bottom"/>
          </w:tcPr>
          <w:p>
            <w:pPr>
              <w:ind w:left="40"/>
              <w:spacing w:after="0"/>
              <w:rPr>
                <w:sz w:val="20"/>
                <w:szCs w:val="20"/>
                <w:color w:val="auto"/>
              </w:rPr>
            </w:pPr>
            <w:r>
              <w:rPr>
                <w:rFonts w:ascii="Arial" w:cs="Arial" w:eastAsia="Arial" w:hAnsi="Arial"/>
                <w:sz w:val="16"/>
                <w:szCs w:val="16"/>
                <w:b w:val="1"/>
                <w:bCs w:val="1"/>
                <w:color w:val="auto"/>
              </w:rPr>
              <w:t>Revenue</w:t>
            </w:r>
          </w:p>
        </w:tc>
        <w:tc>
          <w:tcPr>
            <w:tcW w:w="2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7360" w:type="dxa"/>
            <w:vAlign w:val="bottom"/>
          </w:tcPr>
          <w:p>
            <w:pPr>
              <w:ind w:left="40"/>
              <w:spacing w:after="0"/>
              <w:rPr>
                <w:sz w:val="20"/>
                <w:szCs w:val="20"/>
                <w:color w:val="auto"/>
              </w:rPr>
            </w:pPr>
            <w:r>
              <w:rPr>
                <w:rFonts w:ascii="Arial" w:cs="Arial" w:eastAsia="Arial" w:hAnsi="Arial"/>
                <w:sz w:val="16"/>
                <w:szCs w:val="16"/>
                <w:color w:val="auto"/>
              </w:rPr>
              <w:t>Higher education</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1040" w:type="dxa"/>
            <w:vAlign w:val="bottom"/>
          </w:tcPr>
          <w:p>
            <w:pPr>
              <w:jc w:val="right"/>
              <w:ind w:right="80"/>
              <w:spacing w:after="0"/>
              <w:rPr>
                <w:sz w:val="20"/>
                <w:szCs w:val="20"/>
                <w:color w:val="auto"/>
              </w:rPr>
            </w:pPr>
            <w:r>
              <w:rPr>
                <w:rFonts w:ascii="Arial" w:cs="Arial" w:eastAsia="Arial" w:hAnsi="Arial"/>
                <w:sz w:val="16"/>
                <w:szCs w:val="16"/>
                <w:b w:val="1"/>
                <w:bCs w:val="1"/>
                <w:color w:val="auto"/>
              </w:rPr>
              <w:t>617,047</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849,625</w:t>
            </w:r>
          </w:p>
        </w:tc>
        <w:tc>
          <w:tcPr>
            <w:tcW w:w="100" w:type="dxa"/>
            <w:vAlign w:val="bottom"/>
          </w:tcPr>
          <w:p>
            <w:pPr>
              <w:spacing w:after="0"/>
              <w:rPr>
                <w:sz w:val="23"/>
                <w:szCs w:val="23"/>
                <w:color w:val="auto"/>
              </w:rPr>
            </w:pPr>
          </w:p>
        </w:tc>
        <w:tc>
          <w:tcPr>
            <w:tcW w:w="1340" w:type="dxa"/>
            <w:vAlign w:val="bottom"/>
          </w:tcPr>
          <w:p>
            <w:pPr>
              <w:jc w:val="right"/>
              <w:ind w:right="200"/>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270"/>
        </w:trPr>
        <w:tc>
          <w:tcPr>
            <w:tcW w:w="7360" w:type="dxa"/>
            <w:vAlign w:val="bottom"/>
          </w:tcPr>
          <w:p>
            <w:pPr>
              <w:ind w:left="40"/>
              <w:spacing w:after="0"/>
              <w:rPr>
                <w:sz w:val="20"/>
                <w:szCs w:val="20"/>
                <w:color w:val="auto"/>
              </w:rPr>
            </w:pPr>
            <w:r>
              <w:rPr>
                <w:rFonts w:ascii="Arial" w:cs="Arial" w:eastAsia="Arial" w:hAnsi="Arial"/>
                <w:sz w:val="16"/>
                <w:szCs w:val="16"/>
                <w:color w:val="auto"/>
              </w:rPr>
              <w:t>Test preparation</w:t>
            </w:r>
          </w:p>
        </w:tc>
        <w:tc>
          <w:tcPr>
            <w:tcW w:w="260" w:type="dxa"/>
            <w:vAlign w:val="bottom"/>
          </w:tcPr>
          <w:p>
            <w:pPr>
              <w:spacing w:after="0"/>
              <w:rPr>
                <w:sz w:val="23"/>
                <w:szCs w:val="23"/>
                <w:color w:val="auto"/>
              </w:rPr>
            </w:pPr>
          </w:p>
        </w:tc>
        <w:tc>
          <w:tcPr>
            <w:tcW w:w="1040" w:type="dxa"/>
            <w:vAlign w:val="bottom"/>
          </w:tcPr>
          <w:p>
            <w:pPr>
              <w:jc w:val="right"/>
              <w:ind w:right="80"/>
              <w:spacing w:after="0"/>
              <w:rPr>
                <w:sz w:val="20"/>
                <w:szCs w:val="20"/>
                <w:color w:val="auto"/>
              </w:rPr>
            </w:pPr>
            <w:r>
              <w:rPr>
                <w:rFonts w:ascii="Arial" w:cs="Arial" w:eastAsia="Arial" w:hAnsi="Arial"/>
                <w:sz w:val="16"/>
                <w:szCs w:val="16"/>
                <w:b w:val="1"/>
                <w:bCs w:val="1"/>
                <w:color w:val="auto"/>
              </w:rPr>
              <w:t>286,556</w:t>
            </w:r>
          </w:p>
        </w:tc>
        <w:tc>
          <w:tcPr>
            <w:tcW w:w="340" w:type="dxa"/>
            <w:vAlign w:val="bottom"/>
          </w:tcPr>
          <w:p>
            <w:pPr>
              <w:spacing w:after="0"/>
              <w:rPr>
                <w:sz w:val="23"/>
                <w:szCs w:val="23"/>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301,607</w:t>
            </w:r>
          </w:p>
        </w:tc>
        <w:tc>
          <w:tcPr>
            <w:tcW w:w="100" w:type="dxa"/>
            <w:vAlign w:val="bottom"/>
          </w:tcPr>
          <w:p>
            <w:pPr>
              <w:spacing w:after="0"/>
              <w:rPr>
                <w:sz w:val="23"/>
                <w:szCs w:val="23"/>
                <w:color w:val="auto"/>
              </w:rPr>
            </w:pPr>
          </w:p>
        </w:tc>
        <w:tc>
          <w:tcPr>
            <w:tcW w:w="1340" w:type="dxa"/>
            <w:vAlign w:val="bottom"/>
          </w:tcPr>
          <w:p>
            <w:pPr>
              <w:jc w:val="right"/>
              <w:ind w:right="200"/>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70"/>
        </w:trPr>
        <w:tc>
          <w:tcPr>
            <w:tcW w:w="7360" w:type="dxa"/>
            <w:vAlign w:val="bottom"/>
          </w:tcPr>
          <w:p>
            <w:pPr>
              <w:ind w:left="40"/>
              <w:spacing w:after="0"/>
              <w:rPr>
                <w:sz w:val="20"/>
                <w:szCs w:val="20"/>
                <w:color w:val="auto"/>
              </w:rPr>
            </w:pPr>
            <w:r>
              <w:rPr>
                <w:rFonts w:ascii="Arial" w:cs="Arial" w:eastAsia="Arial" w:hAnsi="Arial"/>
                <w:sz w:val="16"/>
                <w:szCs w:val="16"/>
                <w:color w:val="auto"/>
              </w:rPr>
              <w:t>Kaplan international</w:t>
            </w:r>
          </w:p>
        </w:tc>
        <w:tc>
          <w:tcPr>
            <w:tcW w:w="260" w:type="dxa"/>
            <w:vAlign w:val="bottom"/>
          </w:tcPr>
          <w:p>
            <w:pPr>
              <w:spacing w:after="0"/>
              <w:rPr>
                <w:sz w:val="23"/>
                <w:szCs w:val="23"/>
                <w:color w:val="auto"/>
              </w:rPr>
            </w:pPr>
          </w:p>
        </w:tc>
        <w:tc>
          <w:tcPr>
            <w:tcW w:w="1040" w:type="dxa"/>
            <w:vAlign w:val="bottom"/>
          </w:tcPr>
          <w:p>
            <w:pPr>
              <w:jc w:val="right"/>
              <w:ind w:right="80"/>
              <w:spacing w:after="0"/>
              <w:rPr>
                <w:sz w:val="20"/>
                <w:szCs w:val="20"/>
                <w:color w:val="auto"/>
              </w:rPr>
            </w:pPr>
            <w:r>
              <w:rPr>
                <w:rFonts w:ascii="Arial" w:cs="Arial" w:eastAsia="Arial" w:hAnsi="Arial"/>
                <w:sz w:val="16"/>
                <w:szCs w:val="16"/>
                <w:b w:val="1"/>
                <w:bCs w:val="1"/>
                <w:color w:val="auto"/>
              </w:rPr>
              <w:t>696,362</w:t>
            </w:r>
          </w:p>
        </w:tc>
        <w:tc>
          <w:tcPr>
            <w:tcW w:w="340" w:type="dxa"/>
            <w:vAlign w:val="bottom"/>
          </w:tcPr>
          <w:p>
            <w:pPr>
              <w:spacing w:after="0"/>
              <w:rPr>
                <w:sz w:val="23"/>
                <w:szCs w:val="23"/>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770,273</w:t>
            </w:r>
          </w:p>
        </w:tc>
        <w:tc>
          <w:tcPr>
            <w:tcW w:w="100" w:type="dxa"/>
            <w:vAlign w:val="bottom"/>
          </w:tcPr>
          <w:p>
            <w:pPr>
              <w:spacing w:after="0"/>
              <w:rPr>
                <w:sz w:val="23"/>
                <w:szCs w:val="23"/>
                <w:color w:val="auto"/>
              </w:rPr>
            </w:pPr>
          </w:p>
        </w:tc>
        <w:tc>
          <w:tcPr>
            <w:tcW w:w="1340" w:type="dxa"/>
            <w:vAlign w:val="bottom"/>
          </w:tcPr>
          <w:p>
            <w:pPr>
              <w:jc w:val="right"/>
              <w:ind w:right="200"/>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70"/>
        </w:trPr>
        <w:tc>
          <w:tcPr>
            <w:tcW w:w="7360" w:type="dxa"/>
            <w:vAlign w:val="bottom"/>
          </w:tcPr>
          <w:p>
            <w:pPr>
              <w:ind w:left="40"/>
              <w:spacing w:after="0"/>
              <w:rPr>
                <w:sz w:val="20"/>
                <w:szCs w:val="20"/>
                <w:color w:val="auto"/>
              </w:rPr>
            </w:pPr>
            <w:r>
              <w:rPr>
                <w:rFonts w:ascii="Arial" w:cs="Arial" w:eastAsia="Arial" w:hAnsi="Arial"/>
                <w:sz w:val="16"/>
                <w:szCs w:val="16"/>
                <w:color w:val="auto"/>
              </w:rPr>
              <w:t>Kaplan corporate and other</w:t>
            </w:r>
          </w:p>
        </w:tc>
        <w:tc>
          <w:tcPr>
            <w:tcW w:w="260" w:type="dxa"/>
            <w:vAlign w:val="bottom"/>
          </w:tcPr>
          <w:p>
            <w:pPr>
              <w:spacing w:after="0"/>
              <w:rPr>
                <w:sz w:val="23"/>
                <w:szCs w:val="23"/>
                <w:color w:val="auto"/>
              </w:rPr>
            </w:pPr>
          </w:p>
        </w:tc>
        <w:tc>
          <w:tcPr>
            <w:tcW w:w="1040" w:type="dxa"/>
            <w:vAlign w:val="bottom"/>
          </w:tcPr>
          <w:p>
            <w:pPr>
              <w:jc w:val="right"/>
              <w:ind w:right="80"/>
              <w:spacing w:after="0"/>
              <w:rPr>
                <w:sz w:val="20"/>
                <w:szCs w:val="20"/>
                <w:color w:val="auto"/>
              </w:rPr>
            </w:pPr>
            <w:r>
              <w:rPr>
                <w:rFonts w:ascii="Arial" w:cs="Arial" w:eastAsia="Arial" w:hAnsi="Arial"/>
                <w:sz w:val="16"/>
                <w:szCs w:val="16"/>
                <w:b w:val="1"/>
                <w:bCs w:val="1"/>
                <w:color w:val="auto"/>
              </w:rPr>
              <w:t>214</w:t>
            </w:r>
          </w:p>
        </w:tc>
        <w:tc>
          <w:tcPr>
            <w:tcW w:w="340" w:type="dxa"/>
            <w:vAlign w:val="bottom"/>
          </w:tcPr>
          <w:p>
            <w:pPr>
              <w:spacing w:after="0"/>
              <w:rPr>
                <w:sz w:val="23"/>
                <w:szCs w:val="23"/>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6,502</w:t>
            </w:r>
          </w:p>
        </w:tc>
        <w:tc>
          <w:tcPr>
            <w:tcW w:w="100" w:type="dxa"/>
            <w:vAlign w:val="bottom"/>
          </w:tcPr>
          <w:p>
            <w:pPr>
              <w:spacing w:after="0"/>
              <w:rPr>
                <w:sz w:val="23"/>
                <w:szCs w:val="23"/>
                <w:color w:val="auto"/>
              </w:rPr>
            </w:pPr>
          </w:p>
        </w:tc>
        <w:tc>
          <w:tcPr>
            <w:tcW w:w="1340" w:type="dxa"/>
            <w:vAlign w:val="bottom"/>
          </w:tcPr>
          <w:p>
            <w:pPr>
              <w:jc w:val="right"/>
              <w:ind w:right="200"/>
              <w:spacing w:after="0"/>
              <w:rPr>
                <w:sz w:val="20"/>
                <w:szCs w:val="20"/>
                <w:color w:val="auto"/>
              </w:rPr>
            </w:pPr>
            <w:r>
              <w:rPr>
                <w:rFonts w:ascii="Arial" w:cs="Arial" w:eastAsia="Arial" w:hAnsi="Arial"/>
                <w:sz w:val="16"/>
                <w:szCs w:val="16"/>
                <w:color w:val="auto"/>
              </w:rPr>
              <w:t>(97)</w:t>
            </w:r>
          </w:p>
        </w:tc>
        <w:tc>
          <w:tcPr>
            <w:tcW w:w="0" w:type="dxa"/>
            <w:vAlign w:val="bottom"/>
          </w:tcPr>
          <w:p>
            <w:pPr>
              <w:spacing w:after="0"/>
              <w:rPr>
                <w:sz w:val="1"/>
                <w:szCs w:val="1"/>
                <w:color w:val="auto"/>
              </w:rPr>
            </w:pPr>
          </w:p>
        </w:tc>
      </w:tr>
      <w:tr>
        <w:trPr>
          <w:trHeight w:val="274"/>
        </w:trPr>
        <w:tc>
          <w:tcPr>
            <w:tcW w:w="7360" w:type="dxa"/>
            <w:vAlign w:val="bottom"/>
          </w:tcPr>
          <w:p>
            <w:pPr>
              <w:ind w:left="40"/>
              <w:spacing w:after="0"/>
              <w:rPr>
                <w:sz w:val="20"/>
                <w:szCs w:val="20"/>
                <w:color w:val="auto"/>
              </w:rPr>
            </w:pPr>
            <w:r>
              <w:rPr>
                <w:rFonts w:ascii="Arial" w:cs="Arial" w:eastAsia="Arial" w:hAnsi="Arial"/>
                <w:sz w:val="16"/>
                <w:szCs w:val="16"/>
                <w:color w:val="auto"/>
              </w:rPr>
              <w:t>Intersegment elimination</w:t>
            </w:r>
          </w:p>
        </w:tc>
        <w:tc>
          <w:tcPr>
            <w:tcW w:w="26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(1,718)</w:t>
            </w:r>
          </w:p>
        </w:tc>
        <w:tc>
          <w:tcPr>
            <w:tcW w:w="34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(486)</w:t>
            </w:r>
          </w:p>
        </w:tc>
        <w:tc>
          <w:tcPr>
            <w:tcW w:w="100" w:type="dxa"/>
            <w:vAlign w:val="bottom"/>
            <w:tcBorders>
              <w:bottom w:val="single" w:sz="8" w:color="auto"/>
            </w:tcBorders>
          </w:tcPr>
          <w:p>
            <w:pPr>
              <w:spacing w:after="0"/>
              <w:rPr>
                <w:sz w:val="23"/>
                <w:szCs w:val="23"/>
                <w:color w:val="auto"/>
              </w:rPr>
            </w:pPr>
          </w:p>
        </w:tc>
        <w:tc>
          <w:tcPr>
            <w:tcW w:w="1340" w:type="dxa"/>
            <w:vAlign w:val="bottom"/>
          </w:tcPr>
          <w:p>
            <w:pPr>
              <w:jc w:val="right"/>
              <w:ind w:right="2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5"/>
        </w:trPr>
        <w:tc>
          <w:tcPr>
            <w:tcW w:w="7360" w:type="dxa"/>
            <w:vAlign w:val="bottom"/>
          </w:tcPr>
          <w:p>
            <w:pPr>
              <w:spacing w:after="0"/>
              <w:rPr>
                <w:sz w:val="23"/>
                <w:szCs w:val="23"/>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10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1,598,461</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1,927,521</w:t>
            </w:r>
          </w:p>
        </w:tc>
        <w:tc>
          <w:tcPr>
            <w:tcW w:w="100" w:type="dxa"/>
            <w:vAlign w:val="bottom"/>
            <w:tcBorders>
              <w:bottom w:val="single" w:sz="8" w:color="auto"/>
            </w:tcBorders>
          </w:tcPr>
          <w:p>
            <w:pPr>
              <w:spacing w:after="0"/>
              <w:rPr>
                <w:sz w:val="23"/>
                <w:szCs w:val="23"/>
                <w:color w:val="auto"/>
              </w:rPr>
            </w:pPr>
          </w:p>
        </w:tc>
        <w:tc>
          <w:tcPr>
            <w:tcW w:w="1340" w:type="dxa"/>
            <w:vAlign w:val="bottom"/>
          </w:tcPr>
          <w:p>
            <w:pPr>
              <w:jc w:val="right"/>
              <w:ind w:right="200"/>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0"/>
        </w:trPr>
        <w:tc>
          <w:tcPr>
            <w:tcW w:w="736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Operating Income (Loss)</w:t>
            </w: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7360" w:type="dxa"/>
            <w:vAlign w:val="bottom"/>
            <w:vMerge w:val="continue"/>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7360" w:type="dxa"/>
            <w:vAlign w:val="bottom"/>
          </w:tcPr>
          <w:p>
            <w:pPr>
              <w:ind w:left="40"/>
              <w:spacing w:after="0"/>
              <w:rPr>
                <w:sz w:val="20"/>
                <w:szCs w:val="20"/>
                <w:color w:val="auto"/>
              </w:rPr>
            </w:pPr>
            <w:r>
              <w:rPr>
                <w:rFonts w:ascii="Arial" w:cs="Arial" w:eastAsia="Arial" w:hAnsi="Arial"/>
                <w:sz w:val="16"/>
                <w:szCs w:val="16"/>
                <w:color w:val="auto"/>
              </w:rPr>
              <w:t>Higher education</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1040" w:type="dxa"/>
            <w:vAlign w:val="bottom"/>
          </w:tcPr>
          <w:p>
            <w:pPr>
              <w:jc w:val="right"/>
              <w:ind w:right="80"/>
              <w:spacing w:after="0"/>
              <w:rPr>
                <w:sz w:val="20"/>
                <w:szCs w:val="20"/>
                <w:color w:val="auto"/>
              </w:rPr>
            </w:pPr>
            <w:r>
              <w:rPr>
                <w:rFonts w:ascii="Arial" w:cs="Arial" w:eastAsia="Arial" w:hAnsi="Arial"/>
                <w:sz w:val="16"/>
                <w:szCs w:val="16"/>
                <w:b w:val="1"/>
                <w:bCs w:val="1"/>
                <w:color w:val="auto"/>
              </w:rPr>
              <w:t>66,632</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55,572</w:t>
            </w:r>
          </w:p>
        </w:tc>
        <w:tc>
          <w:tcPr>
            <w:tcW w:w="100" w:type="dxa"/>
            <w:vAlign w:val="bottom"/>
          </w:tcPr>
          <w:p>
            <w:pPr>
              <w:spacing w:after="0"/>
              <w:rPr>
                <w:sz w:val="23"/>
                <w:szCs w:val="23"/>
                <w:color w:val="auto"/>
              </w:rPr>
            </w:pPr>
          </w:p>
        </w:tc>
        <w:tc>
          <w:tcPr>
            <w:tcW w:w="1340" w:type="dxa"/>
            <w:vAlign w:val="bottom"/>
          </w:tcPr>
          <w:p>
            <w:pPr>
              <w:jc w:val="right"/>
              <w:ind w:right="240"/>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70"/>
        </w:trPr>
        <w:tc>
          <w:tcPr>
            <w:tcW w:w="7360" w:type="dxa"/>
            <w:vAlign w:val="bottom"/>
          </w:tcPr>
          <w:p>
            <w:pPr>
              <w:ind w:left="40"/>
              <w:spacing w:after="0"/>
              <w:rPr>
                <w:sz w:val="20"/>
                <w:szCs w:val="20"/>
                <w:color w:val="auto"/>
              </w:rPr>
            </w:pPr>
            <w:r>
              <w:rPr>
                <w:rFonts w:ascii="Arial" w:cs="Arial" w:eastAsia="Arial" w:hAnsi="Arial"/>
                <w:sz w:val="16"/>
                <w:szCs w:val="16"/>
                <w:color w:val="auto"/>
              </w:rPr>
              <w:t>Test preparation</w:t>
            </w:r>
          </w:p>
        </w:tc>
        <w:tc>
          <w:tcPr>
            <w:tcW w:w="260" w:type="dxa"/>
            <w:vAlign w:val="bottom"/>
          </w:tcPr>
          <w:p>
            <w:pPr>
              <w:spacing w:after="0"/>
              <w:rPr>
                <w:sz w:val="23"/>
                <w:szCs w:val="23"/>
                <w:color w:val="auto"/>
              </w:rPr>
            </w:pPr>
          </w:p>
        </w:tc>
        <w:tc>
          <w:tcPr>
            <w:tcW w:w="1040" w:type="dxa"/>
            <w:vAlign w:val="bottom"/>
          </w:tcPr>
          <w:p>
            <w:pPr>
              <w:jc w:val="right"/>
              <w:ind w:right="80"/>
              <w:spacing w:after="0"/>
              <w:rPr>
                <w:sz w:val="20"/>
                <w:szCs w:val="20"/>
                <w:color w:val="auto"/>
              </w:rPr>
            </w:pPr>
            <w:r>
              <w:rPr>
                <w:rFonts w:ascii="Arial" w:cs="Arial" w:eastAsia="Arial" w:hAnsi="Arial"/>
                <w:sz w:val="16"/>
                <w:szCs w:val="16"/>
                <w:b w:val="1"/>
                <w:bCs w:val="1"/>
                <w:color w:val="auto"/>
              </w:rPr>
              <w:t>9,599</w:t>
            </w:r>
          </w:p>
        </w:tc>
        <w:tc>
          <w:tcPr>
            <w:tcW w:w="340" w:type="dxa"/>
            <w:vAlign w:val="bottom"/>
          </w:tcPr>
          <w:p>
            <w:pPr>
              <w:spacing w:after="0"/>
              <w:rPr>
                <w:sz w:val="23"/>
                <w:szCs w:val="23"/>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16,798</w:t>
            </w:r>
          </w:p>
        </w:tc>
        <w:tc>
          <w:tcPr>
            <w:tcW w:w="100" w:type="dxa"/>
            <w:vAlign w:val="bottom"/>
          </w:tcPr>
          <w:p>
            <w:pPr>
              <w:spacing w:after="0"/>
              <w:rPr>
                <w:sz w:val="23"/>
                <w:szCs w:val="23"/>
                <w:color w:val="auto"/>
              </w:rPr>
            </w:pPr>
          </w:p>
        </w:tc>
        <w:tc>
          <w:tcPr>
            <w:tcW w:w="1340" w:type="dxa"/>
            <w:vAlign w:val="bottom"/>
          </w:tcPr>
          <w:p>
            <w:pPr>
              <w:jc w:val="right"/>
              <w:ind w:right="200"/>
              <w:spacing w:after="0"/>
              <w:rPr>
                <w:sz w:val="20"/>
                <w:szCs w:val="20"/>
                <w:color w:val="auto"/>
              </w:rPr>
            </w:pPr>
            <w:r>
              <w:rPr>
                <w:rFonts w:ascii="Arial" w:cs="Arial" w:eastAsia="Arial" w:hAnsi="Arial"/>
                <w:sz w:val="16"/>
                <w:szCs w:val="16"/>
                <w:color w:val="auto"/>
              </w:rPr>
              <w:t>(43)</w:t>
            </w:r>
          </w:p>
        </w:tc>
        <w:tc>
          <w:tcPr>
            <w:tcW w:w="0" w:type="dxa"/>
            <w:vAlign w:val="bottom"/>
          </w:tcPr>
          <w:p>
            <w:pPr>
              <w:spacing w:after="0"/>
              <w:rPr>
                <w:sz w:val="1"/>
                <w:szCs w:val="1"/>
                <w:color w:val="auto"/>
              </w:rPr>
            </w:pPr>
          </w:p>
        </w:tc>
      </w:tr>
      <w:tr>
        <w:trPr>
          <w:trHeight w:val="270"/>
        </w:trPr>
        <w:tc>
          <w:tcPr>
            <w:tcW w:w="7360" w:type="dxa"/>
            <w:vAlign w:val="bottom"/>
          </w:tcPr>
          <w:p>
            <w:pPr>
              <w:ind w:left="40"/>
              <w:spacing w:after="0"/>
              <w:rPr>
                <w:sz w:val="20"/>
                <w:szCs w:val="20"/>
                <w:color w:val="auto"/>
              </w:rPr>
            </w:pPr>
            <w:r>
              <w:rPr>
                <w:rFonts w:ascii="Arial" w:cs="Arial" w:eastAsia="Arial" w:hAnsi="Arial"/>
                <w:sz w:val="16"/>
                <w:szCs w:val="16"/>
                <w:color w:val="auto"/>
              </w:rPr>
              <w:t>Kaplan international</w:t>
            </w:r>
          </w:p>
        </w:tc>
        <w:tc>
          <w:tcPr>
            <w:tcW w:w="260" w:type="dxa"/>
            <w:vAlign w:val="bottom"/>
          </w:tcPr>
          <w:p>
            <w:pPr>
              <w:spacing w:after="0"/>
              <w:rPr>
                <w:sz w:val="23"/>
                <w:szCs w:val="23"/>
                <w:color w:val="auto"/>
              </w:rPr>
            </w:pPr>
          </w:p>
        </w:tc>
        <w:tc>
          <w:tcPr>
            <w:tcW w:w="1040" w:type="dxa"/>
            <w:vAlign w:val="bottom"/>
          </w:tcPr>
          <w:p>
            <w:pPr>
              <w:jc w:val="right"/>
              <w:ind w:right="80"/>
              <w:spacing w:after="0"/>
              <w:rPr>
                <w:sz w:val="20"/>
                <w:szCs w:val="20"/>
                <w:color w:val="auto"/>
              </w:rPr>
            </w:pPr>
            <w:r>
              <w:rPr>
                <w:rFonts w:ascii="Arial" w:cs="Arial" w:eastAsia="Arial" w:hAnsi="Arial"/>
                <w:sz w:val="16"/>
                <w:szCs w:val="16"/>
                <w:b w:val="1"/>
                <w:bCs w:val="1"/>
                <w:color w:val="auto"/>
              </w:rPr>
              <w:t>48,398</w:t>
            </w:r>
          </w:p>
        </w:tc>
        <w:tc>
          <w:tcPr>
            <w:tcW w:w="340" w:type="dxa"/>
            <w:vAlign w:val="bottom"/>
          </w:tcPr>
          <w:p>
            <w:pPr>
              <w:spacing w:after="0"/>
              <w:rPr>
                <w:sz w:val="23"/>
                <w:szCs w:val="23"/>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53,661</w:t>
            </w:r>
          </w:p>
        </w:tc>
        <w:tc>
          <w:tcPr>
            <w:tcW w:w="100" w:type="dxa"/>
            <w:vAlign w:val="bottom"/>
          </w:tcPr>
          <w:p>
            <w:pPr>
              <w:spacing w:after="0"/>
              <w:rPr>
                <w:sz w:val="23"/>
                <w:szCs w:val="23"/>
                <w:color w:val="auto"/>
              </w:rPr>
            </w:pPr>
          </w:p>
        </w:tc>
        <w:tc>
          <w:tcPr>
            <w:tcW w:w="1340" w:type="dxa"/>
            <w:vAlign w:val="bottom"/>
          </w:tcPr>
          <w:p>
            <w:pPr>
              <w:jc w:val="right"/>
              <w:ind w:right="200"/>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70"/>
        </w:trPr>
        <w:tc>
          <w:tcPr>
            <w:tcW w:w="7360" w:type="dxa"/>
            <w:vAlign w:val="bottom"/>
          </w:tcPr>
          <w:p>
            <w:pPr>
              <w:ind w:left="40"/>
              <w:spacing w:after="0"/>
              <w:rPr>
                <w:sz w:val="20"/>
                <w:szCs w:val="20"/>
                <w:color w:val="auto"/>
              </w:rPr>
            </w:pPr>
            <w:r>
              <w:rPr>
                <w:rFonts w:ascii="Arial" w:cs="Arial" w:eastAsia="Arial" w:hAnsi="Arial"/>
                <w:sz w:val="16"/>
                <w:szCs w:val="16"/>
                <w:color w:val="auto"/>
              </w:rPr>
              <w:t>Kaplan corporate and other</w:t>
            </w:r>
          </w:p>
        </w:tc>
        <w:tc>
          <w:tcPr>
            <w:tcW w:w="260" w:type="dxa"/>
            <w:vAlign w:val="bottom"/>
          </w:tcPr>
          <w:p>
            <w:pPr>
              <w:spacing w:after="0"/>
              <w:rPr>
                <w:sz w:val="23"/>
                <w:szCs w:val="23"/>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b w:val="1"/>
                <w:bCs w:val="1"/>
                <w:color w:val="auto"/>
              </w:rPr>
              <w:t>(23,452)</w:t>
            </w:r>
          </w:p>
        </w:tc>
        <w:tc>
          <w:tcPr>
            <w:tcW w:w="3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(87,230)</w:t>
            </w:r>
          </w:p>
        </w:tc>
        <w:tc>
          <w:tcPr>
            <w:tcW w:w="100" w:type="dxa"/>
            <w:vAlign w:val="bottom"/>
          </w:tcPr>
          <w:p>
            <w:pPr>
              <w:spacing w:after="0"/>
              <w:rPr>
                <w:sz w:val="23"/>
                <w:szCs w:val="23"/>
                <w:color w:val="auto"/>
              </w:rPr>
            </w:pPr>
          </w:p>
        </w:tc>
        <w:tc>
          <w:tcPr>
            <w:tcW w:w="1340" w:type="dxa"/>
            <w:vAlign w:val="bottom"/>
          </w:tcPr>
          <w:p>
            <w:pPr>
              <w:jc w:val="right"/>
              <w:ind w:right="240"/>
              <w:spacing w:after="0"/>
              <w:rPr>
                <w:sz w:val="20"/>
                <w:szCs w:val="20"/>
                <w:color w:val="auto"/>
              </w:rPr>
            </w:pPr>
            <w:r>
              <w:rPr>
                <w:rFonts w:ascii="Arial" w:cs="Arial" w:eastAsia="Arial" w:hAnsi="Arial"/>
                <w:sz w:val="16"/>
                <w:szCs w:val="16"/>
                <w:color w:val="auto"/>
              </w:rPr>
              <w:t>73</w:t>
            </w:r>
          </w:p>
        </w:tc>
        <w:tc>
          <w:tcPr>
            <w:tcW w:w="0" w:type="dxa"/>
            <w:vAlign w:val="bottom"/>
          </w:tcPr>
          <w:p>
            <w:pPr>
              <w:spacing w:after="0"/>
              <w:rPr>
                <w:sz w:val="1"/>
                <w:szCs w:val="1"/>
                <w:color w:val="auto"/>
              </w:rPr>
            </w:pPr>
          </w:p>
        </w:tc>
      </w:tr>
      <w:tr>
        <w:trPr>
          <w:trHeight w:val="270"/>
        </w:trPr>
        <w:tc>
          <w:tcPr>
            <w:tcW w:w="7360" w:type="dxa"/>
            <w:vAlign w:val="bottom"/>
          </w:tcPr>
          <w:p>
            <w:pPr>
              <w:ind w:left="40"/>
              <w:spacing w:after="0"/>
              <w:rPr>
                <w:sz w:val="20"/>
                <w:szCs w:val="20"/>
                <w:color w:val="auto"/>
              </w:rPr>
            </w:pPr>
            <w:r>
              <w:rPr>
                <w:rFonts w:ascii="Arial" w:cs="Arial" w:eastAsia="Arial" w:hAnsi="Arial"/>
                <w:sz w:val="16"/>
                <w:szCs w:val="16"/>
                <w:color w:val="auto"/>
              </w:rPr>
              <w:t>Amortization of intangible assets</w:t>
            </w:r>
          </w:p>
        </w:tc>
        <w:tc>
          <w:tcPr>
            <w:tcW w:w="260" w:type="dxa"/>
            <w:vAlign w:val="bottom"/>
          </w:tcPr>
          <w:p>
            <w:pPr>
              <w:spacing w:after="0"/>
              <w:rPr>
                <w:sz w:val="23"/>
                <w:szCs w:val="23"/>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b w:val="1"/>
                <w:bCs w:val="1"/>
                <w:color w:val="auto"/>
              </w:rPr>
              <w:t>(7,516)</w:t>
            </w:r>
          </w:p>
        </w:tc>
        <w:tc>
          <w:tcPr>
            <w:tcW w:w="3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(5,523)</w:t>
            </w:r>
          </w:p>
        </w:tc>
        <w:tc>
          <w:tcPr>
            <w:tcW w:w="100" w:type="dxa"/>
            <w:vAlign w:val="bottom"/>
          </w:tcPr>
          <w:p>
            <w:pPr>
              <w:spacing w:after="0"/>
              <w:rPr>
                <w:sz w:val="23"/>
                <w:szCs w:val="23"/>
                <w:color w:val="auto"/>
              </w:rPr>
            </w:pPr>
          </w:p>
        </w:tc>
        <w:tc>
          <w:tcPr>
            <w:tcW w:w="1340" w:type="dxa"/>
            <w:vAlign w:val="bottom"/>
          </w:tcPr>
          <w:p>
            <w:pPr>
              <w:jc w:val="right"/>
              <w:ind w:right="200"/>
              <w:spacing w:after="0"/>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270"/>
        </w:trPr>
        <w:tc>
          <w:tcPr>
            <w:tcW w:w="7360" w:type="dxa"/>
            <w:vAlign w:val="bottom"/>
          </w:tcPr>
          <w:p>
            <w:pPr>
              <w:ind w:left="40"/>
              <w:spacing w:after="0"/>
              <w:rPr>
                <w:sz w:val="20"/>
                <w:szCs w:val="20"/>
                <w:color w:val="auto"/>
              </w:rPr>
            </w:pPr>
            <w:r>
              <w:rPr>
                <w:rFonts w:ascii="Arial" w:cs="Arial" w:eastAsia="Arial" w:hAnsi="Arial"/>
                <w:sz w:val="16"/>
                <w:szCs w:val="16"/>
                <w:color w:val="auto"/>
              </w:rPr>
              <w:t>Impairment of goodwill and other long-lived assets</w:t>
            </w:r>
          </w:p>
        </w:tc>
        <w:tc>
          <w:tcPr>
            <w:tcW w:w="260" w:type="dxa"/>
            <w:vAlign w:val="bottom"/>
          </w:tcPr>
          <w:p>
            <w:pPr>
              <w:spacing w:after="0"/>
              <w:rPr>
                <w:sz w:val="23"/>
                <w:szCs w:val="23"/>
                <w:color w:val="auto"/>
              </w:rPr>
            </w:pPr>
          </w:p>
        </w:tc>
        <w:tc>
          <w:tcPr>
            <w:tcW w:w="1040" w:type="dxa"/>
            <w:vAlign w:val="bottom"/>
          </w:tcPr>
          <w:p>
            <w:pPr>
              <w:jc w:val="right"/>
              <w:ind w:right="80"/>
              <w:spacing w:after="0"/>
              <w:rPr>
                <w:sz w:val="20"/>
                <w:szCs w:val="20"/>
                <w:color w:val="auto"/>
              </w:rPr>
            </w:pPr>
            <w:r>
              <w:rPr>
                <w:rFonts w:ascii="Arial" w:cs="Arial" w:eastAsia="Arial" w:hAnsi="Arial"/>
                <w:sz w:val="16"/>
                <w:szCs w:val="16"/>
                <w:b w:val="1"/>
                <w:bCs w:val="1"/>
                <w:color w:val="auto"/>
              </w:rPr>
              <w:t>—</w:t>
            </w:r>
          </w:p>
        </w:tc>
        <w:tc>
          <w:tcPr>
            <w:tcW w:w="3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(256,830)</w:t>
            </w:r>
          </w:p>
        </w:tc>
        <w:tc>
          <w:tcPr>
            <w:tcW w:w="100" w:type="dxa"/>
            <w:vAlign w:val="bottom"/>
          </w:tcPr>
          <w:p>
            <w:pPr>
              <w:spacing w:after="0"/>
              <w:rPr>
                <w:sz w:val="23"/>
                <w:szCs w:val="23"/>
                <w:color w:val="auto"/>
              </w:rPr>
            </w:pPr>
          </w:p>
        </w:tc>
        <w:tc>
          <w:tcPr>
            <w:tcW w:w="1340" w:type="dxa"/>
            <w:vAlign w:val="bottom"/>
          </w:tcPr>
          <w:p>
            <w:pPr>
              <w:jc w:val="right"/>
              <w:ind w:right="2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4"/>
        </w:trPr>
        <w:tc>
          <w:tcPr>
            <w:tcW w:w="7360" w:type="dxa"/>
            <w:vAlign w:val="bottom"/>
          </w:tcPr>
          <w:p>
            <w:pPr>
              <w:ind w:left="40"/>
              <w:spacing w:after="0"/>
              <w:rPr>
                <w:sz w:val="20"/>
                <w:szCs w:val="20"/>
                <w:color w:val="auto"/>
              </w:rPr>
            </w:pPr>
            <w:r>
              <w:rPr>
                <w:rFonts w:ascii="Arial" w:cs="Arial" w:eastAsia="Arial" w:hAnsi="Arial"/>
                <w:sz w:val="16"/>
                <w:szCs w:val="16"/>
                <w:color w:val="auto"/>
              </w:rPr>
              <w:t>Intersegment elimination</w:t>
            </w:r>
          </w:p>
        </w:tc>
        <w:tc>
          <w:tcPr>
            <w:tcW w:w="26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(29)</w:t>
            </w:r>
          </w:p>
        </w:tc>
        <w:tc>
          <w:tcPr>
            <w:tcW w:w="34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96</w:t>
            </w:r>
          </w:p>
        </w:tc>
        <w:tc>
          <w:tcPr>
            <w:tcW w:w="100" w:type="dxa"/>
            <w:vAlign w:val="bottom"/>
            <w:tcBorders>
              <w:bottom w:val="single" w:sz="8" w:color="auto"/>
            </w:tcBorders>
          </w:tcPr>
          <w:p>
            <w:pPr>
              <w:spacing w:after="0"/>
              <w:rPr>
                <w:sz w:val="23"/>
                <w:szCs w:val="23"/>
                <w:color w:val="auto"/>
              </w:rPr>
            </w:pPr>
          </w:p>
        </w:tc>
        <w:tc>
          <w:tcPr>
            <w:tcW w:w="1340" w:type="dxa"/>
            <w:vAlign w:val="bottom"/>
          </w:tcPr>
          <w:p>
            <w:pPr>
              <w:jc w:val="right"/>
              <w:ind w:right="2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6"/>
        </w:trPr>
        <w:tc>
          <w:tcPr>
            <w:tcW w:w="7360" w:type="dxa"/>
            <w:vAlign w:val="bottom"/>
          </w:tcPr>
          <w:p>
            <w:pPr>
              <w:spacing w:after="0"/>
              <w:rPr>
                <w:sz w:val="23"/>
                <w:szCs w:val="23"/>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10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93,632</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(223,456)</w:t>
            </w:r>
          </w:p>
        </w:tc>
        <w:tc>
          <w:tcPr>
            <w:tcW w:w="100" w:type="dxa"/>
            <w:vAlign w:val="bottom"/>
            <w:tcBorders>
              <w:bottom w:val="single" w:sz="8" w:color="auto"/>
            </w:tcBorders>
          </w:tcPr>
          <w:p>
            <w:pPr>
              <w:spacing w:after="0"/>
              <w:rPr>
                <w:sz w:val="23"/>
                <w:szCs w:val="23"/>
                <w:color w:val="auto"/>
              </w:rPr>
            </w:pPr>
          </w:p>
        </w:tc>
        <w:tc>
          <w:tcPr>
            <w:tcW w:w="1340" w:type="dxa"/>
            <w:vAlign w:val="bottom"/>
          </w:tcPr>
          <w:p>
            <w:pPr>
              <w:jc w:val="right"/>
              <w:ind w:right="2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73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6" w:lineRule="exact"/>
        <w:rPr>
          <w:sz w:val="20"/>
          <w:szCs w:val="20"/>
          <w:color w:val="auto"/>
        </w:rPr>
      </w:pPr>
    </w:p>
    <w:p>
      <w:pPr>
        <w:ind w:right="100"/>
        <w:spacing w:after="0" w:line="260" w:lineRule="auto"/>
        <w:rPr>
          <w:sz w:val="20"/>
          <w:szCs w:val="20"/>
          <w:color w:val="auto"/>
        </w:rPr>
      </w:pPr>
      <w:r>
        <w:rPr>
          <w:rFonts w:ascii="Arial" w:cs="Arial" w:eastAsia="Arial" w:hAnsi="Arial"/>
          <w:sz w:val="18"/>
          <w:szCs w:val="18"/>
          <w:color w:val="auto"/>
        </w:rPr>
        <w:t>KHE includes Kaplan’s domestic postsecondary education businesses, made up of fixed-facility colleges and online postsecondary and career programs. KHE also includes the domestic professional training and other continuing education businesses.</w:t>
      </w:r>
    </w:p>
    <w:p>
      <w:pPr>
        <w:spacing w:after="0" w:line="92" w:lineRule="exact"/>
        <w:rPr>
          <w:sz w:val="20"/>
          <w:szCs w:val="20"/>
          <w:color w:val="auto"/>
        </w:rPr>
      </w:pPr>
    </w:p>
    <w:p>
      <w:pPr>
        <w:ind w:right="300"/>
        <w:spacing w:after="0" w:line="260" w:lineRule="auto"/>
        <w:rPr>
          <w:sz w:val="20"/>
          <w:szCs w:val="20"/>
          <w:color w:val="auto"/>
        </w:rPr>
      </w:pPr>
      <w:r>
        <w:rPr>
          <w:rFonts w:ascii="Arial" w:cs="Arial" w:eastAsia="Arial" w:hAnsi="Arial"/>
          <w:sz w:val="18"/>
          <w:szCs w:val="18"/>
          <w:color w:val="auto"/>
        </w:rPr>
        <w:t>On September 3, 2015, Kaplan completed the sale of substantially all of the remaining assets of its KHE Campuses business. In connection with these and other plans, KHE incurred $7.2 million and $12.9 million in restructuring costs in 2016 and 2015, respectively.</w:t>
      </w:r>
    </w:p>
    <w:p>
      <w:pPr>
        <w:spacing w:after="0" w:line="92" w:lineRule="exact"/>
        <w:rPr>
          <w:sz w:val="20"/>
          <w:szCs w:val="20"/>
          <w:color w:val="auto"/>
        </w:rPr>
      </w:pPr>
    </w:p>
    <w:p>
      <w:pPr>
        <w:ind w:right="40"/>
        <w:spacing w:after="0" w:line="234" w:lineRule="auto"/>
        <w:rPr>
          <w:sz w:val="20"/>
          <w:szCs w:val="20"/>
          <w:color w:val="auto"/>
        </w:rPr>
      </w:pPr>
      <w:r>
        <w:rPr>
          <w:rFonts w:ascii="Arial" w:cs="Arial" w:eastAsia="Arial" w:hAnsi="Arial"/>
          <w:sz w:val="18"/>
          <w:szCs w:val="18"/>
          <w:color w:val="auto"/>
        </w:rPr>
        <w:t>As a result of continued declines in student enrollments at KHE and the challenging industry operating environment, Kaplan completed an interim impairment review of KHE's remaining long-lived assets in the third quarter of 2015 that resulted in a $248.6 million goodwill impairment charge. This goodwill impairment charge followed a $6.9 million long-lived asset impairment charge that was recorded in the second quarter of 2015 in connection with the KHE Campuses business.</w:t>
      </w:r>
    </w:p>
    <w:p>
      <w:pPr>
        <w:spacing w:after="0" w:line="111" w:lineRule="exact"/>
        <w:rPr>
          <w:sz w:val="20"/>
          <w:szCs w:val="20"/>
          <w:color w:val="auto"/>
        </w:rPr>
      </w:pPr>
    </w:p>
    <w:p>
      <w:pPr>
        <w:ind w:right="600"/>
        <w:spacing w:after="0" w:line="260" w:lineRule="auto"/>
        <w:rPr>
          <w:sz w:val="20"/>
          <w:szCs w:val="20"/>
          <w:color w:val="auto"/>
        </w:rPr>
      </w:pPr>
      <w:r>
        <w:rPr>
          <w:rFonts w:ascii="Arial" w:cs="Arial" w:eastAsia="Arial" w:hAnsi="Arial"/>
          <w:sz w:val="18"/>
          <w:szCs w:val="18"/>
          <w:color w:val="auto"/>
        </w:rPr>
        <w:t>KHE results, excluding the impairment charge, include revenue and operating losses (including restructuring charges) related to all KHE Campuses, those sold or closed, including Mount Washington College and Bauder College,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9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0" w:type="dxa"/>
            <w:vAlign w:val="bottom"/>
            <w:gridSpan w:val="2"/>
          </w:tcPr>
          <w:p>
            <w:pPr>
              <w:jc w:val="right"/>
              <w:spacing w:after="0"/>
              <w:rPr>
                <w:sz w:val="20"/>
                <w:szCs w:val="20"/>
                <w:color w:val="auto"/>
              </w:rPr>
            </w:pPr>
            <w:r>
              <w:rPr>
                <w:rFonts w:ascii="Arial" w:cs="Arial" w:eastAsia="Arial" w:hAnsi="Arial"/>
                <w:sz w:val="14"/>
                <w:szCs w:val="14"/>
                <w:b w:val="1"/>
                <w:bCs w:val="1"/>
                <w:color w:val="auto"/>
              </w:rPr>
              <w:t>Year Ended</w:t>
            </w:r>
          </w:p>
        </w:tc>
        <w:tc>
          <w:tcPr>
            <w:tcW w:w="720" w:type="dxa"/>
            <w:vAlign w:val="bottom"/>
          </w:tcPr>
          <w:p>
            <w:pPr>
              <w:spacing w:after="0"/>
              <w:rPr>
                <w:sz w:val="17"/>
                <w:szCs w:val="17"/>
                <w:color w:val="auto"/>
              </w:rPr>
            </w:pPr>
          </w:p>
        </w:tc>
      </w:tr>
      <w:tr>
        <w:trPr>
          <w:trHeight w:val="271"/>
        </w:trPr>
        <w:tc>
          <w:tcPr>
            <w:tcW w:w="904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4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December 31</w:t>
            </w:r>
          </w:p>
        </w:tc>
        <w:tc>
          <w:tcPr>
            <w:tcW w:w="720" w:type="dxa"/>
            <w:vAlign w:val="bottom"/>
            <w:tcBorders>
              <w:bottom w:val="single" w:sz="8" w:color="auto"/>
            </w:tcBorders>
          </w:tcPr>
          <w:p>
            <w:pPr>
              <w:spacing w:after="0"/>
              <w:rPr>
                <w:sz w:val="23"/>
                <w:szCs w:val="23"/>
                <w:color w:val="auto"/>
              </w:rPr>
            </w:pPr>
          </w:p>
        </w:tc>
      </w:tr>
      <w:tr>
        <w:trPr>
          <w:trHeight w:val="264"/>
        </w:trPr>
        <w:tc>
          <w:tcPr>
            <w:tcW w:w="90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64"/>
              <w:spacing w:after="0"/>
              <w:rPr>
                <w:sz w:val="20"/>
                <w:szCs w:val="20"/>
                <w:color w:val="auto"/>
              </w:rPr>
            </w:pPr>
            <w:r>
              <w:rPr>
                <w:rFonts w:ascii="Arial" w:cs="Arial" w:eastAsia="Arial" w:hAnsi="Arial"/>
                <w:sz w:val="14"/>
                <w:szCs w:val="14"/>
                <w:b w:val="1"/>
                <w:bCs w:val="1"/>
                <w:color w:val="auto"/>
              </w:rPr>
              <w:t>2016</w:t>
            </w:r>
          </w:p>
        </w:tc>
        <w:tc>
          <w:tcPr>
            <w:tcW w:w="48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322"/>
              <w:spacing w:after="0"/>
              <w:rPr>
                <w:sz w:val="20"/>
                <w:szCs w:val="20"/>
                <w:color w:val="auto"/>
              </w:rPr>
            </w:pPr>
            <w:r>
              <w:rPr>
                <w:rFonts w:ascii="Arial" w:cs="Arial" w:eastAsia="Arial" w:hAnsi="Arial"/>
                <w:sz w:val="14"/>
                <w:szCs w:val="14"/>
                <w:color w:val="auto"/>
                <w:w w:val="96"/>
              </w:rPr>
              <w:t>2015</w:t>
            </w:r>
          </w:p>
        </w:tc>
      </w:tr>
      <w:tr>
        <w:trPr>
          <w:trHeight w:val="257"/>
        </w:trPr>
        <w:tc>
          <w:tcPr>
            <w:tcW w:w="9040" w:type="dxa"/>
            <w:vAlign w:val="bottom"/>
          </w:tcPr>
          <w:p>
            <w:pPr>
              <w:ind w:left="40"/>
              <w:spacing w:after="0"/>
              <w:rPr>
                <w:sz w:val="20"/>
                <w:szCs w:val="20"/>
                <w:color w:val="auto"/>
              </w:rPr>
            </w:pPr>
            <w:r>
              <w:rPr>
                <w:rFonts w:ascii="Arial" w:cs="Arial" w:eastAsia="Arial" w:hAnsi="Arial"/>
                <w:sz w:val="16"/>
                <w:szCs w:val="16"/>
                <w:color w:val="auto"/>
              </w:rPr>
              <w:t>Revenue</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ind w:right="84"/>
              <w:spacing w:after="0"/>
              <w:rPr>
                <w:sz w:val="20"/>
                <w:szCs w:val="20"/>
                <w:color w:val="auto"/>
              </w:rPr>
            </w:pPr>
            <w:r>
              <w:rPr>
                <w:rFonts w:ascii="Arial" w:cs="Arial" w:eastAsia="Arial" w:hAnsi="Arial"/>
                <w:sz w:val="16"/>
                <w:szCs w:val="16"/>
                <w:b w:val="1"/>
                <w:bCs w:val="1"/>
                <w:color w:val="auto"/>
              </w:rPr>
              <w:t>1,681</w:t>
            </w:r>
          </w:p>
        </w:tc>
        <w:tc>
          <w:tcPr>
            <w:tcW w:w="48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22"/>
              <w:spacing w:after="0"/>
              <w:rPr>
                <w:sz w:val="20"/>
                <w:szCs w:val="20"/>
                <w:color w:val="auto"/>
              </w:rPr>
            </w:pPr>
            <w:r>
              <w:rPr>
                <w:rFonts w:ascii="Arial" w:cs="Arial" w:eastAsia="Arial" w:hAnsi="Arial"/>
                <w:sz w:val="16"/>
                <w:szCs w:val="16"/>
                <w:color w:val="auto"/>
              </w:rPr>
              <w:t>178,734</w:t>
            </w:r>
          </w:p>
        </w:tc>
      </w:tr>
      <w:tr>
        <w:trPr>
          <w:trHeight w:val="270"/>
        </w:trPr>
        <w:tc>
          <w:tcPr>
            <w:tcW w:w="9040" w:type="dxa"/>
            <w:vAlign w:val="bottom"/>
          </w:tcPr>
          <w:p>
            <w:pPr>
              <w:ind w:left="40"/>
              <w:spacing w:after="0"/>
              <w:rPr>
                <w:sz w:val="20"/>
                <w:szCs w:val="20"/>
                <w:color w:val="auto"/>
              </w:rPr>
            </w:pPr>
            <w:r>
              <w:rPr>
                <w:rFonts w:ascii="Arial" w:cs="Arial" w:eastAsia="Arial" w:hAnsi="Arial"/>
                <w:sz w:val="16"/>
                <w:szCs w:val="16"/>
                <w:color w:val="auto"/>
              </w:rPr>
              <w:t>Operating loss</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ind w:right="24"/>
              <w:spacing w:after="0"/>
              <w:rPr>
                <w:sz w:val="20"/>
                <w:szCs w:val="20"/>
                <w:color w:val="auto"/>
              </w:rPr>
            </w:pPr>
            <w:r>
              <w:rPr>
                <w:rFonts w:ascii="Arial" w:cs="Arial" w:eastAsia="Arial" w:hAnsi="Arial"/>
                <w:sz w:val="16"/>
                <w:szCs w:val="16"/>
                <w:b w:val="1"/>
                <w:bCs w:val="1"/>
                <w:color w:val="auto"/>
              </w:rPr>
              <w:t>(2,438)</w:t>
            </w:r>
          </w:p>
        </w:tc>
        <w:tc>
          <w:tcPr>
            <w:tcW w:w="48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(38,830)</w:t>
            </w:r>
          </w:p>
        </w:tc>
      </w:tr>
    </w:tbl>
    <w:p>
      <w:pPr>
        <w:spacing w:after="0" w:line="133" w:lineRule="exact"/>
        <w:rPr>
          <w:sz w:val="20"/>
          <w:szCs w:val="20"/>
          <w:color w:val="auto"/>
        </w:rPr>
      </w:pPr>
    </w:p>
    <w:p>
      <w:pPr>
        <w:ind w:right="20"/>
        <w:spacing w:after="0" w:line="234" w:lineRule="auto"/>
        <w:rPr>
          <w:sz w:val="20"/>
          <w:szCs w:val="20"/>
          <w:color w:val="auto"/>
        </w:rPr>
      </w:pPr>
      <w:r>
        <w:rPr>
          <w:rFonts w:ascii="Arial" w:cs="Arial" w:eastAsia="Arial" w:hAnsi="Arial"/>
          <w:sz w:val="18"/>
          <w:szCs w:val="18"/>
          <w:color w:val="auto"/>
        </w:rPr>
        <w:t>In 2016, KHE revenue declined 27% due to the campus sales and closings, and declines in average enrollments at Kaplan University, offset by increased revenues at the domestic professional and other continuing education businesses. KHE operating income improved in 2016 due to reduced losses at the KHE Campuses business and lower restructuring costs, lower marketing expenditures at Kaplan University and improved results at the domestic professional and other continuing education businesses, partially offset by lower enrollment at Kaplan University.</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New higher education student enrollments at Kaplan University declined 22% in 2016 due to lower demand across Kaplan University programs.</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Total students at Kaplan University were 32,167 at December 31, 2016, down 19% from December 31, 2015.</w:t>
      </w: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724" w:right="239" w:bottom="1440" w:gutter="0" w:footer="0" w:header="0"/>
        </w:sectPr>
      </w:pPr>
    </w:p>
    <w:bookmarkStart w:id="45" w:name="page46"/>
    <w:bookmarkEnd w:id="45"/>
    <w:p>
      <w:pPr>
        <w:spacing w:after="0"/>
        <w:rPr>
          <w:sz w:val="20"/>
          <w:szCs w:val="20"/>
          <w:color w:val="auto"/>
        </w:rPr>
      </w:pPr>
      <w:r>
        <w:rPr>
          <w:rFonts w:ascii="Arial" w:cs="Arial" w:eastAsia="Arial" w:hAnsi="Arial"/>
          <w:sz w:val="18"/>
          <w:szCs w:val="18"/>
          <w:color w:val="auto"/>
        </w:rPr>
        <w:t>Kaplan University higher education student enrollments by certificate and degree programs are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9160" w:type="dxa"/>
            <w:vAlign w:val="bottom"/>
          </w:tcPr>
          <w:p>
            <w:pPr>
              <w:spacing w:after="0"/>
              <w:rPr>
                <w:sz w:val="17"/>
                <w:szCs w:val="17"/>
                <w:color w:val="auto"/>
              </w:rPr>
            </w:pPr>
          </w:p>
        </w:tc>
        <w:tc>
          <w:tcPr>
            <w:tcW w:w="2260" w:type="dxa"/>
            <w:vAlign w:val="bottom"/>
            <w:tcBorders>
              <w:bottom w:val="single" w:sz="8" w:color="auto"/>
            </w:tcBorders>
            <w:gridSpan w:val="2"/>
          </w:tcPr>
          <w:p>
            <w:pPr>
              <w:jc w:val="right"/>
              <w:ind w:right="400"/>
              <w:spacing w:after="0"/>
              <w:rPr>
                <w:sz w:val="20"/>
                <w:szCs w:val="20"/>
                <w:color w:val="auto"/>
              </w:rPr>
            </w:pPr>
            <w:r>
              <w:rPr>
                <w:rFonts w:ascii="Arial" w:cs="Arial" w:eastAsia="Arial" w:hAnsi="Arial"/>
                <w:sz w:val="14"/>
                <w:szCs w:val="14"/>
                <w:b w:val="1"/>
                <w:bCs w:val="1"/>
                <w:color w:val="auto"/>
              </w:rPr>
              <w:t>As of December 31</w:t>
            </w:r>
          </w:p>
        </w:tc>
      </w:tr>
      <w:tr>
        <w:trPr>
          <w:trHeight w:val="264"/>
        </w:trPr>
        <w:tc>
          <w:tcPr>
            <w:tcW w:w="91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522"/>
              <w:spacing w:after="0"/>
              <w:rPr>
                <w:sz w:val="20"/>
                <w:szCs w:val="20"/>
                <w:color w:val="auto"/>
              </w:rPr>
            </w:pPr>
            <w:r>
              <w:rPr>
                <w:rFonts w:ascii="Arial" w:cs="Arial" w:eastAsia="Arial" w:hAnsi="Arial"/>
                <w:sz w:val="14"/>
                <w:szCs w:val="14"/>
                <w:b w:val="1"/>
                <w:bCs w:val="1"/>
                <w:color w:val="auto"/>
              </w:rPr>
              <w:t>2016</w:t>
            </w:r>
          </w:p>
        </w:tc>
        <w:tc>
          <w:tcPr>
            <w:tcW w:w="96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color w:val="auto"/>
              </w:rPr>
              <w:t>2015</w:t>
            </w:r>
          </w:p>
        </w:tc>
      </w:tr>
      <w:tr>
        <w:trPr>
          <w:trHeight w:val="257"/>
        </w:trPr>
        <w:tc>
          <w:tcPr>
            <w:tcW w:w="9160" w:type="dxa"/>
            <w:vAlign w:val="bottom"/>
          </w:tcPr>
          <w:p>
            <w:pPr>
              <w:ind w:left="40"/>
              <w:spacing w:after="0"/>
              <w:rPr>
                <w:sz w:val="20"/>
                <w:szCs w:val="20"/>
                <w:color w:val="auto"/>
              </w:rPr>
            </w:pPr>
            <w:r>
              <w:rPr>
                <w:rFonts w:ascii="Arial" w:cs="Arial" w:eastAsia="Arial" w:hAnsi="Arial"/>
                <w:sz w:val="16"/>
                <w:szCs w:val="16"/>
                <w:color w:val="auto"/>
              </w:rPr>
              <w:t>Certificate</w:t>
            </w:r>
          </w:p>
        </w:tc>
        <w:tc>
          <w:tcPr>
            <w:tcW w:w="1300" w:type="dxa"/>
            <w:vAlign w:val="bottom"/>
          </w:tcPr>
          <w:p>
            <w:pPr>
              <w:jc w:val="right"/>
              <w:ind w:right="182"/>
              <w:spacing w:after="0"/>
              <w:rPr>
                <w:sz w:val="20"/>
                <w:szCs w:val="20"/>
                <w:color w:val="auto"/>
              </w:rPr>
            </w:pPr>
            <w:r>
              <w:rPr>
                <w:rFonts w:ascii="Arial" w:cs="Arial" w:eastAsia="Arial" w:hAnsi="Arial"/>
                <w:sz w:val="16"/>
                <w:szCs w:val="16"/>
                <w:b w:val="1"/>
                <w:bCs w:val="1"/>
                <w:color w:val="auto"/>
              </w:rPr>
              <w:t>7.7%</w:t>
            </w:r>
          </w:p>
        </w:tc>
        <w:tc>
          <w:tcPr>
            <w:tcW w:w="960" w:type="dxa"/>
            <w:vAlign w:val="bottom"/>
          </w:tcPr>
          <w:p>
            <w:pPr>
              <w:jc w:val="right"/>
              <w:spacing w:after="0"/>
              <w:rPr>
                <w:sz w:val="20"/>
                <w:szCs w:val="20"/>
                <w:color w:val="auto"/>
              </w:rPr>
            </w:pPr>
            <w:r>
              <w:rPr>
                <w:rFonts w:ascii="Arial" w:cs="Arial" w:eastAsia="Arial" w:hAnsi="Arial"/>
                <w:sz w:val="16"/>
                <w:szCs w:val="16"/>
                <w:color w:val="auto"/>
              </w:rPr>
              <w:t>4.4%</w:t>
            </w:r>
          </w:p>
        </w:tc>
      </w:tr>
      <w:tr>
        <w:trPr>
          <w:trHeight w:val="270"/>
        </w:trPr>
        <w:tc>
          <w:tcPr>
            <w:tcW w:w="9160" w:type="dxa"/>
            <w:vAlign w:val="bottom"/>
          </w:tcPr>
          <w:p>
            <w:pPr>
              <w:ind w:left="40"/>
              <w:spacing w:after="0"/>
              <w:rPr>
                <w:sz w:val="20"/>
                <w:szCs w:val="20"/>
                <w:color w:val="auto"/>
              </w:rPr>
            </w:pPr>
            <w:r>
              <w:rPr>
                <w:rFonts w:ascii="Arial" w:cs="Arial" w:eastAsia="Arial" w:hAnsi="Arial"/>
                <w:sz w:val="16"/>
                <w:szCs w:val="16"/>
                <w:color w:val="auto"/>
              </w:rPr>
              <w:t>Associate’s</w:t>
            </w:r>
          </w:p>
        </w:tc>
        <w:tc>
          <w:tcPr>
            <w:tcW w:w="1300" w:type="dxa"/>
            <w:vAlign w:val="bottom"/>
          </w:tcPr>
          <w:p>
            <w:pPr>
              <w:jc w:val="right"/>
              <w:ind w:right="182"/>
              <w:spacing w:after="0"/>
              <w:rPr>
                <w:sz w:val="20"/>
                <w:szCs w:val="20"/>
                <w:color w:val="auto"/>
              </w:rPr>
            </w:pPr>
            <w:r>
              <w:rPr>
                <w:rFonts w:ascii="Arial" w:cs="Arial" w:eastAsia="Arial" w:hAnsi="Arial"/>
                <w:sz w:val="16"/>
                <w:szCs w:val="16"/>
                <w:b w:val="1"/>
                <w:bCs w:val="1"/>
                <w:color w:val="auto"/>
              </w:rPr>
              <w:t>18.1%</w:t>
            </w:r>
          </w:p>
        </w:tc>
        <w:tc>
          <w:tcPr>
            <w:tcW w:w="960" w:type="dxa"/>
            <w:vAlign w:val="bottom"/>
          </w:tcPr>
          <w:p>
            <w:pPr>
              <w:jc w:val="right"/>
              <w:spacing w:after="0"/>
              <w:rPr>
                <w:sz w:val="20"/>
                <w:szCs w:val="20"/>
                <w:color w:val="auto"/>
              </w:rPr>
            </w:pPr>
            <w:r>
              <w:rPr>
                <w:rFonts w:ascii="Arial" w:cs="Arial" w:eastAsia="Arial" w:hAnsi="Arial"/>
                <w:sz w:val="16"/>
                <w:szCs w:val="16"/>
                <w:color w:val="auto"/>
              </w:rPr>
              <w:t>25.0%</w:t>
            </w:r>
          </w:p>
        </w:tc>
      </w:tr>
      <w:tr>
        <w:trPr>
          <w:trHeight w:val="270"/>
        </w:trPr>
        <w:tc>
          <w:tcPr>
            <w:tcW w:w="9160" w:type="dxa"/>
            <w:vAlign w:val="bottom"/>
          </w:tcPr>
          <w:p>
            <w:pPr>
              <w:ind w:left="40"/>
              <w:spacing w:after="0"/>
              <w:rPr>
                <w:sz w:val="20"/>
                <w:szCs w:val="20"/>
                <w:color w:val="auto"/>
              </w:rPr>
            </w:pPr>
            <w:r>
              <w:rPr>
                <w:rFonts w:ascii="Arial" w:cs="Arial" w:eastAsia="Arial" w:hAnsi="Arial"/>
                <w:sz w:val="16"/>
                <w:szCs w:val="16"/>
                <w:color w:val="auto"/>
              </w:rPr>
              <w:t>Bachelor’s</w:t>
            </w:r>
          </w:p>
        </w:tc>
        <w:tc>
          <w:tcPr>
            <w:tcW w:w="1300" w:type="dxa"/>
            <w:vAlign w:val="bottom"/>
          </w:tcPr>
          <w:p>
            <w:pPr>
              <w:jc w:val="right"/>
              <w:ind w:right="182"/>
              <w:spacing w:after="0"/>
              <w:rPr>
                <w:sz w:val="20"/>
                <w:szCs w:val="20"/>
                <w:color w:val="auto"/>
              </w:rPr>
            </w:pPr>
            <w:r>
              <w:rPr>
                <w:rFonts w:ascii="Arial" w:cs="Arial" w:eastAsia="Arial" w:hAnsi="Arial"/>
                <w:sz w:val="16"/>
                <w:szCs w:val="16"/>
                <w:b w:val="1"/>
                <w:bCs w:val="1"/>
                <w:color w:val="auto"/>
              </w:rPr>
              <w:t>50.9%</w:t>
            </w:r>
          </w:p>
        </w:tc>
        <w:tc>
          <w:tcPr>
            <w:tcW w:w="960" w:type="dxa"/>
            <w:vAlign w:val="bottom"/>
          </w:tcPr>
          <w:p>
            <w:pPr>
              <w:jc w:val="right"/>
              <w:spacing w:after="0"/>
              <w:rPr>
                <w:sz w:val="20"/>
                <w:szCs w:val="20"/>
                <w:color w:val="auto"/>
              </w:rPr>
            </w:pPr>
            <w:r>
              <w:rPr>
                <w:rFonts w:ascii="Arial" w:cs="Arial" w:eastAsia="Arial" w:hAnsi="Arial"/>
                <w:sz w:val="16"/>
                <w:szCs w:val="16"/>
                <w:color w:val="auto"/>
              </w:rPr>
              <w:t>48.4%</w:t>
            </w:r>
          </w:p>
        </w:tc>
      </w:tr>
      <w:tr>
        <w:trPr>
          <w:trHeight w:val="274"/>
        </w:trPr>
        <w:tc>
          <w:tcPr>
            <w:tcW w:w="9160" w:type="dxa"/>
            <w:vAlign w:val="bottom"/>
          </w:tcPr>
          <w:p>
            <w:pPr>
              <w:ind w:left="40"/>
              <w:spacing w:after="0"/>
              <w:rPr>
                <w:sz w:val="20"/>
                <w:szCs w:val="20"/>
                <w:color w:val="auto"/>
              </w:rPr>
            </w:pPr>
            <w:r>
              <w:rPr>
                <w:rFonts w:ascii="Arial" w:cs="Arial" w:eastAsia="Arial" w:hAnsi="Arial"/>
                <w:sz w:val="16"/>
                <w:szCs w:val="16"/>
                <w:color w:val="auto"/>
              </w:rPr>
              <w:t>Master’s</w:t>
            </w:r>
          </w:p>
        </w:tc>
        <w:tc>
          <w:tcPr>
            <w:tcW w:w="1300" w:type="dxa"/>
            <w:vAlign w:val="bottom"/>
            <w:tcBorders>
              <w:bottom w:val="single" w:sz="8" w:color="auto"/>
            </w:tcBorders>
          </w:tcPr>
          <w:p>
            <w:pPr>
              <w:jc w:val="right"/>
              <w:ind w:right="182"/>
              <w:spacing w:after="0"/>
              <w:rPr>
                <w:sz w:val="20"/>
                <w:szCs w:val="20"/>
                <w:color w:val="auto"/>
              </w:rPr>
            </w:pPr>
            <w:r>
              <w:rPr>
                <w:rFonts w:ascii="Arial" w:cs="Arial" w:eastAsia="Arial" w:hAnsi="Arial"/>
                <w:sz w:val="16"/>
                <w:szCs w:val="16"/>
                <w:b w:val="1"/>
                <w:bCs w:val="1"/>
                <w:color w:val="auto"/>
              </w:rPr>
              <w:t>23.3%</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22.2%</w:t>
            </w:r>
          </w:p>
        </w:tc>
      </w:tr>
      <w:tr>
        <w:trPr>
          <w:trHeight w:val="264"/>
        </w:trPr>
        <w:tc>
          <w:tcPr>
            <w:tcW w:w="9160" w:type="dxa"/>
            <w:vAlign w:val="bottom"/>
          </w:tcPr>
          <w:p>
            <w:pPr>
              <w:spacing w:after="0"/>
              <w:rPr>
                <w:sz w:val="22"/>
                <w:szCs w:val="22"/>
                <w:color w:val="auto"/>
              </w:rPr>
            </w:pPr>
          </w:p>
        </w:tc>
        <w:tc>
          <w:tcPr>
            <w:tcW w:w="1300" w:type="dxa"/>
            <w:vAlign w:val="bottom"/>
            <w:tcBorders>
              <w:bottom w:val="single" w:sz="8" w:color="auto"/>
            </w:tcBorders>
          </w:tcPr>
          <w:p>
            <w:pPr>
              <w:jc w:val="right"/>
              <w:ind w:right="182"/>
              <w:spacing w:after="0"/>
              <w:rPr>
                <w:sz w:val="20"/>
                <w:szCs w:val="20"/>
                <w:color w:val="auto"/>
              </w:rPr>
            </w:pPr>
            <w:r>
              <w:rPr>
                <w:rFonts w:ascii="Arial" w:cs="Arial" w:eastAsia="Arial" w:hAnsi="Arial"/>
                <w:sz w:val="16"/>
                <w:szCs w:val="16"/>
                <w:b w:val="1"/>
                <w:bCs w:val="1"/>
                <w:color w:val="auto"/>
              </w:rPr>
              <w:t>100.0%</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w:t>
            </w:r>
          </w:p>
        </w:tc>
      </w:tr>
      <w:tr>
        <w:trPr>
          <w:trHeight w:val="20"/>
        </w:trPr>
        <w:tc>
          <w:tcPr>
            <w:tcW w:w="916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26" w:lineRule="exact"/>
        <w:rPr>
          <w:sz w:val="20"/>
          <w:szCs w:val="20"/>
          <w:color w:val="auto"/>
        </w:rPr>
      </w:pPr>
    </w:p>
    <w:p>
      <w:pPr>
        <w:ind w:right="80"/>
        <w:spacing w:after="0" w:line="231" w:lineRule="auto"/>
        <w:rPr>
          <w:sz w:val="20"/>
          <w:szCs w:val="20"/>
          <w:color w:val="auto"/>
        </w:rPr>
      </w:pPr>
      <w:r>
        <w:rPr>
          <w:rFonts w:ascii="Arial" w:cs="Arial" w:eastAsia="Arial" w:hAnsi="Arial"/>
          <w:sz w:val="18"/>
          <w:szCs w:val="18"/>
          <w:color w:val="auto"/>
        </w:rPr>
        <w:t>Kaplan Test Preparation (KTP) includes Kaplan’s standardized test preparation and new economy skills training programs. KTP revenue declined 5% in 2016. Enrollments, excluding the new economy skills training offerings, were down 3% in 2016. In comparison to 2015, KTP operating results declined in 2016 due to investment in new economy skills training programs and lower revenues from a change in the enrollment mix to lower priced programs. Operating losses for the new economy skills training programs were $13.0 million and $8.5 million for 2016 and 2015, respectively.</w:t>
      </w:r>
    </w:p>
    <w:p>
      <w:pPr>
        <w:spacing w:after="0" w:line="111" w:lineRule="exact"/>
        <w:rPr>
          <w:sz w:val="20"/>
          <w:szCs w:val="20"/>
          <w:color w:val="auto"/>
        </w:rPr>
      </w:pPr>
    </w:p>
    <w:p>
      <w:pPr>
        <w:ind w:right="280"/>
        <w:spacing w:after="0" w:line="234" w:lineRule="auto"/>
        <w:rPr>
          <w:sz w:val="20"/>
          <w:szCs w:val="20"/>
          <w:color w:val="auto"/>
        </w:rPr>
      </w:pPr>
      <w:r>
        <w:rPr>
          <w:rFonts w:ascii="Arial" w:cs="Arial" w:eastAsia="Arial" w:hAnsi="Arial"/>
          <w:sz w:val="18"/>
          <w:szCs w:val="18"/>
          <w:color w:val="auto"/>
        </w:rPr>
        <w:t>Kaplan International includes English-language programs and postsecondary education and professional training businesses largely outside the United States. In the first quarter of 2016, Kaplan acquired Mander Portman Woodward, a leading provider of high-quality, bespoke education to UK and international students in London, Cambridge and Birmingham; and Osborne Books, an education publisher of learning resources for accounting qualifications in the UK.</w:t>
      </w:r>
    </w:p>
    <w:p>
      <w:pPr>
        <w:spacing w:after="0" w:line="125" w:lineRule="exact"/>
        <w:rPr>
          <w:sz w:val="20"/>
          <w:szCs w:val="20"/>
          <w:color w:val="auto"/>
        </w:rPr>
      </w:pPr>
    </w:p>
    <w:p>
      <w:pPr>
        <w:jc w:val="both"/>
        <w:ind w:right="120"/>
        <w:spacing w:after="0" w:line="271" w:lineRule="auto"/>
        <w:rPr>
          <w:sz w:val="20"/>
          <w:szCs w:val="20"/>
          <w:color w:val="auto"/>
        </w:rPr>
      </w:pPr>
      <w:r>
        <w:rPr>
          <w:rFonts w:ascii="Arial" w:cs="Arial" w:eastAsia="Arial" w:hAnsi="Arial"/>
          <w:sz w:val="18"/>
          <w:szCs w:val="18"/>
          <w:color w:val="auto"/>
        </w:rPr>
        <w:t>Kaplan International revenue declined 10% in 2016, of which 6% is due to currency fluctuations. The remaining decrease is due to enrollment declines in English-language and Pathways programs. Revenue growth from the 2016 acquisitions was largely offset by revenue declines due to prior year dispositions.</w:t>
      </w:r>
    </w:p>
    <w:p>
      <w:pPr>
        <w:spacing w:after="0" w:line="150" w:lineRule="exact"/>
        <w:rPr>
          <w:sz w:val="20"/>
          <w:szCs w:val="20"/>
          <w:color w:val="auto"/>
        </w:rPr>
      </w:pPr>
    </w:p>
    <w:p>
      <w:pPr>
        <w:ind w:right="440"/>
        <w:spacing w:after="0" w:line="234" w:lineRule="auto"/>
        <w:rPr>
          <w:sz w:val="20"/>
          <w:szCs w:val="20"/>
          <w:color w:val="auto"/>
        </w:rPr>
      </w:pPr>
      <w:r>
        <w:rPr>
          <w:rFonts w:ascii="Arial" w:cs="Arial" w:eastAsia="Arial" w:hAnsi="Arial"/>
          <w:sz w:val="18"/>
          <w:szCs w:val="18"/>
          <w:color w:val="auto"/>
        </w:rPr>
        <w:t>Kaplan International operating income decreased 10% in 2016, due largely to the reduced English-language and Pathways results and increased restructuring costs, partially offset by operating income from newly acquired businesses. The impact of currency fluctuations on comparative operating results was insignificant for 2016</w:t>
      </w: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Restructuring costs at Kaplan International totaled $4.7 million and $1.3 million in 2016 and 2015, respectively.</w:t>
      </w:r>
    </w:p>
    <w:p>
      <w:pPr>
        <w:spacing w:after="0" w:line="110" w:lineRule="exact"/>
        <w:rPr>
          <w:sz w:val="20"/>
          <w:szCs w:val="20"/>
          <w:color w:val="auto"/>
        </w:rPr>
      </w:pPr>
    </w:p>
    <w:p>
      <w:pPr>
        <w:ind w:right="80"/>
        <w:spacing w:after="0" w:line="234" w:lineRule="auto"/>
        <w:rPr>
          <w:sz w:val="20"/>
          <w:szCs w:val="20"/>
          <w:color w:val="auto"/>
        </w:rPr>
      </w:pPr>
      <w:r>
        <w:rPr>
          <w:rFonts w:ascii="Arial" w:cs="Arial" w:eastAsia="Arial" w:hAnsi="Arial"/>
          <w:sz w:val="18"/>
          <w:szCs w:val="18"/>
          <w:color w:val="auto"/>
        </w:rPr>
        <w:t>Kaplan corporate and other represents unallocated expenses of Kaplan, Inc.’s corporate office, other minor businesses and certain shared activities. In 2015, Kaplan corporate recorded $29.4 million in restructuring costs. In 2016, Kaplan corporate expenses also declined due to the benefits from restructuring activities and a reduction in incentive compensation expense. Also, 2015 spending for the replacement of its human resources system did not recur in 2016.</w:t>
      </w:r>
    </w:p>
    <w:p>
      <w:pPr>
        <w:spacing w:after="0" w:line="111" w:lineRule="exact"/>
        <w:rPr>
          <w:sz w:val="20"/>
          <w:szCs w:val="20"/>
          <w:color w:val="auto"/>
        </w:rPr>
      </w:pPr>
    </w:p>
    <w:p>
      <w:pPr>
        <w:ind w:right="40"/>
        <w:spacing w:after="0"/>
        <w:rPr>
          <w:sz w:val="20"/>
          <w:szCs w:val="20"/>
          <w:color w:val="auto"/>
        </w:rPr>
      </w:pPr>
      <w:r>
        <w:rPr>
          <w:rFonts w:ascii="Arial" w:cs="Arial" w:eastAsia="Arial" w:hAnsi="Arial"/>
          <w:sz w:val="18"/>
          <w:szCs w:val="18"/>
          <w:color w:val="auto"/>
        </w:rPr>
        <w:t>In addition to the impairment charges of $255.5 million related to KHE recorded in the second and third quarters of 2015, Kaplan recorded an additional $ 1.4 million in noncash intangible and other long-lived assets impairment charges in the fourth quarter of 2015, related to businesses at KTP and Kaplan International.</w:t>
      </w:r>
    </w:p>
    <w:p>
      <w:pPr>
        <w:spacing w:after="0" w:line="108" w:lineRule="exact"/>
        <w:rPr>
          <w:sz w:val="20"/>
          <w:szCs w:val="20"/>
          <w:color w:val="auto"/>
        </w:rPr>
      </w:pPr>
    </w:p>
    <w:p>
      <w:pPr>
        <w:ind w:right="300"/>
        <w:spacing w:after="0" w:line="260" w:lineRule="auto"/>
        <w:rPr>
          <w:sz w:val="20"/>
          <w:szCs w:val="20"/>
          <w:color w:val="auto"/>
        </w:rPr>
      </w:pPr>
      <w:r>
        <w:rPr>
          <w:rFonts w:ascii="Arial" w:cs="Arial" w:eastAsia="Arial" w:hAnsi="Arial"/>
          <w:sz w:val="18"/>
          <w:szCs w:val="18"/>
          <w:color w:val="auto"/>
        </w:rPr>
        <w:t>In the first quarter of 2016, Kaplan sold Colloquy, which was part of Kaplan corporate and other, for a gain of $18.9 million that is included in other non-operating income.</w:t>
      </w:r>
    </w:p>
    <w:p>
      <w:pPr>
        <w:spacing w:after="0" w:line="92" w:lineRule="exact"/>
        <w:rPr>
          <w:sz w:val="20"/>
          <w:szCs w:val="20"/>
          <w:color w:val="auto"/>
        </w:rPr>
      </w:pPr>
    </w:p>
    <w:p>
      <w:pPr>
        <w:ind w:right="100"/>
        <w:spacing w:after="0"/>
        <w:rPr>
          <w:sz w:val="20"/>
          <w:szCs w:val="20"/>
          <w:color w:val="auto"/>
        </w:rPr>
      </w:pPr>
      <w:r>
        <w:rPr>
          <w:rFonts w:ascii="Arial" w:cs="Arial" w:eastAsia="Arial" w:hAnsi="Arial"/>
          <w:sz w:val="18"/>
          <w:szCs w:val="18"/>
          <w:color w:val="auto"/>
        </w:rPr>
        <w:t>In addition to the sale of the KHE Campuses business in 2015, Kaplan also sold a small business that was part of KHE, and two businesses that were part of Kaplan International. The net loss on the sale of these businesses totaled $24.9 million and is included in other non-operating expense.</w:t>
      </w:r>
    </w:p>
    <w:p>
      <w:pPr>
        <w:spacing w:after="0" w:line="106" w:lineRule="exact"/>
        <w:rPr>
          <w:sz w:val="20"/>
          <w:szCs w:val="20"/>
          <w:color w:val="auto"/>
        </w:rPr>
      </w:pPr>
    </w:p>
    <w:p>
      <w:pPr>
        <w:ind w:right="60"/>
        <w:spacing w:after="0" w:line="232" w:lineRule="auto"/>
        <w:rPr>
          <w:sz w:val="20"/>
          <w:szCs w:val="20"/>
          <w:color w:val="auto"/>
        </w:rPr>
      </w:pPr>
      <w:r>
        <w:rPr>
          <w:rFonts w:ascii="Arial" w:cs="Arial" w:eastAsia="Arial" w:hAnsi="Arial"/>
          <w:sz w:val="18"/>
          <w:szCs w:val="18"/>
          <w:b w:val="1"/>
          <w:bCs w:val="1"/>
          <w:color w:val="auto"/>
        </w:rPr>
        <w:t xml:space="preserve">Television Broadcasting Division. </w:t>
      </w:r>
      <w:r>
        <w:rPr>
          <w:rFonts w:ascii="Arial" w:cs="Arial" w:eastAsia="Arial" w:hAnsi="Arial"/>
          <w:sz w:val="18"/>
          <w:szCs w:val="18"/>
          <w:color w:val="auto"/>
        </w:rPr>
        <w:t>Revenue at the television broadcasting division increased 14% to $409.7 million, from $ 359.2 million in</w:t>
      </w:r>
      <w:r>
        <w:rPr>
          <w:rFonts w:ascii="Arial" w:cs="Arial" w:eastAsia="Arial" w:hAnsi="Arial"/>
          <w:sz w:val="18"/>
          <w:szCs w:val="18"/>
          <w:b w:val="1"/>
          <w:bCs w:val="1"/>
          <w:color w:val="auto"/>
        </w:rPr>
        <w:t xml:space="preserve"> </w:t>
      </w:r>
      <w:r>
        <w:rPr>
          <w:rFonts w:ascii="Arial" w:cs="Arial" w:eastAsia="Arial" w:hAnsi="Arial"/>
          <w:sz w:val="18"/>
          <w:szCs w:val="18"/>
          <w:color w:val="auto"/>
        </w:rPr>
        <w:t>2015; operating income for 2016 was up 22% to $200.5 million, from $164.9 million in the same period of 2015. The revenue increase is due to a $23.9 million increase in political advertising revenue, $18.5 million more in retransmission revenues, and $13.1 million in incremental summer Olympics-related advertising revenue at the Company's NBC affiliates. The increase in operating income is due to the revenue increase, offset by higher spending on digital initiatives and increased network fees.</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color w:val="auto"/>
        </w:rPr>
        <w:t>Operating margin at the television broadcasting division was 49% in 2016 and 46% in 2015.</w:t>
      </w:r>
    </w:p>
    <w:p>
      <w:pPr>
        <w:spacing w:after="0" w:line="144" w:lineRule="exact"/>
        <w:rPr>
          <w:sz w:val="20"/>
          <w:szCs w:val="20"/>
          <w:color w:val="auto"/>
        </w:rPr>
      </w:pPr>
    </w:p>
    <w:p>
      <w:pPr>
        <w:ind w:right="620"/>
        <w:spacing w:after="0"/>
        <w:rPr>
          <w:sz w:val="20"/>
          <w:szCs w:val="20"/>
          <w:color w:val="auto"/>
        </w:rPr>
      </w:pPr>
      <w:r>
        <w:rPr>
          <w:rFonts w:ascii="Arial" w:cs="Arial" w:eastAsia="Arial" w:hAnsi="Arial"/>
          <w:sz w:val="18"/>
          <w:szCs w:val="18"/>
          <w:color w:val="auto"/>
        </w:rPr>
        <w:t>Competitive market position remained strong for the Company’s television stations. For target demographic viewers age 25 to 54 for the key 6am, 6pm and late night newscasts, KSAT in San Antonio, WJXT in Jacksonville and KRPC in Houston ranked number one in the November 2016 ratings period; WDIV in Detroit ranked second; and WKMG in Orlando tied for second.</w:t>
      </w:r>
    </w:p>
    <w:p>
      <w:pPr>
        <w:spacing w:after="0" w:line="108" w:lineRule="exact"/>
        <w:rPr>
          <w:sz w:val="20"/>
          <w:szCs w:val="20"/>
          <w:color w:val="auto"/>
        </w:rPr>
      </w:pPr>
    </w:p>
    <w:p>
      <w:pPr>
        <w:ind w:right="40"/>
        <w:spacing w:after="0"/>
        <w:rPr>
          <w:sz w:val="20"/>
          <w:szCs w:val="20"/>
          <w:color w:val="auto"/>
        </w:rPr>
      </w:pPr>
      <w:r>
        <w:rPr>
          <w:rFonts w:ascii="Arial" w:cs="Arial" w:eastAsia="Arial" w:hAnsi="Arial"/>
          <w:sz w:val="18"/>
          <w:szCs w:val="18"/>
          <w:color w:val="auto"/>
        </w:rPr>
        <w:t>In May 2016, the Company announced that it had reached an agreement with Nexstar Broadcasting Group, Inc. and Media General, Inc. to acquire WCWJ, a CW affiliate television station in Jacksonville, FL and WSLS, an NBC affiliate television station in Roanoke, VA for $60 million in cash and the assumption of certain pension obligations.</w:t>
      </w:r>
    </w:p>
    <w:p>
      <w:pPr>
        <w:sectPr>
          <w:pgSz w:w="11900" w:h="16838" w:orient="portrait"/>
          <w:cols w:equalWidth="0" w:num="1">
            <w:col w:w="11420"/>
          </w:cols>
          <w:pgMar w:left="240" w:top="886" w:right="239" w:bottom="1440" w:gutter="0" w:footer="0" w:header="0"/>
        </w:sect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44</w:t>
      </w:r>
    </w:p>
    <w:p>
      <w:pPr>
        <w:sectPr>
          <w:pgSz w:w="11900" w:h="16838" w:orient="portrait"/>
          <w:cols w:equalWidth="0" w:num="1">
            <w:col w:w="11420"/>
          </w:cols>
          <w:pgMar w:left="240" w:top="886" w:right="239" w:bottom="1440" w:gutter="0" w:footer="0" w:header="0"/>
          <w:type w:val="continuous"/>
        </w:sectPr>
      </w:pPr>
    </w:p>
    <w:bookmarkStart w:id="46" w:name="page47"/>
    <w:bookmarkEnd w:id="46"/>
    <w:p>
      <w:pPr>
        <w:ind w:right="420"/>
        <w:spacing w:after="0" w:line="260" w:lineRule="auto"/>
        <w:rPr>
          <w:sz w:val="20"/>
          <w:szCs w:val="20"/>
          <w:color w:val="auto"/>
        </w:rPr>
      </w:pPr>
      <w:r>
        <w:rPr>
          <w:rFonts w:ascii="Arial" w:cs="Arial" w:eastAsia="Arial" w:hAnsi="Arial"/>
          <w:sz w:val="18"/>
          <w:szCs w:val="18"/>
          <w:color w:val="auto"/>
        </w:rPr>
        <w:t>The Company will continue to operate both stations under their current network affiliations. This transaction was completed on January 17, 2017.</w:t>
      </w:r>
    </w:p>
    <w:p>
      <w:pPr>
        <w:spacing w:after="0" w:line="92" w:lineRule="exact"/>
        <w:rPr>
          <w:sz w:val="20"/>
          <w:szCs w:val="20"/>
          <w:color w:val="auto"/>
        </w:rPr>
      </w:pPr>
    </w:p>
    <w:p>
      <w:pPr>
        <w:ind w:right="680"/>
        <w:spacing w:after="0" w:line="260" w:lineRule="auto"/>
        <w:rPr>
          <w:sz w:val="20"/>
          <w:szCs w:val="20"/>
          <w:color w:val="auto"/>
        </w:rPr>
      </w:pPr>
      <w:r>
        <w:rPr>
          <w:rFonts w:ascii="Arial" w:cs="Arial" w:eastAsia="Arial" w:hAnsi="Arial"/>
          <w:sz w:val="18"/>
          <w:szCs w:val="18"/>
          <w:color w:val="auto"/>
        </w:rPr>
        <w:t>The Company's NBC affiliates in Houston and Detroit are operating under a new contract with NBC effective January 1, 2017. The new contract will result in a significant increase in network fees in 2017, compared to 2016.</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Other Businesses. </w:t>
      </w:r>
      <w:r>
        <w:rPr>
          <w:rFonts w:ascii="Arial" w:cs="Arial" w:eastAsia="Arial" w:hAnsi="Arial"/>
          <w:sz w:val="18"/>
          <w:szCs w:val="18"/>
          <w:color w:val="auto"/>
        </w:rPr>
        <w:t>A summary of Other Businesses' operating results for 2016 compared to 2015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160" w:type="dxa"/>
            <w:vAlign w:val="bottom"/>
            <w:tcBorders>
              <w:bottom w:val="single" w:sz="8" w:color="auto"/>
            </w:tcBorders>
            <w:gridSpan w:val="3"/>
          </w:tcPr>
          <w:p>
            <w:pPr>
              <w:jc w:val="right"/>
              <w:ind w:right="239"/>
              <w:spacing w:after="0"/>
              <w:rPr>
                <w:sz w:val="20"/>
                <w:szCs w:val="20"/>
                <w:color w:val="auto"/>
              </w:rPr>
            </w:pPr>
            <w:r>
              <w:rPr>
                <w:rFonts w:ascii="Arial" w:cs="Arial" w:eastAsia="Arial" w:hAnsi="Arial"/>
                <w:sz w:val="14"/>
                <w:szCs w:val="14"/>
                <w:b w:val="1"/>
                <w:bCs w:val="1"/>
                <w:color w:val="auto"/>
              </w:rPr>
              <w:t>Year Ended December 31</w:t>
            </w:r>
          </w:p>
        </w:tc>
        <w:tc>
          <w:tcPr>
            <w:tcW w:w="900" w:type="dxa"/>
            <w:vAlign w:val="bottom"/>
          </w:tcPr>
          <w:p>
            <w:pPr>
              <w:jc w:val="right"/>
              <w:ind w:right="240"/>
              <w:spacing w:after="0"/>
              <w:rPr>
                <w:sz w:val="20"/>
                <w:szCs w:val="20"/>
                <w:color w:val="auto"/>
              </w:rPr>
            </w:pPr>
            <w:r>
              <w:rPr>
                <w:rFonts w:ascii="Arial" w:cs="Arial" w:eastAsia="Arial" w:hAnsi="Arial"/>
                <w:sz w:val="14"/>
                <w:szCs w:val="14"/>
                <w:color w:val="auto"/>
              </w:rPr>
              <w:t>%</w:t>
            </w:r>
          </w:p>
        </w:tc>
      </w:tr>
      <w:tr>
        <w:trPr>
          <w:trHeight w:val="264"/>
        </w:trPr>
        <w:tc>
          <w:tcPr>
            <w:tcW w:w="81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2016</w:t>
            </w:r>
          </w:p>
        </w:tc>
        <w:tc>
          <w:tcPr>
            <w:tcW w:w="3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color w:val="auto"/>
              </w:rPr>
              <w:t>2015</w:t>
            </w:r>
          </w:p>
        </w:tc>
        <w:tc>
          <w:tcPr>
            <w:tcW w:w="900" w:type="dxa"/>
            <w:vAlign w:val="bottom"/>
            <w:tcBorders>
              <w:bottom w:val="single" w:sz="8" w:color="auto"/>
            </w:tcBorders>
          </w:tcPr>
          <w:p>
            <w:pPr>
              <w:jc w:val="right"/>
              <w:ind w:right="60"/>
              <w:spacing w:after="0"/>
              <w:rPr>
                <w:sz w:val="20"/>
                <w:szCs w:val="20"/>
                <w:color w:val="auto"/>
              </w:rPr>
            </w:pPr>
            <w:r>
              <w:rPr>
                <w:rFonts w:ascii="Arial" w:cs="Arial" w:eastAsia="Arial" w:hAnsi="Arial"/>
                <w:sz w:val="14"/>
                <w:szCs w:val="14"/>
                <w:color w:val="auto"/>
              </w:rPr>
              <w:t>Change</w:t>
            </w:r>
          </w:p>
        </w:tc>
      </w:tr>
      <w:tr>
        <w:trPr>
          <w:trHeight w:val="257"/>
        </w:trPr>
        <w:tc>
          <w:tcPr>
            <w:tcW w:w="8120" w:type="dxa"/>
            <w:vAlign w:val="bottom"/>
          </w:tcPr>
          <w:p>
            <w:pPr>
              <w:ind w:left="40"/>
              <w:spacing w:after="0"/>
              <w:rPr>
                <w:sz w:val="20"/>
                <w:szCs w:val="20"/>
                <w:color w:val="auto"/>
              </w:rPr>
            </w:pPr>
            <w:r>
              <w:rPr>
                <w:rFonts w:ascii="Arial" w:cs="Arial" w:eastAsia="Arial" w:hAnsi="Arial"/>
                <w:sz w:val="16"/>
                <w:szCs w:val="16"/>
                <w:b w:val="1"/>
                <w:bCs w:val="1"/>
                <w:color w:val="auto"/>
              </w:rPr>
              <w:t>Operating Revenues</w:t>
            </w:r>
          </w:p>
        </w:tc>
        <w:tc>
          <w:tcPr>
            <w:tcW w:w="2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70"/>
        </w:trPr>
        <w:tc>
          <w:tcPr>
            <w:tcW w:w="8120" w:type="dxa"/>
            <w:vAlign w:val="bottom"/>
          </w:tcPr>
          <w:p>
            <w:pPr>
              <w:ind w:left="180"/>
              <w:spacing w:after="0"/>
              <w:rPr>
                <w:sz w:val="20"/>
                <w:szCs w:val="20"/>
                <w:color w:val="auto"/>
              </w:rPr>
            </w:pPr>
            <w:r>
              <w:rPr>
                <w:rFonts w:ascii="Arial" w:cs="Arial" w:eastAsia="Arial" w:hAnsi="Arial"/>
                <w:sz w:val="16"/>
                <w:szCs w:val="16"/>
                <w:color w:val="auto"/>
              </w:rPr>
              <w:t>Manufacturing</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241,604</w:t>
            </w: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92,255</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70"/>
        </w:trPr>
        <w:tc>
          <w:tcPr>
            <w:tcW w:w="8120" w:type="dxa"/>
            <w:vAlign w:val="bottom"/>
          </w:tcPr>
          <w:p>
            <w:pPr>
              <w:ind w:left="180"/>
              <w:spacing w:after="0"/>
              <w:rPr>
                <w:sz w:val="20"/>
                <w:szCs w:val="20"/>
                <w:color w:val="auto"/>
              </w:rPr>
            </w:pPr>
            <w:r>
              <w:rPr>
                <w:rFonts w:ascii="Arial" w:cs="Arial" w:eastAsia="Arial" w:hAnsi="Arial"/>
                <w:sz w:val="16"/>
                <w:szCs w:val="16"/>
                <w:color w:val="auto"/>
              </w:rPr>
              <w:t>Healthcare</w:t>
            </w:r>
          </w:p>
        </w:tc>
        <w:tc>
          <w:tcPr>
            <w:tcW w:w="24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146,962</w:t>
            </w:r>
          </w:p>
        </w:tc>
        <w:tc>
          <w:tcPr>
            <w:tcW w:w="3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135,550</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8</w:t>
            </w:r>
          </w:p>
        </w:tc>
      </w:tr>
      <w:tr>
        <w:trPr>
          <w:trHeight w:val="270"/>
        </w:trPr>
        <w:tc>
          <w:tcPr>
            <w:tcW w:w="8120" w:type="dxa"/>
            <w:vAlign w:val="bottom"/>
          </w:tcPr>
          <w:p>
            <w:pPr>
              <w:ind w:left="180"/>
              <w:spacing w:after="0"/>
              <w:rPr>
                <w:sz w:val="20"/>
                <w:szCs w:val="20"/>
                <w:color w:val="auto"/>
              </w:rPr>
            </w:pPr>
            <w:r>
              <w:rPr>
                <w:rFonts w:ascii="Arial" w:cs="Arial" w:eastAsia="Arial" w:hAnsi="Arial"/>
                <w:sz w:val="16"/>
                <w:szCs w:val="16"/>
                <w:color w:val="auto"/>
              </w:rPr>
              <w:t>SocialCode</w:t>
            </w:r>
          </w:p>
        </w:tc>
        <w:tc>
          <w:tcPr>
            <w:tcW w:w="24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58,851</w:t>
            </w:r>
          </w:p>
        </w:tc>
        <w:tc>
          <w:tcPr>
            <w:tcW w:w="3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45,829</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28</w:t>
            </w:r>
          </w:p>
        </w:tc>
      </w:tr>
      <w:tr>
        <w:trPr>
          <w:trHeight w:val="274"/>
        </w:trPr>
        <w:tc>
          <w:tcPr>
            <w:tcW w:w="8120" w:type="dxa"/>
            <w:vAlign w:val="bottom"/>
          </w:tcPr>
          <w:p>
            <w:pPr>
              <w:ind w:left="180"/>
              <w:spacing w:after="0"/>
              <w:rPr>
                <w:sz w:val="20"/>
                <w:szCs w:val="20"/>
                <w:color w:val="auto"/>
              </w:rPr>
            </w:pPr>
            <w:r>
              <w:rPr>
                <w:rFonts w:ascii="Arial" w:cs="Arial" w:eastAsia="Arial" w:hAnsi="Arial"/>
                <w:sz w:val="16"/>
                <w:szCs w:val="16"/>
                <w:color w:val="auto"/>
              </w:rPr>
              <w:t>Other</w:t>
            </w:r>
          </w:p>
        </w:tc>
        <w:tc>
          <w:tcPr>
            <w:tcW w:w="24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26,433</w:t>
            </w:r>
          </w:p>
        </w:tc>
        <w:tc>
          <w:tcPr>
            <w:tcW w:w="34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25,883</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2</w:t>
            </w:r>
          </w:p>
        </w:tc>
      </w:tr>
      <w:tr>
        <w:trPr>
          <w:trHeight w:val="261"/>
        </w:trPr>
        <w:tc>
          <w:tcPr>
            <w:tcW w:w="8120" w:type="dxa"/>
            <w:vAlign w:val="bottom"/>
          </w:tcPr>
          <w:p>
            <w:pPr>
              <w:spacing w:after="0"/>
              <w:rPr>
                <w:sz w:val="22"/>
                <w:szCs w:val="22"/>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473,850</w:t>
            </w:r>
          </w:p>
        </w:tc>
        <w:tc>
          <w:tcPr>
            <w:tcW w:w="3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299,517</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58</w:t>
            </w:r>
          </w:p>
        </w:tc>
      </w:tr>
      <w:tr>
        <w:trPr>
          <w:trHeight w:val="263"/>
        </w:trPr>
        <w:tc>
          <w:tcPr>
            <w:tcW w:w="8120" w:type="dxa"/>
            <w:vAlign w:val="bottom"/>
          </w:tcPr>
          <w:p>
            <w:pPr>
              <w:ind w:left="40"/>
              <w:spacing w:after="0"/>
              <w:rPr>
                <w:sz w:val="20"/>
                <w:szCs w:val="20"/>
                <w:color w:val="auto"/>
              </w:rPr>
            </w:pPr>
            <w:r>
              <w:rPr>
                <w:rFonts w:ascii="Arial" w:cs="Arial" w:eastAsia="Arial" w:hAnsi="Arial"/>
                <w:sz w:val="16"/>
                <w:szCs w:val="16"/>
                <w:b w:val="1"/>
                <w:bCs w:val="1"/>
                <w:color w:val="auto"/>
              </w:rPr>
              <w:t>Operating Expenses</w:t>
            </w:r>
          </w:p>
        </w:tc>
        <w:tc>
          <w:tcPr>
            <w:tcW w:w="2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70"/>
        </w:trPr>
        <w:tc>
          <w:tcPr>
            <w:tcW w:w="8120" w:type="dxa"/>
            <w:vAlign w:val="bottom"/>
          </w:tcPr>
          <w:p>
            <w:pPr>
              <w:ind w:left="180"/>
              <w:spacing w:after="0"/>
              <w:rPr>
                <w:sz w:val="20"/>
                <w:szCs w:val="20"/>
                <w:color w:val="auto"/>
              </w:rPr>
            </w:pPr>
            <w:r>
              <w:rPr>
                <w:rFonts w:ascii="Arial" w:cs="Arial" w:eastAsia="Arial" w:hAnsi="Arial"/>
                <w:sz w:val="16"/>
                <w:szCs w:val="16"/>
                <w:color w:val="auto"/>
              </w:rPr>
              <w:t>Manufacturing</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228,887</w:t>
            </w: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85,839</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70"/>
        </w:trPr>
        <w:tc>
          <w:tcPr>
            <w:tcW w:w="8120" w:type="dxa"/>
            <w:vAlign w:val="bottom"/>
          </w:tcPr>
          <w:p>
            <w:pPr>
              <w:ind w:left="180"/>
              <w:spacing w:after="0"/>
              <w:rPr>
                <w:sz w:val="20"/>
                <w:szCs w:val="20"/>
                <w:color w:val="auto"/>
              </w:rPr>
            </w:pPr>
            <w:r>
              <w:rPr>
                <w:rFonts w:ascii="Arial" w:cs="Arial" w:eastAsia="Arial" w:hAnsi="Arial"/>
                <w:sz w:val="16"/>
                <w:szCs w:val="16"/>
                <w:color w:val="auto"/>
              </w:rPr>
              <w:t>Healthcare</w:t>
            </w:r>
          </w:p>
        </w:tc>
        <w:tc>
          <w:tcPr>
            <w:tcW w:w="24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144,163</w:t>
            </w:r>
          </w:p>
        </w:tc>
        <w:tc>
          <w:tcPr>
            <w:tcW w:w="3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129,317</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11</w:t>
            </w:r>
          </w:p>
        </w:tc>
      </w:tr>
      <w:tr>
        <w:trPr>
          <w:trHeight w:val="270"/>
        </w:trPr>
        <w:tc>
          <w:tcPr>
            <w:tcW w:w="8120" w:type="dxa"/>
            <w:vAlign w:val="bottom"/>
          </w:tcPr>
          <w:p>
            <w:pPr>
              <w:ind w:left="180"/>
              <w:spacing w:after="0"/>
              <w:rPr>
                <w:sz w:val="20"/>
                <w:szCs w:val="20"/>
                <w:color w:val="auto"/>
              </w:rPr>
            </w:pPr>
            <w:r>
              <w:rPr>
                <w:rFonts w:ascii="Arial" w:cs="Arial" w:eastAsia="Arial" w:hAnsi="Arial"/>
                <w:sz w:val="16"/>
                <w:szCs w:val="16"/>
                <w:color w:val="auto"/>
              </w:rPr>
              <w:t>SocialCode</w:t>
            </w:r>
          </w:p>
        </w:tc>
        <w:tc>
          <w:tcPr>
            <w:tcW w:w="24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71,258</w:t>
            </w:r>
          </w:p>
        </w:tc>
        <w:tc>
          <w:tcPr>
            <w:tcW w:w="3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46,375</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54</w:t>
            </w:r>
          </w:p>
        </w:tc>
      </w:tr>
      <w:tr>
        <w:trPr>
          <w:trHeight w:val="274"/>
        </w:trPr>
        <w:tc>
          <w:tcPr>
            <w:tcW w:w="8120" w:type="dxa"/>
            <w:vAlign w:val="bottom"/>
          </w:tcPr>
          <w:p>
            <w:pPr>
              <w:ind w:left="180"/>
              <w:spacing w:after="0"/>
              <w:rPr>
                <w:sz w:val="20"/>
                <w:szCs w:val="20"/>
                <w:color w:val="auto"/>
              </w:rPr>
            </w:pPr>
            <w:r>
              <w:rPr>
                <w:rFonts w:ascii="Arial" w:cs="Arial" w:eastAsia="Arial" w:hAnsi="Arial"/>
                <w:sz w:val="16"/>
                <w:szCs w:val="16"/>
                <w:color w:val="auto"/>
              </w:rPr>
              <w:t>Other</w:t>
            </w:r>
          </w:p>
        </w:tc>
        <w:tc>
          <w:tcPr>
            <w:tcW w:w="24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51,644</w:t>
            </w:r>
          </w:p>
        </w:tc>
        <w:tc>
          <w:tcPr>
            <w:tcW w:w="34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51,653</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61"/>
        </w:trPr>
        <w:tc>
          <w:tcPr>
            <w:tcW w:w="8120" w:type="dxa"/>
            <w:vAlign w:val="bottom"/>
          </w:tcPr>
          <w:p>
            <w:pPr>
              <w:spacing w:after="0"/>
              <w:rPr>
                <w:sz w:val="22"/>
                <w:szCs w:val="22"/>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495,952</w:t>
            </w:r>
          </w:p>
        </w:tc>
        <w:tc>
          <w:tcPr>
            <w:tcW w:w="3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313,184</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58</w:t>
            </w:r>
          </w:p>
        </w:tc>
      </w:tr>
      <w:tr>
        <w:trPr>
          <w:trHeight w:val="263"/>
        </w:trPr>
        <w:tc>
          <w:tcPr>
            <w:tcW w:w="8120" w:type="dxa"/>
            <w:vAlign w:val="bottom"/>
          </w:tcPr>
          <w:p>
            <w:pPr>
              <w:ind w:left="40"/>
              <w:spacing w:after="0"/>
              <w:rPr>
                <w:sz w:val="20"/>
                <w:szCs w:val="20"/>
                <w:color w:val="auto"/>
              </w:rPr>
            </w:pPr>
            <w:r>
              <w:rPr>
                <w:rFonts w:ascii="Arial" w:cs="Arial" w:eastAsia="Arial" w:hAnsi="Arial"/>
                <w:sz w:val="16"/>
                <w:szCs w:val="16"/>
                <w:b w:val="1"/>
                <w:bCs w:val="1"/>
                <w:color w:val="auto"/>
              </w:rPr>
              <w:t>Operating Income (Loss)</w:t>
            </w:r>
          </w:p>
        </w:tc>
        <w:tc>
          <w:tcPr>
            <w:tcW w:w="2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70"/>
        </w:trPr>
        <w:tc>
          <w:tcPr>
            <w:tcW w:w="8120" w:type="dxa"/>
            <w:vAlign w:val="bottom"/>
          </w:tcPr>
          <w:p>
            <w:pPr>
              <w:ind w:left="180"/>
              <w:spacing w:after="0"/>
              <w:rPr>
                <w:sz w:val="20"/>
                <w:szCs w:val="20"/>
                <w:color w:val="auto"/>
              </w:rPr>
            </w:pPr>
            <w:r>
              <w:rPr>
                <w:rFonts w:ascii="Arial" w:cs="Arial" w:eastAsia="Arial" w:hAnsi="Arial"/>
                <w:sz w:val="16"/>
                <w:szCs w:val="16"/>
                <w:color w:val="auto"/>
              </w:rPr>
              <w:t>Manufacturing</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12,717</w:t>
            </w: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6,416</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98</w:t>
            </w:r>
          </w:p>
        </w:tc>
      </w:tr>
      <w:tr>
        <w:trPr>
          <w:trHeight w:val="270"/>
        </w:trPr>
        <w:tc>
          <w:tcPr>
            <w:tcW w:w="8120" w:type="dxa"/>
            <w:vAlign w:val="bottom"/>
          </w:tcPr>
          <w:p>
            <w:pPr>
              <w:ind w:left="180"/>
              <w:spacing w:after="0"/>
              <w:rPr>
                <w:sz w:val="20"/>
                <w:szCs w:val="20"/>
                <w:color w:val="auto"/>
              </w:rPr>
            </w:pPr>
            <w:r>
              <w:rPr>
                <w:rFonts w:ascii="Arial" w:cs="Arial" w:eastAsia="Arial" w:hAnsi="Arial"/>
                <w:sz w:val="16"/>
                <w:szCs w:val="16"/>
                <w:color w:val="auto"/>
              </w:rPr>
              <w:t>Healthcare</w:t>
            </w:r>
          </w:p>
        </w:tc>
        <w:tc>
          <w:tcPr>
            <w:tcW w:w="24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2,799</w:t>
            </w:r>
          </w:p>
        </w:tc>
        <w:tc>
          <w:tcPr>
            <w:tcW w:w="3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6,233</w:t>
            </w:r>
          </w:p>
        </w:tc>
        <w:tc>
          <w:tcPr>
            <w:tcW w:w="900" w:type="dxa"/>
            <w:vAlign w:val="bottom"/>
          </w:tcPr>
          <w:p>
            <w:pPr>
              <w:jc w:val="right"/>
              <w:spacing w:after="0"/>
              <w:rPr>
                <w:sz w:val="20"/>
                <w:szCs w:val="20"/>
                <w:color w:val="auto"/>
              </w:rPr>
            </w:pPr>
            <w:r>
              <w:rPr>
                <w:rFonts w:ascii="Arial" w:cs="Arial" w:eastAsia="Arial" w:hAnsi="Arial"/>
                <w:sz w:val="16"/>
                <w:szCs w:val="16"/>
                <w:color w:val="auto"/>
              </w:rPr>
              <w:t>(55)</w:t>
            </w:r>
          </w:p>
        </w:tc>
      </w:tr>
      <w:tr>
        <w:trPr>
          <w:trHeight w:val="270"/>
        </w:trPr>
        <w:tc>
          <w:tcPr>
            <w:tcW w:w="8120" w:type="dxa"/>
            <w:vAlign w:val="bottom"/>
          </w:tcPr>
          <w:p>
            <w:pPr>
              <w:ind w:left="180"/>
              <w:spacing w:after="0"/>
              <w:rPr>
                <w:sz w:val="20"/>
                <w:szCs w:val="20"/>
                <w:color w:val="auto"/>
              </w:rPr>
            </w:pPr>
            <w:r>
              <w:rPr>
                <w:rFonts w:ascii="Arial" w:cs="Arial" w:eastAsia="Arial" w:hAnsi="Arial"/>
                <w:sz w:val="16"/>
                <w:szCs w:val="16"/>
                <w:color w:val="auto"/>
              </w:rPr>
              <w:t>SocialCode</w:t>
            </w:r>
          </w:p>
        </w:tc>
        <w:tc>
          <w:tcPr>
            <w:tcW w:w="24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(12,407)</w:t>
            </w:r>
          </w:p>
        </w:tc>
        <w:tc>
          <w:tcPr>
            <w:tcW w:w="3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(546)</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74"/>
        </w:trPr>
        <w:tc>
          <w:tcPr>
            <w:tcW w:w="8120" w:type="dxa"/>
            <w:vAlign w:val="bottom"/>
          </w:tcPr>
          <w:p>
            <w:pPr>
              <w:ind w:left="180"/>
              <w:spacing w:after="0"/>
              <w:rPr>
                <w:sz w:val="20"/>
                <w:szCs w:val="20"/>
                <w:color w:val="auto"/>
              </w:rPr>
            </w:pPr>
            <w:r>
              <w:rPr>
                <w:rFonts w:ascii="Arial" w:cs="Arial" w:eastAsia="Arial" w:hAnsi="Arial"/>
                <w:sz w:val="16"/>
                <w:szCs w:val="16"/>
                <w:color w:val="auto"/>
              </w:rPr>
              <w:t>Other</w:t>
            </w:r>
          </w:p>
        </w:tc>
        <w:tc>
          <w:tcPr>
            <w:tcW w:w="24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(25,211)</w:t>
            </w:r>
          </w:p>
        </w:tc>
        <w:tc>
          <w:tcPr>
            <w:tcW w:w="34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(25,770)</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2</w:t>
            </w:r>
          </w:p>
        </w:tc>
      </w:tr>
      <w:tr>
        <w:trPr>
          <w:trHeight w:val="261"/>
        </w:trPr>
        <w:tc>
          <w:tcPr>
            <w:tcW w:w="8120" w:type="dxa"/>
            <w:vAlign w:val="bottom"/>
          </w:tcPr>
          <w:p>
            <w:pPr>
              <w:spacing w:after="0"/>
              <w:rPr>
                <w:sz w:val="22"/>
                <w:szCs w:val="22"/>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(22,102)</w:t>
            </w:r>
          </w:p>
        </w:tc>
        <w:tc>
          <w:tcPr>
            <w:tcW w:w="3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(13,667)</w:t>
            </w:r>
          </w:p>
        </w:tc>
        <w:tc>
          <w:tcPr>
            <w:tcW w:w="900" w:type="dxa"/>
            <w:vAlign w:val="bottom"/>
          </w:tcPr>
          <w:p>
            <w:pPr>
              <w:jc w:val="right"/>
              <w:spacing w:after="0"/>
              <w:rPr>
                <w:sz w:val="20"/>
                <w:szCs w:val="20"/>
                <w:color w:val="auto"/>
              </w:rPr>
            </w:pPr>
            <w:r>
              <w:rPr>
                <w:rFonts w:ascii="Arial" w:cs="Arial" w:eastAsia="Arial" w:hAnsi="Arial"/>
                <w:sz w:val="16"/>
                <w:szCs w:val="16"/>
                <w:color w:val="auto"/>
              </w:rPr>
              <w:t>(62)</w:t>
            </w:r>
          </w:p>
        </w:tc>
      </w:tr>
      <w:tr>
        <w:trPr>
          <w:trHeight w:val="263"/>
        </w:trPr>
        <w:tc>
          <w:tcPr>
            <w:tcW w:w="8120" w:type="dxa"/>
            <w:vAlign w:val="bottom"/>
          </w:tcPr>
          <w:p>
            <w:pPr>
              <w:ind w:left="40"/>
              <w:spacing w:after="0"/>
              <w:rPr>
                <w:sz w:val="20"/>
                <w:szCs w:val="20"/>
                <w:color w:val="auto"/>
              </w:rPr>
            </w:pPr>
            <w:r>
              <w:rPr>
                <w:rFonts w:ascii="Arial" w:cs="Arial" w:eastAsia="Arial" w:hAnsi="Arial"/>
                <w:sz w:val="16"/>
                <w:szCs w:val="16"/>
                <w:b w:val="1"/>
                <w:bCs w:val="1"/>
                <w:color w:val="auto"/>
              </w:rPr>
              <w:t>Depreciation</w:t>
            </w:r>
          </w:p>
        </w:tc>
        <w:tc>
          <w:tcPr>
            <w:tcW w:w="2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70"/>
        </w:trPr>
        <w:tc>
          <w:tcPr>
            <w:tcW w:w="8120" w:type="dxa"/>
            <w:vAlign w:val="bottom"/>
          </w:tcPr>
          <w:p>
            <w:pPr>
              <w:ind w:left="180"/>
              <w:spacing w:after="0"/>
              <w:rPr>
                <w:sz w:val="20"/>
                <w:szCs w:val="20"/>
                <w:color w:val="auto"/>
              </w:rPr>
            </w:pPr>
            <w:r>
              <w:rPr>
                <w:rFonts w:ascii="Arial" w:cs="Arial" w:eastAsia="Arial" w:hAnsi="Arial"/>
                <w:sz w:val="16"/>
                <w:szCs w:val="16"/>
                <w:color w:val="auto"/>
              </w:rPr>
              <w:t>Manufacturing</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7,251</w:t>
            </w: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1,868</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70"/>
        </w:trPr>
        <w:tc>
          <w:tcPr>
            <w:tcW w:w="8120" w:type="dxa"/>
            <w:vAlign w:val="bottom"/>
          </w:tcPr>
          <w:p>
            <w:pPr>
              <w:ind w:left="180"/>
              <w:spacing w:after="0"/>
              <w:rPr>
                <w:sz w:val="20"/>
                <w:szCs w:val="20"/>
                <w:color w:val="auto"/>
              </w:rPr>
            </w:pPr>
            <w:r>
              <w:rPr>
                <w:rFonts w:ascii="Arial" w:cs="Arial" w:eastAsia="Arial" w:hAnsi="Arial"/>
                <w:sz w:val="16"/>
                <w:szCs w:val="16"/>
                <w:color w:val="auto"/>
              </w:rPr>
              <w:t>Healthcare</w:t>
            </w:r>
          </w:p>
        </w:tc>
        <w:tc>
          <w:tcPr>
            <w:tcW w:w="24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2,805</w:t>
            </w:r>
          </w:p>
        </w:tc>
        <w:tc>
          <w:tcPr>
            <w:tcW w:w="3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2,836</w:t>
            </w:r>
          </w:p>
        </w:tc>
        <w:tc>
          <w:tcPr>
            <w:tcW w:w="90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70"/>
        </w:trPr>
        <w:tc>
          <w:tcPr>
            <w:tcW w:w="8120" w:type="dxa"/>
            <w:vAlign w:val="bottom"/>
          </w:tcPr>
          <w:p>
            <w:pPr>
              <w:ind w:left="180"/>
              <w:spacing w:after="0"/>
              <w:rPr>
                <w:sz w:val="20"/>
                <w:szCs w:val="20"/>
                <w:color w:val="auto"/>
              </w:rPr>
            </w:pPr>
            <w:r>
              <w:rPr>
                <w:rFonts w:ascii="Arial" w:cs="Arial" w:eastAsia="Arial" w:hAnsi="Arial"/>
                <w:sz w:val="16"/>
                <w:szCs w:val="16"/>
                <w:color w:val="auto"/>
              </w:rPr>
              <w:t>SocialCode</w:t>
            </w:r>
          </w:p>
        </w:tc>
        <w:tc>
          <w:tcPr>
            <w:tcW w:w="24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929</w:t>
            </w:r>
          </w:p>
        </w:tc>
        <w:tc>
          <w:tcPr>
            <w:tcW w:w="3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402</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74"/>
        </w:trPr>
        <w:tc>
          <w:tcPr>
            <w:tcW w:w="8120" w:type="dxa"/>
            <w:vAlign w:val="bottom"/>
          </w:tcPr>
          <w:p>
            <w:pPr>
              <w:ind w:left="180"/>
              <w:spacing w:after="0"/>
              <w:rPr>
                <w:sz w:val="20"/>
                <w:szCs w:val="20"/>
                <w:color w:val="auto"/>
              </w:rPr>
            </w:pPr>
            <w:r>
              <w:rPr>
                <w:rFonts w:ascii="Arial" w:cs="Arial" w:eastAsia="Arial" w:hAnsi="Arial"/>
                <w:sz w:val="16"/>
                <w:szCs w:val="16"/>
                <w:color w:val="auto"/>
              </w:rPr>
              <w:t>Other</w:t>
            </w:r>
          </w:p>
        </w:tc>
        <w:tc>
          <w:tcPr>
            <w:tcW w:w="24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1,390</w:t>
            </w:r>
          </w:p>
        </w:tc>
        <w:tc>
          <w:tcPr>
            <w:tcW w:w="34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1,062</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31</w:t>
            </w:r>
          </w:p>
        </w:tc>
      </w:tr>
      <w:tr>
        <w:trPr>
          <w:trHeight w:val="261"/>
        </w:trPr>
        <w:tc>
          <w:tcPr>
            <w:tcW w:w="8120" w:type="dxa"/>
            <w:vAlign w:val="bottom"/>
          </w:tcPr>
          <w:p>
            <w:pPr>
              <w:spacing w:after="0"/>
              <w:rPr>
                <w:sz w:val="22"/>
                <w:szCs w:val="22"/>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12,375</w:t>
            </w:r>
          </w:p>
        </w:tc>
        <w:tc>
          <w:tcPr>
            <w:tcW w:w="3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6,168</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63"/>
        </w:trPr>
        <w:tc>
          <w:tcPr>
            <w:tcW w:w="8120" w:type="dxa"/>
            <w:vAlign w:val="bottom"/>
          </w:tcPr>
          <w:p>
            <w:pPr>
              <w:ind w:left="40"/>
              <w:spacing w:after="0"/>
              <w:rPr>
                <w:sz w:val="20"/>
                <w:szCs w:val="20"/>
                <w:color w:val="auto"/>
              </w:rPr>
            </w:pPr>
            <w:r>
              <w:rPr>
                <w:rFonts w:ascii="Arial" w:cs="Arial" w:eastAsia="Arial" w:hAnsi="Arial"/>
                <w:sz w:val="16"/>
                <w:szCs w:val="16"/>
                <w:b w:val="1"/>
                <w:bCs w:val="1"/>
                <w:color w:val="auto"/>
              </w:rPr>
              <w:t>Amortization of Intangible Assets and Impairment of Goodwill and Other Long-Lived Assets</w:t>
            </w:r>
          </w:p>
        </w:tc>
        <w:tc>
          <w:tcPr>
            <w:tcW w:w="2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70"/>
        </w:trPr>
        <w:tc>
          <w:tcPr>
            <w:tcW w:w="8120" w:type="dxa"/>
            <w:vAlign w:val="bottom"/>
          </w:tcPr>
          <w:p>
            <w:pPr>
              <w:ind w:left="180"/>
              <w:spacing w:after="0"/>
              <w:rPr>
                <w:sz w:val="20"/>
                <w:szCs w:val="20"/>
                <w:color w:val="auto"/>
              </w:rPr>
            </w:pPr>
            <w:r>
              <w:rPr>
                <w:rFonts w:ascii="Arial" w:cs="Arial" w:eastAsia="Arial" w:hAnsi="Arial"/>
                <w:sz w:val="16"/>
                <w:szCs w:val="16"/>
                <w:color w:val="auto"/>
              </w:rPr>
              <w:t>Manufacturing</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12,119</w:t>
            </w: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6,319</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92</w:t>
            </w:r>
          </w:p>
        </w:tc>
      </w:tr>
      <w:tr>
        <w:trPr>
          <w:trHeight w:val="270"/>
        </w:trPr>
        <w:tc>
          <w:tcPr>
            <w:tcW w:w="8120" w:type="dxa"/>
            <w:vAlign w:val="bottom"/>
          </w:tcPr>
          <w:p>
            <w:pPr>
              <w:ind w:left="180"/>
              <w:spacing w:after="0"/>
              <w:rPr>
                <w:sz w:val="20"/>
                <w:szCs w:val="20"/>
                <w:color w:val="auto"/>
              </w:rPr>
            </w:pPr>
            <w:r>
              <w:rPr>
                <w:rFonts w:ascii="Arial" w:cs="Arial" w:eastAsia="Arial" w:hAnsi="Arial"/>
                <w:sz w:val="16"/>
                <w:szCs w:val="16"/>
                <w:color w:val="auto"/>
              </w:rPr>
              <w:t>Healthcare</w:t>
            </w:r>
          </w:p>
        </w:tc>
        <w:tc>
          <w:tcPr>
            <w:tcW w:w="24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6,701</w:t>
            </w:r>
          </w:p>
        </w:tc>
        <w:tc>
          <w:tcPr>
            <w:tcW w:w="3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6,875</w:t>
            </w:r>
          </w:p>
        </w:tc>
        <w:tc>
          <w:tcPr>
            <w:tcW w:w="90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270"/>
        </w:trPr>
        <w:tc>
          <w:tcPr>
            <w:tcW w:w="8120" w:type="dxa"/>
            <w:vAlign w:val="bottom"/>
          </w:tcPr>
          <w:p>
            <w:pPr>
              <w:ind w:left="180"/>
              <w:spacing w:after="0"/>
              <w:rPr>
                <w:sz w:val="20"/>
                <w:szCs w:val="20"/>
                <w:color w:val="auto"/>
              </w:rPr>
            </w:pPr>
            <w:r>
              <w:rPr>
                <w:rFonts w:ascii="Arial" w:cs="Arial" w:eastAsia="Arial" w:hAnsi="Arial"/>
                <w:sz w:val="16"/>
                <w:szCs w:val="16"/>
                <w:color w:val="auto"/>
              </w:rPr>
              <w:t>SocialCode</w:t>
            </w:r>
          </w:p>
        </w:tc>
        <w:tc>
          <w:tcPr>
            <w:tcW w:w="24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w:t>
            </w:r>
          </w:p>
        </w:tc>
        <w:tc>
          <w:tcPr>
            <w:tcW w:w="3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74"/>
        </w:trPr>
        <w:tc>
          <w:tcPr>
            <w:tcW w:w="8120" w:type="dxa"/>
            <w:vAlign w:val="bottom"/>
          </w:tcPr>
          <w:p>
            <w:pPr>
              <w:ind w:left="180"/>
              <w:spacing w:after="0"/>
              <w:rPr>
                <w:sz w:val="20"/>
                <w:szCs w:val="20"/>
                <w:color w:val="auto"/>
              </w:rPr>
            </w:pPr>
            <w:r>
              <w:rPr>
                <w:rFonts w:ascii="Arial" w:cs="Arial" w:eastAsia="Arial" w:hAnsi="Arial"/>
                <w:sz w:val="16"/>
                <w:szCs w:val="16"/>
                <w:color w:val="auto"/>
              </w:rPr>
              <w:t>Other</w:t>
            </w:r>
          </w:p>
        </w:tc>
        <w:tc>
          <w:tcPr>
            <w:tcW w:w="24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1,687</w:t>
            </w:r>
          </w:p>
        </w:tc>
        <w:tc>
          <w:tcPr>
            <w:tcW w:w="34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2,918</w:t>
            </w:r>
          </w:p>
        </w:tc>
        <w:tc>
          <w:tcPr>
            <w:tcW w:w="900" w:type="dxa"/>
            <w:vAlign w:val="bottom"/>
          </w:tcPr>
          <w:p>
            <w:pPr>
              <w:jc w:val="right"/>
              <w:spacing w:after="0"/>
              <w:rPr>
                <w:sz w:val="20"/>
                <w:szCs w:val="20"/>
                <w:color w:val="auto"/>
              </w:rPr>
            </w:pPr>
            <w:r>
              <w:rPr>
                <w:rFonts w:ascii="Arial" w:cs="Arial" w:eastAsia="Arial" w:hAnsi="Arial"/>
                <w:sz w:val="16"/>
                <w:szCs w:val="16"/>
                <w:color w:val="auto"/>
              </w:rPr>
              <w:t>(42)</w:t>
            </w:r>
          </w:p>
        </w:tc>
      </w:tr>
      <w:tr>
        <w:trPr>
          <w:trHeight w:val="261"/>
        </w:trPr>
        <w:tc>
          <w:tcPr>
            <w:tcW w:w="8120" w:type="dxa"/>
            <w:vAlign w:val="bottom"/>
          </w:tcPr>
          <w:p>
            <w:pPr>
              <w:spacing w:after="0"/>
              <w:rPr>
                <w:sz w:val="22"/>
                <w:szCs w:val="22"/>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20,507</w:t>
            </w:r>
          </w:p>
        </w:tc>
        <w:tc>
          <w:tcPr>
            <w:tcW w:w="3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16,112</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27</w:t>
            </w:r>
          </w:p>
        </w:tc>
      </w:tr>
      <w:tr>
        <w:trPr>
          <w:trHeight w:val="263"/>
        </w:trPr>
        <w:tc>
          <w:tcPr>
            <w:tcW w:w="8120" w:type="dxa"/>
            <w:vAlign w:val="bottom"/>
          </w:tcPr>
          <w:p>
            <w:pPr>
              <w:ind w:left="40"/>
              <w:spacing w:after="0"/>
              <w:rPr>
                <w:sz w:val="20"/>
                <w:szCs w:val="20"/>
                <w:color w:val="auto"/>
              </w:rPr>
            </w:pPr>
            <w:r>
              <w:rPr>
                <w:rFonts w:ascii="Arial" w:cs="Arial" w:eastAsia="Arial" w:hAnsi="Arial"/>
                <w:sz w:val="16"/>
                <w:szCs w:val="16"/>
                <w:b w:val="1"/>
                <w:bCs w:val="1"/>
                <w:color w:val="auto"/>
              </w:rPr>
              <w:t>Pension Expense</w:t>
            </w:r>
          </w:p>
        </w:tc>
        <w:tc>
          <w:tcPr>
            <w:tcW w:w="2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70"/>
        </w:trPr>
        <w:tc>
          <w:tcPr>
            <w:tcW w:w="8120" w:type="dxa"/>
            <w:vAlign w:val="bottom"/>
          </w:tcPr>
          <w:p>
            <w:pPr>
              <w:ind w:left="180"/>
              <w:spacing w:after="0"/>
              <w:rPr>
                <w:sz w:val="20"/>
                <w:szCs w:val="20"/>
                <w:color w:val="auto"/>
              </w:rPr>
            </w:pPr>
            <w:r>
              <w:rPr>
                <w:rFonts w:ascii="Arial" w:cs="Arial" w:eastAsia="Arial" w:hAnsi="Arial"/>
                <w:sz w:val="16"/>
                <w:szCs w:val="16"/>
                <w:color w:val="auto"/>
              </w:rPr>
              <w:t>Manufacturing</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86</w:t>
            </w: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73</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18</w:t>
            </w:r>
          </w:p>
        </w:tc>
      </w:tr>
      <w:tr>
        <w:trPr>
          <w:trHeight w:val="270"/>
        </w:trPr>
        <w:tc>
          <w:tcPr>
            <w:tcW w:w="8120" w:type="dxa"/>
            <w:vAlign w:val="bottom"/>
          </w:tcPr>
          <w:p>
            <w:pPr>
              <w:ind w:left="180"/>
              <w:spacing w:after="0"/>
              <w:rPr>
                <w:sz w:val="20"/>
                <w:szCs w:val="20"/>
                <w:color w:val="auto"/>
              </w:rPr>
            </w:pPr>
            <w:r>
              <w:rPr>
                <w:rFonts w:ascii="Arial" w:cs="Arial" w:eastAsia="Arial" w:hAnsi="Arial"/>
                <w:sz w:val="16"/>
                <w:szCs w:val="16"/>
                <w:color w:val="auto"/>
              </w:rPr>
              <w:t>Healthcare</w:t>
            </w:r>
          </w:p>
        </w:tc>
        <w:tc>
          <w:tcPr>
            <w:tcW w:w="24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w:t>
            </w:r>
          </w:p>
        </w:tc>
        <w:tc>
          <w:tcPr>
            <w:tcW w:w="3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70"/>
        </w:trPr>
        <w:tc>
          <w:tcPr>
            <w:tcW w:w="8120" w:type="dxa"/>
            <w:vAlign w:val="bottom"/>
          </w:tcPr>
          <w:p>
            <w:pPr>
              <w:ind w:left="180"/>
              <w:spacing w:after="0"/>
              <w:rPr>
                <w:sz w:val="20"/>
                <w:szCs w:val="20"/>
                <w:color w:val="auto"/>
              </w:rPr>
            </w:pPr>
            <w:r>
              <w:rPr>
                <w:rFonts w:ascii="Arial" w:cs="Arial" w:eastAsia="Arial" w:hAnsi="Arial"/>
                <w:sz w:val="16"/>
                <w:szCs w:val="16"/>
                <w:color w:val="auto"/>
              </w:rPr>
              <w:t>SocialCode</w:t>
            </w:r>
          </w:p>
        </w:tc>
        <w:tc>
          <w:tcPr>
            <w:tcW w:w="24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541</w:t>
            </w:r>
          </w:p>
        </w:tc>
        <w:tc>
          <w:tcPr>
            <w:tcW w:w="3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270</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74"/>
        </w:trPr>
        <w:tc>
          <w:tcPr>
            <w:tcW w:w="8120" w:type="dxa"/>
            <w:vAlign w:val="bottom"/>
          </w:tcPr>
          <w:p>
            <w:pPr>
              <w:ind w:left="180"/>
              <w:spacing w:after="0"/>
              <w:rPr>
                <w:sz w:val="20"/>
                <w:szCs w:val="20"/>
                <w:color w:val="auto"/>
              </w:rPr>
            </w:pPr>
            <w:r>
              <w:rPr>
                <w:rFonts w:ascii="Arial" w:cs="Arial" w:eastAsia="Arial" w:hAnsi="Arial"/>
                <w:sz w:val="16"/>
                <w:szCs w:val="16"/>
                <w:color w:val="auto"/>
              </w:rPr>
              <w:t>Other</w:t>
            </w:r>
          </w:p>
        </w:tc>
        <w:tc>
          <w:tcPr>
            <w:tcW w:w="24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491</w:t>
            </w:r>
          </w:p>
        </w:tc>
        <w:tc>
          <w:tcPr>
            <w:tcW w:w="34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621</w:t>
            </w:r>
          </w:p>
        </w:tc>
        <w:tc>
          <w:tcPr>
            <w:tcW w:w="900" w:type="dxa"/>
            <w:vAlign w:val="bottom"/>
          </w:tcPr>
          <w:p>
            <w:pPr>
              <w:jc w:val="right"/>
              <w:spacing w:after="0"/>
              <w:rPr>
                <w:sz w:val="20"/>
                <w:szCs w:val="20"/>
                <w:color w:val="auto"/>
              </w:rPr>
            </w:pPr>
            <w:r>
              <w:rPr>
                <w:rFonts w:ascii="Arial" w:cs="Arial" w:eastAsia="Arial" w:hAnsi="Arial"/>
                <w:sz w:val="16"/>
                <w:szCs w:val="16"/>
                <w:color w:val="auto"/>
              </w:rPr>
              <w:t>(21)</w:t>
            </w:r>
          </w:p>
        </w:tc>
      </w:tr>
      <w:tr>
        <w:trPr>
          <w:trHeight w:val="264"/>
        </w:trPr>
        <w:tc>
          <w:tcPr>
            <w:tcW w:w="8120" w:type="dxa"/>
            <w:vAlign w:val="bottom"/>
          </w:tcPr>
          <w:p>
            <w:pPr>
              <w:spacing w:after="0"/>
              <w:rPr>
                <w:sz w:val="22"/>
                <w:szCs w:val="22"/>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1,118</w:t>
            </w:r>
          </w:p>
        </w:tc>
        <w:tc>
          <w:tcPr>
            <w:tcW w:w="3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964</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16</w:t>
            </w:r>
          </w:p>
        </w:tc>
      </w:tr>
    </w:tbl>
    <w:p>
      <w:pPr>
        <w:spacing w:after="0" w:line="126" w:lineRule="exact"/>
        <w:rPr>
          <w:sz w:val="20"/>
          <w:szCs w:val="20"/>
          <w:color w:val="auto"/>
        </w:rPr>
      </w:pPr>
    </w:p>
    <w:p>
      <w:pPr>
        <w:ind w:right="200"/>
        <w:spacing w:after="0" w:line="234" w:lineRule="auto"/>
        <w:rPr>
          <w:sz w:val="20"/>
          <w:szCs w:val="20"/>
          <w:color w:val="auto"/>
        </w:rPr>
      </w:pPr>
      <w:r>
        <w:rPr>
          <w:rFonts w:ascii="Arial" w:cs="Arial" w:eastAsia="Arial" w:hAnsi="Arial"/>
          <w:sz w:val="18"/>
          <w:szCs w:val="18"/>
          <w:color w:val="auto"/>
        </w:rPr>
        <w:t>Manufacturing includes three businesses: Dekko, a manufacturer of electrical workspace solutions, architectural lighting and electrical components and assemblies acquired in November 2015; Joyce/Dayton Corp., a Dayton, OH-based manufacturer of screw jacks and other linear motion systems; and Forney, a global supplier of products and systems that control and monitor combustion processes in electric utility and industrial applications.</w:t>
      </w:r>
    </w:p>
    <w:p>
      <w:pPr>
        <w:spacing w:after="0" w:line="111" w:lineRule="exact"/>
        <w:rPr>
          <w:sz w:val="20"/>
          <w:szCs w:val="20"/>
          <w:color w:val="auto"/>
        </w:rPr>
      </w:pPr>
    </w:p>
    <w:p>
      <w:pPr>
        <w:jc w:val="both"/>
        <w:ind w:right="480"/>
        <w:spacing w:after="0"/>
        <w:rPr>
          <w:sz w:val="20"/>
          <w:szCs w:val="20"/>
          <w:color w:val="auto"/>
        </w:rPr>
      </w:pPr>
      <w:r>
        <w:rPr>
          <w:rFonts w:ascii="Arial" w:cs="Arial" w:eastAsia="Arial" w:hAnsi="Arial"/>
          <w:sz w:val="18"/>
          <w:szCs w:val="18"/>
          <w:color w:val="auto"/>
        </w:rPr>
        <w:t>Manufacturing revenues and operating income increased in 2016 due primarily to the Dekko acquisition. Also, in September 2016, Dekko acquired Electri-Cable Assemblies (ECA), a Shelton, CT-based manufacturer of power, data and electrical solutions for the office furniture industry.</w:t>
      </w:r>
    </w:p>
    <w:p>
      <w:pPr>
        <w:spacing w:after="0" w:line="108" w:lineRule="exact"/>
        <w:rPr>
          <w:sz w:val="20"/>
          <w:szCs w:val="20"/>
          <w:color w:val="auto"/>
        </w:rPr>
      </w:pPr>
    </w:p>
    <w:p>
      <w:pPr>
        <w:ind w:right="180"/>
        <w:spacing w:after="0" w:line="228" w:lineRule="auto"/>
        <w:rPr>
          <w:sz w:val="20"/>
          <w:szCs w:val="20"/>
          <w:color w:val="auto"/>
        </w:rPr>
      </w:pPr>
      <w:r>
        <w:rPr>
          <w:rFonts w:ascii="Arial" w:cs="Arial" w:eastAsia="Arial" w:hAnsi="Arial"/>
          <w:sz w:val="18"/>
          <w:szCs w:val="18"/>
          <w:color w:val="auto"/>
        </w:rPr>
        <w:t>The Graham Healthcare Group (GHG) provides home health and hospice services in six states. In June 2016, the Company acquired the outstanding 20% redeemable noncontrolling interest in Residential Healthcare (Residential). Also in June 2016, Celtic Healthcare (Celtic) and Residential combined their business operations and the Company now owns 90% of the combined entity, known as GHG. The Company incurred approximately $2.0 million in expenses in conjunction with these transactions in the second quarter of 2016. Healthcare revenues increased 8% in 2016 due primarily to patient growth for both home health and hospice. Operating results were down in 2016, largely due to the expenses incurred related to the transactions in the second quarter of 2016 and an increase in information systems and other integration costs.</w:t>
      </w:r>
    </w:p>
    <w:p>
      <w:pPr>
        <w:sectPr>
          <w:pgSz w:w="11900" w:h="16838" w:orient="portrait"/>
          <w:cols w:equalWidth="0" w:num="1">
            <w:col w:w="11420"/>
          </w:cols>
          <w:pgMar w:left="240" w:top="724" w:right="239" w:bottom="0" w:gutter="0" w:footer="0" w:header="0"/>
        </w:sect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45</w:t>
      </w:r>
    </w:p>
    <w:p>
      <w:pPr>
        <w:sectPr>
          <w:pgSz w:w="11900" w:h="16838" w:orient="portrait"/>
          <w:cols w:equalWidth="0" w:num="1">
            <w:col w:w="11420"/>
          </w:cols>
          <w:pgMar w:left="240" w:top="724" w:right="239" w:bottom="0" w:gutter="0" w:footer="0" w:header="0"/>
          <w:type w:val="continuous"/>
        </w:sectPr>
      </w:pPr>
    </w:p>
    <w:bookmarkStart w:id="47" w:name="page48"/>
    <w:bookmarkEnd w:id="47"/>
    <w:p>
      <w:pPr>
        <w:ind w:right="440"/>
        <w:spacing w:after="0" w:line="234" w:lineRule="auto"/>
        <w:rPr>
          <w:sz w:val="20"/>
          <w:szCs w:val="20"/>
          <w:color w:val="auto"/>
        </w:rPr>
      </w:pPr>
      <w:r>
        <w:rPr>
          <w:rFonts w:ascii="Arial" w:cs="Arial" w:eastAsia="Arial" w:hAnsi="Arial"/>
          <w:sz w:val="18"/>
          <w:szCs w:val="18"/>
          <w:color w:val="auto"/>
        </w:rPr>
        <w:t>In June 2016, Residential and a Michigan hospital formed a joint venture to provide home health services to West Michigan patients. Residential manages the operations of the joint venture and holds a 40% interest. The pro rata operating results of the joint venture are included in the Company's equity in earnings of affiliates. In connection with this transaction, the Company recorded a pre-tax gain of $3.2 million in the second quarter of 2016 that is included in other non-operating income.</w:t>
      </w:r>
    </w:p>
    <w:p>
      <w:pPr>
        <w:spacing w:after="0" w:line="111" w:lineRule="exact"/>
        <w:rPr>
          <w:sz w:val="20"/>
          <w:szCs w:val="20"/>
          <w:color w:val="auto"/>
        </w:rPr>
      </w:pPr>
    </w:p>
    <w:p>
      <w:pPr>
        <w:ind w:right="220"/>
        <w:spacing w:after="0" w:line="234" w:lineRule="auto"/>
        <w:rPr>
          <w:sz w:val="20"/>
          <w:szCs w:val="20"/>
          <w:color w:val="auto"/>
        </w:rPr>
      </w:pPr>
      <w:r>
        <w:rPr>
          <w:rFonts w:ascii="Arial" w:cs="Arial" w:eastAsia="Arial" w:hAnsi="Arial"/>
          <w:sz w:val="18"/>
          <w:szCs w:val="18"/>
          <w:color w:val="auto"/>
        </w:rPr>
        <w:t>In January 2015, Celtic and Allegheny Health Network formed a joint venture to combine each other's home health and hospice assets in the western Pennsylvania region. Celtic manages the operations of the joint venture for a fee and holds a 40% interest. The pro rata operating results of the joint venture are included in the Company's equity in earnings of affiliates. In connection with this transaction, the Company recorded a noncash pre-tax gain of $6.0 million in the first quarter of 2015 that is included in other non-operating income.</w:t>
      </w:r>
    </w:p>
    <w:p>
      <w:pPr>
        <w:spacing w:after="0" w:line="111" w:lineRule="exact"/>
        <w:rPr>
          <w:sz w:val="20"/>
          <w:szCs w:val="20"/>
          <w:color w:val="auto"/>
        </w:rPr>
      </w:pPr>
    </w:p>
    <w:p>
      <w:pPr>
        <w:ind w:right="60"/>
        <w:spacing w:after="0" w:line="234" w:lineRule="auto"/>
        <w:rPr>
          <w:sz w:val="20"/>
          <w:szCs w:val="20"/>
          <w:color w:val="auto"/>
        </w:rPr>
      </w:pPr>
      <w:r>
        <w:rPr>
          <w:rFonts w:ascii="Arial" w:cs="Arial" w:eastAsia="Arial" w:hAnsi="Arial"/>
          <w:sz w:val="18"/>
          <w:szCs w:val="18"/>
          <w:color w:val="auto"/>
        </w:rPr>
        <w:t>SocialCode is a provider of marketing solutions on social, mobile and video platforms. SocialCode revenues increased 28% in 2016, due to continued growth in digital advertising service revenues. SocialCode reported operating losses of $12.4 million in 2016; these results include incentive accruals of $12.8 million related to phantom equity appreciation plans. The expense amount related to these plans for 2015 was $2.0 million. As of December 31, 2016, the accrual balance related to these plans is $22.0 million.</w:t>
      </w:r>
    </w:p>
    <w:p>
      <w:pPr>
        <w:spacing w:after="0" w:line="111" w:lineRule="exact"/>
        <w:rPr>
          <w:sz w:val="20"/>
          <w:szCs w:val="20"/>
          <w:color w:val="auto"/>
        </w:rPr>
      </w:pPr>
    </w:p>
    <w:p>
      <w:pPr>
        <w:jc w:val="both"/>
        <w:ind w:right="280"/>
        <w:spacing w:after="0"/>
        <w:rPr>
          <w:sz w:val="20"/>
          <w:szCs w:val="20"/>
          <w:color w:val="auto"/>
        </w:rPr>
      </w:pPr>
      <w:r>
        <w:rPr>
          <w:rFonts w:ascii="Arial" w:cs="Arial" w:eastAsia="Arial" w:hAnsi="Arial"/>
          <w:sz w:val="18"/>
          <w:szCs w:val="18"/>
          <w:color w:val="auto"/>
        </w:rPr>
        <w:t>Other businesses also includes Slate and Foreign Policy, which publish online and print magazines and websites; and two investment stage businesses, Panoply and CyberVista. Losses from each of these businesses in 2016 adversely affected operating results. In addition, Slate recorded a goodwill impairment charge of $1.6 million in the fourth quarter of 2016.</w:t>
      </w:r>
    </w:p>
    <w:p>
      <w:pPr>
        <w:spacing w:after="0" w:line="108" w:lineRule="exact"/>
        <w:rPr>
          <w:sz w:val="20"/>
          <w:szCs w:val="20"/>
          <w:color w:val="auto"/>
        </w:rPr>
      </w:pPr>
    </w:p>
    <w:p>
      <w:pPr>
        <w:ind w:right="20"/>
        <w:spacing w:after="0"/>
        <w:rPr>
          <w:sz w:val="20"/>
          <w:szCs w:val="20"/>
          <w:color w:val="auto"/>
        </w:rPr>
      </w:pPr>
      <w:r>
        <w:rPr>
          <w:rFonts w:ascii="Arial" w:cs="Arial" w:eastAsia="Arial" w:hAnsi="Arial"/>
          <w:sz w:val="18"/>
          <w:szCs w:val="18"/>
          <w:color w:val="auto"/>
        </w:rPr>
        <w:t>In November 2015, the Company announced that Trove, a digital innovation team, would largely be integrated into SocialCode and that Trove’s existing offerings would be discontinued. In connection with this action, the Company recorded a $2.8 million goodwill impairment charge at Trove in the fourth quarter of 2015, along with $0.5 million in severance costs.</w:t>
      </w:r>
    </w:p>
    <w:p>
      <w:pPr>
        <w:spacing w:after="0" w:line="108" w:lineRule="exact"/>
        <w:rPr>
          <w:sz w:val="20"/>
          <w:szCs w:val="20"/>
          <w:color w:val="auto"/>
        </w:rPr>
      </w:pPr>
    </w:p>
    <w:p>
      <w:pPr>
        <w:ind w:right="580"/>
        <w:spacing w:after="0" w:line="260" w:lineRule="auto"/>
        <w:rPr>
          <w:sz w:val="20"/>
          <w:szCs w:val="20"/>
          <w:color w:val="auto"/>
        </w:rPr>
      </w:pPr>
      <w:r>
        <w:rPr>
          <w:rFonts w:ascii="Arial" w:cs="Arial" w:eastAsia="Arial" w:hAnsi="Arial"/>
          <w:sz w:val="18"/>
          <w:szCs w:val="18"/>
          <w:color w:val="auto"/>
        </w:rPr>
        <w:t>In the second quarter of 2015, the Company sold The Root, an online magazine; the related gain on disposition is included in other non-operating expense, net.</w:t>
      </w:r>
    </w:p>
    <w:p>
      <w:pPr>
        <w:spacing w:after="0" w:line="90" w:lineRule="exact"/>
        <w:rPr>
          <w:sz w:val="20"/>
          <w:szCs w:val="20"/>
          <w:color w:val="auto"/>
        </w:rPr>
      </w:pPr>
    </w:p>
    <w:p>
      <w:pPr>
        <w:ind w:right="120"/>
        <w:spacing w:after="0" w:line="241" w:lineRule="auto"/>
        <w:rPr>
          <w:sz w:val="20"/>
          <w:szCs w:val="20"/>
          <w:color w:val="auto"/>
        </w:rPr>
      </w:pPr>
      <w:r>
        <w:rPr>
          <w:rFonts w:ascii="Arial" w:cs="Arial" w:eastAsia="Arial" w:hAnsi="Arial"/>
          <w:sz w:val="18"/>
          <w:szCs w:val="18"/>
          <w:b w:val="1"/>
          <w:bCs w:val="1"/>
          <w:color w:val="auto"/>
        </w:rPr>
        <w:t xml:space="preserve">Corporate Office. </w:t>
      </w:r>
      <w:r>
        <w:rPr>
          <w:rFonts w:ascii="Arial" w:cs="Arial" w:eastAsia="Arial" w:hAnsi="Arial"/>
          <w:sz w:val="18"/>
          <w:szCs w:val="18"/>
          <w:color w:val="auto"/>
        </w:rPr>
        <w:t>Corporate office includes the expenses of the Company’s corporate office, the pension credit for the Company’s traditional</w:t>
      </w:r>
      <w:r>
        <w:rPr>
          <w:rFonts w:ascii="Arial" w:cs="Arial" w:eastAsia="Arial" w:hAnsi="Arial"/>
          <w:sz w:val="18"/>
          <w:szCs w:val="18"/>
          <w:b w:val="1"/>
          <w:bCs w:val="1"/>
          <w:color w:val="auto"/>
        </w:rPr>
        <w:t xml:space="preserve"> </w:t>
      </w:r>
      <w:r>
        <w:rPr>
          <w:rFonts w:ascii="Arial" w:cs="Arial" w:eastAsia="Arial" w:hAnsi="Arial"/>
          <w:sz w:val="18"/>
          <w:szCs w:val="18"/>
          <w:color w:val="auto"/>
        </w:rPr>
        <w:t>defined benefit plan and certain continuing obligations related to prior business dispositions. In the fourth quarter of 2016, the Company recorded an $18.0 million gain related to a bulk lump sum pension program offering.</w:t>
      </w:r>
    </w:p>
    <w:p>
      <w:pPr>
        <w:spacing w:after="0" w:line="108" w:lineRule="exact"/>
        <w:rPr>
          <w:sz w:val="20"/>
          <w:szCs w:val="20"/>
          <w:color w:val="auto"/>
        </w:rPr>
      </w:pPr>
    </w:p>
    <w:p>
      <w:pPr>
        <w:ind w:right="180"/>
        <w:spacing w:after="0" w:line="234" w:lineRule="auto"/>
        <w:rPr>
          <w:sz w:val="20"/>
          <w:szCs w:val="20"/>
          <w:color w:val="auto"/>
        </w:rPr>
      </w:pPr>
      <w:r>
        <w:rPr>
          <w:rFonts w:ascii="Arial" w:cs="Arial" w:eastAsia="Arial" w:hAnsi="Arial"/>
          <w:sz w:val="18"/>
          <w:szCs w:val="18"/>
          <w:color w:val="auto"/>
        </w:rPr>
        <w:t>In the fourth quarter of 2015, the Company recorded $6.0 million in incremental stock compensation expense due to the modification of restricted stock awards and implemented a Special Incentive Program that resulted in expense of $0.9 million, which was funded from the assets of the Company’s pension plan. In the third quarter of 2015, the Company recorded $18.8 million in incremental stock option expense, due to stock option modifications that resulted from the Cable ONE spin-off.</w:t>
      </w:r>
    </w:p>
    <w:p>
      <w:pPr>
        <w:spacing w:after="0" w:line="111" w:lineRule="exact"/>
        <w:rPr>
          <w:sz w:val="20"/>
          <w:szCs w:val="20"/>
          <w:color w:val="auto"/>
        </w:rPr>
      </w:pPr>
    </w:p>
    <w:p>
      <w:pPr>
        <w:jc w:val="both"/>
        <w:ind w:right="20"/>
        <w:spacing w:after="0" w:line="260" w:lineRule="auto"/>
        <w:rPr>
          <w:sz w:val="20"/>
          <w:szCs w:val="20"/>
          <w:color w:val="auto"/>
        </w:rPr>
      </w:pPr>
      <w:r>
        <w:rPr>
          <w:rFonts w:ascii="Arial" w:cs="Arial" w:eastAsia="Arial" w:hAnsi="Arial"/>
          <w:sz w:val="18"/>
          <w:szCs w:val="18"/>
          <w:color w:val="auto"/>
        </w:rPr>
        <w:t>Excluding the pension gain and other pension incentive expense, the total pension credit for the Company's traditional defined benefit plan was $64.1 million and $83.2 million for 2016 and 2015, respectively.</w:t>
      </w:r>
    </w:p>
    <w:p>
      <w:pPr>
        <w:spacing w:after="0" w:line="92"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Excluding the pension credit and incremental stock compensation expense in 2015, corporate office expenses declined in 2016 due primarily to lower compensation costs.</w:t>
      </w:r>
    </w:p>
    <w:p>
      <w:pPr>
        <w:spacing w:after="0" w:line="90" w:lineRule="exact"/>
        <w:rPr>
          <w:sz w:val="20"/>
          <w:szCs w:val="20"/>
          <w:color w:val="auto"/>
        </w:rPr>
      </w:pPr>
    </w:p>
    <w:p>
      <w:pPr>
        <w:jc w:val="both"/>
        <w:spacing w:after="0" w:line="235" w:lineRule="auto"/>
        <w:rPr>
          <w:sz w:val="20"/>
          <w:szCs w:val="20"/>
          <w:color w:val="auto"/>
        </w:rPr>
      </w:pPr>
      <w:r>
        <w:rPr>
          <w:rFonts w:ascii="Arial" w:cs="Arial" w:eastAsia="Arial" w:hAnsi="Arial"/>
          <w:sz w:val="18"/>
          <w:szCs w:val="18"/>
          <w:b w:val="1"/>
          <w:bCs w:val="1"/>
          <w:color w:val="auto"/>
        </w:rPr>
        <w:t xml:space="preserve">Equity in (Losses) Earnings of Affiliates. </w:t>
      </w:r>
      <w:r>
        <w:rPr>
          <w:rFonts w:ascii="Arial" w:cs="Arial" w:eastAsia="Arial" w:hAnsi="Arial"/>
          <w:sz w:val="18"/>
          <w:szCs w:val="18"/>
          <w:color w:val="auto"/>
        </w:rPr>
        <w:t>At December 31, 2016, the Company held interests in a number of home health and hospice joint</w:t>
      </w:r>
      <w:r>
        <w:rPr>
          <w:rFonts w:ascii="Arial" w:cs="Arial" w:eastAsia="Arial" w:hAnsi="Arial"/>
          <w:sz w:val="18"/>
          <w:szCs w:val="18"/>
          <w:b w:val="1"/>
          <w:bCs w:val="1"/>
          <w:color w:val="auto"/>
        </w:rPr>
        <w:t xml:space="preserve"> </w:t>
      </w:r>
      <w:r>
        <w:rPr>
          <w:rFonts w:ascii="Arial" w:cs="Arial" w:eastAsia="Arial" w:hAnsi="Arial"/>
          <w:sz w:val="18"/>
          <w:szCs w:val="18"/>
          <w:color w:val="auto"/>
        </w:rPr>
        <w:t>ventures, and interests in several other affiliates. The company recorded equity in losses of affiliates of $7.9 million for 2016, compared to $ 0.7 million in 2015. In the fourth quarter of 2016, the Company recorded an $8.4 million write-down on its investment in HomeHero, a company that managed an online senior home care marketplace.</w:t>
      </w:r>
    </w:p>
    <w:p>
      <w:pPr>
        <w:spacing w:after="0" w:line="108"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b w:val="1"/>
          <w:bCs w:val="1"/>
          <w:color w:val="auto"/>
        </w:rPr>
        <w:t xml:space="preserve">Other Non-Operating (Expense) Income. </w:t>
      </w:r>
      <w:r>
        <w:rPr>
          <w:rFonts w:ascii="Arial" w:cs="Arial" w:eastAsia="Arial" w:hAnsi="Arial"/>
          <w:sz w:val="18"/>
          <w:szCs w:val="18"/>
          <w:color w:val="auto"/>
        </w:rPr>
        <w:t>The Company recorded total other non-operating expense, net, of $12.6 million in 2016, compared</w:t>
      </w:r>
      <w:r>
        <w:rPr>
          <w:rFonts w:ascii="Arial" w:cs="Arial" w:eastAsia="Arial" w:hAnsi="Arial"/>
          <w:sz w:val="18"/>
          <w:szCs w:val="18"/>
          <w:b w:val="1"/>
          <w:bCs w:val="1"/>
          <w:color w:val="auto"/>
        </w:rPr>
        <w:t xml:space="preserve"> </w:t>
      </w:r>
      <w:r>
        <w:rPr>
          <w:rFonts w:ascii="Arial" w:cs="Arial" w:eastAsia="Arial" w:hAnsi="Arial"/>
          <w:sz w:val="18"/>
          <w:szCs w:val="18"/>
          <w:color w:val="auto"/>
        </w:rPr>
        <w:t>to $8.6 million in 2015.</w:t>
      </w:r>
    </w:p>
    <w:p>
      <w:pPr>
        <w:spacing w:after="0" w:line="89" w:lineRule="exact"/>
        <w:rPr>
          <w:sz w:val="20"/>
          <w:szCs w:val="20"/>
          <w:color w:val="auto"/>
        </w:rPr>
      </w:pPr>
    </w:p>
    <w:p>
      <w:pPr>
        <w:ind w:right="20"/>
        <w:spacing w:after="0" w:line="229" w:lineRule="auto"/>
        <w:rPr>
          <w:sz w:val="20"/>
          <w:szCs w:val="20"/>
          <w:color w:val="auto"/>
        </w:rPr>
      </w:pPr>
      <w:r>
        <w:rPr>
          <w:rFonts w:ascii="Arial" w:cs="Arial" w:eastAsia="Arial" w:hAnsi="Arial"/>
          <w:sz w:val="18"/>
          <w:szCs w:val="18"/>
          <w:color w:val="auto"/>
        </w:rPr>
        <w:t>The 2016 non-operating expense, net, included $39.9 million in foreign currency losses; $29.4 million in cost method investment write-downs; and $1.8 million in net losses on the sales of marketable securities, partially offset by a $34.1 million gain on the sale of land; an $18.9 million gain on the sale of a business; a $3.2 million gain on the Residential joint venture transaction and other items. The 2015 non-operating expense, net, included $23.3 million in losses from the sales of businesses, $15.6 million in unrealized foreign currency losses and other items, offset by a $21.4 million gain on the sale of land from Robinson Terminal, a $6.0 million gain on the formation of a Celtic joint venture and a $4.8 million increase to the gain from the 2014 sale of Classified Ventures.</w:t>
      </w: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00"/>
          </w:cols>
          <w:pgMar w:left="240" w:top="724" w:right="25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color w:val="auto"/>
        </w:rPr>
        <w:t xml:space="preserve">Net Interest Expense. </w:t>
      </w:r>
      <w:r>
        <w:rPr>
          <w:rFonts w:ascii="Arial" w:cs="Arial" w:eastAsia="Arial" w:hAnsi="Arial"/>
          <w:sz w:val="18"/>
          <w:szCs w:val="18"/>
          <w:color w:val="auto"/>
        </w:rPr>
        <w:t>The Company incurred net interest expense of $32.3 million in 2016, compared to $30.7 million in 2015. At</w:t>
      </w:r>
    </w:p>
    <w:p>
      <w:pPr>
        <w:spacing w:after="0" w:line="6"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December 31, 2016, the Company had $491.8 million in borrowings outstanding at an average interest rate of 6.3%; at December 31, 2015, the Company had $399.8 million in borrowings outstanding at an average interest rate of 7.2%.</w:t>
      </w:r>
    </w:p>
    <w:p>
      <w:pPr>
        <w:spacing w:after="0" w:line="109" w:lineRule="exact"/>
        <w:rPr>
          <w:sz w:val="20"/>
          <w:szCs w:val="20"/>
          <w:color w:val="auto"/>
        </w:rPr>
      </w:pPr>
    </w:p>
    <w:p>
      <w:pPr>
        <w:ind w:right="280"/>
        <w:spacing w:after="0" w:line="260" w:lineRule="auto"/>
        <w:rPr>
          <w:sz w:val="20"/>
          <w:szCs w:val="20"/>
          <w:color w:val="auto"/>
        </w:rPr>
      </w:pPr>
      <w:r>
        <w:rPr>
          <w:rFonts w:ascii="Arial" w:cs="Arial" w:eastAsia="Arial" w:hAnsi="Arial"/>
          <w:sz w:val="18"/>
          <w:szCs w:val="18"/>
          <w:color w:val="auto"/>
        </w:rPr>
        <w:t>In July 2016, a Kaplan UK company entered into a four-year loan agreement for a £75 million borrowing. The overall effective interest rate is 2.01%, taking into account an interest rate swap agreement the Company entered into on the same date as the borrowing.</w:t>
      </w:r>
    </w:p>
    <w:p>
      <w:pPr>
        <w:spacing w:after="0" w:line="90"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b w:val="1"/>
          <w:bCs w:val="1"/>
          <w:color w:val="auto"/>
        </w:rPr>
        <w:t xml:space="preserve">Provision for Income Taxes. </w:t>
      </w:r>
      <w:r>
        <w:rPr>
          <w:rFonts w:ascii="Arial" w:cs="Arial" w:eastAsia="Arial" w:hAnsi="Arial"/>
          <w:sz w:val="18"/>
          <w:szCs w:val="18"/>
          <w:color w:val="auto"/>
        </w:rPr>
        <w:t>The Company's effective tax rate for 2016 was 32.4%. In the third quarter of 2016, a net nonrecurring $8.3</w:t>
      </w:r>
      <w:r>
        <w:rPr>
          <w:rFonts w:ascii="Arial" w:cs="Arial" w:eastAsia="Arial" w:hAnsi="Arial"/>
          <w:sz w:val="18"/>
          <w:szCs w:val="18"/>
          <w:b w:val="1"/>
          <w:bCs w:val="1"/>
          <w:color w:val="auto"/>
        </w:rPr>
        <w:t xml:space="preserve"> </w:t>
      </w:r>
      <w:r>
        <w:rPr>
          <w:rFonts w:ascii="Arial" w:cs="Arial" w:eastAsia="Arial" w:hAnsi="Arial"/>
          <w:sz w:val="18"/>
          <w:szCs w:val="18"/>
          <w:color w:val="auto"/>
        </w:rPr>
        <w:t>million deferred tax benefit related to Kaplan's international operations was recorded. In the second quarter of 2016, the Company benefited from a favorable $5.6 million out of period deferred tax adjustment related to the KHE goodwill impairment recorded in the third quarter of 2015. Excluding the effect of these items, the effective tax rate in 2016 was 37.9%.</w:t>
      </w:r>
    </w:p>
    <w:p>
      <w:pPr>
        <w:spacing w:after="0" w:line="110" w:lineRule="exact"/>
        <w:rPr>
          <w:sz w:val="20"/>
          <w:szCs w:val="20"/>
          <w:color w:val="auto"/>
        </w:rPr>
      </w:pPr>
    </w:p>
    <w:p>
      <w:pPr>
        <w:ind w:right="100"/>
        <w:spacing w:after="0"/>
        <w:rPr>
          <w:sz w:val="20"/>
          <w:szCs w:val="20"/>
          <w:color w:val="auto"/>
        </w:rPr>
      </w:pPr>
      <w:r>
        <w:rPr>
          <w:rFonts w:ascii="Arial" w:cs="Arial" w:eastAsia="Arial" w:hAnsi="Arial"/>
          <w:sz w:val="18"/>
          <w:szCs w:val="18"/>
          <w:color w:val="auto"/>
        </w:rPr>
        <w:t>The Company recorded a tax provision on the pre-tax loss from continuing operations in 2015, as a large portion of the goodwill impairment charges and the goodwill included in the loss on the KHE Campuses sale were permanent differences not deductible for income tax purposes. Excluding the effect of these permanent differences, the effective tax rate for continuing operations in 2015 was 38.1%.</w:t>
      </w:r>
    </w:p>
    <w:p>
      <w:pPr>
        <w:spacing w:after="0" w:line="106"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b w:val="1"/>
          <w:bCs w:val="1"/>
          <w:color w:val="auto"/>
        </w:rPr>
        <w:t xml:space="preserve">Discontinued Operations. </w:t>
      </w:r>
      <w:r>
        <w:rPr>
          <w:rFonts w:ascii="Arial" w:cs="Arial" w:eastAsia="Arial" w:hAnsi="Arial"/>
          <w:sz w:val="18"/>
          <w:szCs w:val="18"/>
          <w:color w:val="auto"/>
        </w:rPr>
        <w:t>In 2015, the Company completed the spin-off of Cable ONE as an independent, publicly traded company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sale of a school in China that was previously part of Kaplan International.</w:t>
      </w:r>
    </w:p>
    <w:p>
      <w:pPr>
        <w:spacing w:after="0" w:line="89" w:lineRule="exact"/>
        <w:rPr>
          <w:sz w:val="20"/>
          <w:szCs w:val="20"/>
          <w:color w:val="auto"/>
        </w:rPr>
      </w:pPr>
    </w:p>
    <w:p>
      <w:pPr>
        <w:ind w:right="220"/>
        <w:spacing w:after="0" w:line="260" w:lineRule="auto"/>
        <w:rPr>
          <w:sz w:val="20"/>
          <w:szCs w:val="20"/>
          <w:color w:val="auto"/>
        </w:rPr>
      </w:pPr>
      <w:r>
        <w:rPr>
          <w:rFonts w:ascii="Arial" w:cs="Arial" w:eastAsia="Arial" w:hAnsi="Arial"/>
          <w:sz w:val="18"/>
          <w:szCs w:val="18"/>
          <w:color w:val="auto"/>
        </w:rPr>
        <w:t>As a result of these transactions, income from continuing operations excludes the operating results and related loss, if any, on dispositions of these businesses, which have been reclassified to discontinued operations, net of tax, in 2015.</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 2015 COMPARED TO 2014</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Net loss attributable to common shares was $101.3 million ($17.87 per share) for the year ended December 31, 2015, compared to net income</w:t>
      </w:r>
    </w:p>
    <w:p>
      <w:pPr>
        <w:spacing w:after="0" w:line="223" w:lineRule="auto"/>
        <w:rPr>
          <w:sz w:val="20"/>
          <w:szCs w:val="20"/>
          <w:color w:val="auto"/>
        </w:rPr>
      </w:pPr>
      <w:r>
        <w:rPr>
          <w:rFonts w:ascii="Arial" w:cs="Arial" w:eastAsia="Arial" w:hAnsi="Arial"/>
          <w:sz w:val="18"/>
          <w:szCs w:val="18"/>
          <w:color w:val="auto"/>
        </w:rPr>
        <w:t>attributable to common shares of $1,293.0 million ($195.03 per share) for the year ended December 31, 2014. Net (loss) income includes</w:t>
      </w:r>
    </w:p>
    <w:p>
      <w:pPr>
        <w:spacing w:after="0" w:line="220" w:lineRule="auto"/>
        <w:rPr>
          <w:sz w:val="20"/>
          <w:szCs w:val="20"/>
          <w:color w:val="auto"/>
        </w:rPr>
      </w:pPr>
      <w:r>
        <w:rPr>
          <w:rFonts w:ascii="Arial" w:cs="Arial" w:eastAsia="Arial" w:hAnsi="Arial"/>
          <w:sz w:val="18"/>
          <w:szCs w:val="18"/>
          <w:color w:val="auto"/>
        </w:rPr>
        <w:t>$42.2 million ($7.36 per share) and $527.9 million ($79.63 per share) in income from discontinued operations for 2015 and 2014, respectively.</w:t>
      </w:r>
    </w:p>
    <w:p>
      <w:pPr>
        <w:spacing w:after="0" w:line="219" w:lineRule="auto"/>
        <w:rPr>
          <w:sz w:val="20"/>
          <w:szCs w:val="20"/>
          <w:color w:val="auto"/>
        </w:rPr>
      </w:pPr>
      <w:r>
        <w:rPr>
          <w:rFonts w:ascii="Arial" w:cs="Arial" w:eastAsia="Arial" w:hAnsi="Arial"/>
          <w:sz w:val="18"/>
          <w:szCs w:val="18"/>
          <w:color w:val="auto"/>
        </w:rPr>
        <w:t>Loss from continuing operations attributable to common shares was $143.5 million ($25.23 per share) for 2015, compared to income of $765.1</w:t>
      </w:r>
    </w:p>
    <w:p>
      <w:pPr>
        <w:spacing w:after="0"/>
        <w:rPr>
          <w:sz w:val="20"/>
          <w:szCs w:val="20"/>
          <w:color w:val="auto"/>
        </w:rPr>
      </w:pPr>
      <w:r>
        <w:rPr>
          <w:rFonts w:ascii="Arial" w:cs="Arial" w:eastAsia="Arial" w:hAnsi="Arial"/>
          <w:sz w:val="18"/>
          <w:szCs w:val="18"/>
          <w:color w:val="auto"/>
        </w:rPr>
        <w:t>million ($115.40 per share) for 2014.</w:t>
      </w:r>
    </w:p>
    <w:p>
      <w:pPr>
        <w:spacing w:after="0" w:line="217" w:lineRule="exact"/>
        <w:rPr>
          <w:sz w:val="20"/>
          <w:szCs w:val="20"/>
          <w:color w:val="auto"/>
        </w:rPr>
      </w:pPr>
    </w:p>
    <w:p>
      <w:pPr>
        <w:ind w:right="300"/>
        <w:spacing w:after="0" w:line="289" w:lineRule="auto"/>
        <w:rPr>
          <w:sz w:val="20"/>
          <w:szCs w:val="20"/>
          <w:color w:val="auto"/>
        </w:rPr>
      </w:pPr>
      <w:r>
        <w:rPr>
          <w:rFonts w:ascii="Arial" w:cs="Arial" w:eastAsia="Arial" w:hAnsi="Arial"/>
          <w:sz w:val="18"/>
          <w:szCs w:val="18"/>
          <w:color w:val="auto"/>
        </w:rPr>
        <w:t>In connection with the tax-free Berkshire exchange transaction that closed on June 30, 2014, the Company acquired 1,620,190 shares of its Class B common stock, resulting in 13% fewer diluted shares outstanding in 2015 compared to 2014.</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Items included in the Company’s income from continuing operations for 2015 are listed below:</w:t>
      </w:r>
    </w:p>
    <w:p>
      <w:pPr>
        <w:spacing w:after="0" w:line="90" w:lineRule="exact"/>
        <w:rPr>
          <w:sz w:val="20"/>
          <w:szCs w:val="20"/>
          <w:color w:val="auto"/>
        </w:rPr>
      </w:pPr>
    </w:p>
    <w:p>
      <w:pPr>
        <w:ind w:left="180" w:right="180" w:hanging="172"/>
        <w:spacing w:after="0" w:line="259" w:lineRule="auto"/>
        <w:tabs>
          <w:tab w:leader="none" w:pos="180" w:val="left"/>
        </w:tabs>
        <w:numPr>
          <w:ilvl w:val="0"/>
          <w:numId w:val="44"/>
        </w:numPr>
        <w:rPr>
          <w:rFonts w:ascii="Times New Roman" w:cs="Times New Roman" w:eastAsia="Times New Roman" w:hAnsi="Times New Roman"/>
          <w:sz w:val="18"/>
          <w:szCs w:val="18"/>
          <w:color w:val="auto"/>
        </w:rPr>
      </w:pPr>
      <w:r>
        <w:rPr>
          <w:rFonts w:ascii="Arial" w:cs="Arial" w:eastAsia="Arial" w:hAnsi="Arial"/>
          <w:sz w:val="18"/>
          <w:szCs w:val="18"/>
          <w:color w:val="auto"/>
        </w:rPr>
        <w:t>$259.7 million goodwill and long-lived assets impairment charges at the education division and other businesses (after-tax impact of $225.2 million, or $38.96 per share);</w:t>
      </w:r>
    </w:p>
    <w:p>
      <w:pPr>
        <w:spacing w:after="0" w:line="38" w:lineRule="exact"/>
        <w:rPr>
          <w:rFonts w:ascii="Times New Roman" w:cs="Times New Roman" w:eastAsia="Times New Roman" w:hAnsi="Times New Roman"/>
          <w:sz w:val="18"/>
          <w:szCs w:val="18"/>
          <w:color w:val="auto"/>
        </w:rPr>
      </w:pPr>
    </w:p>
    <w:p>
      <w:pPr>
        <w:ind w:left="180" w:right="360" w:hanging="172"/>
        <w:spacing w:after="0" w:line="260" w:lineRule="auto"/>
        <w:tabs>
          <w:tab w:leader="none" w:pos="1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$45.8 million in restructuring charges at the education division, corporate office and other businesses (after-tax impact of $28.9 million, or $4.97 per share);</w:t>
      </w:r>
    </w:p>
    <w:p>
      <w:pPr>
        <w:spacing w:after="0" w:line="37" w:lineRule="exact"/>
        <w:rPr>
          <w:rFonts w:ascii="Arial" w:cs="Arial" w:eastAsia="Arial" w:hAnsi="Arial"/>
          <w:sz w:val="18"/>
          <w:szCs w:val="18"/>
          <w:color w:val="auto"/>
        </w:rPr>
      </w:pPr>
    </w:p>
    <w:p>
      <w:pPr>
        <w:ind w:left="180" w:right="80" w:hanging="172"/>
        <w:spacing w:after="0" w:line="260" w:lineRule="auto"/>
        <w:tabs>
          <w:tab w:leader="none" w:pos="1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$24.9 million in expense related to the modification of stock option awards in conjunction with the Cable ONE spin-off and the modification of restricted stock awards (after-tax impact of $15.3 million, or $2.64 per share);</w:t>
      </w:r>
    </w:p>
    <w:p>
      <w:pPr>
        <w:spacing w:after="0" w:line="37" w:lineRule="exact"/>
        <w:rPr>
          <w:rFonts w:ascii="Arial" w:cs="Arial" w:eastAsia="Arial" w:hAnsi="Arial"/>
          <w:sz w:val="18"/>
          <w:szCs w:val="18"/>
          <w:color w:val="auto"/>
        </w:rPr>
      </w:pPr>
    </w:p>
    <w:p>
      <w:pPr>
        <w:ind w:left="180" w:right="140" w:hanging="172"/>
        <w:spacing w:after="0" w:line="260" w:lineRule="auto"/>
        <w:tabs>
          <w:tab w:leader="none" w:pos="1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$12.5 million in net non-operating losses arising from the sales of five businesses and an investment, and on the formation of a joint venture (after-tax impact of $15.7 million, or $2.82 per share);</w:t>
      </w:r>
    </w:p>
    <w:p>
      <w:pPr>
        <w:spacing w:after="0" w:line="37" w:lineRule="exact"/>
        <w:rPr>
          <w:rFonts w:ascii="Arial" w:cs="Arial" w:eastAsia="Arial" w:hAnsi="Arial"/>
          <w:sz w:val="18"/>
          <w:szCs w:val="18"/>
          <w:color w:val="auto"/>
        </w:rPr>
      </w:pPr>
    </w:p>
    <w:p>
      <w:pPr>
        <w:ind w:left="180" w:hanging="172"/>
        <w:spacing w:after="0"/>
        <w:tabs>
          <w:tab w:leader="none" w:pos="1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$21.4 million gain on the sale of land (after-tax impact of $13.2 million, or $2.27 per share); and</w:t>
      </w:r>
    </w:p>
    <w:p>
      <w:pPr>
        <w:spacing w:after="0" w:line="90" w:lineRule="exact"/>
        <w:rPr>
          <w:rFonts w:ascii="Arial" w:cs="Arial" w:eastAsia="Arial" w:hAnsi="Arial"/>
          <w:sz w:val="18"/>
          <w:szCs w:val="18"/>
          <w:color w:val="auto"/>
        </w:rPr>
      </w:pPr>
    </w:p>
    <w:p>
      <w:pPr>
        <w:ind w:left="180" w:hanging="172"/>
        <w:spacing w:after="0"/>
        <w:tabs>
          <w:tab w:leader="none" w:pos="180" w:val="left"/>
        </w:tabs>
        <w:numPr>
          <w:ilvl w:val="0"/>
          <w:numId w:val="44"/>
        </w:numPr>
        <w:rPr>
          <w:rFonts w:ascii="Times New Roman" w:cs="Times New Roman" w:eastAsia="Times New Roman" w:hAnsi="Times New Roman"/>
          <w:sz w:val="18"/>
          <w:szCs w:val="18"/>
          <w:color w:val="auto"/>
        </w:rPr>
      </w:pPr>
      <w:r>
        <w:rPr>
          <w:rFonts w:ascii="Arial" w:cs="Arial" w:eastAsia="Arial" w:hAnsi="Arial"/>
          <w:sz w:val="18"/>
          <w:szCs w:val="18"/>
          <w:color w:val="auto"/>
        </w:rPr>
        <w:t>$15.6 million in non-operating unrealized foreign currency losses (after-tax impact of $9.7 million, or $1.67 per share.</w:t>
      </w: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722" w:right="239" w:bottom="1440" w:gutter="0" w:footer="0" w:header="0"/>
        </w:sectPr>
      </w:pPr>
    </w:p>
    <w:bookmarkStart w:id="49" w:name="page50"/>
    <w:bookmarkEnd w:id="49"/>
    <w:p>
      <w:pPr>
        <w:spacing w:after="0"/>
        <w:rPr>
          <w:sz w:val="20"/>
          <w:szCs w:val="20"/>
          <w:color w:val="auto"/>
        </w:rPr>
      </w:pPr>
      <w:r>
        <w:rPr>
          <w:rFonts w:ascii="Arial" w:cs="Arial" w:eastAsia="Arial" w:hAnsi="Arial"/>
          <w:sz w:val="18"/>
          <w:szCs w:val="18"/>
          <w:color w:val="auto"/>
        </w:rPr>
        <w:t>Items included in the Company’s income from continuing operations for 2014 are listed below:</w:t>
      </w:r>
    </w:p>
    <w:p>
      <w:pPr>
        <w:spacing w:after="0" w:line="90" w:lineRule="exact"/>
        <w:rPr>
          <w:sz w:val="20"/>
          <w:szCs w:val="20"/>
          <w:color w:val="auto"/>
        </w:rPr>
      </w:pPr>
    </w:p>
    <w:p>
      <w:pPr>
        <w:ind w:left="180" w:right="80" w:hanging="172"/>
        <w:spacing w:after="0" w:line="260" w:lineRule="auto"/>
        <w:tabs>
          <w:tab w:leader="none" w:pos="1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$31.6 million in restructuring charges and early retirement program expense and related charges at the education division and the corporate office (after-tax impact of $20.2 million, or $3.05 per share);</w:t>
      </w:r>
    </w:p>
    <w:p>
      <w:pPr>
        <w:spacing w:after="0" w:line="37" w:lineRule="exact"/>
        <w:rPr>
          <w:rFonts w:ascii="Arial" w:cs="Arial" w:eastAsia="Arial" w:hAnsi="Arial"/>
          <w:sz w:val="18"/>
          <w:szCs w:val="18"/>
          <w:color w:val="auto"/>
        </w:rPr>
      </w:pPr>
    </w:p>
    <w:p>
      <w:pPr>
        <w:ind w:left="180" w:right="200" w:hanging="172"/>
        <w:spacing w:after="0" w:line="260" w:lineRule="auto"/>
        <w:tabs>
          <w:tab w:leader="none" w:pos="1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$17.3 million noncash intangible and other long-lived assets impairment charges at Kaplan and other businesses (after-tax impact of $11.2 million, or $1.69 per share);</w:t>
      </w:r>
    </w:p>
    <w:p>
      <w:pPr>
        <w:spacing w:after="0" w:line="37" w:lineRule="exact"/>
        <w:rPr>
          <w:rFonts w:ascii="Arial" w:cs="Arial" w:eastAsia="Arial" w:hAnsi="Arial"/>
          <w:sz w:val="18"/>
          <w:szCs w:val="18"/>
          <w:color w:val="auto"/>
        </w:rPr>
      </w:pPr>
    </w:p>
    <w:p>
      <w:pPr>
        <w:ind w:left="180" w:hanging="172"/>
        <w:spacing w:after="0"/>
        <w:tabs>
          <w:tab w:leader="none" w:pos="1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$396.6 million gain from the sale of Classified Ventures (after-tax impact of $249.8 million, or $37.68 per share);</w:t>
      </w:r>
    </w:p>
    <w:p>
      <w:pPr>
        <w:spacing w:after="0" w:line="90" w:lineRule="exact"/>
        <w:rPr>
          <w:rFonts w:ascii="Arial" w:cs="Arial" w:eastAsia="Arial" w:hAnsi="Arial"/>
          <w:sz w:val="18"/>
          <w:szCs w:val="18"/>
          <w:color w:val="auto"/>
        </w:rPr>
      </w:pPr>
    </w:p>
    <w:p>
      <w:pPr>
        <w:ind w:left="180" w:hanging="172"/>
        <w:spacing w:after="0"/>
        <w:tabs>
          <w:tab w:leader="none" w:pos="1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$90.9 million gain from the Classified Ventures’ sale of apartments.com (after-tax impact of $58.2 million, or $8.78 per share);</w:t>
      </w:r>
    </w:p>
    <w:p>
      <w:pPr>
        <w:spacing w:after="0" w:line="90" w:lineRule="exact"/>
        <w:rPr>
          <w:rFonts w:ascii="Arial" w:cs="Arial" w:eastAsia="Arial" w:hAnsi="Arial"/>
          <w:sz w:val="18"/>
          <w:szCs w:val="18"/>
          <w:color w:val="auto"/>
        </w:rPr>
      </w:pPr>
    </w:p>
    <w:p>
      <w:pPr>
        <w:ind w:left="180" w:hanging="172"/>
        <w:spacing w:after="0"/>
        <w:tabs>
          <w:tab w:leader="none" w:pos="1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$266.7 million gain from the tax-free Berkshire exchange transaction (after-tax impact of $266.7 million, or $40.23 per share);</w:t>
      </w:r>
    </w:p>
    <w:p>
      <w:pPr>
        <w:spacing w:after="0" w:line="90" w:lineRule="exact"/>
        <w:rPr>
          <w:rFonts w:ascii="Arial" w:cs="Arial" w:eastAsia="Arial" w:hAnsi="Arial"/>
          <w:sz w:val="18"/>
          <w:szCs w:val="18"/>
          <w:color w:val="auto"/>
        </w:rPr>
      </w:pPr>
    </w:p>
    <w:p>
      <w:pPr>
        <w:ind w:left="180" w:hanging="172"/>
        <w:spacing w:after="0"/>
        <w:tabs>
          <w:tab w:leader="none" w:pos="1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$127.7 million gain on the sale of the corporate headquarters building (after-tax impact of $81.8 million, or $12.34 per share); and</w:t>
      </w:r>
    </w:p>
    <w:p>
      <w:pPr>
        <w:spacing w:after="0" w:line="90" w:lineRule="exact"/>
        <w:rPr>
          <w:rFonts w:ascii="Arial" w:cs="Arial" w:eastAsia="Arial" w:hAnsi="Arial"/>
          <w:sz w:val="18"/>
          <w:szCs w:val="18"/>
          <w:color w:val="auto"/>
        </w:rPr>
      </w:pPr>
    </w:p>
    <w:p>
      <w:pPr>
        <w:ind w:left="180" w:hanging="172"/>
        <w:spacing w:after="0"/>
        <w:tabs>
          <w:tab w:leader="none" w:pos="1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$11.1 million in non-operating unrealized foreign currency losses (after-tax impact of $7.1 million, or $1.08 per share).</w:t>
      </w:r>
    </w:p>
    <w:p>
      <w:pPr>
        <w:spacing w:after="0" w:line="144" w:lineRule="exact"/>
        <w:rPr>
          <w:sz w:val="20"/>
          <w:szCs w:val="20"/>
          <w:color w:val="auto"/>
        </w:rPr>
      </w:pPr>
    </w:p>
    <w:p>
      <w:pPr>
        <w:ind w:right="180"/>
        <w:spacing w:after="0" w:line="260" w:lineRule="auto"/>
        <w:rPr>
          <w:sz w:val="20"/>
          <w:szCs w:val="20"/>
          <w:color w:val="auto"/>
        </w:rPr>
      </w:pPr>
      <w:r>
        <w:rPr>
          <w:rFonts w:ascii="Arial" w:cs="Arial" w:eastAsia="Arial" w:hAnsi="Arial"/>
          <w:sz w:val="18"/>
          <w:szCs w:val="18"/>
          <w:color w:val="auto"/>
        </w:rPr>
        <w:t>Revenue for 2015 was $2,586.1 million, down 6% from $2,737.0 million in 2014. Revenues declined at the education division and were down slightly at the television broadcasting division, offset by an increase in other businesses.</w:t>
      </w:r>
    </w:p>
    <w:p>
      <w:pPr>
        <w:spacing w:after="0" w:line="92" w:lineRule="exact"/>
        <w:rPr>
          <w:sz w:val="20"/>
          <w:szCs w:val="20"/>
          <w:color w:val="auto"/>
        </w:rPr>
      </w:pPr>
    </w:p>
    <w:p>
      <w:pPr>
        <w:ind w:right="60"/>
        <w:spacing w:after="0"/>
        <w:rPr>
          <w:sz w:val="20"/>
          <w:szCs w:val="20"/>
          <w:color w:val="auto"/>
        </w:rPr>
      </w:pPr>
      <w:r>
        <w:rPr>
          <w:rFonts w:ascii="Arial" w:cs="Arial" w:eastAsia="Arial" w:hAnsi="Arial"/>
          <w:sz w:val="18"/>
          <w:szCs w:val="18"/>
          <w:color w:val="auto"/>
        </w:rPr>
        <w:t>In 2015, education revenue was down by 11%, advertising revenue decreased 9% and other revenue increased 41%. The revenue declines at Kaplan account for the reported education revenue. The decline in advertising revenue is due to decreased television broadcasting revenue. The increase in other revenues is due primarily to the inclusion of revenues from businesses acquired in 2015 and 2014.</w:t>
      </w:r>
    </w:p>
    <w:p>
      <w:pPr>
        <w:spacing w:after="0" w:line="108" w:lineRule="exact"/>
        <w:rPr>
          <w:sz w:val="20"/>
          <w:szCs w:val="20"/>
          <w:color w:val="auto"/>
        </w:rPr>
      </w:pPr>
    </w:p>
    <w:p>
      <w:pPr>
        <w:ind w:right="200"/>
        <w:spacing w:after="0" w:line="234" w:lineRule="auto"/>
        <w:rPr>
          <w:sz w:val="20"/>
          <w:szCs w:val="20"/>
          <w:color w:val="auto"/>
        </w:rPr>
      </w:pPr>
      <w:r>
        <w:rPr>
          <w:rFonts w:ascii="Arial" w:cs="Arial" w:eastAsia="Arial" w:hAnsi="Arial"/>
          <w:sz w:val="18"/>
          <w:szCs w:val="18"/>
          <w:color w:val="auto"/>
        </w:rPr>
        <w:t>Operating costs and expenses for the year increased 6% to $2,666.9 million in 2015, from $2,504.3 million in 2014. Expenses were higher at the education division due to goodwill and other long-lived assets impairment charges recorded in 2015; increased spending on digital initiatives and network fees at the television broadcasting division in 2015; and increased expenses at other businesses as a result of businesses acquired in 2015 and 2014.</w:t>
      </w:r>
    </w:p>
    <w:p>
      <w:pPr>
        <w:spacing w:after="0" w:line="111" w:lineRule="exact"/>
        <w:rPr>
          <w:sz w:val="20"/>
          <w:szCs w:val="20"/>
          <w:color w:val="auto"/>
        </w:rPr>
      </w:pPr>
    </w:p>
    <w:p>
      <w:pPr>
        <w:ind w:right="540"/>
        <w:spacing w:after="0" w:line="260" w:lineRule="auto"/>
        <w:rPr>
          <w:sz w:val="20"/>
          <w:szCs w:val="20"/>
          <w:color w:val="auto"/>
        </w:rPr>
      </w:pPr>
      <w:r>
        <w:rPr>
          <w:rFonts w:ascii="Arial" w:cs="Arial" w:eastAsia="Arial" w:hAnsi="Arial"/>
          <w:sz w:val="18"/>
          <w:szCs w:val="18"/>
          <w:color w:val="auto"/>
        </w:rPr>
        <w:t>The Company reported an operating loss for 2015 of $80.8 million, compared with operating income of $ 232.7 million in 2014. Operating results were down at the education and television broadcasting divisions, offset by improvement in other businesses.</w:t>
      </w:r>
    </w:p>
    <w:p>
      <w:pPr>
        <w:spacing w:after="0" w:line="92" w:lineRule="exact"/>
        <w:rPr>
          <w:sz w:val="20"/>
          <w:szCs w:val="20"/>
          <w:color w:val="auto"/>
        </w:rPr>
      </w:pPr>
    </w:p>
    <w:p>
      <w:pPr>
        <w:ind w:right="120"/>
        <w:spacing w:after="0" w:line="234" w:lineRule="auto"/>
        <w:rPr>
          <w:sz w:val="20"/>
          <w:szCs w:val="20"/>
          <w:color w:val="auto"/>
        </w:rPr>
      </w:pPr>
      <w:r>
        <w:rPr>
          <w:rFonts w:ascii="Arial" w:cs="Arial" w:eastAsia="Arial" w:hAnsi="Arial"/>
          <w:sz w:val="18"/>
          <w:szCs w:val="18"/>
          <w:color w:val="auto"/>
        </w:rPr>
        <w:t>On July 1, 2015, the Company completed the spin-off of Cable ONE as an independent, publicly traded company. The transaction was structured as a tax-free spin-off of Cable ONE to the stockholders of the Company as one share of Cable ONE common stock was distributed for every share of Class A and Class B common stock of Graham Holdings outstanding on the June 15, 2015, record date. The historical operating results of the Company’s cable division are included in discontinued operations, net of tax, for all periods presented.</w:t>
      </w:r>
    </w:p>
    <w:p>
      <w:pPr>
        <w:spacing w:after="0" w:line="111" w:lineRule="exact"/>
        <w:rPr>
          <w:sz w:val="20"/>
          <w:szCs w:val="20"/>
          <w:color w:val="auto"/>
        </w:rPr>
      </w:pPr>
    </w:p>
    <w:p>
      <w:pPr>
        <w:ind w:right="200"/>
        <w:spacing w:after="0"/>
        <w:rPr>
          <w:sz w:val="20"/>
          <w:szCs w:val="20"/>
          <w:color w:val="auto"/>
        </w:rPr>
      </w:pPr>
      <w:r>
        <w:rPr>
          <w:rFonts w:ascii="Arial" w:cs="Arial" w:eastAsia="Arial" w:hAnsi="Arial"/>
          <w:sz w:val="18"/>
          <w:szCs w:val="18"/>
          <w:color w:val="auto"/>
        </w:rPr>
        <w:t>On February 12, 2015, Kaplan entered into a Purchase and Sale Agreement to sell substantially all of the assets of its KHE Campuses business, consisting of 38 nationally accredited ground campuses, and certain related assets, in exchange for a preferred equity interest in a vocational school company. The transaction closed on September 3, 2015.</w:t>
      </w:r>
    </w:p>
    <w:p>
      <w:pPr>
        <w:spacing w:after="0" w:line="108" w:lineRule="exact"/>
        <w:rPr>
          <w:sz w:val="20"/>
          <w:szCs w:val="20"/>
          <w:color w:val="auto"/>
        </w:rPr>
      </w:pPr>
    </w:p>
    <w:p>
      <w:pPr>
        <w:ind w:right="60"/>
        <w:spacing w:after="0" w:line="229" w:lineRule="auto"/>
        <w:rPr>
          <w:sz w:val="20"/>
          <w:szCs w:val="20"/>
          <w:color w:val="auto"/>
        </w:rPr>
      </w:pPr>
      <w:r>
        <w:rPr>
          <w:rFonts w:ascii="Arial" w:cs="Arial" w:eastAsia="Arial" w:hAnsi="Arial"/>
          <w:sz w:val="18"/>
          <w:szCs w:val="18"/>
          <w:color w:val="auto"/>
        </w:rPr>
        <w:t>On June 30, 2014, the Company and Berkshire Hathaway Inc. completed a transaction in which Berkshire acquired a wholly owned subsidiary of the Company that included, among other things, WPLG, a Miami -based television station, 2,107 Class A Berkshire shares and 1,278 Class B Berkshire shares owned by Graham Holdings and $327.7 million in cash, in exchange for 1,620,190 shares of Graham Holdings Class B common stock owned by Berkshire Hathaway (Berkshire exchange transaction). As a result, income from continuing operations for 2014 includes a $266.7 million gain from the exchange of the Berkshire Hathaway shares, and income from discontinued operations for 2014 includes a $375.0 million gain from the WPLG exchange.</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Division Results</w:t>
      </w:r>
    </w:p>
    <w:p>
      <w:pPr>
        <w:spacing w:after="0" w:line="144" w:lineRule="exact"/>
        <w:rPr>
          <w:sz w:val="20"/>
          <w:szCs w:val="20"/>
          <w:color w:val="auto"/>
        </w:rPr>
      </w:pPr>
    </w:p>
    <w:p>
      <w:pPr>
        <w:spacing w:after="0" w:line="235" w:lineRule="auto"/>
        <w:rPr>
          <w:sz w:val="20"/>
          <w:szCs w:val="20"/>
          <w:color w:val="auto"/>
        </w:rPr>
      </w:pPr>
      <w:r>
        <w:rPr>
          <w:rFonts w:ascii="Arial" w:cs="Arial" w:eastAsia="Arial" w:hAnsi="Arial"/>
          <w:sz w:val="18"/>
          <w:szCs w:val="18"/>
          <w:b w:val="1"/>
          <w:bCs w:val="1"/>
          <w:color w:val="auto"/>
        </w:rPr>
        <w:t xml:space="preserve">Education Division. </w:t>
      </w:r>
      <w:r>
        <w:rPr>
          <w:rFonts w:ascii="Arial" w:cs="Arial" w:eastAsia="Arial" w:hAnsi="Arial"/>
          <w:sz w:val="18"/>
          <w:szCs w:val="18"/>
          <w:color w:val="auto"/>
        </w:rPr>
        <w:t>Education division revenue in 2015 totaled $ 1,927.5 million, down 11% from revenue of $2,160.4 million in 2014. Kaplan</w:t>
      </w:r>
      <w:r>
        <w:rPr>
          <w:rFonts w:ascii="Arial" w:cs="Arial" w:eastAsia="Arial" w:hAnsi="Arial"/>
          <w:sz w:val="18"/>
          <w:szCs w:val="18"/>
          <w:b w:val="1"/>
          <w:bCs w:val="1"/>
          <w:color w:val="auto"/>
        </w:rPr>
        <w:t xml:space="preserve"> </w:t>
      </w:r>
      <w:r>
        <w:rPr>
          <w:rFonts w:ascii="Arial" w:cs="Arial" w:eastAsia="Arial" w:hAnsi="Arial"/>
          <w:sz w:val="18"/>
          <w:szCs w:val="18"/>
          <w:color w:val="auto"/>
        </w:rPr>
        <w:t>reported an operating loss of $223.5 million for 2015, compared to operating income of $65.5 million in 2014. Kaplan’s 2015 operating results include goodwill and intangible assets impairment charges of $256.8 million in comparison to a $17.2 million charge in 2014. In 2015, operating results at Kaplan Higher Education and Kaplan International were down, partially offset by improved results at Kaplan Test Preparation.</w:t>
      </w:r>
    </w:p>
    <w:p>
      <w:pPr>
        <w:spacing w:after="0" w:line="200" w:lineRule="exact"/>
        <w:rPr>
          <w:sz w:val="20"/>
          <w:szCs w:val="20"/>
          <w:color w:val="auto"/>
        </w:rPr>
      </w:pPr>
    </w:p>
    <w:p>
      <w:pPr>
        <w:spacing w:after="0" w:line="2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380"/>
          </w:cols>
          <w:pgMar w:left="240" w:top="724" w:right="279" w:bottom="1440" w:gutter="0" w:footer="0" w:header="0"/>
        </w:sectPr>
      </w:pPr>
    </w:p>
    <w:bookmarkStart w:id="50" w:name="page51"/>
    <w:bookmarkEnd w:id="50"/>
    <w:p>
      <w:pPr>
        <w:ind w:right="160"/>
        <w:spacing w:after="0"/>
        <w:rPr>
          <w:sz w:val="20"/>
          <w:szCs w:val="20"/>
          <w:color w:val="auto"/>
        </w:rPr>
      </w:pPr>
      <w:r>
        <w:rPr>
          <w:rFonts w:ascii="Arial" w:cs="Arial" w:eastAsia="Arial" w:hAnsi="Arial"/>
          <w:sz w:val="18"/>
          <w:szCs w:val="18"/>
          <w:color w:val="auto"/>
        </w:rPr>
        <w:t>In recent years, Kaplan has formulated and implemented restructuring plans at its various businesses that have resulted in significant costs in 2015 and 2014, with the objective of establishing lower cost levels in future periods. Across all businesses, restructuring costs totaled $44.4 million in 2015 and $16.8 million in 2014.</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A summary of Kaplan’s operating results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74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360" w:type="dxa"/>
            <w:vAlign w:val="bottom"/>
            <w:tcBorders>
              <w:bottom w:val="single" w:sz="8" w:color="auto"/>
            </w:tcBorders>
            <w:gridSpan w:val="3"/>
          </w:tcPr>
          <w:p>
            <w:pPr>
              <w:jc w:val="right"/>
              <w:ind w:right="400"/>
              <w:spacing w:after="0"/>
              <w:rPr>
                <w:sz w:val="20"/>
                <w:szCs w:val="20"/>
                <w:color w:val="auto"/>
              </w:rPr>
            </w:pPr>
            <w:r>
              <w:rPr>
                <w:rFonts w:ascii="Arial" w:cs="Arial" w:eastAsia="Arial" w:hAnsi="Arial"/>
                <w:sz w:val="14"/>
                <w:szCs w:val="14"/>
                <w:color w:val="auto"/>
              </w:rPr>
              <w:t>Year Ended December 31</w:t>
            </w:r>
          </w:p>
        </w:tc>
        <w:tc>
          <w:tcPr>
            <w:tcW w:w="100" w:type="dxa"/>
            <w:vAlign w:val="bottom"/>
            <w:tcBorders>
              <w:bottom w:val="single" w:sz="8" w:color="auto"/>
            </w:tcBorders>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74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color w:val="auto"/>
              </w:rPr>
              <w:t>2015</w:t>
            </w:r>
          </w:p>
        </w:tc>
        <w:tc>
          <w:tcPr>
            <w:tcW w:w="3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color w:val="auto"/>
              </w:rPr>
              <w:t>2014</w:t>
            </w:r>
          </w:p>
        </w:tc>
        <w:tc>
          <w:tcPr>
            <w:tcW w:w="1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200"/>
              <w:spacing w:after="0"/>
              <w:rPr>
                <w:sz w:val="20"/>
                <w:szCs w:val="20"/>
                <w:color w:val="auto"/>
              </w:rPr>
            </w:pPr>
            <w:r>
              <w:rPr>
                <w:rFonts w:ascii="Arial" w:cs="Arial" w:eastAsia="Arial" w:hAnsi="Arial"/>
                <w:sz w:val="14"/>
                <w:szCs w:val="14"/>
                <w:color w:val="auto"/>
              </w:rPr>
              <w:t>% Change</w:t>
            </w:r>
          </w:p>
        </w:tc>
        <w:tc>
          <w:tcPr>
            <w:tcW w:w="0" w:type="dxa"/>
            <w:vAlign w:val="bottom"/>
          </w:tcPr>
          <w:p>
            <w:pPr>
              <w:spacing w:after="0"/>
              <w:rPr>
                <w:sz w:val="1"/>
                <w:szCs w:val="1"/>
                <w:color w:val="auto"/>
              </w:rPr>
            </w:pPr>
          </w:p>
        </w:tc>
      </w:tr>
      <w:tr>
        <w:trPr>
          <w:trHeight w:val="260"/>
        </w:trPr>
        <w:tc>
          <w:tcPr>
            <w:tcW w:w="7480" w:type="dxa"/>
            <w:vAlign w:val="bottom"/>
          </w:tcPr>
          <w:p>
            <w:pPr>
              <w:ind w:left="40"/>
              <w:spacing w:after="0"/>
              <w:rPr>
                <w:sz w:val="20"/>
                <w:szCs w:val="20"/>
                <w:color w:val="auto"/>
              </w:rPr>
            </w:pPr>
            <w:r>
              <w:rPr>
                <w:rFonts w:ascii="Arial" w:cs="Arial" w:eastAsia="Arial" w:hAnsi="Arial"/>
                <w:sz w:val="16"/>
                <w:szCs w:val="16"/>
                <w:b w:val="1"/>
                <w:bCs w:val="1"/>
                <w:color w:val="auto"/>
              </w:rPr>
              <w:t>Revenue</w:t>
            </w:r>
          </w:p>
        </w:tc>
        <w:tc>
          <w:tcPr>
            <w:tcW w:w="2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2"/>
        </w:trPr>
        <w:tc>
          <w:tcPr>
            <w:tcW w:w="7480" w:type="dxa"/>
            <w:vAlign w:val="bottom"/>
          </w:tcPr>
          <w:p>
            <w:pPr>
              <w:ind w:left="40"/>
              <w:spacing w:after="0"/>
              <w:rPr>
                <w:sz w:val="20"/>
                <w:szCs w:val="20"/>
                <w:color w:val="auto"/>
              </w:rPr>
            </w:pPr>
            <w:r>
              <w:rPr>
                <w:rFonts w:ascii="Arial" w:cs="Arial" w:eastAsia="Arial" w:hAnsi="Arial"/>
                <w:sz w:val="16"/>
                <w:szCs w:val="16"/>
                <w:color w:val="auto"/>
              </w:rPr>
              <w:t>Higher education</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80"/>
              <w:spacing w:after="0"/>
              <w:rPr>
                <w:sz w:val="20"/>
                <w:szCs w:val="20"/>
                <w:color w:val="auto"/>
              </w:rPr>
            </w:pPr>
            <w:r>
              <w:rPr>
                <w:rFonts w:ascii="Arial" w:cs="Arial" w:eastAsia="Arial" w:hAnsi="Arial"/>
                <w:sz w:val="16"/>
                <w:szCs w:val="16"/>
                <w:color w:val="auto"/>
              </w:rPr>
              <w:t>849,625</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1,010,058</w:t>
            </w:r>
          </w:p>
        </w:tc>
        <w:tc>
          <w:tcPr>
            <w:tcW w:w="1320" w:type="dxa"/>
            <w:vAlign w:val="bottom"/>
            <w:gridSpan w:val="2"/>
          </w:tcPr>
          <w:p>
            <w:pPr>
              <w:jc w:val="right"/>
              <w:ind w:right="200"/>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70"/>
        </w:trPr>
        <w:tc>
          <w:tcPr>
            <w:tcW w:w="7480" w:type="dxa"/>
            <w:vAlign w:val="bottom"/>
          </w:tcPr>
          <w:p>
            <w:pPr>
              <w:ind w:left="40"/>
              <w:spacing w:after="0"/>
              <w:rPr>
                <w:sz w:val="20"/>
                <w:szCs w:val="20"/>
                <w:color w:val="auto"/>
              </w:rPr>
            </w:pPr>
            <w:r>
              <w:rPr>
                <w:rFonts w:ascii="Arial" w:cs="Arial" w:eastAsia="Arial" w:hAnsi="Arial"/>
                <w:sz w:val="16"/>
                <w:szCs w:val="16"/>
                <w:color w:val="auto"/>
              </w:rPr>
              <w:t>Test preparation</w:t>
            </w:r>
          </w:p>
        </w:tc>
        <w:tc>
          <w:tcPr>
            <w:tcW w:w="260" w:type="dxa"/>
            <w:vAlign w:val="bottom"/>
          </w:tcPr>
          <w:p>
            <w:pPr>
              <w:spacing w:after="0"/>
              <w:rPr>
                <w:sz w:val="23"/>
                <w:szCs w:val="23"/>
                <w:color w:val="auto"/>
              </w:rPr>
            </w:pPr>
          </w:p>
        </w:tc>
        <w:tc>
          <w:tcPr>
            <w:tcW w:w="1040" w:type="dxa"/>
            <w:vAlign w:val="bottom"/>
          </w:tcPr>
          <w:p>
            <w:pPr>
              <w:jc w:val="right"/>
              <w:ind w:right="80"/>
              <w:spacing w:after="0"/>
              <w:rPr>
                <w:sz w:val="20"/>
                <w:szCs w:val="20"/>
                <w:color w:val="auto"/>
              </w:rPr>
            </w:pPr>
            <w:r>
              <w:rPr>
                <w:rFonts w:ascii="Arial" w:cs="Arial" w:eastAsia="Arial" w:hAnsi="Arial"/>
                <w:sz w:val="16"/>
                <w:szCs w:val="16"/>
                <w:color w:val="auto"/>
              </w:rPr>
              <w:t>301,607</w:t>
            </w:r>
          </w:p>
        </w:tc>
        <w:tc>
          <w:tcPr>
            <w:tcW w:w="340" w:type="dxa"/>
            <w:vAlign w:val="bottom"/>
          </w:tcPr>
          <w:p>
            <w:pPr>
              <w:spacing w:after="0"/>
              <w:rPr>
                <w:sz w:val="23"/>
                <w:szCs w:val="23"/>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304,662</w:t>
            </w:r>
          </w:p>
        </w:tc>
        <w:tc>
          <w:tcPr>
            <w:tcW w:w="1320" w:type="dxa"/>
            <w:vAlign w:val="bottom"/>
            <w:gridSpan w:val="2"/>
          </w:tcPr>
          <w:p>
            <w:pPr>
              <w:jc w:val="right"/>
              <w:ind w:right="200"/>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70"/>
        </w:trPr>
        <w:tc>
          <w:tcPr>
            <w:tcW w:w="7480" w:type="dxa"/>
            <w:vAlign w:val="bottom"/>
          </w:tcPr>
          <w:p>
            <w:pPr>
              <w:ind w:left="40"/>
              <w:spacing w:after="0"/>
              <w:rPr>
                <w:sz w:val="20"/>
                <w:szCs w:val="20"/>
                <w:color w:val="auto"/>
              </w:rPr>
            </w:pPr>
            <w:r>
              <w:rPr>
                <w:rFonts w:ascii="Arial" w:cs="Arial" w:eastAsia="Arial" w:hAnsi="Arial"/>
                <w:sz w:val="16"/>
                <w:szCs w:val="16"/>
                <w:color w:val="auto"/>
              </w:rPr>
              <w:t>Kaplan international</w:t>
            </w:r>
          </w:p>
        </w:tc>
        <w:tc>
          <w:tcPr>
            <w:tcW w:w="260" w:type="dxa"/>
            <w:vAlign w:val="bottom"/>
          </w:tcPr>
          <w:p>
            <w:pPr>
              <w:spacing w:after="0"/>
              <w:rPr>
                <w:sz w:val="23"/>
                <w:szCs w:val="23"/>
                <w:color w:val="auto"/>
              </w:rPr>
            </w:pPr>
          </w:p>
        </w:tc>
        <w:tc>
          <w:tcPr>
            <w:tcW w:w="1040" w:type="dxa"/>
            <w:vAlign w:val="bottom"/>
          </w:tcPr>
          <w:p>
            <w:pPr>
              <w:jc w:val="right"/>
              <w:ind w:right="80"/>
              <w:spacing w:after="0"/>
              <w:rPr>
                <w:sz w:val="20"/>
                <w:szCs w:val="20"/>
                <w:color w:val="auto"/>
              </w:rPr>
            </w:pPr>
            <w:r>
              <w:rPr>
                <w:rFonts w:ascii="Arial" w:cs="Arial" w:eastAsia="Arial" w:hAnsi="Arial"/>
                <w:sz w:val="16"/>
                <w:szCs w:val="16"/>
                <w:color w:val="auto"/>
              </w:rPr>
              <w:t>770,273</w:t>
            </w:r>
          </w:p>
        </w:tc>
        <w:tc>
          <w:tcPr>
            <w:tcW w:w="340" w:type="dxa"/>
            <w:vAlign w:val="bottom"/>
          </w:tcPr>
          <w:p>
            <w:pPr>
              <w:spacing w:after="0"/>
              <w:rPr>
                <w:sz w:val="23"/>
                <w:szCs w:val="23"/>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840,915</w:t>
            </w:r>
          </w:p>
        </w:tc>
        <w:tc>
          <w:tcPr>
            <w:tcW w:w="1320" w:type="dxa"/>
            <w:vAlign w:val="bottom"/>
            <w:gridSpan w:val="2"/>
          </w:tcPr>
          <w:p>
            <w:pPr>
              <w:jc w:val="right"/>
              <w:ind w:right="200"/>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70"/>
        </w:trPr>
        <w:tc>
          <w:tcPr>
            <w:tcW w:w="7480" w:type="dxa"/>
            <w:vAlign w:val="bottom"/>
          </w:tcPr>
          <w:p>
            <w:pPr>
              <w:ind w:left="40"/>
              <w:spacing w:after="0"/>
              <w:rPr>
                <w:sz w:val="20"/>
                <w:szCs w:val="20"/>
                <w:color w:val="auto"/>
              </w:rPr>
            </w:pPr>
            <w:r>
              <w:rPr>
                <w:rFonts w:ascii="Arial" w:cs="Arial" w:eastAsia="Arial" w:hAnsi="Arial"/>
                <w:sz w:val="16"/>
                <w:szCs w:val="16"/>
                <w:color w:val="auto"/>
              </w:rPr>
              <w:t>Kaplan corporate and other</w:t>
            </w:r>
          </w:p>
        </w:tc>
        <w:tc>
          <w:tcPr>
            <w:tcW w:w="260" w:type="dxa"/>
            <w:vAlign w:val="bottom"/>
          </w:tcPr>
          <w:p>
            <w:pPr>
              <w:spacing w:after="0"/>
              <w:rPr>
                <w:sz w:val="23"/>
                <w:szCs w:val="23"/>
                <w:color w:val="auto"/>
              </w:rPr>
            </w:pPr>
          </w:p>
        </w:tc>
        <w:tc>
          <w:tcPr>
            <w:tcW w:w="1040" w:type="dxa"/>
            <w:vAlign w:val="bottom"/>
          </w:tcPr>
          <w:p>
            <w:pPr>
              <w:jc w:val="right"/>
              <w:ind w:right="80"/>
              <w:spacing w:after="0"/>
              <w:rPr>
                <w:sz w:val="20"/>
                <w:szCs w:val="20"/>
                <w:color w:val="auto"/>
              </w:rPr>
            </w:pPr>
            <w:r>
              <w:rPr>
                <w:rFonts w:ascii="Arial" w:cs="Arial" w:eastAsia="Arial" w:hAnsi="Arial"/>
                <w:sz w:val="16"/>
                <w:szCs w:val="16"/>
                <w:color w:val="auto"/>
              </w:rPr>
              <w:t>6,502</w:t>
            </w:r>
          </w:p>
        </w:tc>
        <w:tc>
          <w:tcPr>
            <w:tcW w:w="340" w:type="dxa"/>
            <w:vAlign w:val="bottom"/>
          </w:tcPr>
          <w:p>
            <w:pPr>
              <w:spacing w:after="0"/>
              <w:rPr>
                <w:sz w:val="23"/>
                <w:szCs w:val="23"/>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6,094</w:t>
            </w:r>
          </w:p>
        </w:tc>
        <w:tc>
          <w:tcPr>
            <w:tcW w:w="1320" w:type="dxa"/>
            <w:vAlign w:val="bottom"/>
            <w:gridSpan w:val="2"/>
          </w:tcPr>
          <w:p>
            <w:pPr>
              <w:jc w:val="right"/>
              <w:ind w:right="240"/>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79"/>
        </w:trPr>
        <w:tc>
          <w:tcPr>
            <w:tcW w:w="7480" w:type="dxa"/>
            <w:vAlign w:val="bottom"/>
          </w:tcPr>
          <w:p>
            <w:pPr>
              <w:ind w:left="40"/>
              <w:spacing w:after="0"/>
              <w:rPr>
                <w:sz w:val="20"/>
                <w:szCs w:val="20"/>
                <w:color w:val="auto"/>
              </w:rPr>
            </w:pPr>
            <w:r>
              <w:rPr>
                <w:rFonts w:ascii="Arial" w:cs="Arial" w:eastAsia="Arial" w:hAnsi="Arial"/>
                <w:sz w:val="16"/>
                <w:szCs w:val="16"/>
                <w:color w:val="auto"/>
              </w:rPr>
              <w:t>Intersegment elimination</w:t>
            </w:r>
          </w:p>
        </w:tc>
        <w:tc>
          <w:tcPr>
            <w:tcW w:w="2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(486)</w:t>
            </w:r>
          </w:p>
        </w:tc>
        <w:tc>
          <w:tcPr>
            <w:tcW w:w="3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(1,312)</w:t>
            </w:r>
          </w:p>
        </w:tc>
        <w:tc>
          <w:tcPr>
            <w:tcW w:w="100" w:type="dxa"/>
            <w:vAlign w:val="bottom"/>
            <w:tcBorders>
              <w:bottom w:val="single" w:sz="8" w:color="auto"/>
            </w:tcBorders>
          </w:tcPr>
          <w:p>
            <w:pPr>
              <w:spacing w:after="0"/>
              <w:rPr>
                <w:sz w:val="24"/>
                <w:szCs w:val="24"/>
                <w:color w:val="auto"/>
              </w:rPr>
            </w:pPr>
          </w:p>
        </w:tc>
        <w:tc>
          <w:tcPr>
            <w:tcW w:w="1220" w:type="dxa"/>
            <w:vAlign w:val="bottom"/>
          </w:tcPr>
          <w:p>
            <w:pPr>
              <w:jc w:val="right"/>
              <w:ind w:right="2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8"/>
        </w:trPr>
        <w:tc>
          <w:tcPr>
            <w:tcW w:w="7480" w:type="dxa"/>
            <w:vAlign w:val="bottom"/>
          </w:tcPr>
          <w:p>
            <w:pPr>
              <w:spacing w:after="0"/>
              <w:rPr>
                <w:sz w:val="23"/>
                <w:szCs w:val="23"/>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80"/>
              <w:spacing w:after="0"/>
              <w:rPr>
                <w:sz w:val="20"/>
                <w:szCs w:val="20"/>
                <w:color w:val="auto"/>
              </w:rPr>
            </w:pPr>
            <w:r>
              <w:rPr>
                <w:rFonts w:ascii="Arial" w:cs="Arial" w:eastAsia="Arial" w:hAnsi="Arial"/>
                <w:sz w:val="16"/>
                <w:szCs w:val="16"/>
                <w:color w:val="auto"/>
              </w:rPr>
              <w:t>1,927,521</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2,160,417</w:t>
            </w:r>
          </w:p>
        </w:tc>
        <w:tc>
          <w:tcPr>
            <w:tcW w:w="1320" w:type="dxa"/>
            <w:vAlign w:val="bottom"/>
            <w:gridSpan w:val="2"/>
          </w:tcPr>
          <w:p>
            <w:pPr>
              <w:jc w:val="right"/>
              <w:ind w:right="200"/>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0"/>
        </w:trPr>
        <w:tc>
          <w:tcPr>
            <w:tcW w:w="748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Operating Income (Loss)</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7480" w:type="dxa"/>
            <w:vAlign w:val="bottom"/>
            <w:vMerge w:val="continue"/>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7480" w:type="dxa"/>
            <w:vAlign w:val="bottom"/>
          </w:tcPr>
          <w:p>
            <w:pPr>
              <w:ind w:left="40"/>
              <w:spacing w:after="0"/>
              <w:rPr>
                <w:sz w:val="20"/>
                <w:szCs w:val="20"/>
                <w:color w:val="auto"/>
              </w:rPr>
            </w:pPr>
            <w:r>
              <w:rPr>
                <w:rFonts w:ascii="Arial" w:cs="Arial" w:eastAsia="Arial" w:hAnsi="Arial"/>
                <w:sz w:val="16"/>
                <w:szCs w:val="16"/>
                <w:color w:val="auto"/>
              </w:rPr>
              <w:t>Higher education</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80"/>
              <w:spacing w:after="0"/>
              <w:rPr>
                <w:sz w:val="20"/>
                <w:szCs w:val="20"/>
                <w:color w:val="auto"/>
              </w:rPr>
            </w:pPr>
            <w:r>
              <w:rPr>
                <w:rFonts w:ascii="Arial" w:cs="Arial" w:eastAsia="Arial" w:hAnsi="Arial"/>
                <w:sz w:val="16"/>
                <w:szCs w:val="16"/>
                <w:color w:val="auto"/>
              </w:rPr>
              <w:t>55,572</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83,069</w:t>
            </w:r>
          </w:p>
        </w:tc>
        <w:tc>
          <w:tcPr>
            <w:tcW w:w="1320" w:type="dxa"/>
            <w:vAlign w:val="bottom"/>
            <w:gridSpan w:val="2"/>
          </w:tcPr>
          <w:p>
            <w:pPr>
              <w:jc w:val="right"/>
              <w:ind w:right="200"/>
              <w:spacing w:after="0"/>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270"/>
        </w:trPr>
        <w:tc>
          <w:tcPr>
            <w:tcW w:w="7480" w:type="dxa"/>
            <w:vAlign w:val="bottom"/>
          </w:tcPr>
          <w:p>
            <w:pPr>
              <w:ind w:left="40"/>
              <w:spacing w:after="0"/>
              <w:rPr>
                <w:sz w:val="20"/>
                <w:szCs w:val="20"/>
                <w:color w:val="auto"/>
              </w:rPr>
            </w:pPr>
            <w:r>
              <w:rPr>
                <w:rFonts w:ascii="Arial" w:cs="Arial" w:eastAsia="Arial" w:hAnsi="Arial"/>
                <w:sz w:val="16"/>
                <w:szCs w:val="16"/>
                <w:color w:val="auto"/>
              </w:rPr>
              <w:t>Test preparation</w:t>
            </w:r>
          </w:p>
        </w:tc>
        <w:tc>
          <w:tcPr>
            <w:tcW w:w="260" w:type="dxa"/>
            <w:vAlign w:val="bottom"/>
          </w:tcPr>
          <w:p>
            <w:pPr>
              <w:spacing w:after="0"/>
              <w:rPr>
                <w:sz w:val="23"/>
                <w:szCs w:val="23"/>
                <w:color w:val="auto"/>
              </w:rPr>
            </w:pPr>
          </w:p>
        </w:tc>
        <w:tc>
          <w:tcPr>
            <w:tcW w:w="1040" w:type="dxa"/>
            <w:vAlign w:val="bottom"/>
          </w:tcPr>
          <w:p>
            <w:pPr>
              <w:jc w:val="right"/>
              <w:ind w:right="80"/>
              <w:spacing w:after="0"/>
              <w:rPr>
                <w:sz w:val="20"/>
                <w:szCs w:val="20"/>
                <w:color w:val="auto"/>
              </w:rPr>
            </w:pPr>
            <w:r>
              <w:rPr>
                <w:rFonts w:ascii="Arial" w:cs="Arial" w:eastAsia="Arial" w:hAnsi="Arial"/>
                <w:sz w:val="16"/>
                <w:szCs w:val="16"/>
                <w:color w:val="auto"/>
              </w:rPr>
              <w:t>16,798</w:t>
            </w:r>
          </w:p>
        </w:tc>
        <w:tc>
          <w:tcPr>
            <w:tcW w:w="3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(4,730)</w:t>
            </w:r>
          </w:p>
        </w:tc>
        <w:tc>
          <w:tcPr>
            <w:tcW w:w="100" w:type="dxa"/>
            <w:vAlign w:val="bottom"/>
          </w:tcPr>
          <w:p>
            <w:pPr>
              <w:spacing w:after="0"/>
              <w:rPr>
                <w:sz w:val="23"/>
                <w:szCs w:val="23"/>
                <w:color w:val="auto"/>
              </w:rPr>
            </w:pPr>
          </w:p>
        </w:tc>
        <w:tc>
          <w:tcPr>
            <w:tcW w:w="1220" w:type="dxa"/>
            <w:vAlign w:val="bottom"/>
          </w:tcPr>
          <w:p>
            <w:pPr>
              <w:jc w:val="right"/>
              <w:ind w:right="2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7480" w:type="dxa"/>
            <w:vAlign w:val="bottom"/>
          </w:tcPr>
          <w:p>
            <w:pPr>
              <w:ind w:left="40"/>
              <w:spacing w:after="0"/>
              <w:rPr>
                <w:sz w:val="20"/>
                <w:szCs w:val="20"/>
                <w:color w:val="auto"/>
              </w:rPr>
            </w:pPr>
            <w:r>
              <w:rPr>
                <w:rFonts w:ascii="Arial" w:cs="Arial" w:eastAsia="Arial" w:hAnsi="Arial"/>
                <w:sz w:val="16"/>
                <w:szCs w:val="16"/>
                <w:color w:val="auto"/>
              </w:rPr>
              <w:t>Kaplan international</w:t>
            </w:r>
          </w:p>
        </w:tc>
        <w:tc>
          <w:tcPr>
            <w:tcW w:w="260" w:type="dxa"/>
            <w:vAlign w:val="bottom"/>
          </w:tcPr>
          <w:p>
            <w:pPr>
              <w:spacing w:after="0"/>
              <w:rPr>
                <w:sz w:val="23"/>
                <w:szCs w:val="23"/>
                <w:color w:val="auto"/>
              </w:rPr>
            </w:pPr>
          </w:p>
        </w:tc>
        <w:tc>
          <w:tcPr>
            <w:tcW w:w="1040" w:type="dxa"/>
            <w:vAlign w:val="bottom"/>
          </w:tcPr>
          <w:p>
            <w:pPr>
              <w:jc w:val="right"/>
              <w:ind w:right="80"/>
              <w:spacing w:after="0"/>
              <w:rPr>
                <w:sz w:val="20"/>
                <w:szCs w:val="20"/>
                <w:color w:val="auto"/>
              </w:rPr>
            </w:pPr>
            <w:r>
              <w:rPr>
                <w:rFonts w:ascii="Arial" w:cs="Arial" w:eastAsia="Arial" w:hAnsi="Arial"/>
                <w:sz w:val="16"/>
                <w:szCs w:val="16"/>
                <w:color w:val="auto"/>
              </w:rPr>
              <w:t>53,661</w:t>
            </w:r>
          </w:p>
        </w:tc>
        <w:tc>
          <w:tcPr>
            <w:tcW w:w="340" w:type="dxa"/>
            <w:vAlign w:val="bottom"/>
          </w:tcPr>
          <w:p>
            <w:pPr>
              <w:spacing w:after="0"/>
              <w:rPr>
                <w:sz w:val="23"/>
                <w:szCs w:val="23"/>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69,153</w:t>
            </w:r>
          </w:p>
        </w:tc>
        <w:tc>
          <w:tcPr>
            <w:tcW w:w="1320" w:type="dxa"/>
            <w:vAlign w:val="bottom"/>
            <w:gridSpan w:val="2"/>
          </w:tcPr>
          <w:p>
            <w:pPr>
              <w:jc w:val="right"/>
              <w:ind w:right="200"/>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270"/>
        </w:trPr>
        <w:tc>
          <w:tcPr>
            <w:tcW w:w="7480" w:type="dxa"/>
            <w:vAlign w:val="bottom"/>
          </w:tcPr>
          <w:p>
            <w:pPr>
              <w:ind w:left="40"/>
              <w:spacing w:after="0"/>
              <w:rPr>
                <w:sz w:val="20"/>
                <w:szCs w:val="20"/>
                <w:color w:val="auto"/>
              </w:rPr>
            </w:pPr>
            <w:r>
              <w:rPr>
                <w:rFonts w:ascii="Arial" w:cs="Arial" w:eastAsia="Arial" w:hAnsi="Arial"/>
                <w:sz w:val="16"/>
                <w:szCs w:val="16"/>
                <w:color w:val="auto"/>
              </w:rPr>
              <w:t>Kaplan corporate and other</w:t>
            </w:r>
          </w:p>
        </w:tc>
        <w:tc>
          <w:tcPr>
            <w:tcW w:w="260" w:type="dxa"/>
            <w:vAlign w:val="bottom"/>
          </w:tcPr>
          <w:p>
            <w:pPr>
              <w:spacing w:after="0"/>
              <w:rPr>
                <w:sz w:val="23"/>
                <w:szCs w:val="23"/>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(87,230)</w:t>
            </w:r>
          </w:p>
        </w:tc>
        <w:tc>
          <w:tcPr>
            <w:tcW w:w="3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(57,093)</w:t>
            </w:r>
          </w:p>
        </w:tc>
        <w:tc>
          <w:tcPr>
            <w:tcW w:w="1320" w:type="dxa"/>
            <w:vAlign w:val="bottom"/>
            <w:gridSpan w:val="2"/>
          </w:tcPr>
          <w:p>
            <w:pPr>
              <w:jc w:val="right"/>
              <w:ind w:right="200"/>
              <w:spacing w:after="0"/>
              <w:rPr>
                <w:sz w:val="20"/>
                <w:szCs w:val="20"/>
                <w:color w:val="auto"/>
              </w:rPr>
            </w:pPr>
            <w:r>
              <w:rPr>
                <w:rFonts w:ascii="Arial" w:cs="Arial" w:eastAsia="Arial" w:hAnsi="Arial"/>
                <w:sz w:val="16"/>
                <w:szCs w:val="16"/>
                <w:color w:val="auto"/>
              </w:rPr>
              <w:t>(53)</w:t>
            </w:r>
          </w:p>
        </w:tc>
        <w:tc>
          <w:tcPr>
            <w:tcW w:w="0" w:type="dxa"/>
            <w:vAlign w:val="bottom"/>
          </w:tcPr>
          <w:p>
            <w:pPr>
              <w:spacing w:after="0"/>
              <w:rPr>
                <w:sz w:val="1"/>
                <w:szCs w:val="1"/>
                <w:color w:val="auto"/>
              </w:rPr>
            </w:pPr>
          </w:p>
        </w:tc>
      </w:tr>
      <w:tr>
        <w:trPr>
          <w:trHeight w:val="270"/>
        </w:trPr>
        <w:tc>
          <w:tcPr>
            <w:tcW w:w="7480" w:type="dxa"/>
            <w:vAlign w:val="bottom"/>
          </w:tcPr>
          <w:p>
            <w:pPr>
              <w:ind w:left="40"/>
              <w:spacing w:after="0"/>
              <w:rPr>
                <w:sz w:val="20"/>
                <w:szCs w:val="20"/>
                <w:color w:val="auto"/>
              </w:rPr>
            </w:pPr>
            <w:r>
              <w:rPr>
                <w:rFonts w:ascii="Arial" w:cs="Arial" w:eastAsia="Arial" w:hAnsi="Arial"/>
                <w:sz w:val="16"/>
                <w:szCs w:val="16"/>
                <w:color w:val="auto"/>
              </w:rPr>
              <w:t>Amortization of intangible assets</w:t>
            </w:r>
          </w:p>
        </w:tc>
        <w:tc>
          <w:tcPr>
            <w:tcW w:w="260" w:type="dxa"/>
            <w:vAlign w:val="bottom"/>
          </w:tcPr>
          <w:p>
            <w:pPr>
              <w:spacing w:after="0"/>
              <w:rPr>
                <w:sz w:val="23"/>
                <w:szCs w:val="23"/>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(5,523)</w:t>
            </w:r>
          </w:p>
        </w:tc>
        <w:tc>
          <w:tcPr>
            <w:tcW w:w="3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(7,738)</w:t>
            </w:r>
          </w:p>
        </w:tc>
        <w:tc>
          <w:tcPr>
            <w:tcW w:w="1320" w:type="dxa"/>
            <w:vAlign w:val="bottom"/>
            <w:gridSpan w:val="2"/>
          </w:tcPr>
          <w:p>
            <w:pPr>
              <w:jc w:val="right"/>
              <w:ind w:right="240"/>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270"/>
        </w:trPr>
        <w:tc>
          <w:tcPr>
            <w:tcW w:w="7480" w:type="dxa"/>
            <w:vAlign w:val="bottom"/>
          </w:tcPr>
          <w:p>
            <w:pPr>
              <w:ind w:left="40"/>
              <w:spacing w:after="0"/>
              <w:rPr>
                <w:sz w:val="20"/>
                <w:szCs w:val="20"/>
                <w:color w:val="auto"/>
              </w:rPr>
            </w:pPr>
            <w:r>
              <w:rPr>
                <w:rFonts w:ascii="Arial" w:cs="Arial" w:eastAsia="Arial" w:hAnsi="Arial"/>
                <w:sz w:val="16"/>
                <w:szCs w:val="16"/>
                <w:color w:val="auto"/>
              </w:rPr>
              <w:t>Impairment of intangible and other long-lived assets</w:t>
            </w:r>
          </w:p>
        </w:tc>
        <w:tc>
          <w:tcPr>
            <w:tcW w:w="260" w:type="dxa"/>
            <w:vAlign w:val="bottom"/>
          </w:tcPr>
          <w:p>
            <w:pPr>
              <w:spacing w:after="0"/>
              <w:rPr>
                <w:sz w:val="23"/>
                <w:szCs w:val="23"/>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(256,830)</w:t>
            </w:r>
          </w:p>
        </w:tc>
        <w:tc>
          <w:tcPr>
            <w:tcW w:w="3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(17,203)</w:t>
            </w:r>
          </w:p>
        </w:tc>
        <w:tc>
          <w:tcPr>
            <w:tcW w:w="100" w:type="dxa"/>
            <w:vAlign w:val="bottom"/>
          </w:tcPr>
          <w:p>
            <w:pPr>
              <w:spacing w:after="0"/>
              <w:rPr>
                <w:sz w:val="23"/>
                <w:szCs w:val="23"/>
                <w:color w:val="auto"/>
              </w:rPr>
            </w:pPr>
          </w:p>
        </w:tc>
        <w:tc>
          <w:tcPr>
            <w:tcW w:w="1220" w:type="dxa"/>
            <w:vAlign w:val="bottom"/>
          </w:tcPr>
          <w:p>
            <w:pPr>
              <w:jc w:val="right"/>
              <w:ind w:right="2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9"/>
        </w:trPr>
        <w:tc>
          <w:tcPr>
            <w:tcW w:w="7480" w:type="dxa"/>
            <w:vAlign w:val="bottom"/>
          </w:tcPr>
          <w:p>
            <w:pPr>
              <w:ind w:left="40"/>
              <w:spacing w:after="0"/>
              <w:rPr>
                <w:sz w:val="20"/>
                <w:szCs w:val="20"/>
                <w:color w:val="auto"/>
              </w:rPr>
            </w:pPr>
            <w:r>
              <w:rPr>
                <w:rFonts w:ascii="Arial" w:cs="Arial" w:eastAsia="Arial" w:hAnsi="Arial"/>
                <w:sz w:val="16"/>
                <w:szCs w:val="16"/>
                <w:color w:val="auto"/>
              </w:rPr>
              <w:t>Intersegment elimination</w:t>
            </w:r>
          </w:p>
        </w:tc>
        <w:tc>
          <w:tcPr>
            <w:tcW w:w="2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96</w:t>
            </w:r>
          </w:p>
        </w:tc>
        <w:tc>
          <w:tcPr>
            <w:tcW w:w="3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5</w:t>
            </w:r>
          </w:p>
        </w:tc>
        <w:tc>
          <w:tcPr>
            <w:tcW w:w="100" w:type="dxa"/>
            <w:vAlign w:val="bottom"/>
            <w:tcBorders>
              <w:bottom w:val="single" w:sz="8" w:color="auto"/>
            </w:tcBorders>
          </w:tcPr>
          <w:p>
            <w:pPr>
              <w:spacing w:after="0"/>
              <w:rPr>
                <w:sz w:val="24"/>
                <w:szCs w:val="24"/>
                <w:color w:val="auto"/>
              </w:rPr>
            </w:pPr>
          </w:p>
        </w:tc>
        <w:tc>
          <w:tcPr>
            <w:tcW w:w="1220" w:type="dxa"/>
            <w:vAlign w:val="bottom"/>
          </w:tcPr>
          <w:p>
            <w:pPr>
              <w:jc w:val="right"/>
              <w:ind w:right="2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9"/>
        </w:trPr>
        <w:tc>
          <w:tcPr>
            <w:tcW w:w="7480" w:type="dxa"/>
            <w:vAlign w:val="bottom"/>
          </w:tcPr>
          <w:p>
            <w:pPr>
              <w:spacing w:after="0"/>
              <w:rPr>
                <w:sz w:val="23"/>
                <w:szCs w:val="23"/>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(223,456)</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65,463</w:t>
            </w:r>
          </w:p>
        </w:tc>
        <w:tc>
          <w:tcPr>
            <w:tcW w:w="100" w:type="dxa"/>
            <w:vAlign w:val="bottom"/>
          </w:tcPr>
          <w:p>
            <w:pPr>
              <w:spacing w:after="0"/>
              <w:rPr>
                <w:sz w:val="23"/>
                <w:szCs w:val="23"/>
                <w:color w:val="auto"/>
              </w:rPr>
            </w:pPr>
          </w:p>
        </w:tc>
        <w:tc>
          <w:tcPr>
            <w:tcW w:w="1220" w:type="dxa"/>
            <w:vAlign w:val="bottom"/>
          </w:tcPr>
          <w:p>
            <w:pPr>
              <w:jc w:val="right"/>
              <w:ind w:right="2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74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6" w:lineRule="exact"/>
        <w:rPr>
          <w:sz w:val="20"/>
          <w:szCs w:val="20"/>
          <w:color w:val="auto"/>
        </w:rPr>
      </w:pPr>
    </w:p>
    <w:p>
      <w:pPr>
        <w:ind w:right="100"/>
        <w:spacing w:after="0" w:line="260" w:lineRule="auto"/>
        <w:rPr>
          <w:sz w:val="20"/>
          <w:szCs w:val="20"/>
          <w:color w:val="auto"/>
        </w:rPr>
      </w:pPr>
      <w:r>
        <w:rPr>
          <w:rFonts w:ascii="Arial" w:cs="Arial" w:eastAsia="Arial" w:hAnsi="Arial"/>
          <w:sz w:val="18"/>
          <w:szCs w:val="18"/>
          <w:color w:val="auto"/>
        </w:rPr>
        <w:t>KHE includes Kaplan’s domestic postsecondary education businesses, made up of fixed-facility colleges and online postsecondary and career programs. KHE also includes the domestic professional training and other continuing education businesses.</w:t>
      </w:r>
    </w:p>
    <w:p>
      <w:pPr>
        <w:spacing w:after="0" w:line="92" w:lineRule="exact"/>
        <w:rPr>
          <w:sz w:val="20"/>
          <w:szCs w:val="20"/>
          <w:color w:val="auto"/>
        </w:rPr>
      </w:pPr>
    </w:p>
    <w:p>
      <w:pPr>
        <w:ind w:right="160"/>
        <w:spacing w:after="0"/>
        <w:rPr>
          <w:sz w:val="20"/>
          <w:szCs w:val="20"/>
          <w:color w:val="auto"/>
        </w:rPr>
      </w:pPr>
      <w:r>
        <w:rPr>
          <w:rFonts w:ascii="Arial" w:cs="Arial" w:eastAsia="Arial" w:hAnsi="Arial"/>
          <w:sz w:val="18"/>
          <w:szCs w:val="18"/>
          <w:color w:val="auto"/>
        </w:rPr>
        <w:t>Since 2012, KHE has continued to close campuses, consolidate facilities and reduce its workforce. On September 3, 2015, Kaplan completed the sale of substantially all of the remaining assets of its KHE Campuses business. In connection with these and other plans, KHE incurred $12.9 million and $6.5 million in restructuring costs in 2015 and 2014, respectively.</w:t>
      </w:r>
    </w:p>
    <w:p>
      <w:pPr>
        <w:spacing w:after="0" w:line="108" w:lineRule="exact"/>
        <w:rPr>
          <w:sz w:val="20"/>
          <w:szCs w:val="20"/>
          <w:color w:val="auto"/>
        </w:rPr>
      </w:pPr>
    </w:p>
    <w:p>
      <w:pPr>
        <w:ind w:right="40"/>
        <w:spacing w:after="0" w:line="234" w:lineRule="auto"/>
        <w:rPr>
          <w:sz w:val="20"/>
          <w:szCs w:val="20"/>
          <w:color w:val="auto"/>
        </w:rPr>
      </w:pPr>
      <w:r>
        <w:rPr>
          <w:rFonts w:ascii="Arial" w:cs="Arial" w:eastAsia="Arial" w:hAnsi="Arial"/>
          <w:sz w:val="18"/>
          <w:szCs w:val="18"/>
          <w:color w:val="auto"/>
        </w:rPr>
        <w:t>As a result of continued declines in student enrollments at KHE and the challenging industry operating environment, Kaplan completed an interim impairment review of KHE’s remaining long-lived assets in the third quarter of 2015 that resulted in a $248.6 million goodwill impairment charge. This goodwill impairment charge followed long-lived asset impairment charges of $6.9 million and $13.6 million that were recorded in the second quarter of 2015 and fourth quarter of 2014, respectively, in connection with the KHE Campuses business.</w:t>
      </w:r>
    </w:p>
    <w:p>
      <w:pPr>
        <w:spacing w:after="0" w:line="111" w:lineRule="exact"/>
        <w:rPr>
          <w:sz w:val="20"/>
          <w:szCs w:val="20"/>
          <w:color w:val="auto"/>
        </w:rPr>
      </w:pPr>
    </w:p>
    <w:p>
      <w:pPr>
        <w:ind w:right="700"/>
        <w:spacing w:after="0" w:line="260" w:lineRule="auto"/>
        <w:rPr>
          <w:sz w:val="20"/>
          <w:szCs w:val="20"/>
          <w:color w:val="auto"/>
        </w:rPr>
      </w:pPr>
      <w:r>
        <w:rPr>
          <w:rFonts w:ascii="Arial" w:cs="Arial" w:eastAsia="Arial" w:hAnsi="Arial"/>
          <w:sz w:val="18"/>
          <w:szCs w:val="18"/>
          <w:color w:val="auto"/>
        </w:rPr>
        <w:t>KHE results include revenue and operating losses (including restructuring charges) related to all KHE Campuses, those sold or closed, including Mount Washington College and Bauder College, as follows: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90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80" w:type="dxa"/>
            <w:vAlign w:val="bottom"/>
            <w:gridSpan w:val="2"/>
          </w:tcPr>
          <w:p>
            <w:pPr>
              <w:jc w:val="right"/>
              <w:spacing w:after="0"/>
              <w:rPr>
                <w:sz w:val="20"/>
                <w:szCs w:val="20"/>
                <w:color w:val="auto"/>
              </w:rPr>
            </w:pPr>
            <w:r>
              <w:rPr>
                <w:rFonts w:ascii="Arial" w:cs="Arial" w:eastAsia="Arial" w:hAnsi="Arial"/>
                <w:sz w:val="14"/>
                <w:szCs w:val="14"/>
                <w:color w:val="auto"/>
              </w:rPr>
              <w:t>Year Ended</w:t>
            </w:r>
          </w:p>
        </w:tc>
        <w:tc>
          <w:tcPr>
            <w:tcW w:w="740" w:type="dxa"/>
            <w:vAlign w:val="bottom"/>
          </w:tcPr>
          <w:p>
            <w:pPr>
              <w:spacing w:after="0"/>
              <w:rPr>
                <w:sz w:val="16"/>
                <w:szCs w:val="16"/>
                <w:color w:val="auto"/>
              </w:rPr>
            </w:pPr>
          </w:p>
        </w:tc>
      </w:tr>
      <w:tr>
        <w:trPr>
          <w:trHeight w:val="274"/>
        </w:trPr>
        <w:tc>
          <w:tcPr>
            <w:tcW w:w="904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December 31</w:t>
            </w:r>
          </w:p>
        </w:tc>
        <w:tc>
          <w:tcPr>
            <w:tcW w:w="740" w:type="dxa"/>
            <w:vAlign w:val="bottom"/>
            <w:tcBorders>
              <w:bottom w:val="single" w:sz="8" w:color="auto"/>
            </w:tcBorders>
          </w:tcPr>
          <w:p>
            <w:pPr>
              <w:spacing w:after="0"/>
              <w:rPr>
                <w:sz w:val="23"/>
                <w:szCs w:val="23"/>
                <w:color w:val="auto"/>
              </w:rPr>
            </w:pPr>
          </w:p>
        </w:tc>
      </w:tr>
      <w:tr>
        <w:trPr>
          <w:trHeight w:val="264"/>
        </w:trPr>
        <w:tc>
          <w:tcPr>
            <w:tcW w:w="90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64"/>
              <w:spacing w:after="0"/>
              <w:rPr>
                <w:sz w:val="20"/>
                <w:szCs w:val="20"/>
                <w:color w:val="auto"/>
              </w:rPr>
            </w:pPr>
            <w:r>
              <w:rPr>
                <w:rFonts w:ascii="Arial" w:cs="Arial" w:eastAsia="Arial" w:hAnsi="Arial"/>
                <w:sz w:val="14"/>
                <w:szCs w:val="14"/>
                <w:color w:val="auto"/>
              </w:rPr>
              <w:t>2015</w:t>
            </w:r>
          </w:p>
        </w:tc>
        <w:tc>
          <w:tcPr>
            <w:tcW w:w="4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322"/>
              <w:spacing w:after="0"/>
              <w:rPr>
                <w:sz w:val="20"/>
                <w:szCs w:val="20"/>
                <w:color w:val="auto"/>
              </w:rPr>
            </w:pPr>
            <w:r>
              <w:rPr>
                <w:rFonts w:ascii="Arial" w:cs="Arial" w:eastAsia="Arial" w:hAnsi="Arial"/>
                <w:sz w:val="14"/>
                <w:szCs w:val="14"/>
                <w:color w:val="auto"/>
              </w:rPr>
              <w:t>2014</w:t>
            </w:r>
          </w:p>
        </w:tc>
      </w:tr>
      <w:tr>
        <w:trPr>
          <w:trHeight w:val="252"/>
        </w:trPr>
        <w:tc>
          <w:tcPr>
            <w:tcW w:w="9040" w:type="dxa"/>
            <w:vAlign w:val="bottom"/>
          </w:tcPr>
          <w:p>
            <w:pPr>
              <w:ind w:left="40"/>
              <w:spacing w:after="0"/>
              <w:rPr>
                <w:sz w:val="20"/>
                <w:szCs w:val="20"/>
                <w:color w:val="auto"/>
              </w:rPr>
            </w:pPr>
            <w:r>
              <w:rPr>
                <w:rFonts w:ascii="Arial" w:cs="Arial" w:eastAsia="Arial" w:hAnsi="Arial"/>
                <w:sz w:val="16"/>
                <w:szCs w:val="16"/>
                <w:color w:val="auto"/>
              </w:rPr>
              <w:t>Revenue</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84"/>
              <w:spacing w:after="0"/>
              <w:rPr>
                <w:sz w:val="20"/>
                <w:szCs w:val="20"/>
                <w:color w:val="auto"/>
              </w:rPr>
            </w:pPr>
            <w:r>
              <w:rPr>
                <w:rFonts w:ascii="Arial" w:cs="Arial" w:eastAsia="Arial" w:hAnsi="Arial"/>
                <w:sz w:val="16"/>
                <w:szCs w:val="16"/>
                <w:color w:val="auto"/>
              </w:rPr>
              <w:t>178,734</w:t>
            </w:r>
          </w:p>
        </w:tc>
        <w:tc>
          <w:tcPr>
            <w:tcW w:w="46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22"/>
              <w:spacing w:after="0"/>
              <w:rPr>
                <w:sz w:val="20"/>
                <w:szCs w:val="20"/>
                <w:color w:val="auto"/>
              </w:rPr>
            </w:pPr>
            <w:r>
              <w:rPr>
                <w:rFonts w:ascii="Arial" w:cs="Arial" w:eastAsia="Arial" w:hAnsi="Arial"/>
                <w:sz w:val="16"/>
                <w:szCs w:val="16"/>
                <w:color w:val="auto"/>
              </w:rPr>
              <w:t>299,109</w:t>
            </w:r>
          </w:p>
        </w:tc>
      </w:tr>
      <w:tr>
        <w:trPr>
          <w:trHeight w:val="270"/>
        </w:trPr>
        <w:tc>
          <w:tcPr>
            <w:tcW w:w="9040" w:type="dxa"/>
            <w:vAlign w:val="bottom"/>
          </w:tcPr>
          <w:p>
            <w:pPr>
              <w:ind w:left="40"/>
              <w:spacing w:after="0"/>
              <w:rPr>
                <w:sz w:val="20"/>
                <w:szCs w:val="20"/>
                <w:color w:val="auto"/>
              </w:rPr>
            </w:pPr>
            <w:r>
              <w:rPr>
                <w:rFonts w:ascii="Arial" w:cs="Arial" w:eastAsia="Arial" w:hAnsi="Arial"/>
                <w:sz w:val="16"/>
                <w:szCs w:val="16"/>
                <w:color w:val="auto"/>
              </w:rPr>
              <w:t>Operating income (loss)</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24"/>
              <w:spacing w:after="0"/>
              <w:rPr>
                <w:sz w:val="20"/>
                <w:szCs w:val="20"/>
                <w:color w:val="auto"/>
              </w:rPr>
            </w:pPr>
            <w:r>
              <w:rPr>
                <w:rFonts w:ascii="Arial" w:cs="Arial" w:eastAsia="Arial" w:hAnsi="Arial"/>
                <w:sz w:val="16"/>
                <w:szCs w:val="16"/>
                <w:color w:val="auto"/>
              </w:rPr>
              <w:t>(38,830)</w:t>
            </w:r>
          </w:p>
        </w:tc>
        <w:tc>
          <w:tcPr>
            <w:tcW w:w="46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(28,549)</w:t>
            </w:r>
          </w:p>
        </w:tc>
      </w:tr>
    </w:tbl>
    <w:p>
      <w:pPr>
        <w:spacing w:after="0" w:line="141" w:lineRule="exact"/>
        <w:rPr>
          <w:sz w:val="20"/>
          <w:szCs w:val="20"/>
          <w:color w:val="auto"/>
        </w:rPr>
      </w:pPr>
    </w:p>
    <w:p>
      <w:pPr>
        <w:ind w:right="20"/>
        <w:spacing w:after="0" w:line="234" w:lineRule="auto"/>
        <w:rPr>
          <w:sz w:val="20"/>
          <w:szCs w:val="20"/>
          <w:color w:val="auto"/>
        </w:rPr>
      </w:pPr>
      <w:r>
        <w:rPr>
          <w:rFonts w:ascii="Arial" w:cs="Arial" w:eastAsia="Arial" w:hAnsi="Arial"/>
          <w:sz w:val="18"/>
          <w:szCs w:val="18"/>
          <w:color w:val="auto"/>
        </w:rPr>
        <w:t>In 2015, KHE revenue declined 16% due to the campus sales and closings, and declines in average enrollments at Kaplan University, reflecting weaker market demand. The KHE operating income decline in 2015 is due to increased losses at the KHE Campuses business, the revenue declines and increased restructuring costs. In 2015, the decline was partially offset by improved results at the domestic professional training and other continuing education businesses.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New higher education student enrollments at Kaplan University declined 14% in 2015 due to lower demand across Kaplan University programs.</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724" w:right="239" w:bottom="1440" w:gutter="0" w:footer="0" w:header="0"/>
        </w:sectPr>
      </w:pPr>
    </w:p>
    <w:bookmarkStart w:id="51" w:name="page52"/>
    <w:bookmarkEnd w:id="51"/>
    <w:p>
      <w:pPr>
        <w:ind w:right="260"/>
        <w:spacing w:after="0" w:line="260" w:lineRule="auto"/>
        <w:rPr>
          <w:sz w:val="20"/>
          <w:szCs w:val="20"/>
          <w:color w:val="auto"/>
        </w:rPr>
      </w:pPr>
      <w:r>
        <w:rPr>
          <w:rFonts w:ascii="Arial" w:cs="Arial" w:eastAsia="Arial" w:hAnsi="Arial"/>
          <w:sz w:val="18"/>
          <w:szCs w:val="18"/>
          <w:color w:val="auto"/>
        </w:rPr>
        <w:t>Total higher education students at Kaplan University at December 31, 2015, were down 6% compared to December 31, 2014. A summary of higher education student enrollments is as follows: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90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260" w:type="dxa"/>
            <w:vAlign w:val="bottom"/>
            <w:tcBorders>
              <w:bottom w:val="single" w:sz="8" w:color="auto"/>
            </w:tcBorders>
            <w:gridSpan w:val="2"/>
          </w:tcPr>
          <w:p>
            <w:pPr>
              <w:jc w:val="right"/>
              <w:ind w:right="482"/>
              <w:spacing w:after="0"/>
              <w:rPr>
                <w:sz w:val="20"/>
                <w:szCs w:val="20"/>
                <w:color w:val="auto"/>
              </w:rPr>
            </w:pPr>
            <w:r>
              <w:rPr>
                <w:rFonts w:ascii="Arial" w:cs="Arial" w:eastAsia="Arial" w:hAnsi="Arial"/>
                <w:sz w:val="14"/>
                <w:szCs w:val="14"/>
                <w:color w:val="auto"/>
              </w:rPr>
              <w:t>As of December 31</w:t>
            </w:r>
          </w:p>
        </w:tc>
      </w:tr>
      <w:tr>
        <w:trPr>
          <w:trHeight w:val="264"/>
        </w:trPr>
        <w:tc>
          <w:tcPr>
            <w:tcW w:w="902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gridSpan w:val="2"/>
          </w:tcPr>
          <w:p>
            <w:pPr>
              <w:jc w:val="right"/>
              <w:ind w:right="605"/>
              <w:spacing w:after="0"/>
              <w:rPr>
                <w:sz w:val="20"/>
                <w:szCs w:val="20"/>
                <w:color w:val="auto"/>
              </w:rPr>
            </w:pPr>
            <w:r>
              <w:rPr>
                <w:rFonts w:ascii="Arial" w:cs="Arial" w:eastAsia="Arial" w:hAnsi="Arial"/>
                <w:sz w:val="14"/>
                <w:szCs w:val="14"/>
                <w:color w:val="auto"/>
              </w:rPr>
              <w:t>2015</w:t>
            </w:r>
          </w:p>
        </w:tc>
        <w:tc>
          <w:tcPr>
            <w:tcW w:w="980" w:type="dxa"/>
            <w:vAlign w:val="bottom"/>
            <w:tcBorders>
              <w:bottom w:val="single" w:sz="8" w:color="auto"/>
            </w:tcBorders>
          </w:tcPr>
          <w:p>
            <w:pPr>
              <w:jc w:val="right"/>
              <w:ind w:right="322"/>
              <w:spacing w:after="0"/>
              <w:rPr>
                <w:sz w:val="20"/>
                <w:szCs w:val="20"/>
                <w:color w:val="auto"/>
              </w:rPr>
            </w:pPr>
            <w:r>
              <w:rPr>
                <w:rFonts w:ascii="Arial" w:cs="Arial" w:eastAsia="Arial" w:hAnsi="Arial"/>
                <w:sz w:val="14"/>
                <w:szCs w:val="14"/>
                <w:color w:val="auto"/>
              </w:rPr>
              <w:t>2014</w:t>
            </w:r>
          </w:p>
        </w:tc>
      </w:tr>
      <w:tr>
        <w:trPr>
          <w:trHeight w:val="260"/>
        </w:trPr>
        <w:tc>
          <w:tcPr>
            <w:tcW w:w="9020" w:type="dxa"/>
            <w:vAlign w:val="bottom"/>
          </w:tcPr>
          <w:p>
            <w:pPr>
              <w:ind w:left="40"/>
              <w:spacing w:after="0"/>
              <w:rPr>
                <w:sz w:val="20"/>
                <w:szCs w:val="20"/>
                <w:color w:val="auto"/>
              </w:rPr>
            </w:pPr>
            <w:r>
              <w:rPr>
                <w:rFonts w:ascii="Arial" w:cs="Arial" w:eastAsia="Arial" w:hAnsi="Arial"/>
                <w:sz w:val="14"/>
                <w:szCs w:val="14"/>
                <w:color w:val="auto"/>
              </w:rPr>
              <w:t>Kaplan University</w:t>
            </w:r>
          </w:p>
        </w:tc>
        <w:tc>
          <w:tcPr>
            <w:tcW w:w="1420" w:type="dxa"/>
            <w:vAlign w:val="bottom"/>
            <w:gridSpan w:val="2"/>
          </w:tcPr>
          <w:p>
            <w:pPr>
              <w:jc w:val="right"/>
              <w:ind w:right="305"/>
              <w:spacing w:after="0"/>
              <w:rPr>
                <w:sz w:val="20"/>
                <w:szCs w:val="20"/>
                <w:color w:val="auto"/>
              </w:rPr>
            </w:pPr>
            <w:r>
              <w:rPr>
                <w:rFonts w:ascii="Arial" w:cs="Arial" w:eastAsia="Arial" w:hAnsi="Arial"/>
                <w:sz w:val="14"/>
                <w:szCs w:val="14"/>
                <w:color w:val="auto"/>
              </w:rPr>
              <w:t>39,848</w:t>
            </w:r>
          </w:p>
        </w:tc>
        <w:tc>
          <w:tcPr>
            <w:tcW w:w="980" w:type="dxa"/>
            <w:vAlign w:val="bottom"/>
          </w:tcPr>
          <w:p>
            <w:pPr>
              <w:jc w:val="right"/>
              <w:ind w:right="22"/>
              <w:spacing w:after="0"/>
              <w:rPr>
                <w:sz w:val="20"/>
                <w:szCs w:val="20"/>
                <w:color w:val="auto"/>
              </w:rPr>
            </w:pPr>
            <w:r>
              <w:rPr>
                <w:rFonts w:ascii="Arial" w:cs="Arial" w:eastAsia="Arial" w:hAnsi="Arial"/>
                <w:sz w:val="14"/>
                <w:szCs w:val="14"/>
                <w:color w:val="auto"/>
              </w:rPr>
              <w:t>42,469</w:t>
            </w:r>
          </w:p>
        </w:tc>
      </w:tr>
      <w:tr>
        <w:trPr>
          <w:trHeight w:val="377"/>
        </w:trPr>
        <w:tc>
          <w:tcPr>
            <w:tcW w:w="9020" w:type="dxa"/>
            <w:vAlign w:val="bottom"/>
          </w:tcPr>
          <w:p>
            <w:pPr>
              <w:spacing w:after="0"/>
              <w:rPr>
                <w:sz w:val="20"/>
                <w:szCs w:val="20"/>
                <w:color w:val="auto"/>
              </w:rPr>
            </w:pPr>
            <w:r>
              <w:rPr>
                <w:rFonts w:ascii="Arial" w:cs="Arial" w:eastAsia="Arial" w:hAnsi="Arial"/>
                <w:sz w:val="18"/>
                <w:szCs w:val="18"/>
                <w:color w:val="auto"/>
              </w:rPr>
              <w:t>Kaplan University higher education student enrollments by certificate and degree programs are as follows:</w:t>
            </w: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330"/>
        </w:trPr>
        <w:tc>
          <w:tcPr>
            <w:tcW w:w="9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60" w:type="dxa"/>
            <w:vAlign w:val="bottom"/>
            <w:tcBorders>
              <w:bottom w:val="single" w:sz="8" w:color="auto"/>
            </w:tcBorders>
            <w:gridSpan w:val="2"/>
          </w:tcPr>
          <w:p>
            <w:pPr>
              <w:jc w:val="right"/>
              <w:ind w:right="422"/>
              <w:spacing w:after="0"/>
              <w:rPr>
                <w:sz w:val="20"/>
                <w:szCs w:val="20"/>
                <w:color w:val="auto"/>
              </w:rPr>
            </w:pPr>
            <w:r>
              <w:rPr>
                <w:rFonts w:ascii="Arial" w:cs="Arial" w:eastAsia="Arial" w:hAnsi="Arial"/>
                <w:sz w:val="14"/>
                <w:szCs w:val="14"/>
                <w:color w:val="auto"/>
              </w:rPr>
              <w:t>As of December 31</w:t>
            </w:r>
          </w:p>
        </w:tc>
      </w:tr>
      <w:tr>
        <w:trPr>
          <w:trHeight w:val="264"/>
        </w:trPr>
        <w:tc>
          <w:tcPr>
            <w:tcW w:w="902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gridSpan w:val="2"/>
          </w:tcPr>
          <w:p>
            <w:pPr>
              <w:jc w:val="right"/>
              <w:ind w:right="505"/>
              <w:spacing w:after="0"/>
              <w:rPr>
                <w:sz w:val="20"/>
                <w:szCs w:val="20"/>
                <w:color w:val="auto"/>
              </w:rPr>
            </w:pPr>
            <w:r>
              <w:rPr>
                <w:rFonts w:ascii="Arial" w:cs="Arial" w:eastAsia="Arial" w:hAnsi="Arial"/>
                <w:sz w:val="14"/>
                <w:szCs w:val="14"/>
                <w:color w:val="auto"/>
              </w:rPr>
              <w:t>2015</w:t>
            </w:r>
          </w:p>
        </w:tc>
        <w:tc>
          <w:tcPr>
            <w:tcW w:w="980" w:type="dxa"/>
            <w:vAlign w:val="bottom"/>
            <w:tcBorders>
              <w:bottom w:val="single" w:sz="8" w:color="auto"/>
            </w:tcBorders>
          </w:tcPr>
          <w:p>
            <w:pPr>
              <w:jc w:val="right"/>
              <w:ind w:right="302"/>
              <w:spacing w:after="0"/>
              <w:rPr>
                <w:sz w:val="20"/>
                <w:szCs w:val="20"/>
                <w:color w:val="auto"/>
              </w:rPr>
            </w:pPr>
            <w:r>
              <w:rPr>
                <w:rFonts w:ascii="Arial" w:cs="Arial" w:eastAsia="Arial" w:hAnsi="Arial"/>
                <w:sz w:val="14"/>
                <w:szCs w:val="14"/>
                <w:color w:val="auto"/>
              </w:rPr>
              <w:t>2014</w:t>
            </w:r>
          </w:p>
        </w:tc>
      </w:tr>
      <w:tr>
        <w:trPr>
          <w:trHeight w:val="252"/>
        </w:trPr>
        <w:tc>
          <w:tcPr>
            <w:tcW w:w="9020" w:type="dxa"/>
            <w:vAlign w:val="bottom"/>
          </w:tcPr>
          <w:p>
            <w:pPr>
              <w:ind w:left="40"/>
              <w:spacing w:after="0"/>
              <w:rPr>
                <w:sz w:val="20"/>
                <w:szCs w:val="20"/>
                <w:color w:val="auto"/>
              </w:rPr>
            </w:pPr>
            <w:r>
              <w:rPr>
                <w:rFonts w:ascii="Arial" w:cs="Arial" w:eastAsia="Arial" w:hAnsi="Arial"/>
                <w:sz w:val="16"/>
                <w:szCs w:val="16"/>
                <w:color w:val="auto"/>
              </w:rPr>
              <w:t>Certificate</w:t>
            </w:r>
          </w:p>
        </w:tc>
        <w:tc>
          <w:tcPr>
            <w:tcW w:w="1420" w:type="dxa"/>
            <w:vAlign w:val="bottom"/>
            <w:gridSpan w:val="2"/>
          </w:tcPr>
          <w:p>
            <w:pPr>
              <w:jc w:val="right"/>
              <w:ind w:right="165"/>
              <w:spacing w:after="0"/>
              <w:rPr>
                <w:sz w:val="20"/>
                <w:szCs w:val="20"/>
                <w:color w:val="auto"/>
              </w:rPr>
            </w:pPr>
            <w:r>
              <w:rPr>
                <w:rFonts w:ascii="Arial" w:cs="Arial" w:eastAsia="Arial" w:hAnsi="Arial"/>
                <w:sz w:val="16"/>
                <w:szCs w:val="16"/>
                <w:color w:val="auto"/>
              </w:rPr>
              <w:t>4.4%</w:t>
            </w:r>
          </w:p>
        </w:tc>
        <w:tc>
          <w:tcPr>
            <w:tcW w:w="980" w:type="dxa"/>
            <w:vAlign w:val="bottom"/>
          </w:tcPr>
          <w:p>
            <w:pPr>
              <w:jc w:val="right"/>
              <w:spacing w:after="0"/>
              <w:rPr>
                <w:sz w:val="20"/>
                <w:szCs w:val="20"/>
                <w:color w:val="auto"/>
              </w:rPr>
            </w:pPr>
            <w:r>
              <w:rPr>
                <w:rFonts w:ascii="Arial" w:cs="Arial" w:eastAsia="Arial" w:hAnsi="Arial"/>
                <w:sz w:val="16"/>
                <w:szCs w:val="16"/>
                <w:color w:val="auto"/>
              </w:rPr>
              <w:t>2.3%</w:t>
            </w:r>
          </w:p>
        </w:tc>
      </w:tr>
      <w:tr>
        <w:trPr>
          <w:trHeight w:val="270"/>
        </w:trPr>
        <w:tc>
          <w:tcPr>
            <w:tcW w:w="9020" w:type="dxa"/>
            <w:vAlign w:val="bottom"/>
          </w:tcPr>
          <w:p>
            <w:pPr>
              <w:ind w:left="40"/>
              <w:spacing w:after="0"/>
              <w:rPr>
                <w:sz w:val="20"/>
                <w:szCs w:val="20"/>
                <w:color w:val="auto"/>
              </w:rPr>
            </w:pPr>
            <w:r>
              <w:rPr>
                <w:rFonts w:ascii="Arial" w:cs="Arial" w:eastAsia="Arial" w:hAnsi="Arial"/>
                <w:sz w:val="16"/>
                <w:szCs w:val="16"/>
                <w:color w:val="auto"/>
              </w:rPr>
              <w:t>Associate’s</w:t>
            </w:r>
          </w:p>
        </w:tc>
        <w:tc>
          <w:tcPr>
            <w:tcW w:w="1420" w:type="dxa"/>
            <w:vAlign w:val="bottom"/>
            <w:gridSpan w:val="2"/>
          </w:tcPr>
          <w:p>
            <w:pPr>
              <w:jc w:val="right"/>
              <w:ind w:right="165"/>
              <w:spacing w:after="0"/>
              <w:rPr>
                <w:sz w:val="20"/>
                <w:szCs w:val="20"/>
                <w:color w:val="auto"/>
              </w:rPr>
            </w:pPr>
            <w:r>
              <w:rPr>
                <w:rFonts w:ascii="Arial" w:cs="Arial" w:eastAsia="Arial" w:hAnsi="Arial"/>
                <w:sz w:val="16"/>
                <w:szCs w:val="16"/>
                <w:color w:val="auto"/>
              </w:rPr>
              <w:t>25.0%</w:t>
            </w:r>
          </w:p>
        </w:tc>
        <w:tc>
          <w:tcPr>
            <w:tcW w:w="980" w:type="dxa"/>
            <w:vAlign w:val="bottom"/>
          </w:tcPr>
          <w:p>
            <w:pPr>
              <w:jc w:val="right"/>
              <w:spacing w:after="0"/>
              <w:rPr>
                <w:sz w:val="20"/>
                <w:szCs w:val="20"/>
                <w:color w:val="auto"/>
              </w:rPr>
            </w:pPr>
            <w:r>
              <w:rPr>
                <w:rFonts w:ascii="Arial" w:cs="Arial" w:eastAsia="Arial" w:hAnsi="Arial"/>
                <w:sz w:val="16"/>
                <w:szCs w:val="16"/>
                <w:color w:val="auto"/>
              </w:rPr>
              <w:t>29.6%</w:t>
            </w:r>
          </w:p>
        </w:tc>
      </w:tr>
      <w:tr>
        <w:trPr>
          <w:trHeight w:val="270"/>
        </w:trPr>
        <w:tc>
          <w:tcPr>
            <w:tcW w:w="9020" w:type="dxa"/>
            <w:vAlign w:val="bottom"/>
          </w:tcPr>
          <w:p>
            <w:pPr>
              <w:ind w:left="40"/>
              <w:spacing w:after="0"/>
              <w:rPr>
                <w:sz w:val="20"/>
                <w:szCs w:val="20"/>
                <w:color w:val="auto"/>
              </w:rPr>
            </w:pPr>
            <w:r>
              <w:rPr>
                <w:rFonts w:ascii="Arial" w:cs="Arial" w:eastAsia="Arial" w:hAnsi="Arial"/>
                <w:sz w:val="16"/>
                <w:szCs w:val="16"/>
                <w:color w:val="auto"/>
              </w:rPr>
              <w:t>Bachelor’s</w:t>
            </w:r>
          </w:p>
        </w:tc>
        <w:tc>
          <w:tcPr>
            <w:tcW w:w="1420" w:type="dxa"/>
            <w:vAlign w:val="bottom"/>
            <w:gridSpan w:val="2"/>
          </w:tcPr>
          <w:p>
            <w:pPr>
              <w:jc w:val="right"/>
              <w:ind w:right="165"/>
              <w:spacing w:after="0"/>
              <w:rPr>
                <w:sz w:val="20"/>
                <w:szCs w:val="20"/>
                <w:color w:val="auto"/>
              </w:rPr>
            </w:pPr>
            <w:r>
              <w:rPr>
                <w:rFonts w:ascii="Arial" w:cs="Arial" w:eastAsia="Arial" w:hAnsi="Arial"/>
                <w:sz w:val="16"/>
                <w:szCs w:val="16"/>
                <w:color w:val="auto"/>
              </w:rPr>
              <w:t>48.4%</w:t>
            </w:r>
          </w:p>
        </w:tc>
        <w:tc>
          <w:tcPr>
            <w:tcW w:w="980" w:type="dxa"/>
            <w:vAlign w:val="bottom"/>
          </w:tcPr>
          <w:p>
            <w:pPr>
              <w:jc w:val="right"/>
              <w:spacing w:after="0"/>
              <w:rPr>
                <w:sz w:val="20"/>
                <w:szCs w:val="20"/>
                <w:color w:val="auto"/>
              </w:rPr>
            </w:pPr>
            <w:r>
              <w:rPr>
                <w:rFonts w:ascii="Arial" w:cs="Arial" w:eastAsia="Arial" w:hAnsi="Arial"/>
                <w:sz w:val="16"/>
                <w:szCs w:val="16"/>
                <w:color w:val="auto"/>
              </w:rPr>
              <w:t>44.3%</w:t>
            </w:r>
          </w:p>
        </w:tc>
      </w:tr>
      <w:tr>
        <w:trPr>
          <w:trHeight w:val="279"/>
        </w:trPr>
        <w:tc>
          <w:tcPr>
            <w:tcW w:w="9020" w:type="dxa"/>
            <w:vAlign w:val="bottom"/>
          </w:tcPr>
          <w:p>
            <w:pPr>
              <w:ind w:left="40"/>
              <w:spacing w:after="0"/>
              <w:rPr>
                <w:sz w:val="20"/>
                <w:szCs w:val="20"/>
                <w:color w:val="auto"/>
              </w:rPr>
            </w:pPr>
            <w:r>
              <w:rPr>
                <w:rFonts w:ascii="Arial" w:cs="Arial" w:eastAsia="Arial" w:hAnsi="Arial"/>
                <w:sz w:val="16"/>
                <w:szCs w:val="16"/>
                <w:color w:val="auto"/>
              </w:rPr>
              <w:t>Master’s</w:t>
            </w:r>
          </w:p>
        </w:tc>
        <w:tc>
          <w:tcPr>
            <w:tcW w:w="140" w:type="dxa"/>
            <w:vAlign w:val="bottom"/>
          </w:tcPr>
          <w:p>
            <w:pPr>
              <w:spacing w:after="0"/>
              <w:rPr>
                <w:sz w:val="24"/>
                <w:szCs w:val="24"/>
                <w:color w:val="auto"/>
              </w:rPr>
            </w:pPr>
          </w:p>
        </w:tc>
        <w:tc>
          <w:tcPr>
            <w:tcW w:w="1280" w:type="dxa"/>
            <w:vAlign w:val="bottom"/>
            <w:tcBorders>
              <w:bottom w:val="single" w:sz="8" w:color="auto"/>
            </w:tcBorders>
          </w:tcPr>
          <w:p>
            <w:pPr>
              <w:jc w:val="right"/>
              <w:ind w:right="165"/>
              <w:spacing w:after="0"/>
              <w:rPr>
                <w:sz w:val="20"/>
                <w:szCs w:val="20"/>
                <w:color w:val="auto"/>
              </w:rPr>
            </w:pPr>
            <w:r>
              <w:rPr>
                <w:rFonts w:ascii="Arial" w:cs="Arial" w:eastAsia="Arial" w:hAnsi="Arial"/>
                <w:sz w:val="16"/>
                <w:szCs w:val="16"/>
                <w:color w:val="auto"/>
              </w:rPr>
              <w:t>22.2%</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23.8%</w:t>
            </w:r>
          </w:p>
        </w:tc>
      </w:tr>
      <w:tr>
        <w:trPr>
          <w:trHeight w:val="264"/>
        </w:trPr>
        <w:tc>
          <w:tcPr>
            <w:tcW w:w="9020" w:type="dxa"/>
            <w:vAlign w:val="bottom"/>
          </w:tcPr>
          <w:p>
            <w:pPr>
              <w:spacing w:after="0"/>
              <w:rPr>
                <w:sz w:val="22"/>
                <w:szCs w:val="22"/>
                <w:color w:val="auto"/>
              </w:rPr>
            </w:pPr>
          </w:p>
        </w:tc>
        <w:tc>
          <w:tcPr>
            <w:tcW w:w="1420" w:type="dxa"/>
            <w:vAlign w:val="bottom"/>
            <w:gridSpan w:val="2"/>
          </w:tcPr>
          <w:p>
            <w:pPr>
              <w:jc w:val="right"/>
              <w:ind w:right="165"/>
              <w:spacing w:after="0"/>
              <w:rPr>
                <w:sz w:val="20"/>
                <w:szCs w:val="20"/>
                <w:color w:val="auto"/>
              </w:rPr>
            </w:pPr>
            <w:r>
              <w:rPr>
                <w:rFonts w:ascii="Arial" w:cs="Arial" w:eastAsia="Arial" w:hAnsi="Arial"/>
                <w:sz w:val="16"/>
                <w:szCs w:val="16"/>
                <w:color w:val="auto"/>
              </w:rPr>
              <w:t>100.0%</w:t>
            </w:r>
          </w:p>
        </w:tc>
        <w:tc>
          <w:tcPr>
            <w:tcW w:w="980" w:type="dxa"/>
            <w:vAlign w:val="bottom"/>
          </w:tcPr>
          <w:p>
            <w:pPr>
              <w:jc w:val="right"/>
              <w:spacing w:after="0"/>
              <w:rPr>
                <w:sz w:val="20"/>
                <w:szCs w:val="20"/>
                <w:color w:val="auto"/>
              </w:rPr>
            </w:pPr>
            <w:r>
              <w:rPr>
                <w:rFonts w:ascii="Arial" w:cs="Arial" w:eastAsia="Arial" w:hAnsi="Arial"/>
                <w:sz w:val="16"/>
                <w:szCs w:val="16"/>
                <w:color w:val="auto"/>
              </w:rPr>
              <w:t>100.0%</w:t>
            </w:r>
          </w:p>
        </w:tc>
      </w:tr>
      <w:tr>
        <w:trPr>
          <w:trHeight w:val="20"/>
        </w:trPr>
        <w:tc>
          <w:tcPr>
            <w:tcW w:w="9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126" w:lineRule="exact"/>
        <w:rPr>
          <w:sz w:val="20"/>
          <w:szCs w:val="20"/>
          <w:color w:val="auto"/>
        </w:rPr>
      </w:pPr>
    </w:p>
    <w:p>
      <w:pPr>
        <w:ind w:right="120"/>
        <w:spacing w:after="0" w:line="231" w:lineRule="auto"/>
        <w:rPr>
          <w:sz w:val="20"/>
          <w:szCs w:val="20"/>
          <w:color w:val="auto"/>
        </w:rPr>
      </w:pPr>
      <w:r>
        <w:rPr>
          <w:rFonts w:ascii="Arial" w:cs="Arial" w:eastAsia="Arial" w:hAnsi="Arial"/>
          <w:sz w:val="18"/>
          <w:szCs w:val="18"/>
          <w:color w:val="auto"/>
        </w:rPr>
        <w:t>KTP includes Kaplan’s standardized test preparation programs. KTP revenue declined 1% in 2015. Excluding revenues from acquired businesses, KTP revenue declined 3% in 2015. Enrollments, excluding the new economy skills training offerings, were down 12% in 2015 due primarily to declines in graduate and pre-college programs; however, unit prices were generally higher. In comparison to 2014, KTP operating results improved in 2015 due to a reduction in operating expenses and the inclusion of a $7.7 million software asset write-off in the second quarter of 2014 that did not recur in 2015.</w:t>
      </w:r>
    </w:p>
    <w:p>
      <w:pPr>
        <w:spacing w:after="0" w:line="111" w:lineRule="exact"/>
        <w:rPr>
          <w:sz w:val="20"/>
          <w:szCs w:val="20"/>
          <w:color w:val="auto"/>
        </w:rPr>
      </w:pPr>
    </w:p>
    <w:p>
      <w:pPr>
        <w:ind w:right="80"/>
        <w:spacing w:after="0" w:line="234" w:lineRule="auto"/>
        <w:rPr>
          <w:sz w:val="20"/>
          <w:szCs w:val="20"/>
          <w:color w:val="auto"/>
        </w:rPr>
      </w:pPr>
      <w:r>
        <w:rPr>
          <w:rFonts w:ascii="Arial" w:cs="Arial" w:eastAsia="Arial" w:hAnsi="Arial"/>
          <w:sz w:val="18"/>
          <w:szCs w:val="18"/>
          <w:color w:val="auto"/>
        </w:rPr>
        <w:t>Kaplan International includes English-language programs and postsecondary education and professional training businesses largely outside the United States. Kaplan International revenue declined 8% in 2015 due to the adverse impact of foreign exchange rates. On a constant currency basis, Kaplan International revenue remained flat in 2015 due to enrollment declines in English-language programs, partially offset by growth in Australia professional and Singapore higher education programs.</w:t>
      </w:r>
    </w:p>
    <w:p>
      <w:pPr>
        <w:spacing w:after="0" w:line="111" w:lineRule="exact"/>
        <w:rPr>
          <w:sz w:val="20"/>
          <w:szCs w:val="20"/>
          <w:color w:val="auto"/>
        </w:rPr>
      </w:pPr>
    </w:p>
    <w:p>
      <w:pPr>
        <w:ind w:right="180"/>
        <w:spacing w:after="0" w:line="260" w:lineRule="auto"/>
        <w:rPr>
          <w:sz w:val="20"/>
          <w:szCs w:val="20"/>
          <w:color w:val="auto"/>
        </w:rPr>
      </w:pPr>
      <w:r>
        <w:rPr>
          <w:rFonts w:ascii="Arial" w:cs="Arial" w:eastAsia="Arial" w:hAnsi="Arial"/>
          <w:sz w:val="18"/>
          <w:szCs w:val="18"/>
          <w:color w:val="auto"/>
        </w:rPr>
        <w:t>Kaplan International operating income decreased 22% in 2015 due to the declines in English-language programs’ results. Restructuring costs at Kaplan International totaled $1.3 million and $0.2 million in 2015 and 2014, respectively.</w:t>
      </w:r>
    </w:p>
    <w:p>
      <w:pPr>
        <w:spacing w:after="0" w:line="92" w:lineRule="exact"/>
        <w:rPr>
          <w:sz w:val="20"/>
          <w:szCs w:val="20"/>
          <w:color w:val="auto"/>
        </w:rPr>
      </w:pPr>
    </w:p>
    <w:p>
      <w:pPr>
        <w:ind w:right="240"/>
        <w:spacing w:after="0" w:line="260" w:lineRule="auto"/>
        <w:rPr>
          <w:sz w:val="20"/>
          <w:szCs w:val="20"/>
          <w:color w:val="auto"/>
        </w:rPr>
      </w:pPr>
      <w:r>
        <w:rPr>
          <w:rFonts w:ascii="Arial" w:cs="Arial" w:eastAsia="Arial" w:hAnsi="Arial"/>
          <w:sz w:val="18"/>
          <w:szCs w:val="18"/>
          <w:color w:val="auto"/>
        </w:rPr>
        <w:t>Kaplan corporate represents unallocated expenses of Kaplan, Inc.’s corporate office, other minor businesses and certain shared activities. In 2015, Kaplan corporate recorded $29.4 million in restructuring costs compared to $1.4 million in 2014.</w:t>
      </w:r>
    </w:p>
    <w:p>
      <w:pPr>
        <w:spacing w:after="0" w:line="92" w:lineRule="exact"/>
        <w:rPr>
          <w:sz w:val="20"/>
          <w:szCs w:val="20"/>
          <w:color w:val="auto"/>
        </w:rPr>
      </w:pPr>
    </w:p>
    <w:p>
      <w:pPr>
        <w:ind w:right="40"/>
        <w:spacing w:after="0" w:line="234" w:lineRule="auto"/>
        <w:rPr>
          <w:sz w:val="20"/>
          <w:szCs w:val="20"/>
          <w:color w:val="auto"/>
        </w:rPr>
      </w:pPr>
      <w:r>
        <w:rPr>
          <w:rFonts w:ascii="Arial" w:cs="Arial" w:eastAsia="Arial" w:hAnsi="Arial"/>
          <w:sz w:val="18"/>
          <w:szCs w:val="18"/>
          <w:color w:val="auto"/>
        </w:rPr>
        <w:t>In addition to the impairment charges of $255.5 million related to KHE recorded in the second and third quarters of 2015, Kaplan recorded an additional $ 1.4 million in noncash intangible and other long-lived assets impairment charges in the fourth quarter of 2015, related to businesses at KTP and Kaplan International. In 2014, Kaplan recorded $17.2 million in noncash intangible and other long-lived assets impairment charges in connection with businesses at KHE, KTP and Kaplan International.</w:t>
      </w:r>
    </w:p>
    <w:p>
      <w:pPr>
        <w:spacing w:after="0" w:line="111" w:lineRule="exact"/>
        <w:rPr>
          <w:sz w:val="20"/>
          <w:szCs w:val="20"/>
          <w:color w:val="auto"/>
        </w:rPr>
      </w:pPr>
    </w:p>
    <w:p>
      <w:pPr>
        <w:ind w:right="100"/>
        <w:spacing w:after="0"/>
        <w:rPr>
          <w:sz w:val="20"/>
          <w:szCs w:val="20"/>
          <w:color w:val="auto"/>
        </w:rPr>
      </w:pPr>
      <w:r>
        <w:rPr>
          <w:rFonts w:ascii="Arial" w:cs="Arial" w:eastAsia="Arial" w:hAnsi="Arial"/>
          <w:sz w:val="18"/>
          <w:szCs w:val="18"/>
          <w:color w:val="auto"/>
        </w:rPr>
        <w:t>In addition to the sale of the KHE Campuses business in 2015, Kaplan also sold a small business that was part of KHE and two businesses that were part of Kaplan International. The net loss on the sale of these businesses totaled $24.9 million that is included in other non-operating expense.</w:t>
      </w:r>
    </w:p>
    <w:p>
      <w:pPr>
        <w:spacing w:after="0" w:line="106" w:lineRule="exact"/>
        <w:rPr>
          <w:sz w:val="20"/>
          <w:szCs w:val="20"/>
          <w:color w:val="auto"/>
        </w:rPr>
      </w:pPr>
    </w:p>
    <w:p>
      <w:pPr>
        <w:ind w:right="220"/>
        <w:spacing w:after="0" w:line="230" w:lineRule="auto"/>
        <w:rPr>
          <w:sz w:val="20"/>
          <w:szCs w:val="20"/>
          <w:color w:val="auto"/>
        </w:rPr>
      </w:pPr>
      <w:r>
        <w:rPr>
          <w:rFonts w:ascii="Arial" w:cs="Arial" w:eastAsia="Arial" w:hAnsi="Arial"/>
          <w:sz w:val="18"/>
          <w:szCs w:val="18"/>
          <w:b w:val="1"/>
          <w:bCs w:val="1"/>
          <w:color w:val="auto"/>
        </w:rPr>
        <w:t xml:space="preserve">Television Broadcasting Division. </w:t>
      </w:r>
      <w:r>
        <w:rPr>
          <w:rFonts w:ascii="Arial" w:cs="Arial" w:eastAsia="Arial" w:hAnsi="Arial"/>
          <w:sz w:val="18"/>
          <w:szCs w:val="18"/>
          <w:color w:val="auto"/>
        </w:rPr>
        <w:t>Revenue for the television broadcasting division decreased 1% to $359.2 million in 2015, from $363.8</w:t>
      </w:r>
      <w:r>
        <w:rPr>
          <w:rFonts w:ascii="Arial" w:cs="Arial" w:eastAsia="Arial" w:hAnsi="Arial"/>
          <w:sz w:val="18"/>
          <w:szCs w:val="18"/>
          <w:b w:val="1"/>
          <w:bCs w:val="1"/>
          <w:color w:val="auto"/>
        </w:rPr>
        <w:t xml:space="preserve"> </w:t>
      </w:r>
      <w:r>
        <w:rPr>
          <w:rFonts w:ascii="Arial" w:cs="Arial" w:eastAsia="Arial" w:hAnsi="Arial"/>
          <w:sz w:val="18"/>
          <w:szCs w:val="18"/>
          <w:color w:val="auto"/>
        </w:rPr>
        <w:t>million in 2014; operating income for 2015 was down 12% to $164.9 million, from $187.8 million in 2014. The decrease in revenue is due to a $27.7 million decrease in political advertising revenue and $9.5 million in incremental winter Olympics-related advertising revenue at the Company’s NBC affiliates in 2014, offset by $16.1 million in increased retransmission revenues, revenues from the Super Bowl at the Company’s NBC affiliates in February 2015 and an increase in advertising revenue in several key sectors. The decline in operating income is due to the revenue decline and an increase in spending on digital initiatives and increased network fees.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Operating margin at the television broadcasting division was 46% in 2015 and 52% in 2014.</w:t>
      </w:r>
    </w:p>
    <w:p>
      <w:pPr>
        <w:spacing w:after="0" w:line="144" w:lineRule="exact"/>
        <w:rPr>
          <w:sz w:val="20"/>
          <w:szCs w:val="20"/>
          <w:color w:val="auto"/>
        </w:rPr>
      </w:pPr>
    </w:p>
    <w:p>
      <w:pPr>
        <w:ind w:right="200"/>
        <w:spacing w:after="0"/>
        <w:rPr>
          <w:sz w:val="20"/>
          <w:szCs w:val="20"/>
          <w:color w:val="auto"/>
        </w:rPr>
      </w:pPr>
      <w:r>
        <w:rPr>
          <w:rFonts w:ascii="Arial" w:cs="Arial" w:eastAsia="Arial" w:hAnsi="Arial"/>
          <w:sz w:val="18"/>
          <w:szCs w:val="18"/>
          <w:color w:val="auto"/>
        </w:rPr>
        <w:t>Competitive market position remained strong for the Company’s television stations. KSAT in San Antonio and WJXT in Jacksonville ranked number one in the November 2015 ratings period, Monday through Friday, sign-on to sign-off; KPRC finished in a three-way tie for first place; WDIV in Detroit ranked second; and WKMG in Orlando ranked third.</w:t>
      </w: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724" w:right="23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color w:val="auto"/>
        </w:rPr>
        <w:t xml:space="preserve">Other Businesses. </w:t>
      </w:r>
      <w:r>
        <w:rPr>
          <w:rFonts w:ascii="Arial" w:cs="Arial" w:eastAsia="Arial" w:hAnsi="Arial"/>
          <w:sz w:val="18"/>
          <w:szCs w:val="18"/>
          <w:color w:val="auto"/>
        </w:rPr>
        <w:t>Other businesses includes the following:</w:t>
      </w:r>
    </w:p>
    <w:p>
      <w:pPr>
        <w:spacing w:after="0" w:line="146" w:lineRule="exact"/>
        <w:rPr>
          <w:sz w:val="20"/>
          <w:szCs w:val="20"/>
          <w:color w:val="auto"/>
        </w:rPr>
      </w:pPr>
    </w:p>
    <w:p>
      <w:pPr>
        <w:ind w:right="200" w:firstLine="8"/>
        <w:spacing w:after="0" w:line="260" w:lineRule="auto"/>
        <w:tabs>
          <w:tab w:leader="none" w:pos="11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Celtic Healthcare (Celtic) and Residential Healthcare Group, Inc. (Residential, acquired in July 2014), providers of home health and hospice services;</w:t>
      </w:r>
    </w:p>
    <w:p>
      <w:pPr>
        <w:spacing w:after="0" w:line="91" w:lineRule="exact"/>
        <w:rPr>
          <w:rFonts w:ascii="Arial" w:cs="Arial" w:eastAsia="Arial" w:hAnsi="Arial"/>
          <w:sz w:val="18"/>
          <w:szCs w:val="18"/>
          <w:color w:val="auto"/>
        </w:rPr>
      </w:pPr>
    </w:p>
    <w:p>
      <w:pPr>
        <w:ind w:right="100" w:firstLine="8"/>
        <w:spacing w:after="0" w:line="234" w:lineRule="auto"/>
        <w:tabs>
          <w:tab w:leader="none" w:pos="110" w:val="left"/>
        </w:tabs>
        <w:numPr>
          <w:ilvl w:val="0"/>
          <w:numId w:val="46"/>
        </w:numPr>
        <w:rPr>
          <w:rFonts w:ascii="Arial" w:cs="Arial" w:eastAsia="Arial" w:hAnsi="Arial"/>
          <w:sz w:val="18"/>
          <w:szCs w:val="18"/>
          <w:color w:val="auto"/>
        </w:rPr>
      </w:pPr>
      <w:r>
        <w:rPr>
          <w:rFonts w:ascii="Arial" w:cs="Arial" w:eastAsia="Arial" w:hAnsi="Arial"/>
          <w:sz w:val="18"/>
          <w:szCs w:val="18"/>
          <w:color w:val="auto"/>
        </w:rPr>
        <w:t>Dekko, a Garrett, IN-based manufacturer of electrical workspace solutions, architectural lighting and electrical components and assemblies (acquired in November 2015); Joyce/Dayton Corp., a Dayton, OH-based manufacturer of screw jacks and other linear motion systems (acquired in May 2014); and Forney, a global supplier of products and systems that control and monitor combustion processes in electric utility and industrial applications; and</w:t>
      </w:r>
    </w:p>
    <w:p>
      <w:pPr>
        <w:spacing w:after="0" w:line="111" w:lineRule="exact"/>
        <w:rPr>
          <w:rFonts w:ascii="Arial" w:cs="Arial" w:eastAsia="Arial" w:hAnsi="Arial"/>
          <w:sz w:val="18"/>
          <w:szCs w:val="18"/>
          <w:color w:val="auto"/>
        </w:rPr>
      </w:pPr>
    </w:p>
    <w:p>
      <w:pPr>
        <w:ind w:right="240" w:firstLine="8"/>
        <w:spacing w:after="0" w:line="260" w:lineRule="auto"/>
        <w:tabs>
          <w:tab w:leader="none" w:pos="110" w:val="left"/>
        </w:tabs>
        <w:numPr>
          <w:ilvl w:val="0"/>
          <w:numId w:val="46"/>
        </w:numPr>
        <w:rPr>
          <w:rFonts w:ascii="Arial" w:cs="Arial" w:eastAsia="Arial" w:hAnsi="Arial"/>
          <w:sz w:val="18"/>
          <w:szCs w:val="18"/>
          <w:color w:val="auto"/>
        </w:rPr>
      </w:pPr>
      <w:r>
        <w:rPr>
          <w:rFonts w:ascii="Arial" w:cs="Arial" w:eastAsia="Arial" w:hAnsi="Arial"/>
          <w:sz w:val="18"/>
          <w:szCs w:val="18"/>
          <w:color w:val="auto"/>
        </w:rPr>
        <w:t>SocialCode, a marketing solutions provider helping companies with marketing on social-media platforms; and The Slate Group and Foreign Policy Group, which publish online and print magazines and websites.</w:t>
      </w:r>
    </w:p>
    <w:p>
      <w:pPr>
        <w:spacing w:after="0" w:line="92" w:lineRule="exact"/>
        <w:rPr>
          <w:sz w:val="20"/>
          <w:szCs w:val="20"/>
          <w:color w:val="auto"/>
        </w:rPr>
      </w:pPr>
    </w:p>
    <w:p>
      <w:pPr>
        <w:ind w:right="40"/>
        <w:spacing w:after="0"/>
        <w:rPr>
          <w:sz w:val="20"/>
          <w:szCs w:val="20"/>
          <w:color w:val="auto"/>
        </w:rPr>
      </w:pPr>
      <w:r>
        <w:rPr>
          <w:rFonts w:ascii="Arial" w:cs="Arial" w:eastAsia="Arial" w:hAnsi="Arial"/>
          <w:sz w:val="18"/>
          <w:szCs w:val="18"/>
          <w:color w:val="auto"/>
        </w:rPr>
        <w:t>In November 2015, the Company announced that Trove, a digital innovation team, would largely be integrated into SocialCode and that Trove’s existing offerings would be discontinued. In connection with this action, the Company recorded a $2.8 million goodwill impairment charge at Trove in the fourth quarter of 2015, along with $0.5 million in severance costs.</w:t>
      </w:r>
    </w:p>
    <w:p>
      <w:pPr>
        <w:spacing w:after="0" w:line="108" w:lineRule="exact"/>
        <w:rPr>
          <w:sz w:val="20"/>
          <w:szCs w:val="20"/>
          <w:color w:val="auto"/>
        </w:rPr>
      </w:pPr>
    </w:p>
    <w:p>
      <w:pPr>
        <w:ind w:right="740"/>
        <w:spacing w:after="0"/>
        <w:rPr>
          <w:sz w:val="20"/>
          <w:szCs w:val="20"/>
          <w:color w:val="auto"/>
        </w:rPr>
      </w:pPr>
      <w:r>
        <w:rPr>
          <w:rFonts w:ascii="Arial" w:cs="Arial" w:eastAsia="Arial" w:hAnsi="Arial"/>
          <w:sz w:val="18"/>
          <w:szCs w:val="18"/>
          <w:color w:val="auto"/>
        </w:rPr>
        <w:t>The increase in revenues for 2015 is due primarily to the inclusion of revenues from the businesses acquired in 2015 and 2014. The improvement in operating results in 2015 reflects the contribution of the acquired businesses, as well as improved results at Celtic and SocialCode.</w:t>
      </w:r>
    </w:p>
    <w:p>
      <w:pPr>
        <w:spacing w:after="0" w:line="108" w:lineRule="exact"/>
        <w:rPr>
          <w:sz w:val="20"/>
          <w:szCs w:val="20"/>
          <w:color w:val="auto"/>
        </w:rPr>
      </w:pPr>
    </w:p>
    <w:p>
      <w:pPr>
        <w:ind w:right="220"/>
        <w:spacing w:after="0" w:line="231" w:lineRule="auto"/>
        <w:rPr>
          <w:sz w:val="20"/>
          <w:szCs w:val="20"/>
          <w:color w:val="auto"/>
        </w:rPr>
      </w:pPr>
      <w:r>
        <w:rPr>
          <w:rFonts w:ascii="Arial" w:cs="Arial" w:eastAsia="Arial" w:hAnsi="Arial"/>
          <w:sz w:val="18"/>
          <w:szCs w:val="18"/>
          <w:color w:val="auto"/>
        </w:rPr>
        <w:t>In January 2015, Celtic and Allegheny Health Network formed a joint venture to combine each other’s home health and hospice assets in the western Pennsylvania region. Celtic manages the operations of the joint venture for a fee and holds a 40% interest. The pro rata operating results of the joint venture are included in the Company’s equity in earnings of affiliates. In connection with this transaction, the Company recorded a noncash pre-tax gain of $6.0 million in the first quarter of 2015 that is included in other non-operating expense. Celtic’s revenues from the western Pennsylvania region that are now part of the joint venture made up 29% of total Celtic revenues in 2014.</w:t>
      </w:r>
    </w:p>
    <w:p>
      <w:pPr>
        <w:spacing w:after="0" w:line="111" w:lineRule="exact"/>
        <w:rPr>
          <w:sz w:val="20"/>
          <w:szCs w:val="20"/>
          <w:color w:val="auto"/>
        </w:rPr>
      </w:pPr>
    </w:p>
    <w:p>
      <w:pPr>
        <w:ind w:right="600"/>
        <w:spacing w:after="0" w:line="260" w:lineRule="auto"/>
        <w:rPr>
          <w:sz w:val="20"/>
          <w:szCs w:val="20"/>
          <w:color w:val="auto"/>
        </w:rPr>
      </w:pPr>
      <w:r>
        <w:rPr>
          <w:rFonts w:ascii="Arial" w:cs="Arial" w:eastAsia="Arial" w:hAnsi="Arial"/>
          <w:sz w:val="18"/>
          <w:szCs w:val="18"/>
          <w:color w:val="auto"/>
        </w:rPr>
        <w:t>In the second quarter of 2015, the Company sold The Root, an online magazine; the related gain on disposition is included in other non-operating expense, net.</w:t>
      </w:r>
    </w:p>
    <w:p>
      <w:pPr>
        <w:spacing w:after="0" w:line="90" w:lineRule="exact"/>
        <w:rPr>
          <w:sz w:val="20"/>
          <w:szCs w:val="20"/>
          <w:color w:val="auto"/>
        </w:rPr>
      </w:pPr>
    </w:p>
    <w:p>
      <w:pPr>
        <w:ind w:right="20"/>
        <w:spacing w:after="0" w:line="226" w:lineRule="auto"/>
        <w:rPr>
          <w:sz w:val="20"/>
          <w:szCs w:val="20"/>
          <w:color w:val="auto"/>
        </w:rPr>
      </w:pPr>
      <w:r>
        <w:rPr>
          <w:rFonts w:ascii="Arial" w:cs="Arial" w:eastAsia="Arial" w:hAnsi="Arial"/>
          <w:sz w:val="18"/>
          <w:szCs w:val="18"/>
          <w:b w:val="1"/>
          <w:bCs w:val="1"/>
          <w:color w:val="auto"/>
        </w:rPr>
        <w:t xml:space="preserve">Corporate Office. </w:t>
      </w:r>
      <w:r>
        <w:rPr>
          <w:rFonts w:ascii="Arial" w:cs="Arial" w:eastAsia="Arial" w:hAnsi="Arial"/>
          <w:sz w:val="18"/>
          <w:szCs w:val="18"/>
          <w:color w:val="auto"/>
        </w:rPr>
        <w:t>Corporate office includes the expenses of the Company’s corporate office, the pension credit for the Company’s traditional</w:t>
      </w:r>
      <w:r>
        <w:rPr>
          <w:rFonts w:ascii="Arial" w:cs="Arial" w:eastAsia="Arial" w:hAnsi="Arial"/>
          <w:sz w:val="18"/>
          <w:szCs w:val="18"/>
          <w:b w:val="1"/>
          <w:bCs w:val="1"/>
          <w:color w:val="auto"/>
        </w:rPr>
        <w:t xml:space="preserve"> </w:t>
      </w:r>
      <w:r>
        <w:rPr>
          <w:rFonts w:ascii="Arial" w:cs="Arial" w:eastAsia="Arial" w:hAnsi="Arial"/>
          <w:sz w:val="18"/>
          <w:szCs w:val="18"/>
          <w:color w:val="auto"/>
        </w:rPr>
        <w:t>defined benefit plan and certain continuing obligations related to prior business dispositions. In the fourth quarter of 2015, the Company recorded $6.0 million in incremental stock compensation expense due to the modification of restricted stock awards and implemented a Special Incentive Program that resulted in expense of $0.9 million, which is being funded from the assets of the Company’s pension plan. In the third quarter of 2015, the Company recorded $18.8 million in incremental stock option expense, due to stock option modifications that resulted from the Cable ONE spin-off. In the first quarter of 2014, the corporate office implemented a Separation Incentive Program that resulted in expense of $4.5 million, which was funded from the assets of the Company’s pension plan. In the third quarter of 2014, the Company recorded $10.3 million in early retirement program expense and other related charges, a portion of which was funded from the assets of the Company’s pension plan.</w:t>
      </w:r>
    </w:p>
    <w:p>
      <w:pPr>
        <w:spacing w:after="0" w:line="112" w:lineRule="exact"/>
        <w:rPr>
          <w:sz w:val="20"/>
          <w:szCs w:val="20"/>
          <w:color w:val="auto"/>
        </w:rPr>
      </w:pPr>
    </w:p>
    <w:p>
      <w:pPr>
        <w:ind w:right="20"/>
        <w:spacing w:after="0" w:line="260" w:lineRule="auto"/>
        <w:rPr>
          <w:sz w:val="20"/>
          <w:szCs w:val="20"/>
          <w:color w:val="auto"/>
        </w:rPr>
      </w:pPr>
      <w:r>
        <w:rPr>
          <w:rFonts w:ascii="Arial" w:cs="Arial" w:eastAsia="Arial" w:hAnsi="Arial"/>
          <w:sz w:val="18"/>
          <w:szCs w:val="18"/>
          <w:color w:val="auto"/>
        </w:rPr>
        <w:t>Excluding early retirement program and other pension incentive program expense, the total pension credit for the Company’s traditional defined benefit plan was $83.2 million and $91.2 million for 2015 and 2014, respectively.</w:t>
      </w:r>
    </w:p>
    <w:p>
      <w:pPr>
        <w:spacing w:after="0" w:line="92" w:lineRule="exact"/>
        <w:rPr>
          <w:sz w:val="20"/>
          <w:szCs w:val="20"/>
          <w:color w:val="auto"/>
        </w:rPr>
      </w:pPr>
    </w:p>
    <w:p>
      <w:pPr>
        <w:spacing w:after="0" w:line="234" w:lineRule="auto"/>
        <w:rPr>
          <w:sz w:val="20"/>
          <w:szCs w:val="20"/>
          <w:color w:val="auto"/>
        </w:rPr>
      </w:pPr>
      <w:r>
        <w:rPr>
          <w:rFonts w:ascii="Arial" w:cs="Arial" w:eastAsia="Arial" w:hAnsi="Arial"/>
          <w:sz w:val="18"/>
          <w:szCs w:val="18"/>
          <w:color w:val="auto"/>
        </w:rPr>
        <w:t>Excluding the $24.9 million in incremental stock compensation expense in 2015, the pension credit, early retirement program and other pension incentive program expense and other related charges in 2015 and 2014, corporate office expense declined in 2015. The decline is from lower compensation costs and 2014 costs related to certain acquisitions, the Berkshire exchange transaction and the corporate office headquarters move to Arlington, VA, partially offset by 2015 costs related to the Dekko acquisition.</w:t>
      </w:r>
    </w:p>
    <w:p>
      <w:pPr>
        <w:spacing w:after="0" w:line="109" w:lineRule="exact"/>
        <w:rPr>
          <w:sz w:val="20"/>
          <w:szCs w:val="20"/>
          <w:color w:val="auto"/>
        </w:rPr>
      </w:pPr>
    </w:p>
    <w:p>
      <w:pPr>
        <w:ind w:right="20"/>
        <w:spacing w:after="0" w:line="232" w:lineRule="auto"/>
        <w:rPr>
          <w:sz w:val="20"/>
          <w:szCs w:val="20"/>
          <w:color w:val="auto"/>
        </w:rPr>
      </w:pPr>
      <w:r>
        <w:rPr>
          <w:rFonts w:ascii="Arial" w:cs="Arial" w:eastAsia="Arial" w:hAnsi="Arial"/>
          <w:sz w:val="18"/>
          <w:szCs w:val="18"/>
          <w:b w:val="1"/>
          <w:bCs w:val="1"/>
          <w:color w:val="auto"/>
        </w:rPr>
        <w:t xml:space="preserve">Equity in (Losses) Earnings of Affiliates. </w:t>
      </w:r>
      <w:r>
        <w:rPr>
          <w:rFonts w:ascii="Arial" w:cs="Arial" w:eastAsia="Arial" w:hAnsi="Arial"/>
          <w:sz w:val="18"/>
          <w:szCs w:val="18"/>
          <w:color w:val="auto"/>
        </w:rPr>
        <w:t>At December 31, 2015, the Company held a 40% interest in a Celtic joint venture and Residential</w:t>
      </w:r>
      <w:r>
        <w:rPr>
          <w:rFonts w:ascii="Arial" w:cs="Arial" w:eastAsia="Arial" w:hAnsi="Arial"/>
          <w:sz w:val="18"/>
          <w:szCs w:val="18"/>
          <w:b w:val="1"/>
          <w:bCs w:val="1"/>
          <w:color w:val="auto"/>
        </w:rPr>
        <w:t xml:space="preserve"> </w:t>
      </w:r>
      <w:r>
        <w:rPr>
          <w:rFonts w:ascii="Arial" w:cs="Arial" w:eastAsia="Arial" w:hAnsi="Arial"/>
          <w:sz w:val="18"/>
          <w:szCs w:val="18"/>
          <w:color w:val="auto"/>
        </w:rPr>
        <w:t>Home Health Illinois, a 42.5% interest in Residential Hospice Illinois, and interests in several other affiliates. In the second quarter of 2015, the Company acquired an approximate 20% interest in HomeHero, a company that created and manages an online senior home care marketplace. At September 30, 2014, the Company held a 16.5% interest in Classified Ventures, LLC (CV) and interests in several other affiliates. On October 1, 2014, the Company and the remaining partners in CV completed the sale of their entire stakes in CV.</w:t>
      </w:r>
    </w:p>
    <w:p>
      <w:pPr>
        <w:spacing w:after="0" w:line="109" w:lineRule="exact"/>
        <w:rPr>
          <w:sz w:val="20"/>
          <w:szCs w:val="20"/>
          <w:color w:val="auto"/>
        </w:rPr>
      </w:pPr>
    </w:p>
    <w:p>
      <w:pPr>
        <w:ind w:right="360"/>
        <w:spacing w:after="0" w:line="260" w:lineRule="auto"/>
        <w:rPr>
          <w:sz w:val="20"/>
          <w:szCs w:val="20"/>
          <w:color w:val="auto"/>
        </w:rPr>
      </w:pPr>
      <w:r>
        <w:rPr>
          <w:rFonts w:ascii="Arial" w:cs="Arial" w:eastAsia="Arial" w:hAnsi="Arial"/>
          <w:sz w:val="18"/>
          <w:szCs w:val="18"/>
          <w:color w:val="auto"/>
        </w:rPr>
        <w:t>The Company’s equity in losses of affiliates, net, for 2015 was $0.7 million, compared to income of $100.4 million in 2014. The 2014 results include a pre-tax gain of $90.9 million from Classified Ventures’ sale of apartments.com in the second quarter of 2014.</w:t>
      </w:r>
    </w:p>
    <w:p>
      <w:pPr>
        <w:spacing w:after="0" w:line="90" w:lineRule="exact"/>
        <w:rPr>
          <w:sz w:val="20"/>
          <w:szCs w:val="20"/>
          <w:color w:val="auto"/>
        </w:rPr>
      </w:pPr>
    </w:p>
    <w:p>
      <w:pPr>
        <w:ind w:right="340"/>
        <w:spacing w:after="0" w:line="263" w:lineRule="auto"/>
        <w:rPr>
          <w:sz w:val="20"/>
          <w:szCs w:val="20"/>
          <w:color w:val="auto"/>
        </w:rPr>
      </w:pPr>
      <w:r>
        <w:rPr>
          <w:rFonts w:ascii="Arial" w:cs="Arial" w:eastAsia="Arial" w:hAnsi="Arial"/>
          <w:sz w:val="18"/>
          <w:szCs w:val="18"/>
          <w:b w:val="1"/>
          <w:bCs w:val="1"/>
          <w:color w:val="auto"/>
        </w:rPr>
        <w:t xml:space="preserve">Other Non-Operating (Expense) Income. </w:t>
      </w:r>
      <w:r>
        <w:rPr>
          <w:rFonts w:ascii="Arial" w:cs="Arial" w:eastAsia="Arial" w:hAnsi="Arial"/>
          <w:sz w:val="18"/>
          <w:szCs w:val="18"/>
          <w:color w:val="auto"/>
        </w:rPr>
        <w:t>The Company recorded other non-operating expense, net, of $8.6 million in 2015, compared to</w:t>
      </w:r>
      <w:r>
        <w:rPr>
          <w:rFonts w:ascii="Arial" w:cs="Arial" w:eastAsia="Arial" w:hAnsi="Arial"/>
          <w:sz w:val="18"/>
          <w:szCs w:val="18"/>
          <w:b w:val="1"/>
          <w:bCs w:val="1"/>
          <w:color w:val="auto"/>
        </w:rPr>
        <w:t xml:space="preserve"> </w:t>
      </w:r>
      <w:r>
        <w:rPr>
          <w:rFonts w:ascii="Arial" w:cs="Arial" w:eastAsia="Arial" w:hAnsi="Arial"/>
          <w:sz w:val="18"/>
          <w:szCs w:val="18"/>
          <w:color w:val="auto"/>
        </w:rPr>
        <w:t>income of $778.0 million in 2014.</w:t>
      </w: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722" w:right="239" w:bottom="1440" w:gutter="0" w:footer="0" w:header="0"/>
        </w:sectPr>
      </w:pPr>
    </w:p>
    <w:bookmarkStart w:id="53" w:name="page54"/>
    <w:bookmarkEnd w:id="53"/>
    <w:p>
      <w:pPr>
        <w:ind w:right="60"/>
        <w:spacing w:after="0" w:line="231" w:lineRule="auto"/>
        <w:rPr>
          <w:sz w:val="20"/>
          <w:szCs w:val="20"/>
          <w:color w:val="auto"/>
        </w:rPr>
      </w:pPr>
      <w:r>
        <w:rPr>
          <w:rFonts w:ascii="Arial" w:cs="Arial" w:eastAsia="Arial" w:hAnsi="Arial"/>
          <w:sz w:val="18"/>
          <w:szCs w:val="18"/>
          <w:color w:val="auto"/>
        </w:rPr>
        <w:t>The 2015 non-operating expense, net, included $23.3 million in losses from the sales of businesses, $15.6 million in unrealized foreign currency losses and other items, offset by a $21.4 million gain on the sale of land from Robinson Terminal, $6.0 million gain on the formation of a Celtic joint venture and a $4.8 million increase to the CV gain. The 2014 non-operating income, net, included a pre-tax gain of $396.6 million on the sale of Classified Ventures, the pre-tax gain of $266.7 million in connection with the Company’s exchange of Berkshire shares, a pre-tax gain of $127.7 million on the sale of the headquarters building, $11.1 million in unrealized foreign currency losses and other items.</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Net Interest Expense. </w:t>
      </w:r>
      <w:r>
        <w:rPr>
          <w:rFonts w:ascii="Arial" w:cs="Arial" w:eastAsia="Arial" w:hAnsi="Arial"/>
          <w:sz w:val="18"/>
          <w:szCs w:val="18"/>
          <w:color w:val="auto"/>
        </w:rPr>
        <w:t>The Company incurred net interest expense of $30.7 million in 2015, compared to $33.4 million in 2014. At</w:t>
      </w:r>
    </w:p>
    <w:p>
      <w:pPr>
        <w:spacing w:after="0" w:line="6"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December 31, 2015, the Company had $399.8 million in borrowings outstanding at an average interest rate of 7.2%; at December 31, 2014, the Company had $445.9 million in borrowings outstanding at an average interest rate of 7.1%.</w:t>
      </w:r>
    </w:p>
    <w:p>
      <w:pPr>
        <w:spacing w:after="0" w:line="107" w:lineRule="exact"/>
        <w:rPr>
          <w:sz w:val="20"/>
          <w:szCs w:val="20"/>
          <w:color w:val="auto"/>
        </w:rPr>
      </w:pPr>
    </w:p>
    <w:p>
      <w:pPr>
        <w:ind w:right="40"/>
        <w:spacing w:after="0" w:line="230" w:lineRule="auto"/>
        <w:rPr>
          <w:sz w:val="20"/>
          <w:szCs w:val="20"/>
          <w:color w:val="auto"/>
        </w:rPr>
      </w:pPr>
      <w:r>
        <w:rPr>
          <w:rFonts w:ascii="Arial" w:cs="Arial" w:eastAsia="Arial" w:hAnsi="Arial"/>
          <w:sz w:val="18"/>
          <w:szCs w:val="18"/>
          <w:b w:val="1"/>
          <w:bCs w:val="1"/>
          <w:color w:val="auto"/>
        </w:rPr>
        <w:t xml:space="preserve">Provision for Income Taxes. </w:t>
      </w:r>
      <w:r>
        <w:rPr>
          <w:rFonts w:ascii="Arial" w:cs="Arial" w:eastAsia="Arial" w:hAnsi="Arial"/>
          <w:sz w:val="18"/>
          <w:szCs w:val="18"/>
          <w:color w:val="auto"/>
        </w:rPr>
        <w:t>The Company recorded a tax provision on the pre-tax loss from continuing operations in 2015, as a large</w:t>
      </w:r>
      <w:r>
        <w:rPr>
          <w:rFonts w:ascii="Arial" w:cs="Arial" w:eastAsia="Arial" w:hAnsi="Arial"/>
          <w:sz w:val="18"/>
          <w:szCs w:val="18"/>
          <w:b w:val="1"/>
          <w:bCs w:val="1"/>
          <w:color w:val="auto"/>
        </w:rPr>
        <w:t xml:space="preserve"> </w:t>
      </w:r>
      <w:r>
        <w:rPr>
          <w:rFonts w:ascii="Arial" w:cs="Arial" w:eastAsia="Arial" w:hAnsi="Arial"/>
          <w:sz w:val="18"/>
          <w:szCs w:val="18"/>
          <w:color w:val="auto"/>
        </w:rPr>
        <w:t>portion of the goodwill impairment charges and the goodwill included in the loss on the KHE Campuses sale are permanent differences not deductible for income tax purposes. Excluding the effect of these permanent differences, the effective tax rate for continuing operations in 2015 was 38.1%, compared to an effective tax rate of 29.0% in 2014. The lower effective tax rate in 2014 largely relates to the Berkshire exchange transaction. The pre-tax gain of $266.7 million related to the disposition of the Berkshire shares was not subject to income tax as the exchange qualified as a tax-free transaction.</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Discontinued Operations. </w:t>
      </w:r>
      <w:r>
        <w:rPr>
          <w:rFonts w:ascii="Arial" w:cs="Arial" w:eastAsia="Arial" w:hAnsi="Arial"/>
          <w:sz w:val="18"/>
          <w:szCs w:val="18"/>
          <w:color w:val="auto"/>
        </w:rPr>
        <w:t>On July 1, 2015, the Company completed the spin-off of Cable ONE as an independent, publicly traded company.</w:t>
      </w:r>
    </w:p>
    <w:p>
      <w:pPr>
        <w:spacing w:after="0" w:line="146" w:lineRule="exact"/>
        <w:rPr>
          <w:sz w:val="20"/>
          <w:szCs w:val="20"/>
          <w:color w:val="auto"/>
        </w:rPr>
      </w:pPr>
    </w:p>
    <w:p>
      <w:pPr>
        <w:ind w:right="420"/>
        <w:spacing w:after="0" w:line="260" w:lineRule="auto"/>
        <w:rPr>
          <w:sz w:val="20"/>
          <w:szCs w:val="20"/>
          <w:color w:val="auto"/>
        </w:rPr>
      </w:pPr>
      <w:r>
        <w:rPr>
          <w:rFonts w:ascii="Arial" w:cs="Arial" w:eastAsia="Arial" w:hAnsi="Arial"/>
          <w:sz w:val="18"/>
          <w:szCs w:val="18"/>
          <w:color w:val="auto"/>
        </w:rPr>
        <w:t>In the third quarter of 2014, Kaplan completed the sale of three of its schools in China that were previously part of Kaplan International. An additional school was sold by Kaplan in January 2015.</w:t>
      </w:r>
    </w:p>
    <w:p>
      <w:pPr>
        <w:spacing w:after="0" w:line="92" w:lineRule="exact"/>
        <w:rPr>
          <w:sz w:val="20"/>
          <w:szCs w:val="20"/>
          <w:color w:val="auto"/>
        </w:rPr>
      </w:pPr>
    </w:p>
    <w:p>
      <w:pPr>
        <w:ind w:right="580"/>
        <w:spacing w:after="0" w:line="260" w:lineRule="auto"/>
        <w:rPr>
          <w:sz w:val="20"/>
          <w:szCs w:val="20"/>
          <w:color w:val="auto"/>
        </w:rPr>
      </w:pPr>
      <w:r>
        <w:rPr>
          <w:rFonts w:ascii="Arial" w:cs="Arial" w:eastAsia="Arial" w:hAnsi="Arial"/>
          <w:sz w:val="18"/>
          <w:szCs w:val="18"/>
          <w:color w:val="auto"/>
        </w:rPr>
        <w:t>In the second quarter of 2014, the Company closed on the Berkshire exchange transaction, which included the disposition of WPLG, the Company’s Miami-based television station.</w:t>
      </w:r>
    </w:p>
    <w:p>
      <w:pPr>
        <w:spacing w:after="0" w:line="92" w:lineRule="exact"/>
        <w:rPr>
          <w:sz w:val="20"/>
          <w:szCs w:val="20"/>
          <w:color w:val="auto"/>
        </w:rPr>
      </w:pPr>
    </w:p>
    <w:p>
      <w:pPr>
        <w:ind w:right="480"/>
        <w:spacing w:after="0" w:line="260" w:lineRule="auto"/>
        <w:rPr>
          <w:sz w:val="20"/>
          <w:szCs w:val="20"/>
          <w:color w:val="auto"/>
        </w:rPr>
      </w:pPr>
      <w:r>
        <w:rPr>
          <w:rFonts w:ascii="Arial" w:cs="Arial" w:eastAsia="Arial" w:hAnsi="Arial"/>
          <w:sz w:val="18"/>
          <w:szCs w:val="18"/>
          <w:color w:val="auto"/>
        </w:rPr>
        <w:t>As a result of these transactions, income from continuing operations excludes the operating results and related net gain on dispositions of these businesses, which have been reclassified to discontinued operations, net of tax, for all periods presented.</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 CAPITAL RESOURCES AND LIQUIDITY</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 and Dispositions of Businesses</w:t>
      </w:r>
    </w:p>
    <w:p>
      <w:pPr>
        <w:spacing w:after="0" w:line="144"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b w:val="1"/>
          <w:bCs w:val="1"/>
          <w:color w:val="auto"/>
        </w:rPr>
        <w:t xml:space="preserve">Acquisitions. </w:t>
      </w:r>
      <w:r>
        <w:rPr>
          <w:rFonts w:ascii="Arial" w:cs="Arial" w:eastAsia="Arial" w:hAnsi="Arial"/>
          <w:sz w:val="18"/>
          <w:szCs w:val="18"/>
          <w:color w:val="auto"/>
        </w:rPr>
        <w:t>In May 2016, Graham Media Group entered into an agreement to acquire two television stations for $60 million in cash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assumption of certain pension obligations. This transaction closed on January 17, 2017.</w:t>
      </w:r>
    </w:p>
    <w:p>
      <w:pPr>
        <w:spacing w:after="0" w:line="89" w:lineRule="exact"/>
        <w:rPr>
          <w:sz w:val="20"/>
          <w:szCs w:val="20"/>
          <w:color w:val="auto"/>
        </w:rPr>
      </w:pPr>
    </w:p>
    <w:p>
      <w:pPr>
        <w:ind w:right="440"/>
        <w:spacing w:after="0" w:line="260" w:lineRule="auto"/>
        <w:rPr>
          <w:sz w:val="20"/>
          <w:szCs w:val="20"/>
          <w:color w:val="auto"/>
        </w:rPr>
      </w:pPr>
      <w:r>
        <w:rPr>
          <w:rFonts w:ascii="Arial" w:cs="Arial" w:eastAsia="Arial" w:hAnsi="Arial"/>
          <w:sz w:val="18"/>
          <w:szCs w:val="18"/>
          <w:color w:val="auto"/>
        </w:rPr>
        <w:t>The Company completed business acquisitions totaling approximately $258.0 million in 2016; $163.3 million in 2015; and $210.2 million in 2014. The assets and liabilities of the companies acquired have been recorded at their estimated fair values at the date of acquisition.</w:t>
      </w:r>
    </w:p>
    <w:p>
      <w:pPr>
        <w:spacing w:after="0" w:line="92" w:lineRule="exact"/>
        <w:rPr>
          <w:sz w:val="20"/>
          <w:szCs w:val="20"/>
          <w:color w:val="auto"/>
        </w:rPr>
      </w:pPr>
    </w:p>
    <w:p>
      <w:pPr>
        <w:spacing w:after="0" w:line="229" w:lineRule="auto"/>
        <w:rPr>
          <w:sz w:val="20"/>
          <w:szCs w:val="20"/>
          <w:color w:val="auto"/>
        </w:rPr>
      </w:pPr>
      <w:r>
        <w:rPr>
          <w:rFonts w:ascii="Arial" w:cs="Arial" w:eastAsia="Arial" w:hAnsi="Arial"/>
          <w:sz w:val="18"/>
          <w:szCs w:val="18"/>
          <w:color w:val="auto"/>
        </w:rPr>
        <w:t>During 2016, the Company acquired five businesses, three businesses included in its education division and two businesses in other businesses. In January 2016, Kaplan acquired a 100% interest in Mander Portman Woodward, a leading provider of high-quality, bespoke education to UK and international students in London, Cambridge and Birmingham, by purchasing all of its issued and outstanding shares. In February 2016, Kaplan acquired a 100% interest in Osborne Books, an educational publisher of learning resources for accounting qualifications in the UK, by purchasing all of its issued and outstanding shares. The primary reason for these acquisitions is based on several strategic benefits expected to be realized in the future. Both of these acquisitions are included in Kaplan International.</w:t>
      </w:r>
    </w:p>
    <w:p>
      <w:pPr>
        <w:spacing w:after="0" w:line="112" w:lineRule="exact"/>
        <w:rPr>
          <w:sz w:val="20"/>
          <w:szCs w:val="20"/>
          <w:color w:val="auto"/>
        </w:rPr>
      </w:pPr>
    </w:p>
    <w:p>
      <w:pPr>
        <w:ind w:right="60"/>
        <w:spacing w:after="0" w:line="234" w:lineRule="auto"/>
        <w:rPr>
          <w:sz w:val="20"/>
          <w:szCs w:val="20"/>
          <w:color w:val="auto"/>
        </w:rPr>
      </w:pPr>
      <w:r>
        <w:rPr>
          <w:rFonts w:ascii="Arial" w:cs="Arial" w:eastAsia="Arial" w:hAnsi="Arial"/>
          <w:sz w:val="18"/>
          <w:szCs w:val="18"/>
          <w:color w:val="auto"/>
        </w:rPr>
        <w:t>In September 2016, Dekko acquired a 100% interest in Electri-Cable Assemblies (ECA), a Shelton, CT-based manufacturer of power, data and electrical solutions for the office furniture industry, by purchasing all of its issued and outstanding shares. Dekko’s primary reasons for the acquisition were to complement existing product offerings and provide opportunities for synergies across the businesses. This acquisition is included in other businesses.</w:t>
      </w:r>
    </w:p>
    <w:p>
      <w:pPr>
        <w:spacing w:after="0" w:line="111" w:lineRule="exact"/>
        <w:rPr>
          <w:sz w:val="20"/>
          <w:szCs w:val="20"/>
          <w:color w:val="auto"/>
        </w:rPr>
      </w:pPr>
    </w:p>
    <w:p>
      <w:pPr>
        <w:ind w:right="160"/>
        <w:spacing w:after="0" w:line="231" w:lineRule="auto"/>
        <w:rPr>
          <w:sz w:val="20"/>
          <w:szCs w:val="20"/>
          <w:color w:val="auto"/>
        </w:rPr>
      </w:pPr>
      <w:r>
        <w:rPr>
          <w:rFonts w:ascii="Arial" w:cs="Arial" w:eastAsia="Arial" w:hAnsi="Arial"/>
          <w:sz w:val="18"/>
          <w:szCs w:val="18"/>
          <w:color w:val="auto"/>
        </w:rPr>
        <w:t>During 2015, the Company acquired two businesses. On November 13, 2015, the Company acquired a 100% interest in Dekko, a Garrett, IN-based manufacturer of electrical solutions for applications across three business lines: workspace power solutions, architectural lighting and electrical components and assemblies, by purchasing all of the issued and outstanding shares. Dekko is included in other businesses. On December 22, 2015, Kaplan acquired a 100% interest in SmartPros, a provider of accredited professional education and training, primarily in accountancy, which is included in Higher Education.</w:t>
      </w: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724" w:right="239" w:bottom="1440" w:gutter="0" w:footer="0" w:header="0"/>
        </w:sectPr>
      </w:pPr>
    </w:p>
    <w:bookmarkStart w:id="54" w:name="page55"/>
    <w:bookmarkEnd w:id="54"/>
    <w:p>
      <w:pPr>
        <w:ind w:right="60"/>
        <w:spacing w:after="0" w:line="226" w:lineRule="auto"/>
        <w:rPr>
          <w:sz w:val="20"/>
          <w:szCs w:val="20"/>
          <w:color w:val="auto"/>
        </w:rPr>
      </w:pPr>
      <w:r>
        <w:rPr>
          <w:rFonts w:ascii="Arial" w:cs="Arial" w:eastAsia="Arial" w:hAnsi="Arial"/>
          <w:sz w:val="18"/>
          <w:szCs w:val="18"/>
          <w:color w:val="auto"/>
        </w:rPr>
        <w:t>During 2014, the Company acquired nine businesses. On April 1, 2014, Celtic Healthcare acquired a 100% interest in VNA-TIP Healthcare, a provider of home health and hospice services in Missouri and Illinois. On May 30, 2014, the Company completed its acquisition of a 100% interest in Joyce/Dayton Corp., a Dayton, OH-based manufacturer of screw jacks and other linear motion systems. On July 3, 2014, the Company completed its acquisition of an 80% interest in Residential Healthcare Group, Inc., the parent company of Residential Home Health and Residential Hospice, providers of skilled home health care and hospice services in Michigan and Illinois. Residential Healthcare Group, Inc. has a 40% ownership interest in Residential Home Health Illinois and a 42.5% ownership interest in Residential Hospice Illinois, which are accounted for as investments in affiliates. The operating results of these businesses are included in other businesses. The Company also acquired three small businesses in its education division, one small business in its broadcasting division and two small businesses in other businesses.</w:t>
      </w:r>
    </w:p>
    <w:p>
      <w:pPr>
        <w:spacing w:after="0" w:line="108" w:lineRule="exact"/>
        <w:rPr>
          <w:sz w:val="20"/>
          <w:szCs w:val="20"/>
          <w:color w:val="auto"/>
        </w:rPr>
      </w:pPr>
    </w:p>
    <w:p>
      <w:pPr>
        <w:spacing w:after="0" w:line="263" w:lineRule="auto"/>
        <w:rPr>
          <w:sz w:val="20"/>
          <w:szCs w:val="20"/>
          <w:color w:val="auto"/>
        </w:rPr>
      </w:pPr>
      <w:r>
        <w:rPr>
          <w:rFonts w:ascii="Arial" w:cs="Arial" w:eastAsia="Arial" w:hAnsi="Arial"/>
          <w:sz w:val="18"/>
          <w:szCs w:val="18"/>
          <w:b w:val="1"/>
          <w:bCs w:val="1"/>
          <w:color w:val="auto"/>
        </w:rPr>
        <w:t xml:space="preserve">Spin-Off. </w:t>
      </w:r>
      <w:r>
        <w:rPr>
          <w:rFonts w:ascii="Arial" w:cs="Arial" w:eastAsia="Arial" w:hAnsi="Arial"/>
          <w:sz w:val="18"/>
          <w:szCs w:val="18"/>
          <w:color w:val="auto"/>
        </w:rPr>
        <w:t>On July 1, 2015, the Company completed the spin-off of Cable ONE, by way of a distribution of all the issued and outstanding shares</w:t>
      </w:r>
      <w:r>
        <w:rPr>
          <w:rFonts w:ascii="Arial" w:cs="Arial" w:eastAsia="Arial" w:hAnsi="Arial"/>
          <w:sz w:val="18"/>
          <w:szCs w:val="18"/>
          <w:b w:val="1"/>
          <w:bCs w:val="1"/>
          <w:color w:val="auto"/>
        </w:rPr>
        <w:t xml:space="preserve"> </w:t>
      </w:r>
      <w:r>
        <w:rPr>
          <w:rFonts w:ascii="Arial" w:cs="Arial" w:eastAsia="Arial" w:hAnsi="Arial"/>
          <w:sz w:val="18"/>
          <w:szCs w:val="18"/>
          <w:color w:val="auto"/>
        </w:rPr>
        <w:t>of Cable ONE common stock, on a pro rata basis, to the Company’s stockholders.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Sale of Businesses. </w:t>
      </w:r>
      <w:r>
        <w:rPr>
          <w:rFonts w:ascii="Arial" w:cs="Arial" w:eastAsia="Arial" w:hAnsi="Arial"/>
          <w:sz w:val="18"/>
          <w:szCs w:val="18"/>
          <w:color w:val="auto"/>
        </w:rPr>
        <w:t>In January 2016, Kaplan completed the sale of Colloquy, which was included in Kaplan Corporate and Other.</w:t>
      </w:r>
    </w:p>
    <w:p>
      <w:pPr>
        <w:spacing w:after="0" w:line="146" w:lineRule="exact"/>
        <w:rPr>
          <w:sz w:val="20"/>
          <w:szCs w:val="20"/>
          <w:color w:val="auto"/>
        </w:rPr>
      </w:pPr>
    </w:p>
    <w:p>
      <w:pPr>
        <w:ind w:right="100"/>
        <w:spacing w:after="0"/>
        <w:rPr>
          <w:sz w:val="20"/>
          <w:szCs w:val="20"/>
          <w:color w:val="auto"/>
        </w:rPr>
      </w:pPr>
      <w:r>
        <w:rPr>
          <w:rFonts w:ascii="Arial" w:cs="Arial" w:eastAsia="Arial" w:hAnsi="Arial"/>
          <w:sz w:val="18"/>
          <w:szCs w:val="18"/>
          <w:color w:val="auto"/>
        </w:rPr>
        <w:t>On September 3, 2015, Kaplan completed the sale of substantially all of the assets of its KHE Campuses business, consisting of 38 nationally accredited ground campuses and certain related assets, in exchange for a preferred equity interest in a vocational school company. KHE Campuses schools that were closed or were in the process of closing were not included in the sale transaction.</w:t>
      </w:r>
    </w:p>
    <w:p>
      <w:pPr>
        <w:spacing w:after="0" w:line="108" w:lineRule="exact"/>
        <w:rPr>
          <w:sz w:val="20"/>
          <w:szCs w:val="20"/>
          <w:color w:val="auto"/>
        </w:rPr>
      </w:pPr>
    </w:p>
    <w:p>
      <w:pPr>
        <w:jc w:val="both"/>
        <w:ind w:right="40"/>
        <w:spacing w:after="0" w:line="234" w:lineRule="auto"/>
        <w:rPr>
          <w:sz w:val="20"/>
          <w:szCs w:val="20"/>
          <w:color w:val="auto"/>
        </w:rPr>
      </w:pPr>
      <w:r>
        <w:rPr>
          <w:rFonts w:ascii="Arial" w:cs="Arial" w:eastAsia="Arial" w:hAnsi="Arial"/>
          <w:sz w:val="18"/>
          <w:szCs w:val="18"/>
          <w:color w:val="auto"/>
        </w:rPr>
        <w:t>In the third quarter of 2015, Kaplan sold Franklyn Scholar, which was part of Kaplan International. In the second quarter of 2015, the Company sold The Root, a component of Slate, and Kaplan sold two small businesses, Structuralia, which was part of Kaplan International, and Fire and EMS Training, which was part of Kaplan Higher Education. As a result of these sales, the Company reported net losses in other non-operating (expense) income.</w:t>
      </w:r>
    </w:p>
    <w:p>
      <w:pPr>
        <w:spacing w:after="0" w:line="111" w:lineRule="exact"/>
        <w:rPr>
          <w:sz w:val="20"/>
          <w:szCs w:val="20"/>
          <w:color w:val="auto"/>
        </w:rPr>
      </w:pPr>
    </w:p>
    <w:p>
      <w:pPr>
        <w:ind w:right="780"/>
        <w:spacing w:after="0" w:line="260" w:lineRule="auto"/>
        <w:rPr>
          <w:sz w:val="20"/>
          <w:szCs w:val="20"/>
          <w:color w:val="auto"/>
        </w:rPr>
      </w:pPr>
      <w:r>
        <w:rPr>
          <w:rFonts w:ascii="Arial" w:cs="Arial" w:eastAsia="Arial" w:hAnsi="Arial"/>
          <w:sz w:val="18"/>
          <w:szCs w:val="18"/>
          <w:color w:val="auto"/>
        </w:rPr>
        <w:t>In the third quarter of 2014, Kaplan completed the sale of three of its schools in China that were previously included as part of Kaplan International. In January 2015, Kaplan completed the sale of an additional school in China.</w:t>
      </w:r>
    </w:p>
    <w:p>
      <w:pPr>
        <w:spacing w:after="0" w:line="90" w:lineRule="exact"/>
        <w:rPr>
          <w:sz w:val="20"/>
          <w:szCs w:val="20"/>
          <w:color w:val="auto"/>
        </w:rPr>
      </w:pPr>
    </w:p>
    <w:p>
      <w:pPr>
        <w:spacing w:after="0" w:line="230" w:lineRule="auto"/>
        <w:rPr>
          <w:sz w:val="20"/>
          <w:szCs w:val="20"/>
          <w:color w:val="auto"/>
        </w:rPr>
      </w:pPr>
      <w:r>
        <w:rPr>
          <w:rFonts w:ascii="Arial" w:cs="Arial" w:eastAsia="Arial" w:hAnsi="Arial"/>
          <w:sz w:val="18"/>
          <w:szCs w:val="18"/>
          <w:b w:val="1"/>
          <w:bCs w:val="1"/>
          <w:color w:val="auto"/>
        </w:rPr>
        <w:t xml:space="preserve">Exchanges. </w:t>
      </w:r>
      <w:r>
        <w:rPr>
          <w:rFonts w:ascii="Arial" w:cs="Arial" w:eastAsia="Arial" w:hAnsi="Arial"/>
          <w:sz w:val="18"/>
          <w:szCs w:val="18"/>
          <w:color w:val="auto"/>
        </w:rPr>
        <w:t>On June 30, 2014, the Company and Berkshire Hathaway Inc. completed a previously announced transaction in which Berkshire</w:t>
      </w:r>
      <w:r>
        <w:rPr>
          <w:rFonts w:ascii="Arial" w:cs="Arial" w:eastAsia="Arial" w:hAnsi="Arial"/>
          <w:sz w:val="18"/>
          <w:szCs w:val="18"/>
          <w:b w:val="1"/>
          <w:bCs w:val="1"/>
          <w:color w:val="auto"/>
        </w:rPr>
        <w:t xml:space="preserve"> </w:t>
      </w:r>
      <w:r>
        <w:rPr>
          <w:rFonts w:ascii="Arial" w:cs="Arial" w:eastAsia="Arial" w:hAnsi="Arial"/>
          <w:sz w:val="18"/>
          <w:szCs w:val="18"/>
          <w:color w:val="auto"/>
        </w:rPr>
        <w:t>acquired a wholly owned subsidiary of the Company that included, among other things, WPLG, a Miami-based television station, 2,107 Class A Berkshire shares and 1,278 Class B Berkshire shares owned by Graham Holdings and $327.7 million in cash, in exchange for 1,620,190 shares of Graham Holdings Class B common stock owned by Berkshire Hathaway (Berkshire exchange transaction). As a result, income from continuing operations for the second quarter of 2014 includes a $266.7 million gain from the sale of the Berkshire Hathaway shares, and income from discontinued operations for the second quarter of 2014 includes a $375.0 million gain from the WPLG exchange.</w:t>
      </w:r>
    </w:p>
    <w:p>
      <w:pPr>
        <w:spacing w:after="0" w:line="106" w:lineRule="exact"/>
        <w:rPr>
          <w:sz w:val="20"/>
          <w:szCs w:val="20"/>
          <w:color w:val="auto"/>
        </w:rPr>
      </w:pPr>
    </w:p>
    <w:p>
      <w:pPr>
        <w:ind w:right="20"/>
        <w:spacing w:after="0" w:line="232" w:lineRule="auto"/>
        <w:rPr>
          <w:sz w:val="20"/>
          <w:szCs w:val="20"/>
          <w:color w:val="auto"/>
        </w:rPr>
      </w:pPr>
      <w:r>
        <w:rPr>
          <w:rFonts w:ascii="Arial" w:cs="Arial" w:eastAsia="Arial" w:hAnsi="Arial"/>
          <w:sz w:val="18"/>
          <w:szCs w:val="18"/>
          <w:b w:val="1"/>
          <w:bCs w:val="1"/>
          <w:color w:val="auto"/>
        </w:rPr>
        <w:t xml:space="preserve">Other. </w:t>
      </w:r>
      <w:r>
        <w:rPr>
          <w:rFonts w:ascii="Arial" w:cs="Arial" w:eastAsia="Arial" w:hAnsi="Arial"/>
          <w:sz w:val="18"/>
          <w:szCs w:val="18"/>
          <w:color w:val="auto"/>
        </w:rPr>
        <w:t>In June 2016, Residential and a Michigan hospital formed a joint venture to provide home health services to patients in western</w:t>
      </w:r>
      <w:r>
        <w:rPr>
          <w:rFonts w:ascii="Arial" w:cs="Arial" w:eastAsia="Arial" w:hAnsi="Arial"/>
          <w:sz w:val="18"/>
          <w:szCs w:val="18"/>
          <w:b w:val="1"/>
          <w:bCs w:val="1"/>
          <w:color w:val="auto"/>
        </w:rPr>
        <w:t xml:space="preserve"> </w:t>
      </w:r>
      <w:r>
        <w:rPr>
          <w:rFonts w:ascii="Arial" w:cs="Arial" w:eastAsia="Arial" w:hAnsi="Arial"/>
          <w:sz w:val="18"/>
          <w:szCs w:val="18"/>
          <w:color w:val="auto"/>
        </w:rPr>
        <w:t>Michigan. In connection with this transaction, Residential contributed its western Michigan home health operations to the joint venture and then sold 60% of the newly formed venture to its Michigan hospital partner. Although Residential manages the operations of the joint venture, Residential holds a 40% interest in the joint venture, so the operating results of the joint venture are not consolidated, and the pro rata operating results are included in the Company's equity in earnings of affiliates.</w:t>
      </w:r>
    </w:p>
    <w:p>
      <w:pPr>
        <w:spacing w:after="0" w:line="109" w:lineRule="exact"/>
        <w:rPr>
          <w:sz w:val="20"/>
          <w:szCs w:val="20"/>
          <w:color w:val="auto"/>
        </w:rPr>
      </w:pPr>
    </w:p>
    <w:p>
      <w:pPr>
        <w:ind w:right="80"/>
        <w:spacing w:after="0" w:line="224" w:lineRule="auto"/>
        <w:rPr>
          <w:sz w:val="20"/>
          <w:szCs w:val="20"/>
          <w:color w:val="auto"/>
        </w:rPr>
      </w:pPr>
      <w:r>
        <w:rPr>
          <w:rFonts w:ascii="Arial" w:cs="Arial" w:eastAsia="Arial" w:hAnsi="Arial"/>
          <w:sz w:val="18"/>
          <w:szCs w:val="18"/>
          <w:color w:val="auto"/>
        </w:rPr>
        <w:t>In June 2016, the Company purchased the outstanding 20% redeemable noncontrolling interest in Residential. At that time, the Company recorded an increase to redeemable noncontrolling interest of $3.0 million, with a corresponding decrease to capital in excess of par value, to reflect the redemption value of the redeemable noncontrolling interest at $24.0 million. Following this transaction, Celtic and Residential combined their business operations to form Graham Healthcare Group (GHG). The redeemable noncontrolling interest shareholders in Celtic exchanged their 20% interest in Celtic for a 10% mandatorily redeemable noncontrolling interest in the combined entity, and the Company recorded a $4.1 million net increase to the mandatorily redeemable noncontrolling interest to reflect the estimated fair value of the mandatorily redeemable noncontrolling interest. The minority shareholders have an option to put their shares to the Company starting in 2020 and are required to put a percentage of their shares in 2022 and 2024, with the remaining shares required to be put by the minority shareholders in 2026. The redemption value is based on an EBITDA multiple, adjusted for working capital and other items, computed annually, with no limit on the amount payable. The Company now owns 90% of GHG. Because the noncontrolling interest is now mandatorily redeemable by the Company by 2026, it is reported as a noncurrent liability at December 31, 2016</w:t>
      </w:r>
      <w:r>
        <w:rPr>
          <w:rFonts w:ascii="Times New Roman" w:cs="Times New Roman" w:eastAsia="Times New Roman" w:hAnsi="Times New Roman"/>
          <w:sz w:val="18"/>
          <w:szCs w:val="18"/>
          <w:color w:val="auto"/>
        </w:rPr>
        <w:t>.</w:t>
      </w:r>
    </w:p>
    <w:p>
      <w:pPr>
        <w:spacing w:after="0" w:line="116" w:lineRule="exact"/>
        <w:rPr>
          <w:sz w:val="20"/>
          <w:szCs w:val="20"/>
          <w:color w:val="auto"/>
        </w:rPr>
      </w:pPr>
    </w:p>
    <w:p>
      <w:pPr>
        <w:ind w:right="100"/>
        <w:spacing w:after="0"/>
        <w:rPr>
          <w:sz w:val="20"/>
          <w:szCs w:val="20"/>
          <w:color w:val="auto"/>
        </w:rPr>
      </w:pPr>
      <w:r>
        <w:rPr>
          <w:rFonts w:ascii="Arial" w:cs="Arial" w:eastAsia="Arial" w:hAnsi="Arial"/>
          <w:sz w:val="18"/>
          <w:szCs w:val="18"/>
          <w:color w:val="auto"/>
        </w:rPr>
        <w:t>In January 2015, Celtic and Allegheny Health Network closed on the formation of a joint venture to combine each other’s home health and hospice assets in the western Pennsylvania region. Although Celtic manages the operations of the joint venture, Celtic holds a 40% interest in the joint venture, so the operating results of the joint</w:t>
      </w:r>
    </w:p>
    <w:p>
      <w:pPr>
        <w:spacing w:after="0" w:line="200" w:lineRule="exact"/>
        <w:rPr>
          <w:sz w:val="20"/>
          <w:szCs w:val="20"/>
          <w:color w:val="auto"/>
        </w:rPr>
      </w:pPr>
    </w:p>
    <w:p>
      <w:pPr>
        <w:spacing w:after="0" w:line="27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380"/>
          </w:cols>
          <w:pgMar w:left="240" w:top="724" w:right="279" w:bottom="1440" w:gutter="0" w:footer="0" w:header="0"/>
        </w:sectPr>
      </w:pPr>
    </w:p>
    <w:bookmarkStart w:id="55" w:name="page56"/>
    <w:bookmarkEnd w:id="55"/>
    <w:p>
      <w:pPr>
        <w:ind w:right="60"/>
        <w:spacing w:after="0" w:line="260" w:lineRule="auto"/>
        <w:rPr>
          <w:sz w:val="20"/>
          <w:szCs w:val="20"/>
          <w:color w:val="auto"/>
        </w:rPr>
      </w:pPr>
      <w:r>
        <w:rPr>
          <w:rFonts w:ascii="Arial" w:cs="Arial" w:eastAsia="Arial" w:hAnsi="Arial"/>
          <w:sz w:val="18"/>
          <w:szCs w:val="18"/>
          <w:color w:val="auto"/>
        </w:rPr>
        <w:t>venture are not consolidated, and the pro rata operating results are included in the Company’s equity in earnings of affiliates. Celtic’s revenues from the western Pennsylvania region that are now part of the joint venture made up 29% of total Celtic revenues in 2014.</w:t>
      </w:r>
    </w:p>
    <w:p>
      <w:pPr>
        <w:spacing w:after="0" w:line="92" w:lineRule="exact"/>
        <w:rPr>
          <w:sz w:val="20"/>
          <w:szCs w:val="20"/>
          <w:color w:val="auto"/>
        </w:rPr>
      </w:pPr>
    </w:p>
    <w:p>
      <w:pPr>
        <w:ind w:right="700"/>
        <w:spacing w:after="0" w:line="260" w:lineRule="auto"/>
        <w:rPr>
          <w:sz w:val="20"/>
          <w:szCs w:val="20"/>
          <w:color w:val="auto"/>
        </w:rPr>
      </w:pPr>
      <w:r>
        <w:rPr>
          <w:rFonts w:ascii="Arial" w:cs="Arial" w:eastAsia="Arial" w:hAnsi="Arial"/>
          <w:sz w:val="18"/>
          <w:szCs w:val="18"/>
          <w:color w:val="auto"/>
        </w:rPr>
        <w:t>The Company’s income from continuing operations excludes Cable ONE, the sold Kaplan China schools and WPLG, which have been reclassified to discontinued operations.</w:t>
      </w:r>
    </w:p>
    <w:p>
      <w:pPr>
        <w:spacing w:after="0" w:line="90" w:lineRule="exact"/>
        <w:rPr>
          <w:sz w:val="20"/>
          <w:szCs w:val="20"/>
          <w:color w:val="auto"/>
        </w:rPr>
      </w:pPr>
    </w:p>
    <w:p>
      <w:pPr>
        <w:ind w:right="320"/>
        <w:spacing w:after="0" w:line="232" w:lineRule="auto"/>
        <w:rPr>
          <w:sz w:val="20"/>
          <w:szCs w:val="20"/>
          <w:color w:val="auto"/>
        </w:rPr>
      </w:pPr>
      <w:r>
        <w:rPr>
          <w:rFonts w:ascii="Arial" w:cs="Arial" w:eastAsia="Arial" w:hAnsi="Arial"/>
          <w:sz w:val="18"/>
          <w:szCs w:val="18"/>
          <w:b w:val="1"/>
          <w:bCs w:val="1"/>
          <w:color w:val="auto"/>
        </w:rPr>
        <w:t xml:space="preserve">Capital Expenditures. </w:t>
      </w:r>
      <w:r>
        <w:rPr>
          <w:rFonts w:ascii="Arial" w:cs="Arial" w:eastAsia="Arial" w:hAnsi="Arial"/>
          <w:sz w:val="18"/>
          <w:szCs w:val="18"/>
          <w:color w:val="auto"/>
        </w:rPr>
        <w:t>During 2016, the Company’s capital expenditures totaled $70.7 million. The Company’s capital expenditures for</w:t>
      </w:r>
      <w:r>
        <w:rPr>
          <w:rFonts w:ascii="Arial" w:cs="Arial" w:eastAsia="Arial" w:hAnsi="Arial"/>
          <w:sz w:val="18"/>
          <w:szCs w:val="18"/>
          <w:b w:val="1"/>
          <w:bCs w:val="1"/>
          <w:color w:val="auto"/>
        </w:rPr>
        <w:t xml:space="preserve"> </w:t>
      </w:r>
      <w:r>
        <w:rPr>
          <w:rFonts w:ascii="Arial" w:cs="Arial" w:eastAsia="Arial" w:hAnsi="Arial"/>
          <w:sz w:val="18"/>
          <w:szCs w:val="18"/>
          <w:color w:val="auto"/>
        </w:rPr>
        <w:t>businesses included in continuing operations for 2016, 2015 and 2014 are disclosed in Note 19 to the Consolidated Financial Statements. These amounts include assets acquired during the year, whereas the amounts reflected in the Company’s Statements of Cash Flows are based on cash payments made during the relevant periods. The Company estimates that its capital expenditures will be in the range of $50 million to $60 million in 2017.</w:t>
      </w:r>
    </w:p>
    <w:p>
      <w:pPr>
        <w:spacing w:after="0" w:line="107" w:lineRule="exact"/>
        <w:rPr>
          <w:sz w:val="20"/>
          <w:szCs w:val="20"/>
          <w:color w:val="auto"/>
        </w:rPr>
      </w:pPr>
    </w:p>
    <w:p>
      <w:pPr>
        <w:ind w:right="280"/>
        <w:spacing w:after="0"/>
        <w:rPr>
          <w:sz w:val="20"/>
          <w:szCs w:val="20"/>
          <w:color w:val="auto"/>
        </w:rPr>
      </w:pPr>
      <w:r>
        <w:rPr>
          <w:rFonts w:ascii="Arial" w:cs="Arial" w:eastAsia="Arial" w:hAnsi="Arial"/>
          <w:sz w:val="18"/>
          <w:szCs w:val="18"/>
          <w:b w:val="1"/>
          <w:bCs w:val="1"/>
          <w:color w:val="auto"/>
        </w:rPr>
        <w:t xml:space="preserve">Investments in Marketable Equity Securities. </w:t>
      </w:r>
      <w:r>
        <w:rPr>
          <w:rFonts w:ascii="Arial" w:cs="Arial" w:eastAsia="Arial" w:hAnsi="Arial"/>
          <w:sz w:val="18"/>
          <w:szCs w:val="18"/>
          <w:color w:val="auto"/>
        </w:rPr>
        <w:t>At December 31, 2016, the fair value of the Company’s investments in marketable equity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securities was $424.2 million, which includes investments in the common stock of </w:t>
      </w:r>
      <w:r>
        <w:rPr>
          <w:rFonts w:ascii="Times New Roman" w:cs="Times New Roman" w:eastAsia="Times New Roman" w:hAnsi="Times New Roman"/>
          <w:sz w:val="18"/>
          <w:szCs w:val="18"/>
          <w:color w:val="auto"/>
        </w:rPr>
        <w:t>six</w:t>
      </w:r>
      <w:r>
        <w:rPr>
          <w:rFonts w:ascii="Arial" w:cs="Arial" w:eastAsia="Arial" w:hAnsi="Arial"/>
          <w:sz w:val="18"/>
          <w:szCs w:val="18"/>
          <w:color w:val="auto"/>
        </w:rPr>
        <w:t xml:space="preserve"> publicly traded companies. At December 31, 2016, the unrealized gain related to the Company’s investments totaled $154.9 million.</w:t>
      </w:r>
    </w:p>
    <w:p>
      <w:pPr>
        <w:spacing w:after="0" w:line="110" w:lineRule="exact"/>
        <w:rPr>
          <w:sz w:val="20"/>
          <w:szCs w:val="20"/>
          <w:color w:val="auto"/>
        </w:rPr>
      </w:pPr>
    </w:p>
    <w:p>
      <w:pPr>
        <w:ind w:right="320"/>
        <w:spacing w:after="0" w:line="260" w:lineRule="auto"/>
        <w:rPr>
          <w:sz w:val="20"/>
          <w:szCs w:val="20"/>
          <w:color w:val="auto"/>
        </w:rPr>
      </w:pPr>
      <w:r>
        <w:rPr>
          <w:rFonts w:ascii="Arial" w:cs="Arial" w:eastAsia="Arial" w:hAnsi="Arial"/>
          <w:sz w:val="18"/>
          <w:szCs w:val="18"/>
          <w:color w:val="auto"/>
        </w:rPr>
        <w:t>On June 30, 2014, the Company completed a transaction with Berkshire that included the exchange of 2,107 Class A Berkshire shares and 1,278 Class B Berkshire shares owned by the Company; a $266.7 million gain was recorded.</w:t>
      </w:r>
    </w:p>
    <w:p>
      <w:pPr>
        <w:spacing w:after="0" w:line="90" w:lineRule="exact"/>
        <w:rPr>
          <w:sz w:val="20"/>
          <w:szCs w:val="20"/>
          <w:color w:val="auto"/>
        </w:rPr>
      </w:pPr>
    </w:p>
    <w:p>
      <w:pPr>
        <w:ind w:right="20"/>
        <w:spacing w:after="0" w:line="227" w:lineRule="auto"/>
        <w:rPr>
          <w:sz w:val="20"/>
          <w:szCs w:val="20"/>
          <w:color w:val="auto"/>
        </w:rPr>
      </w:pPr>
      <w:r>
        <w:rPr>
          <w:rFonts w:ascii="Arial" w:cs="Arial" w:eastAsia="Arial" w:hAnsi="Arial"/>
          <w:sz w:val="18"/>
          <w:szCs w:val="18"/>
          <w:b w:val="1"/>
          <w:bCs w:val="1"/>
          <w:color w:val="auto"/>
        </w:rPr>
        <w:t xml:space="preserve">Common Stock Repurchases and Dividend Rate. </w:t>
      </w:r>
      <w:r>
        <w:rPr>
          <w:rFonts w:ascii="Arial" w:cs="Arial" w:eastAsia="Arial" w:hAnsi="Arial"/>
          <w:sz w:val="18"/>
          <w:szCs w:val="18"/>
          <w:color w:val="auto"/>
        </w:rPr>
        <w:t>During 2016 and 2015, the Company purchased a total of 229,498 and 46,226 shares,</w:t>
      </w:r>
      <w:r>
        <w:rPr>
          <w:rFonts w:ascii="Arial" w:cs="Arial" w:eastAsia="Arial" w:hAnsi="Arial"/>
          <w:sz w:val="18"/>
          <w:szCs w:val="18"/>
          <w:b w:val="1"/>
          <w:bCs w:val="1"/>
          <w:color w:val="auto"/>
        </w:rPr>
        <w:t xml:space="preserve"> </w:t>
      </w:r>
      <w:r>
        <w:rPr>
          <w:rFonts w:ascii="Arial" w:cs="Arial" w:eastAsia="Arial" w:hAnsi="Arial"/>
          <w:sz w:val="18"/>
          <w:szCs w:val="18"/>
          <w:color w:val="auto"/>
        </w:rPr>
        <w:t>respectively, of its Class B common stock at a cost of approximately $108.9 million and $23.0 million, respectively. As part of the exchange transaction with Berkshire Hathaway in 2014, the Company acquired 1,620,190 shares of its Class B common stock at a cost of approximately $1,165.4 million. On May 14, 2015, the Board of Directors authorized the Company to acquire up to 500,000 shares of its Class B common stock. The Company did not announce a ceiling price or time limit for the purchases. The authorization includes 159,219 shares that remained under the previous authorization. At December 31, 2016, the Company had remaining authorization from the Board of Directors to purchase up to 224,276 shares of Class B common stock. Shares acquired as part of the exchange transaction received separate authorization by the Company’s Board of Directors.</w:t>
      </w:r>
    </w:p>
    <w:p>
      <w:pPr>
        <w:spacing w:after="0" w:line="110" w:lineRule="exact"/>
        <w:rPr>
          <w:sz w:val="20"/>
          <w:szCs w:val="20"/>
          <w:color w:val="auto"/>
        </w:rPr>
      </w:pPr>
    </w:p>
    <w:p>
      <w:pPr>
        <w:ind w:right="200"/>
        <w:spacing w:after="0" w:line="260" w:lineRule="auto"/>
        <w:rPr>
          <w:sz w:val="20"/>
          <w:szCs w:val="20"/>
          <w:color w:val="auto"/>
        </w:rPr>
      </w:pPr>
      <w:r>
        <w:rPr>
          <w:rFonts w:ascii="Arial" w:cs="Arial" w:eastAsia="Arial" w:hAnsi="Arial"/>
          <w:sz w:val="18"/>
          <w:szCs w:val="18"/>
          <w:color w:val="auto"/>
        </w:rPr>
        <w:t>The annual dividend rate for 2017 is $5.08 per share, compared to $ 4.84 and $9.10 in 2016 and 2015, respectively. The annual dividend rate was adjusted in the third quarter of 2015 as a result of the spin-off of Cable ONE.</w:t>
      </w:r>
    </w:p>
    <w:p>
      <w:pPr>
        <w:spacing w:after="0" w:line="90"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b w:val="1"/>
          <w:bCs w:val="1"/>
          <w:color w:val="auto"/>
        </w:rPr>
        <w:t xml:space="preserve">Liquidity. </w:t>
      </w:r>
      <w:r>
        <w:rPr>
          <w:rFonts w:ascii="Arial" w:cs="Arial" w:eastAsia="Arial" w:hAnsi="Arial"/>
          <w:sz w:val="18"/>
          <w:szCs w:val="18"/>
          <w:color w:val="auto"/>
        </w:rPr>
        <w:t>During 2016, the Company’s cash and cash equivalents decreased by $105.3 million and the Company’s borrowings increased by</w:t>
      </w:r>
      <w:r>
        <w:rPr>
          <w:rFonts w:ascii="Arial" w:cs="Arial" w:eastAsia="Arial" w:hAnsi="Arial"/>
          <w:sz w:val="18"/>
          <w:szCs w:val="18"/>
          <w:b w:val="1"/>
          <w:bCs w:val="1"/>
          <w:color w:val="auto"/>
        </w:rPr>
        <w:t xml:space="preserve"> </w:t>
      </w:r>
      <w:r>
        <w:rPr>
          <w:rFonts w:ascii="Arial" w:cs="Arial" w:eastAsia="Arial" w:hAnsi="Arial"/>
          <w:sz w:val="18"/>
          <w:szCs w:val="18"/>
          <w:color w:val="auto"/>
        </w:rPr>
        <w:t>$92.0 million.</w:t>
      </w:r>
    </w:p>
    <w:p>
      <w:pPr>
        <w:spacing w:after="0" w:line="89" w:lineRule="exact"/>
        <w:rPr>
          <w:sz w:val="20"/>
          <w:szCs w:val="20"/>
          <w:color w:val="auto"/>
        </w:rPr>
      </w:pPr>
    </w:p>
    <w:p>
      <w:pPr>
        <w:ind w:right="20"/>
        <w:spacing w:after="0" w:line="229" w:lineRule="auto"/>
        <w:rPr>
          <w:sz w:val="20"/>
          <w:szCs w:val="20"/>
          <w:color w:val="auto"/>
        </w:rPr>
      </w:pPr>
      <w:r>
        <w:rPr>
          <w:rFonts w:ascii="Arial" w:cs="Arial" w:eastAsia="Arial" w:hAnsi="Arial"/>
          <w:sz w:val="18"/>
          <w:szCs w:val="18"/>
          <w:color w:val="auto"/>
        </w:rPr>
        <w:t>At December 31, 2016, the Company has $648.9 million in cash and cash equivalents, compared to $754.2 million at December 31, 2015. Restricted cash at December 31, 2016, totaled $21.9 million, compared to $20.7 million at December 31, 2015. As of December 31, 2016 and 2015, the Company had commercial paper and money market investments of $485.1 million and $433.0 million, respectively, that are classified as cash, cash equivalents and restricted cash in the Company’s Consolidated Financial Statements. At December 31, 2016, the Company has approximately $3.7 million in cash and cash equivalents in countries outside the U.S., which is not immediately available for use in operations or for distribution.</w:t>
      </w:r>
    </w:p>
    <w:p>
      <w:pPr>
        <w:spacing w:after="0" w:line="112" w:lineRule="exact"/>
        <w:rPr>
          <w:sz w:val="20"/>
          <w:szCs w:val="20"/>
          <w:color w:val="auto"/>
        </w:rPr>
      </w:pPr>
    </w:p>
    <w:p>
      <w:pPr>
        <w:spacing w:after="0" w:line="228" w:lineRule="auto"/>
        <w:rPr>
          <w:sz w:val="20"/>
          <w:szCs w:val="20"/>
          <w:color w:val="auto"/>
        </w:rPr>
      </w:pPr>
      <w:r>
        <w:rPr>
          <w:rFonts w:ascii="Arial" w:cs="Arial" w:eastAsia="Arial" w:hAnsi="Arial"/>
          <w:sz w:val="18"/>
          <w:szCs w:val="18"/>
          <w:color w:val="auto"/>
        </w:rPr>
        <w:t>At December 31, 2016 and 2015, the Company had borrowings outstanding of $491.8 million and $399.8 million, respectively. The Company’s borrowings at December 31, 2016, are mostly from $400.0 million of 7.25% unsecured notes due February 1, 2019, and £75 million in borrowings under the Kaplan Credit Agreement; the interest on $400.0 million of 7.25% unsecured notes is payable semiannually on February 1 and August 1. The Company’s borrowings at December 31, 2015, were mostly from $400.0 million of 7.25% unsecured notes due February 1, 2019. The Company did not have any outstanding commercial paper borrowing or USD revolving credit borrowing as of December 31, 2016 and 2015. On March 9, 2015, the Company repaid the AUD 50 million debt. The Company retired the Series A redeemable preferred stock with a cash payment of $10.5 million in October 2015.</w:t>
      </w:r>
    </w:p>
    <w:p>
      <w:pPr>
        <w:spacing w:after="0" w:line="109" w:lineRule="exact"/>
        <w:rPr>
          <w:sz w:val="20"/>
          <w:szCs w:val="20"/>
          <w:color w:val="auto"/>
        </w:rPr>
      </w:pPr>
    </w:p>
    <w:p>
      <w:pPr>
        <w:spacing w:after="0" w:line="227" w:lineRule="auto"/>
        <w:rPr>
          <w:sz w:val="20"/>
          <w:szCs w:val="20"/>
          <w:color w:val="auto"/>
        </w:rPr>
      </w:pPr>
      <w:r>
        <w:rPr>
          <w:rFonts w:ascii="Arial" w:cs="Arial" w:eastAsia="Arial" w:hAnsi="Arial"/>
          <w:sz w:val="18"/>
          <w:szCs w:val="18"/>
          <w:color w:val="auto"/>
        </w:rPr>
        <w:t>On June 17, 2015, the Company terminated its U.S. $450 million, AUD 50 million four-year revolving credit facility dated June 17, 2011. No borrowings were outstanding under the 2011 Credit Agreement at the time of termination. On June 29, 2015, the Company entered into a credit agreement (the Credit Agreement) providing for a U.S. $200 million five-year revolving credit facility (the Facility) with each of the lenders party thereto, Wells Fargo Bank, National Association as Administrative Agent (Wells Fargo), JPMorgan Chase Bank, N.A., as Syndication Agent, and HSBC Bank USA, National Association, as Documentation Agent (the Credit Agreement). The Company is required to pay a commitment fee on a quarterly basis, based on the Company’s leverage ratio, of between 0.15% and 0.25% of the amount of the Facility. Any borrowings are made on an unsecured basis and bear interest at the Company’s option, either at (a) a fluctuating interest rate equal to the highest of Wells Fargo’s prime rate, 0.50 percent above the Federal funds rate or the one-month Eurodollar rate plus 1%, or (b) the Eurodollar rate for the</w:t>
      </w: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00"/>
          </w:cols>
          <w:pgMar w:left="240" w:top="724" w:right="259" w:bottom="1440" w:gutter="0" w:footer="0" w:header="0"/>
        </w:sectPr>
      </w:pPr>
    </w:p>
    <w:bookmarkStart w:id="56" w:name="page57"/>
    <w:bookmarkEnd w:id="56"/>
    <w:p>
      <w:pPr>
        <w:ind w:right="180"/>
        <w:spacing w:after="0" w:line="227" w:lineRule="auto"/>
        <w:rPr>
          <w:sz w:val="20"/>
          <w:szCs w:val="20"/>
          <w:color w:val="auto"/>
        </w:rPr>
      </w:pPr>
      <w:r>
        <w:rPr>
          <w:rFonts w:ascii="Arial" w:cs="Arial" w:eastAsia="Arial" w:hAnsi="Arial"/>
          <w:sz w:val="18"/>
          <w:szCs w:val="18"/>
          <w:color w:val="auto"/>
        </w:rPr>
        <w:t>applicable interest period as defined in the Credit Agreement, which is generally a periodic rate equal to LIBOR, in each case plus an applicable margin that depends on the Company’s consolidated debt to consolidated adjusted EBITDA (as determined pursuant to the Credit Agreement, “leverage ratio”). The Company may draw on the Facility for general corporate purposes. The Facility will expire on July 1, 2020, unless the Company and the banks agree to extend the term. Any outstanding borrowings must be repaid on or prior to the final termination date. The Credit Agreement contains terms and conditions, including remedies in the event of a default by the Company, typical of facilities of this type and requires the Company to maintain a leverage ratio of not greater than 3.5 to 1.0 and a consolidated interest coverage ratio of at least 3.5 to 1.0 based upon the ratio of consolidated adjusted EBITDA to consolidated interest expense as determined pursuant to the Credit Agreement.</w:t>
      </w:r>
    </w:p>
    <w:p>
      <w:pPr>
        <w:spacing w:after="0" w:line="190" w:lineRule="exact"/>
        <w:rPr>
          <w:sz w:val="20"/>
          <w:szCs w:val="20"/>
          <w:color w:val="auto"/>
        </w:rPr>
      </w:pPr>
    </w:p>
    <w:p>
      <w:pPr>
        <w:ind w:right="20"/>
        <w:spacing w:after="0" w:line="226" w:lineRule="auto"/>
        <w:rPr>
          <w:sz w:val="20"/>
          <w:szCs w:val="20"/>
          <w:color w:val="auto"/>
        </w:rPr>
      </w:pPr>
      <w:r>
        <w:rPr>
          <w:rFonts w:ascii="Arial" w:cs="Arial" w:eastAsia="Arial" w:hAnsi="Arial"/>
          <w:sz w:val="18"/>
          <w:szCs w:val="18"/>
          <w:color w:val="auto"/>
        </w:rPr>
        <w:t>On July 14, 2016, Kaplan entered into a credit agreement (the Kaplan Credit Agreement) among Kaplan International Holdings Limited, as borrower, the lenders party thereto, HSBC BANK PLC as Facility Agent, and other agents party thereto. The Kaplan Credit Agreement provides for a four-year credit facility in an aggregate principal amount of £75 million. Borrowings bear interest at a rate per annum of LIBOR plus an applicable interest rate margin between 1.25% and 1.75%, in each case determined on a quarterly basis by reference to a pricing grid based upon the Company's total leverage ratio. The Kaplan Credit Agreement requires that 6.66% of the outstanding aggregate amount of the loan be repaid on the first three anniversaries of funding, with the remaining balance due on July 1, 2020. The Kaplan Credit Agreement contains terms and conditions, including remedies in the event of a default by the Company, typical of facilities of this type and requires the Company to maintain a leverage ratio of not greater than 3.5 to 1.0 and a consolidated interest coverage ratio of at least 3.5 to 1.0 based upon the ratio of consolidated adjusted EBITDA to consolidated interest expense as determined pursuant to the Kaplan Credit Agreement.</w:t>
      </w:r>
    </w:p>
    <w:p>
      <w:pPr>
        <w:spacing w:after="0" w:line="191" w:lineRule="exact"/>
        <w:rPr>
          <w:sz w:val="20"/>
          <w:szCs w:val="20"/>
          <w:color w:val="auto"/>
        </w:rPr>
      </w:pPr>
    </w:p>
    <w:p>
      <w:pPr>
        <w:ind w:right="40"/>
        <w:spacing w:after="0" w:line="226" w:lineRule="auto"/>
        <w:rPr>
          <w:sz w:val="20"/>
          <w:szCs w:val="20"/>
          <w:color w:val="auto"/>
        </w:rPr>
      </w:pPr>
      <w:r>
        <w:rPr>
          <w:rFonts w:ascii="Arial" w:cs="Arial" w:eastAsia="Arial" w:hAnsi="Arial"/>
          <w:sz w:val="18"/>
          <w:szCs w:val="18"/>
          <w:color w:val="auto"/>
        </w:rPr>
        <w:t>On July 25, 2016, Kaplan borrowed £75 million under the Kaplan Credit Agreement. On the same date, Kaplan entered into an interest rate swap agreement with a total notional value of £75 million and a maturity date of July 1, 2020. The interest rate swap agreement will pay Kaplan variable interest on the £75 million notional amount at the three-month LIBOR, and Kaplan will pay the counterparties a fixed rate of 0.51%, effectively resulting in a total fixed interest rate of 2.01% on the outstanding borrowings at the current applicable margin of 1.50%. The interest rate swap agreement was entered into to convert the variable rate British pound borrowing under the Kaplan Credit Agreement into a fixed rate borrowing. The Company provided a guarantee on any borrowings under the Kaplan Credit Agreement. Based on the terms of the interest rate swap agreement and the underlying borrowing, the interest rate swap agreement was determined to be effective and thus qualifies as a cash flow hedge. As such, changes in the fair value of the interest rate swap are recorded in other comprehensive income on the accompanying Condensed Consolidated Balance Sheets until earnings are affected by the variability of cash flows.</w:t>
      </w:r>
    </w:p>
    <w:p>
      <w:pPr>
        <w:spacing w:after="0" w:line="110" w:lineRule="exact"/>
        <w:rPr>
          <w:sz w:val="20"/>
          <w:szCs w:val="20"/>
          <w:color w:val="auto"/>
        </w:rPr>
      </w:pPr>
    </w:p>
    <w:p>
      <w:pPr>
        <w:ind w:right="160"/>
        <w:spacing w:after="0" w:line="234" w:lineRule="auto"/>
        <w:rPr>
          <w:sz w:val="20"/>
          <w:szCs w:val="20"/>
          <w:color w:val="auto"/>
        </w:rPr>
      </w:pPr>
      <w:r>
        <w:rPr>
          <w:rFonts w:ascii="Arial" w:cs="Arial" w:eastAsia="Arial" w:hAnsi="Arial"/>
          <w:sz w:val="18"/>
          <w:szCs w:val="18"/>
          <w:color w:val="auto"/>
        </w:rPr>
        <w:t>On June 24, 2015, due to the pending Cable ONE spin-off, Moody’s downgraded the Company’s long-term credit ratings from “Baa3” to “Ba1” and the short-term rating from “Prime-3” to “NP”. On July 1, 2015, related to the Cable ONE spin-off, S&amp;P lowered its corporate credit rating from “BBB” to “BB+” and its short-term rating from “A-2” to “B”. In addition, S&amp;P removed the ratings from Credit Watch. In the third quarter of 2015, the Company decided to no longer have the rating agencies provide a short-term rating on the Company.</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The Company’s current credit ratings are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760" w:type="dxa"/>
            <w:vAlign w:val="bottom"/>
            <w:tcBorders>
              <w:bottom w:val="single" w:sz="8" w:color="auto"/>
            </w:tcBorders>
          </w:tcPr>
          <w:p>
            <w:pPr>
              <w:spacing w:after="0"/>
              <w:rPr>
                <w:sz w:val="17"/>
                <w:szCs w:val="17"/>
                <w:color w:val="auto"/>
              </w:rPr>
            </w:pPr>
          </w:p>
        </w:tc>
        <w:tc>
          <w:tcPr>
            <w:tcW w:w="5000" w:type="dxa"/>
            <w:vAlign w:val="bottom"/>
            <w:tcBorders>
              <w:bottom w:val="single" w:sz="8" w:color="auto"/>
            </w:tcBorders>
          </w:tcPr>
          <w:p>
            <w:pPr>
              <w:ind w:left="3980"/>
              <w:spacing w:after="0"/>
              <w:rPr>
                <w:sz w:val="20"/>
                <w:szCs w:val="20"/>
                <w:color w:val="auto"/>
              </w:rPr>
            </w:pPr>
            <w:r>
              <w:rPr>
                <w:rFonts w:ascii="Arial" w:cs="Arial" w:eastAsia="Arial" w:hAnsi="Arial"/>
                <w:sz w:val="14"/>
                <w:szCs w:val="14"/>
                <w:b w:val="1"/>
                <w:bCs w:val="1"/>
                <w:color w:val="auto"/>
              </w:rPr>
              <w:t>Moody’s</w:t>
            </w:r>
          </w:p>
        </w:tc>
        <w:tc>
          <w:tcPr>
            <w:tcW w:w="166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Standard &amp; Poor’s</w:t>
            </w:r>
          </w:p>
        </w:tc>
      </w:tr>
      <w:tr>
        <w:trPr>
          <w:trHeight w:val="249"/>
        </w:trPr>
        <w:tc>
          <w:tcPr>
            <w:tcW w:w="4760" w:type="dxa"/>
            <w:vAlign w:val="bottom"/>
          </w:tcPr>
          <w:p>
            <w:pPr>
              <w:ind w:left="40"/>
              <w:spacing w:after="0"/>
              <w:rPr>
                <w:sz w:val="20"/>
                <w:szCs w:val="20"/>
                <w:color w:val="auto"/>
              </w:rPr>
            </w:pPr>
            <w:r>
              <w:rPr>
                <w:rFonts w:ascii="Arial" w:cs="Arial" w:eastAsia="Arial" w:hAnsi="Arial"/>
                <w:sz w:val="16"/>
                <w:szCs w:val="16"/>
                <w:color w:val="auto"/>
              </w:rPr>
              <w:t>Long-term</w:t>
            </w:r>
          </w:p>
        </w:tc>
        <w:tc>
          <w:tcPr>
            <w:tcW w:w="5000" w:type="dxa"/>
            <w:vAlign w:val="bottom"/>
          </w:tcPr>
          <w:p>
            <w:pPr>
              <w:ind w:left="4540"/>
              <w:spacing w:after="0"/>
              <w:rPr>
                <w:sz w:val="20"/>
                <w:szCs w:val="20"/>
                <w:color w:val="auto"/>
              </w:rPr>
            </w:pPr>
            <w:r>
              <w:rPr>
                <w:rFonts w:ascii="Arial" w:cs="Arial" w:eastAsia="Arial" w:hAnsi="Arial"/>
                <w:sz w:val="16"/>
                <w:szCs w:val="16"/>
                <w:color w:val="auto"/>
              </w:rPr>
              <w:t>Ba1</w:t>
            </w:r>
          </w:p>
        </w:tc>
        <w:tc>
          <w:tcPr>
            <w:tcW w:w="1660" w:type="dxa"/>
            <w:vAlign w:val="bottom"/>
          </w:tcPr>
          <w:p>
            <w:pPr>
              <w:ind w:left="1320"/>
              <w:spacing w:after="0"/>
              <w:rPr>
                <w:sz w:val="20"/>
                <w:szCs w:val="20"/>
                <w:color w:val="auto"/>
              </w:rPr>
            </w:pPr>
            <w:r>
              <w:rPr>
                <w:rFonts w:ascii="Arial" w:cs="Arial" w:eastAsia="Arial" w:hAnsi="Arial"/>
                <w:sz w:val="16"/>
                <w:szCs w:val="16"/>
                <w:color w:val="auto"/>
              </w:rPr>
              <w:t>BB+</w:t>
            </w:r>
          </w:p>
        </w:tc>
      </w:tr>
    </w:tbl>
    <w:p>
      <w:pPr>
        <w:spacing w:after="0" w:line="141" w:lineRule="exact"/>
        <w:rPr>
          <w:sz w:val="20"/>
          <w:szCs w:val="20"/>
          <w:color w:val="auto"/>
        </w:rPr>
      </w:pPr>
    </w:p>
    <w:p>
      <w:pPr>
        <w:jc w:val="both"/>
        <w:ind w:right="180"/>
        <w:spacing w:after="0"/>
        <w:rPr>
          <w:sz w:val="20"/>
          <w:szCs w:val="20"/>
          <w:color w:val="auto"/>
        </w:rPr>
      </w:pPr>
      <w:r>
        <w:rPr>
          <w:rFonts w:ascii="Arial" w:cs="Arial" w:eastAsia="Arial" w:hAnsi="Arial"/>
          <w:sz w:val="18"/>
          <w:szCs w:val="18"/>
          <w:color w:val="auto"/>
        </w:rPr>
        <w:t>During 2016 and 2015, the Company had average borrowings outstanding of approximately $443.9 million and $428.0 million, respectively, at average annual interest rates of approximately 6.7% and 7.1%, respectively. The Company incurred net interest expense of $32.3 million and $30.7 million, respectively, during 2016 and 2015.</w:t>
      </w:r>
    </w:p>
    <w:p>
      <w:pPr>
        <w:spacing w:after="0" w:line="108" w:lineRule="exact"/>
        <w:rPr>
          <w:sz w:val="20"/>
          <w:szCs w:val="20"/>
          <w:color w:val="auto"/>
        </w:rPr>
      </w:pPr>
    </w:p>
    <w:p>
      <w:pPr>
        <w:jc w:val="both"/>
        <w:ind w:right="580"/>
        <w:spacing w:after="0"/>
        <w:rPr>
          <w:sz w:val="20"/>
          <w:szCs w:val="20"/>
          <w:color w:val="auto"/>
        </w:rPr>
      </w:pPr>
      <w:r>
        <w:rPr>
          <w:rFonts w:ascii="Arial" w:cs="Arial" w:eastAsia="Arial" w:hAnsi="Arial"/>
          <w:sz w:val="18"/>
          <w:szCs w:val="18"/>
          <w:color w:val="auto"/>
        </w:rPr>
        <w:t>At December 31, 2016 and 2015, the Company had working capital of $1,052.4 million and $1,135.6 million, respectively. The Company maintains working capital levels consistent with its underlying business requirements and consistently generates cash from operations in excess of required interest or principal payments.</w:t>
      </w:r>
    </w:p>
    <w:p>
      <w:pPr>
        <w:spacing w:after="0" w:line="108" w:lineRule="exact"/>
        <w:rPr>
          <w:sz w:val="20"/>
          <w:szCs w:val="20"/>
          <w:color w:val="auto"/>
        </w:rPr>
      </w:pPr>
    </w:p>
    <w:p>
      <w:pPr>
        <w:ind w:right="180"/>
        <w:spacing w:after="0"/>
        <w:rPr>
          <w:sz w:val="20"/>
          <w:szCs w:val="20"/>
          <w:color w:val="auto"/>
        </w:rPr>
      </w:pPr>
      <w:r>
        <w:rPr>
          <w:rFonts w:ascii="Arial" w:cs="Arial" w:eastAsia="Arial" w:hAnsi="Arial"/>
          <w:sz w:val="18"/>
          <w:szCs w:val="18"/>
          <w:color w:val="auto"/>
        </w:rPr>
        <w:t>The Company’s net cash provided by operating activities, as reported in the Company’s Consolidated Statements of Cash Flows, was $261.3 million in 2016, compared to $70.7 million in 2015. The growth is largely due to significant income tax payments made in the first quarter of 2015.</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In 2015, the Company received a $447.1 million net distribution from Cable ONE as a result of the spin-off.</w:t>
      </w:r>
    </w:p>
    <w:p>
      <w:pPr>
        <w:spacing w:after="0" w:line="144" w:lineRule="exact"/>
        <w:rPr>
          <w:sz w:val="20"/>
          <w:szCs w:val="20"/>
          <w:color w:val="auto"/>
        </w:rPr>
      </w:pPr>
    </w:p>
    <w:p>
      <w:pPr>
        <w:ind w:right="60"/>
        <w:spacing w:after="0"/>
        <w:rPr>
          <w:sz w:val="20"/>
          <w:szCs w:val="20"/>
          <w:color w:val="auto"/>
        </w:rPr>
      </w:pPr>
      <w:r>
        <w:rPr>
          <w:rFonts w:ascii="Arial" w:cs="Arial" w:eastAsia="Arial" w:hAnsi="Arial"/>
          <w:sz w:val="18"/>
          <w:szCs w:val="18"/>
          <w:color w:val="auto"/>
        </w:rPr>
        <w:t>In December 2015, the Company sold one property located along the Potomac River in Alexandria, VA, for approximately $22.9 million. A second property in Alexandria was sold in the second quarter of 2016, for approximately $30.8 million, of which $17.5 million will be received in 2019.</w:t>
      </w:r>
    </w:p>
    <w:p>
      <w:pPr>
        <w:spacing w:after="0" w:line="108" w:lineRule="exact"/>
        <w:rPr>
          <w:sz w:val="20"/>
          <w:szCs w:val="20"/>
          <w:color w:val="auto"/>
        </w:rPr>
      </w:pPr>
    </w:p>
    <w:p>
      <w:pPr>
        <w:ind w:right="380"/>
        <w:spacing w:after="0" w:line="260" w:lineRule="auto"/>
        <w:rPr>
          <w:sz w:val="20"/>
          <w:szCs w:val="20"/>
          <w:color w:val="auto"/>
        </w:rPr>
      </w:pPr>
      <w:r>
        <w:rPr>
          <w:rFonts w:ascii="Arial" w:cs="Arial" w:eastAsia="Arial" w:hAnsi="Arial"/>
          <w:sz w:val="18"/>
          <w:szCs w:val="18"/>
          <w:color w:val="auto"/>
        </w:rPr>
        <w:t>In July 2016, Kaplan International Holdings Limited (KIHL) entered into an agreement with University of York International Pathway College LLP (York International College) to loan York International College £25 million over</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724" w:right="239" w:bottom="1440" w:gutter="0" w:footer="0" w:header="0"/>
        </w:sectPr>
      </w:pPr>
    </w:p>
    <w:bookmarkStart w:id="57" w:name="page58"/>
    <w:bookmarkEnd w:id="57"/>
    <w:p>
      <w:pPr>
        <w:ind w:right="80"/>
        <w:spacing w:after="0" w:line="229" w:lineRule="auto"/>
        <w:rPr>
          <w:sz w:val="20"/>
          <w:szCs w:val="20"/>
          <w:color w:val="auto"/>
        </w:rPr>
      </w:pPr>
      <w:r>
        <w:rPr>
          <w:rFonts w:ascii="Arial" w:cs="Arial" w:eastAsia="Arial" w:hAnsi="Arial"/>
          <w:sz w:val="18"/>
          <w:szCs w:val="18"/>
          <w:color w:val="auto"/>
        </w:rPr>
        <w:t>the next 18 months, to construct an academic building in the UK to be used by the College. York International College is a limited liability partnership joint venture between Kaplan York Limited (a subsidiary of Kaplan International Colleges UK Limited) and a subsidiary of the University of York, that operates a pathways college. The loan will be repayable over 25 years at an interest rate of 7%, and the loan is guaranteed by the University of York. While there is no strict requirement to make annual principal and interest payments, interest will be rolled up and accrue interest at 7% if no such payments are made. The loan becomes due and payable if the partnership agreement with KIHL is terminated. In the second half of 2016, KIHL advanced approximately £11.0 million to York International College.</w:t>
      </w:r>
    </w:p>
    <w:p>
      <w:pPr>
        <w:spacing w:after="0" w:line="112" w:lineRule="exact"/>
        <w:rPr>
          <w:sz w:val="20"/>
          <w:szCs w:val="20"/>
          <w:color w:val="auto"/>
        </w:rPr>
      </w:pPr>
    </w:p>
    <w:p>
      <w:pPr>
        <w:ind w:right="160"/>
        <w:spacing w:after="0"/>
        <w:rPr>
          <w:sz w:val="20"/>
          <w:szCs w:val="20"/>
          <w:color w:val="auto"/>
        </w:rPr>
      </w:pPr>
      <w:r>
        <w:rPr>
          <w:rFonts w:ascii="Arial" w:cs="Arial" w:eastAsia="Arial" w:hAnsi="Arial"/>
          <w:sz w:val="18"/>
          <w:szCs w:val="18"/>
          <w:color w:val="auto"/>
        </w:rPr>
        <w:t>The Company expects to fund its estimated capital needs primarily through existing cash balances and internally generated funds and, to a lesser extent, borrowings under its revolving credit facility. In management’s opinion, the Company will have ample liquidity to meet its various cash needs in 2017.</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reflects a summary of the Company’s contractual obligations as of December 31, 2016:</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4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2017</w:t>
            </w:r>
          </w:p>
        </w:tc>
        <w:tc>
          <w:tcPr>
            <w:tcW w:w="3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2018</w:t>
            </w:r>
          </w:p>
        </w:tc>
        <w:tc>
          <w:tcPr>
            <w:tcW w:w="3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2019</w:t>
            </w:r>
          </w:p>
        </w:tc>
        <w:tc>
          <w:tcPr>
            <w:tcW w:w="3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2020</w:t>
            </w:r>
          </w:p>
        </w:tc>
        <w:tc>
          <w:tcPr>
            <w:tcW w:w="3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2021</w:t>
            </w: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100"/>
              <w:spacing w:after="0"/>
              <w:rPr>
                <w:sz w:val="20"/>
                <w:szCs w:val="20"/>
                <w:color w:val="auto"/>
              </w:rPr>
            </w:pPr>
            <w:r>
              <w:rPr>
                <w:rFonts w:ascii="Arial" w:cs="Arial" w:eastAsia="Arial" w:hAnsi="Arial"/>
                <w:sz w:val="14"/>
                <w:szCs w:val="14"/>
                <w:b w:val="1"/>
                <w:bCs w:val="1"/>
                <w:color w:val="auto"/>
              </w:rPr>
              <w:t>Thereafter</w:t>
            </w:r>
          </w:p>
        </w:tc>
        <w:tc>
          <w:tcPr>
            <w:tcW w:w="3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49"/>
        </w:trPr>
        <w:tc>
          <w:tcPr>
            <w:tcW w:w="3440" w:type="dxa"/>
            <w:vAlign w:val="bottom"/>
          </w:tcPr>
          <w:p>
            <w:pPr>
              <w:ind w:left="40"/>
              <w:spacing w:after="0"/>
              <w:rPr>
                <w:sz w:val="20"/>
                <w:szCs w:val="20"/>
                <w:color w:val="auto"/>
              </w:rPr>
            </w:pPr>
            <w:r>
              <w:rPr>
                <w:rFonts w:ascii="Arial" w:cs="Arial" w:eastAsia="Arial" w:hAnsi="Arial"/>
                <w:sz w:val="16"/>
                <w:szCs w:val="16"/>
                <w:color w:val="auto"/>
              </w:rPr>
              <w:t>Debt and interest</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60"/>
              <w:spacing w:after="0"/>
              <w:rPr>
                <w:sz w:val="20"/>
                <w:szCs w:val="20"/>
                <w:color w:val="auto"/>
              </w:rPr>
            </w:pPr>
            <w:r>
              <w:rPr>
                <w:rFonts w:ascii="Arial" w:cs="Arial" w:eastAsia="Arial" w:hAnsi="Arial"/>
                <w:sz w:val="16"/>
                <w:szCs w:val="16"/>
                <w:color w:val="auto"/>
              </w:rPr>
              <w:t>36,899</w:t>
            </w:r>
          </w:p>
        </w:tc>
        <w:tc>
          <w:tcPr>
            <w:tcW w:w="3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36,777</w:t>
            </w:r>
          </w:p>
        </w:tc>
        <w:tc>
          <w:tcPr>
            <w:tcW w:w="3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423,523</w:t>
            </w:r>
          </w:p>
        </w:tc>
        <w:tc>
          <w:tcPr>
            <w:tcW w:w="3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73,779</w:t>
            </w:r>
          </w:p>
        </w:tc>
        <w:tc>
          <w:tcPr>
            <w:tcW w:w="3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33</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60"/>
              <w:spacing w:after="0"/>
              <w:rPr>
                <w:sz w:val="20"/>
                <w:szCs w:val="20"/>
                <w:color w:val="auto"/>
              </w:rPr>
            </w:pPr>
            <w:r>
              <w:rPr>
                <w:rFonts w:ascii="Arial" w:cs="Arial" w:eastAsia="Arial" w:hAnsi="Arial"/>
                <w:sz w:val="16"/>
                <w:szCs w:val="16"/>
                <w:color w:val="auto"/>
              </w:rPr>
              <w:t>134</w:t>
            </w:r>
          </w:p>
        </w:tc>
        <w:tc>
          <w:tcPr>
            <w:tcW w:w="3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571,145</w:t>
            </w:r>
          </w:p>
        </w:tc>
        <w:tc>
          <w:tcPr>
            <w:tcW w:w="0" w:type="dxa"/>
            <w:vAlign w:val="bottom"/>
          </w:tcPr>
          <w:p>
            <w:pPr>
              <w:spacing w:after="0"/>
              <w:rPr>
                <w:sz w:val="1"/>
                <w:szCs w:val="1"/>
                <w:color w:val="auto"/>
              </w:rPr>
            </w:pPr>
          </w:p>
        </w:tc>
      </w:tr>
      <w:tr>
        <w:trPr>
          <w:trHeight w:val="270"/>
        </w:trPr>
        <w:tc>
          <w:tcPr>
            <w:tcW w:w="3440" w:type="dxa"/>
            <w:vAlign w:val="bottom"/>
          </w:tcPr>
          <w:p>
            <w:pPr>
              <w:ind w:left="40"/>
              <w:spacing w:after="0"/>
              <w:rPr>
                <w:sz w:val="20"/>
                <w:szCs w:val="20"/>
                <w:color w:val="auto"/>
              </w:rPr>
            </w:pPr>
            <w:r>
              <w:rPr>
                <w:rFonts w:ascii="Arial" w:cs="Arial" w:eastAsia="Arial" w:hAnsi="Arial"/>
                <w:sz w:val="16"/>
                <w:szCs w:val="16"/>
                <w:color w:val="auto"/>
              </w:rPr>
              <w:t>Operating leases</w:t>
            </w:r>
          </w:p>
        </w:tc>
        <w:tc>
          <w:tcPr>
            <w:tcW w:w="240" w:type="dxa"/>
            <w:vAlign w:val="bottom"/>
          </w:tcPr>
          <w:p>
            <w:pPr>
              <w:spacing w:after="0"/>
              <w:rPr>
                <w:sz w:val="23"/>
                <w:szCs w:val="23"/>
                <w:color w:val="auto"/>
              </w:rPr>
            </w:pPr>
          </w:p>
        </w:tc>
        <w:tc>
          <w:tcPr>
            <w:tcW w:w="840" w:type="dxa"/>
            <w:vAlign w:val="bottom"/>
          </w:tcPr>
          <w:p>
            <w:pPr>
              <w:jc w:val="right"/>
              <w:ind w:right="60"/>
              <w:spacing w:after="0"/>
              <w:rPr>
                <w:sz w:val="20"/>
                <w:szCs w:val="20"/>
                <w:color w:val="auto"/>
              </w:rPr>
            </w:pPr>
            <w:r>
              <w:rPr>
                <w:rFonts w:ascii="Arial" w:cs="Arial" w:eastAsia="Arial" w:hAnsi="Arial"/>
                <w:sz w:val="16"/>
                <w:szCs w:val="16"/>
                <w:color w:val="auto"/>
              </w:rPr>
              <w:t>87,626</w:t>
            </w:r>
          </w:p>
        </w:tc>
        <w:tc>
          <w:tcPr>
            <w:tcW w:w="320" w:type="dxa"/>
            <w:vAlign w:val="bottom"/>
          </w:tcPr>
          <w:p>
            <w:pPr>
              <w:spacing w:after="0"/>
              <w:rPr>
                <w:sz w:val="23"/>
                <w:szCs w:val="23"/>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84,525</w:t>
            </w:r>
          </w:p>
        </w:tc>
        <w:tc>
          <w:tcPr>
            <w:tcW w:w="320" w:type="dxa"/>
            <w:vAlign w:val="bottom"/>
          </w:tcPr>
          <w:p>
            <w:pPr>
              <w:spacing w:after="0"/>
              <w:rPr>
                <w:sz w:val="23"/>
                <w:szCs w:val="23"/>
                <w:color w:val="auto"/>
              </w:rPr>
            </w:pP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73,899</w:t>
            </w:r>
          </w:p>
        </w:tc>
        <w:tc>
          <w:tcPr>
            <w:tcW w:w="320" w:type="dxa"/>
            <w:vAlign w:val="bottom"/>
          </w:tcPr>
          <w:p>
            <w:pPr>
              <w:spacing w:after="0"/>
              <w:rPr>
                <w:sz w:val="23"/>
                <w:szCs w:val="23"/>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65,592</w:t>
            </w:r>
          </w:p>
        </w:tc>
        <w:tc>
          <w:tcPr>
            <w:tcW w:w="340" w:type="dxa"/>
            <w:vAlign w:val="bottom"/>
          </w:tcPr>
          <w:p>
            <w:pPr>
              <w:spacing w:after="0"/>
              <w:rPr>
                <w:sz w:val="23"/>
                <w:szCs w:val="23"/>
                <w:color w:val="auto"/>
              </w:rPr>
            </w:pP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50,416</w:t>
            </w:r>
          </w:p>
        </w:tc>
        <w:tc>
          <w:tcPr>
            <w:tcW w:w="240" w:type="dxa"/>
            <w:vAlign w:val="bottom"/>
          </w:tcPr>
          <w:p>
            <w:pPr>
              <w:spacing w:after="0"/>
              <w:rPr>
                <w:sz w:val="23"/>
                <w:szCs w:val="23"/>
                <w:color w:val="auto"/>
              </w:rPr>
            </w:pPr>
          </w:p>
        </w:tc>
        <w:tc>
          <w:tcPr>
            <w:tcW w:w="900" w:type="dxa"/>
            <w:vAlign w:val="bottom"/>
          </w:tcPr>
          <w:p>
            <w:pPr>
              <w:jc w:val="right"/>
              <w:ind w:right="60"/>
              <w:spacing w:after="0"/>
              <w:rPr>
                <w:sz w:val="20"/>
                <w:szCs w:val="20"/>
                <w:color w:val="auto"/>
              </w:rPr>
            </w:pPr>
            <w:r>
              <w:rPr>
                <w:rFonts w:ascii="Arial" w:cs="Arial" w:eastAsia="Arial" w:hAnsi="Arial"/>
                <w:sz w:val="16"/>
                <w:szCs w:val="16"/>
                <w:color w:val="auto"/>
              </w:rPr>
              <w:t>146,857</w:t>
            </w:r>
          </w:p>
        </w:tc>
        <w:tc>
          <w:tcPr>
            <w:tcW w:w="300" w:type="dxa"/>
            <w:vAlign w:val="bottom"/>
          </w:tcPr>
          <w:p>
            <w:pPr>
              <w:spacing w:after="0"/>
              <w:rPr>
                <w:sz w:val="23"/>
                <w:szCs w:val="23"/>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508,915</w:t>
            </w:r>
          </w:p>
        </w:tc>
        <w:tc>
          <w:tcPr>
            <w:tcW w:w="0" w:type="dxa"/>
            <w:vAlign w:val="bottom"/>
          </w:tcPr>
          <w:p>
            <w:pPr>
              <w:spacing w:after="0"/>
              <w:rPr>
                <w:sz w:val="1"/>
                <w:szCs w:val="1"/>
                <w:color w:val="auto"/>
              </w:rPr>
            </w:pPr>
          </w:p>
        </w:tc>
      </w:tr>
      <w:tr>
        <w:trPr>
          <w:trHeight w:val="322"/>
        </w:trPr>
        <w:tc>
          <w:tcPr>
            <w:tcW w:w="3440" w:type="dxa"/>
            <w:vAlign w:val="bottom"/>
          </w:tcPr>
          <w:p>
            <w:pPr>
              <w:ind w:left="40"/>
              <w:spacing w:after="0"/>
              <w:rPr>
                <w:sz w:val="20"/>
                <w:szCs w:val="20"/>
                <w:color w:val="auto"/>
              </w:rPr>
            </w:pPr>
            <w:r>
              <w:rPr>
                <w:rFonts w:ascii="Arial" w:cs="Arial" w:eastAsia="Arial" w:hAnsi="Arial"/>
                <w:sz w:val="16"/>
                <w:szCs w:val="16"/>
                <w:color w:val="auto"/>
              </w:rPr>
              <w:t xml:space="preserve">Programming purchase commitments </w:t>
            </w:r>
            <w:r>
              <w:rPr>
                <w:rFonts w:ascii="Arial" w:cs="Arial" w:eastAsia="Arial" w:hAnsi="Arial"/>
                <w:sz w:val="21"/>
                <w:szCs w:val="21"/>
                <w:color w:val="auto"/>
                <w:vertAlign w:val="superscript"/>
              </w:rPr>
              <w:t>(1)</w:t>
            </w:r>
          </w:p>
        </w:tc>
        <w:tc>
          <w:tcPr>
            <w:tcW w:w="240" w:type="dxa"/>
            <w:vAlign w:val="bottom"/>
          </w:tcPr>
          <w:p>
            <w:pPr>
              <w:spacing w:after="0"/>
              <w:rPr>
                <w:sz w:val="24"/>
                <w:szCs w:val="24"/>
                <w:color w:val="auto"/>
              </w:rPr>
            </w:pPr>
          </w:p>
        </w:tc>
        <w:tc>
          <w:tcPr>
            <w:tcW w:w="840" w:type="dxa"/>
            <w:vAlign w:val="bottom"/>
          </w:tcPr>
          <w:p>
            <w:pPr>
              <w:jc w:val="right"/>
              <w:ind w:right="60"/>
              <w:spacing w:after="0"/>
              <w:rPr>
                <w:sz w:val="20"/>
                <w:szCs w:val="20"/>
                <w:color w:val="auto"/>
              </w:rPr>
            </w:pPr>
            <w:r>
              <w:rPr>
                <w:rFonts w:ascii="Arial" w:cs="Arial" w:eastAsia="Arial" w:hAnsi="Arial"/>
                <w:sz w:val="16"/>
                <w:szCs w:val="16"/>
                <w:color w:val="auto"/>
              </w:rPr>
              <w:t>8,607</w:t>
            </w:r>
          </w:p>
        </w:tc>
        <w:tc>
          <w:tcPr>
            <w:tcW w:w="320" w:type="dxa"/>
            <w:vAlign w:val="bottom"/>
          </w:tcPr>
          <w:p>
            <w:pPr>
              <w:spacing w:after="0"/>
              <w:rPr>
                <w:sz w:val="24"/>
                <w:szCs w:val="24"/>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5,091</w:t>
            </w:r>
          </w:p>
        </w:tc>
        <w:tc>
          <w:tcPr>
            <w:tcW w:w="320" w:type="dxa"/>
            <w:vAlign w:val="bottom"/>
          </w:tcPr>
          <w:p>
            <w:pPr>
              <w:spacing w:after="0"/>
              <w:rPr>
                <w:sz w:val="24"/>
                <w:szCs w:val="24"/>
                <w:color w:val="auto"/>
              </w:rPr>
            </w:pP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1,254</w:t>
            </w:r>
          </w:p>
        </w:tc>
        <w:tc>
          <w:tcPr>
            <w:tcW w:w="320" w:type="dxa"/>
            <w:vAlign w:val="bottom"/>
          </w:tcPr>
          <w:p>
            <w:pPr>
              <w:spacing w:after="0"/>
              <w:rPr>
                <w:sz w:val="24"/>
                <w:szCs w:val="24"/>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922</w:t>
            </w:r>
          </w:p>
        </w:tc>
        <w:tc>
          <w:tcPr>
            <w:tcW w:w="340" w:type="dxa"/>
            <w:vAlign w:val="bottom"/>
          </w:tcPr>
          <w:p>
            <w:pPr>
              <w:spacing w:after="0"/>
              <w:rPr>
                <w:sz w:val="24"/>
                <w:szCs w:val="24"/>
                <w:color w:val="auto"/>
              </w:rPr>
            </w:pP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192</w:t>
            </w:r>
          </w:p>
        </w:tc>
        <w:tc>
          <w:tcPr>
            <w:tcW w:w="240" w:type="dxa"/>
            <w:vAlign w:val="bottom"/>
          </w:tcPr>
          <w:p>
            <w:pPr>
              <w:spacing w:after="0"/>
              <w:rPr>
                <w:sz w:val="24"/>
                <w:szCs w:val="24"/>
                <w:color w:val="auto"/>
              </w:rPr>
            </w:pPr>
          </w:p>
        </w:tc>
        <w:tc>
          <w:tcPr>
            <w:tcW w:w="900" w:type="dxa"/>
            <w:vAlign w:val="bottom"/>
          </w:tcPr>
          <w:p>
            <w:pPr>
              <w:jc w:val="right"/>
              <w:ind w:right="60"/>
              <w:spacing w:after="0"/>
              <w:rPr>
                <w:sz w:val="20"/>
                <w:szCs w:val="20"/>
                <w:color w:val="auto"/>
              </w:rPr>
            </w:pPr>
            <w:r>
              <w:rPr>
                <w:rFonts w:ascii="Arial" w:cs="Arial" w:eastAsia="Arial" w:hAnsi="Arial"/>
                <w:sz w:val="16"/>
                <w:szCs w:val="16"/>
                <w:color w:val="auto"/>
              </w:rPr>
              <w:t>303</w:t>
            </w:r>
          </w:p>
        </w:tc>
        <w:tc>
          <w:tcPr>
            <w:tcW w:w="300" w:type="dxa"/>
            <w:vAlign w:val="bottom"/>
          </w:tcPr>
          <w:p>
            <w:pPr>
              <w:spacing w:after="0"/>
              <w:rPr>
                <w:sz w:val="24"/>
                <w:szCs w:val="24"/>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16,369</w:t>
            </w:r>
          </w:p>
        </w:tc>
        <w:tc>
          <w:tcPr>
            <w:tcW w:w="0" w:type="dxa"/>
            <w:vAlign w:val="bottom"/>
          </w:tcPr>
          <w:p>
            <w:pPr>
              <w:spacing w:after="0"/>
              <w:rPr>
                <w:sz w:val="1"/>
                <w:szCs w:val="1"/>
                <w:color w:val="auto"/>
              </w:rPr>
            </w:pPr>
          </w:p>
        </w:tc>
      </w:tr>
      <w:tr>
        <w:trPr>
          <w:trHeight w:val="270"/>
        </w:trPr>
        <w:tc>
          <w:tcPr>
            <w:tcW w:w="3440" w:type="dxa"/>
            <w:vAlign w:val="bottom"/>
          </w:tcPr>
          <w:p>
            <w:pPr>
              <w:ind w:left="40"/>
              <w:spacing w:after="0"/>
              <w:rPr>
                <w:sz w:val="20"/>
                <w:szCs w:val="20"/>
                <w:color w:val="auto"/>
              </w:rPr>
            </w:pPr>
            <w:r>
              <w:rPr>
                <w:rFonts w:ascii="Arial" w:cs="Arial" w:eastAsia="Arial" w:hAnsi="Arial"/>
                <w:sz w:val="16"/>
                <w:szCs w:val="16"/>
                <w:color w:val="auto"/>
              </w:rPr>
              <w:t xml:space="preserve">Other purchase obligations </w:t>
            </w:r>
            <w:r>
              <w:rPr>
                <w:rFonts w:ascii="Arial" w:cs="Arial" w:eastAsia="Arial" w:hAnsi="Arial"/>
                <w:sz w:val="21"/>
                <w:szCs w:val="21"/>
                <w:color w:val="auto"/>
                <w:vertAlign w:val="superscript"/>
              </w:rPr>
              <w:t>(2)</w:t>
            </w:r>
          </w:p>
        </w:tc>
        <w:tc>
          <w:tcPr>
            <w:tcW w:w="240" w:type="dxa"/>
            <w:vAlign w:val="bottom"/>
          </w:tcPr>
          <w:p>
            <w:pPr>
              <w:spacing w:after="0"/>
              <w:rPr>
                <w:sz w:val="23"/>
                <w:szCs w:val="23"/>
                <w:color w:val="auto"/>
              </w:rPr>
            </w:pPr>
          </w:p>
        </w:tc>
        <w:tc>
          <w:tcPr>
            <w:tcW w:w="840" w:type="dxa"/>
            <w:vAlign w:val="bottom"/>
          </w:tcPr>
          <w:p>
            <w:pPr>
              <w:jc w:val="right"/>
              <w:ind w:right="60"/>
              <w:spacing w:after="0"/>
              <w:rPr>
                <w:sz w:val="20"/>
                <w:szCs w:val="20"/>
                <w:color w:val="auto"/>
              </w:rPr>
            </w:pPr>
            <w:r>
              <w:rPr>
                <w:rFonts w:ascii="Arial" w:cs="Arial" w:eastAsia="Arial" w:hAnsi="Arial"/>
                <w:sz w:val="16"/>
                <w:szCs w:val="16"/>
                <w:color w:val="auto"/>
              </w:rPr>
              <w:t>48,777</w:t>
            </w:r>
          </w:p>
        </w:tc>
        <w:tc>
          <w:tcPr>
            <w:tcW w:w="320" w:type="dxa"/>
            <w:vAlign w:val="bottom"/>
          </w:tcPr>
          <w:p>
            <w:pPr>
              <w:spacing w:after="0"/>
              <w:rPr>
                <w:sz w:val="23"/>
                <w:szCs w:val="23"/>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22,356</w:t>
            </w:r>
          </w:p>
        </w:tc>
        <w:tc>
          <w:tcPr>
            <w:tcW w:w="320" w:type="dxa"/>
            <w:vAlign w:val="bottom"/>
          </w:tcPr>
          <w:p>
            <w:pPr>
              <w:spacing w:after="0"/>
              <w:rPr>
                <w:sz w:val="23"/>
                <w:szCs w:val="23"/>
                <w:color w:val="auto"/>
              </w:rPr>
            </w:pP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14,101</w:t>
            </w:r>
          </w:p>
        </w:tc>
        <w:tc>
          <w:tcPr>
            <w:tcW w:w="320" w:type="dxa"/>
            <w:vAlign w:val="bottom"/>
          </w:tcPr>
          <w:p>
            <w:pPr>
              <w:spacing w:after="0"/>
              <w:rPr>
                <w:sz w:val="23"/>
                <w:szCs w:val="23"/>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5,799</w:t>
            </w:r>
          </w:p>
        </w:tc>
        <w:tc>
          <w:tcPr>
            <w:tcW w:w="340" w:type="dxa"/>
            <w:vAlign w:val="bottom"/>
          </w:tcPr>
          <w:p>
            <w:pPr>
              <w:spacing w:after="0"/>
              <w:rPr>
                <w:sz w:val="23"/>
                <w:szCs w:val="23"/>
                <w:color w:val="auto"/>
              </w:rPr>
            </w:pP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4,101</w:t>
            </w:r>
          </w:p>
        </w:tc>
        <w:tc>
          <w:tcPr>
            <w:tcW w:w="240" w:type="dxa"/>
            <w:vAlign w:val="bottom"/>
          </w:tcPr>
          <w:p>
            <w:pPr>
              <w:spacing w:after="0"/>
              <w:rPr>
                <w:sz w:val="23"/>
                <w:szCs w:val="23"/>
                <w:color w:val="auto"/>
              </w:rPr>
            </w:pPr>
          </w:p>
        </w:tc>
        <w:tc>
          <w:tcPr>
            <w:tcW w:w="900" w:type="dxa"/>
            <w:vAlign w:val="bottom"/>
          </w:tcPr>
          <w:p>
            <w:pPr>
              <w:jc w:val="right"/>
              <w:ind w:right="60"/>
              <w:spacing w:after="0"/>
              <w:rPr>
                <w:sz w:val="20"/>
                <w:szCs w:val="20"/>
                <w:color w:val="auto"/>
              </w:rPr>
            </w:pPr>
            <w:r>
              <w:rPr>
                <w:rFonts w:ascii="Arial" w:cs="Arial" w:eastAsia="Arial" w:hAnsi="Arial"/>
                <w:sz w:val="16"/>
                <w:szCs w:val="16"/>
                <w:color w:val="auto"/>
              </w:rPr>
              <w:t>150</w:t>
            </w:r>
          </w:p>
        </w:tc>
        <w:tc>
          <w:tcPr>
            <w:tcW w:w="300" w:type="dxa"/>
            <w:vAlign w:val="bottom"/>
          </w:tcPr>
          <w:p>
            <w:pPr>
              <w:spacing w:after="0"/>
              <w:rPr>
                <w:sz w:val="23"/>
                <w:szCs w:val="23"/>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95,284</w:t>
            </w:r>
          </w:p>
        </w:tc>
        <w:tc>
          <w:tcPr>
            <w:tcW w:w="0" w:type="dxa"/>
            <w:vAlign w:val="bottom"/>
          </w:tcPr>
          <w:p>
            <w:pPr>
              <w:spacing w:after="0"/>
              <w:rPr>
                <w:sz w:val="1"/>
                <w:szCs w:val="1"/>
                <w:color w:val="auto"/>
              </w:rPr>
            </w:pPr>
          </w:p>
        </w:tc>
      </w:tr>
      <w:tr>
        <w:trPr>
          <w:trHeight w:val="234"/>
        </w:trPr>
        <w:tc>
          <w:tcPr>
            <w:tcW w:w="3440" w:type="dxa"/>
            <w:vAlign w:val="bottom"/>
          </w:tcPr>
          <w:p>
            <w:pPr>
              <w:ind w:left="40"/>
              <w:spacing w:after="0" w:line="234" w:lineRule="exact"/>
              <w:rPr>
                <w:sz w:val="20"/>
                <w:szCs w:val="20"/>
                <w:color w:val="auto"/>
              </w:rPr>
            </w:pPr>
            <w:r>
              <w:rPr>
                <w:rFonts w:ascii="Arial" w:cs="Arial" w:eastAsia="Arial" w:hAnsi="Arial"/>
                <w:sz w:val="16"/>
                <w:szCs w:val="16"/>
                <w:color w:val="auto"/>
              </w:rPr>
              <w:t xml:space="preserve">Long-term liabilities </w:t>
            </w:r>
            <w:r>
              <w:rPr>
                <w:rFonts w:ascii="Arial" w:cs="Arial" w:eastAsia="Arial" w:hAnsi="Arial"/>
                <w:sz w:val="21"/>
                <w:szCs w:val="21"/>
                <w:color w:val="auto"/>
                <w:vertAlign w:val="superscript"/>
              </w:rPr>
              <w:t>(3)</w:t>
            </w:r>
          </w:p>
        </w:tc>
        <w:tc>
          <w:tcPr>
            <w:tcW w:w="2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4,881</w:t>
            </w:r>
          </w:p>
        </w:tc>
        <w:tc>
          <w:tcPr>
            <w:tcW w:w="3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4,626</w:t>
            </w:r>
          </w:p>
        </w:tc>
        <w:tc>
          <w:tcPr>
            <w:tcW w:w="3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4,481</w:t>
            </w:r>
          </w:p>
        </w:tc>
        <w:tc>
          <w:tcPr>
            <w:tcW w:w="3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4,503</w:t>
            </w:r>
          </w:p>
        </w:tc>
        <w:tc>
          <w:tcPr>
            <w:tcW w:w="3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4,427</w:t>
            </w: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29,613</w:t>
            </w:r>
          </w:p>
        </w:tc>
        <w:tc>
          <w:tcPr>
            <w:tcW w:w="3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52,531</w:t>
            </w:r>
          </w:p>
        </w:tc>
        <w:tc>
          <w:tcPr>
            <w:tcW w:w="0" w:type="dxa"/>
            <w:vAlign w:val="bottom"/>
          </w:tcPr>
          <w:p>
            <w:pPr>
              <w:spacing w:after="0"/>
              <w:rPr>
                <w:sz w:val="1"/>
                <w:szCs w:val="1"/>
                <w:color w:val="auto"/>
              </w:rPr>
            </w:pPr>
          </w:p>
        </w:tc>
      </w:tr>
      <w:tr>
        <w:trPr>
          <w:trHeight w:val="262"/>
        </w:trPr>
        <w:tc>
          <w:tcPr>
            <w:tcW w:w="3440" w:type="dxa"/>
            <w:vAlign w:val="bottom"/>
          </w:tcPr>
          <w:p>
            <w:pPr>
              <w:ind w:left="600"/>
              <w:spacing w:after="0"/>
              <w:rPr>
                <w:sz w:val="20"/>
                <w:szCs w:val="20"/>
                <w:color w:val="auto"/>
              </w:rPr>
            </w:pPr>
            <w:r>
              <w:rPr>
                <w:rFonts w:ascii="Arial" w:cs="Arial" w:eastAsia="Arial" w:hAnsi="Arial"/>
                <w:sz w:val="16"/>
                <w:szCs w:val="16"/>
                <w:color w:val="auto"/>
              </w:rPr>
              <w:t>Total</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186,790</w:t>
            </w:r>
          </w:p>
        </w:tc>
        <w:tc>
          <w:tcPr>
            <w:tcW w:w="3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153,375</w:t>
            </w:r>
          </w:p>
        </w:tc>
        <w:tc>
          <w:tcPr>
            <w:tcW w:w="3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517,258</w:t>
            </w:r>
          </w:p>
        </w:tc>
        <w:tc>
          <w:tcPr>
            <w:tcW w:w="3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150,595</w:t>
            </w:r>
          </w:p>
        </w:tc>
        <w:tc>
          <w:tcPr>
            <w:tcW w:w="3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59,169</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177,057</w:t>
            </w:r>
          </w:p>
        </w:tc>
        <w:tc>
          <w:tcPr>
            <w:tcW w:w="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1,244,244</w:t>
            </w:r>
          </w:p>
        </w:tc>
        <w:tc>
          <w:tcPr>
            <w:tcW w:w="0" w:type="dxa"/>
            <w:vAlign w:val="bottom"/>
          </w:tcPr>
          <w:p>
            <w:pPr>
              <w:spacing w:after="0"/>
              <w:rPr>
                <w:sz w:val="1"/>
                <w:szCs w:val="1"/>
                <w:color w:val="auto"/>
              </w:rPr>
            </w:pPr>
          </w:p>
        </w:tc>
      </w:tr>
      <w:tr>
        <w:trPr>
          <w:trHeight w:val="20"/>
        </w:trPr>
        <w:tc>
          <w:tcPr>
            <w:tcW w:w="3440" w:type="dxa"/>
            <w:vAlign w:val="bottom"/>
            <w:vMerge w:val="restart"/>
          </w:tcPr>
          <w:p>
            <w:pPr>
              <w:spacing w:after="0"/>
              <w:rPr>
                <w:sz w:val="20"/>
                <w:szCs w:val="20"/>
                <w:color w:val="auto"/>
              </w:rPr>
            </w:pPr>
            <w:r>
              <w:rPr>
                <w:rFonts w:ascii="Arial" w:cs="Arial" w:eastAsia="Arial" w:hAnsi="Arial"/>
                <w:sz w:val="11"/>
                <w:szCs w:val="11"/>
                <w:color w:val="auto"/>
              </w:rPr>
              <w:t>___________________</w:t>
            </w: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8"/>
        </w:trPr>
        <w:tc>
          <w:tcPr>
            <w:tcW w:w="344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320" w:type="dxa"/>
            <w:vAlign w:val="bottom"/>
          </w:tcPr>
          <w:p>
            <w:pPr>
              <w:spacing w:after="0"/>
              <w:rPr>
                <w:sz w:val="8"/>
                <w:szCs w:val="8"/>
                <w:color w:val="auto"/>
              </w:rPr>
            </w:pPr>
          </w:p>
        </w:tc>
        <w:tc>
          <w:tcPr>
            <w:tcW w:w="82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0" w:type="dxa"/>
            <w:vAlign w:val="bottom"/>
          </w:tcPr>
          <w:p>
            <w:pPr>
              <w:spacing w:after="0"/>
              <w:rPr>
                <w:sz w:val="8"/>
                <w:szCs w:val="8"/>
                <w:color w:val="auto"/>
              </w:rPr>
            </w:pPr>
          </w:p>
        </w:tc>
        <w:tc>
          <w:tcPr>
            <w:tcW w:w="320" w:type="dxa"/>
            <w:vAlign w:val="bottom"/>
          </w:tcPr>
          <w:p>
            <w:pPr>
              <w:spacing w:after="0"/>
              <w:rPr>
                <w:sz w:val="8"/>
                <w:szCs w:val="8"/>
                <w:color w:val="auto"/>
              </w:rPr>
            </w:pPr>
          </w:p>
        </w:tc>
        <w:tc>
          <w:tcPr>
            <w:tcW w:w="82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0" w:type="dxa"/>
            <w:vAlign w:val="bottom"/>
          </w:tcPr>
          <w:p>
            <w:pPr>
              <w:spacing w:after="0"/>
              <w:rPr>
                <w:sz w:val="8"/>
                <w:szCs w:val="8"/>
                <w:color w:val="auto"/>
              </w:rPr>
            </w:pPr>
          </w:p>
        </w:tc>
        <w:tc>
          <w:tcPr>
            <w:tcW w:w="240" w:type="dxa"/>
            <w:vAlign w:val="bottom"/>
          </w:tcPr>
          <w:p>
            <w:pPr>
              <w:spacing w:after="0"/>
              <w:rPr>
                <w:sz w:val="8"/>
                <w:szCs w:val="8"/>
                <w:color w:val="auto"/>
              </w:rPr>
            </w:pPr>
          </w:p>
        </w:tc>
        <w:tc>
          <w:tcPr>
            <w:tcW w:w="900" w:type="dxa"/>
            <w:vAlign w:val="bottom"/>
          </w:tcPr>
          <w:p>
            <w:pPr>
              <w:spacing w:after="0"/>
              <w:rPr>
                <w:sz w:val="8"/>
                <w:szCs w:val="8"/>
                <w:color w:val="auto"/>
              </w:rPr>
            </w:pPr>
          </w:p>
        </w:tc>
        <w:tc>
          <w:tcPr>
            <w:tcW w:w="300" w:type="dxa"/>
            <w:vAlign w:val="bottom"/>
          </w:tcPr>
          <w:p>
            <w:pPr>
              <w:spacing w:after="0"/>
              <w:rPr>
                <w:sz w:val="8"/>
                <w:szCs w:val="8"/>
                <w:color w:val="auto"/>
              </w:rPr>
            </w:pPr>
          </w:p>
        </w:tc>
        <w:tc>
          <w:tcPr>
            <w:tcW w:w="92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340" w:right="140" w:hanging="332"/>
        <w:spacing w:after="0" w:line="205" w:lineRule="auto"/>
        <w:tabs>
          <w:tab w:leader="none" w:pos="340" w:val="left"/>
        </w:tabs>
        <w:numPr>
          <w:ilvl w:val="0"/>
          <w:numId w:val="47"/>
        </w:numPr>
        <w:rPr>
          <w:rFonts w:ascii="Arial" w:cs="Arial" w:eastAsia="Arial" w:hAnsi="Arial"/>
          <w:sz w:val="13"/>
          <w:szCs w:val="13"/>
          <w:color w:val="auto"/>
        </w:rPr>
      </w:pPr>
      <w:r>
        <w:rPr>
          <w:rFonts w:ascii="Arial" w:cs="Arial" w:eastAsia="Arial" w:hAnsi="Arial"/>
          <w:sz w:val="13"/>
          <w:szCs w:val="13"/>
          <w:color w:val="auto"/>
        </w:rPr>
        <w:t>Includes commitments for the Company’s television broadcasting business that are reflected in the Company’s Consolidated Financial Statements and commitments to purchase programming to be produced in future years.</w:t>
      </w:r>
    </w:p>
    <w:p>
      <w:pPr>
        <w:spacing w:after="0" w:line="1" w:lineRule="exact"/>
        <w:rPr>
          <w:rFonts w:ascii="Arial" w:cs="Arial" w:eastAsia="Arial" w:hAnsi="Arial"/>
          <w:sz w:val="13"/>
          <w:szCs w:val="13"/>
          <w:color w:val="auto"/>
        </w:rPr>
      </w:pPr>
    </w:p>
    <w:p>
      <w:pPr>
        <w:ind w:left="340" w:right="180" w:hanging="332"/>
        <w:spacing w:after="0" w:line="202" w:lineRule="auto"/>
        <w:tabs>
          <w:tab w:leader="none" w:pos="340" w:val="left"/>
        </w:tabs>
        <w:numPr>
          <w:ilvl w:val="0"/>
          <w:numId w:val="47"/>
        </w:numPr>
        <w:rPr>
          <w:rFonts w:ascii="Arial" w:cs="Arial" w:eastAsia="Arial" w:hAnsi="Arial"/>
          <w:sz w:val="13"/>
          <w:szCs w:val="13"/>
          <w:color w:val="auto"/>
        </w:rPr>
      </w:pPr>
      <w:r>
        <w:rPr>
          <w:rFonts w:ascii="Arial" w:cs="Arial" w:eastAsia="Arial" w:hAnsi="Arial"/>
          <w:sz w:val="13"/>
          <w:szCs w:val="13"/>
          <w:color w:val="auto"/>
        </w:rPr>
        <w:t>Includes purchase obligations related to employment agreements, capital projects and other legally binding commitments. Other purchase orders made in the ordinary course of business are excluded from the table above. Any amounts for which the Company is liable under purchase orders are reflected in the Company’s Consolidated Balance Sheets as accounts payable and accrued liabilities.</w:t>
      </w:r>
    </w:p>
    <w:p>
      <w:pPr>
        <w:ind w:left="340" w:right="780" w:hanging="332"/>
        <w:spacing w:after="0" w:line="221" w:lineRule="auto"/>
        <w:tabs>
          <w:tab w:leader="none" w:pos="340" w:val="left"/>
        </w:tabs>
        <w:numPr>
          <w:ilvl w:val="0"/>
          <w:numId w:val="47"/>
        </w:numPr>
        <w:rPr>
          <w:rFonts w:ascii="Arial" w:cs="Arial" w:eastAsia="Arial" w:hAnsi="Arial"/>
          <w:sz w:val="13"/>
          <w:szCs w:val="13"/>
          <w:color w:val="auto"/>
        </w:rPr>
      </w:pPr>
      <w:r>
        <w:rPr>
          <w:rFonts w:ascii="Arial" w:cs="Arial" w:eastAsia="Arial" w:hAnsi="Arial"/>
          <w:sz w:val="13"/>
          <w:szCs w:val="13"/>
          <w:color w:val="auto"/>
        </w:rPr>
        <w:t>Primarily made up of postretirement benefit obligations other than pensions. The Company has other long-term liabilities excluded from the table above, including obligations for deferred compensation, long-term incentive plans and long-term deferred revenue.</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The table above does not include the Company's commitment to loan an additional £14.0 to York International College.</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Other. </w:t>
      </w:r>
      <w:r>
        <w:rPr>
          <w:rFonts w:ascii="Arial" w:cs="Arial" w:eastAsia="Arial" w:hAnsi="Arial"/>
          <w:sz w:val="18"/>
          <w:szCs w:val="18"/>
          <w:color w:val="auto"/>
        </w:rPr>
        <w:t>The Company does not have any off-balance-sheet arrangements or financing activities with special-purpose entities (SPEs).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46" w:lineRule="exact"/>
        <w:rPr>
          <w:sz w:val="20"/>
          <w:szCs w:val="20"/>
          <w:color w:val="auto"/>
        </w:rPr>
      </w:pPr>
    </w:p>
    <w:p>
      <w:pPr>
        <w:ind w:right="260"/>
        <w:spacing w:after="0" w:line="231" w:lineRule="auto"/>
        <w:rPr>
          <w:sz w:val="20"/>
          <w:szCs w:val="20"/>
          <w:color w:val="auto"/>
        </w:rPr>
      </w:pPr>
      <w:r>
        <w:rPr>
          <w:rFonts w:ascii="Arial" w:cs="Arial" w:eastAsia="Arial" w:hAnsi="Arial"/>
          <w:sz w:val="18"/>
          <w:szCs w:val="18"/>
          <w:color w:val="auto"/>
        </w:rPr>
        <w:t>The preparation of financial statements in conformity with generally accepted accounting principles requires management to make estimates and judgments that affect the amounts reported in the financial statements. On an ongoing basis, the Company evaluates its estimates and assumptions. The Company bases its estimates on historical experience and other assumptions believed to be reasonable under the circumstances, the results of which form the basis for making judgments about the carrying value of assets and liabilities that are not readily apparent from other sources. Actual results could differ from these estimates.</w:t>
      </w:r>
    </w:p>
    <w:p>
      <w:pPr>
        <w:spacing w:after="0" w:line="111" w:lineRule="exact"/>
        <w:rPr>
          <w:sz w:val="20"/>
          <w:szCs w:val="20"/>
          <w:color w:val="auto"/>
        </w:rPr>
      </w:pPr>
    </w:p>
    <w:p>
      <w:pPr>
        <w:ind w:right="40"/>
        <w:spacing w:after="0"/>
        <w:rPr>
          <w:sz w:val="20"/>
          <w:szCs w:val="20"/>
          <w:color w:val="auto"/>
        </w:rPr>
      </w:pPr>
      <w:r>
        <w:rPr>
          <w:rFonts w:ascii="Arial" w:cs="Arial" w:eastAsia="Arial" w:hAnsi="Arial"/>
          <w:sz w:val="18"/>
          <w:szCs w:val="18"/>
          <w:color w:val="auto"/>
        </w:rPr>
        <w:t>An accounting policy is considered to be critical if it is important to the Company’s financial condition and results and if it requires management’s most difficult, subjective and complex judgments in its application. For a summary of all of the Company’s significant accounting policies, see Note 2 to the Company’s Consolidated Financial Statements.</w:t>
      </w:r>
    </w:p>
    <w:p>
      <w:pPr>
        <w:spacing w:after="0" w:line="106" w:lineRule="exact"/>
        <w:rPr>
          <w:sz w:val="20"/>
          <w:szCs w:val="20"/>
          <w:color w:val="auto"/>
        </w:rPr>
      </w:pPr>
    </w:p>
    <w:p>
      <w:pPr>
        <w:ind w:right="40"/>
        <w:spacing w:after="0" w:line="241" w:lineRule="auto"/>
        <w:rPr>
          <w:sz w:val="20"/>
          <w:szCs w:val="20"/>
          <w:color w:val="auto"/>
        </w:rPr>
      </w:pPr>
      <w:r>
        <w:rPr>
          <w:rFonts w:ascii="Arial" w:cs="Arial" w:eastAsia="Arial" w:hAnsi="Arial"/>
          <w:sz w:val="18"/>
          <w:szCs w:val="18"/>
          <w:b w:val="1"/>
          <w:bCs w:val="1"/>
          <w:color w:val="auto"/>
        </w:rPr>
        <w:t xml:space="preserve">Revenue Recognition, Trade Accounts Receivable and Allowance for Doubtful Accounts. </w:t>
      </w:r>
      <w:r>
        <w:rPr>
          <w:rFonts w:ascii="Arial" w:cs="Arial" w:eastAsia="Arial" w:hAnsi="Arial"/>
          <w:sz w:val="18"/>
          <w:szCs w:val="18"/>
          <w:color w:val="auto"/>
        </w:rPr>
        <w:t>Education tuition revenue is recognized ratably</w:t>
      </w:r>
      <w:r>
        <w:rPr>
          <w:rFonts w:ascii="Arial" w:cs="Arial" w:eastAsia="Arial" w:hAnsi="Arial"/>
          <w:sz w:val="18"/>
          <w:szCs w:val="18"/>
          <w:b w:val="1"/>
          <w:bCs w:val="1"/>
          <w:color w:val="auto"/>
        </w:rPr>
        <w:t xml:space="preserve"> </w:t>
      </w:r>
      <w:r>
        <w:rPr>
          <w:rFonts w:ascii="Arial" w:cs="Arial" w:eastAsia="Arial" w:hAnsi="Arial"/>
          <w:sz w:val="18"/>
          <w:szCs w:val="18"/>
          <w:color w:val="auto"/>
        </w:rPr>
        <w:t>over the period of instruction as services are delivered to students, net of any refunds, corporate discounts, scholarships and employee tuition discounts.</w:t>
      </w:r>
    </w:p>
    <w:p>
      <w:pPr>
        <w:spacing w:after="0" w:line="108" w:lineRule="exact"/>
        <w:rPr>
          <w:sz w:val="20"/>
          <w:szCs w:val="20"/>
          <w:color w:val="auto"/>
        </w:rPr>
      </w:pPr>
    </w:p>
    <w:p>
      <w:pPr>
        <w:ind w:right="160"/>
        <w:spacing w:after="0" w:line="234" w:lineRule="auto"/>
        <w:rPr>
          <w:sz w:val="20"/>
          <w:szCs w:val="20"/>
          <w:color w:val="auto"/>
        </w:rPr>
      </w:pPr>
      <w:r>
        <w:rPr>
          <w:rFonts w:ascii="Arial" w:cs="Arial" w:eastAsia="Arial" w:hAnsi="Arial"/>
          <w:sz w:val="18"/>
          <w:szCs w:val="18"/>
          <w:color w:val="auto"/>
        </w:rPr>
        <w:t>At KTP and Kaplan International, estimates of average student course length are developed for each course, along with estimates for the anticipated level of student drops and refunds from test performance guarantees, and these estimates are evaluated on an ongoing basis and adjusted as necessary. As Kaplan’s businesses and related course offerings have changed, including more online programs, the complexity and significance of management’s estimates have increased.</w:t>
      </w:r>
    </w:p>
    <w:p>
      <w:pPr>
        <w:spacing w:after="0" w:line="111" w:lineRule="exact"/>
        <w:rPr>
          <w:sz w:val="20"/>
          <w:szCs w:val="20"/>
          <w:color w:val="auto"/>
        </w:rPr>
      </w:pPr>
    </w:p>
    <w:p>
      <w:pPr>
        <w:ind w:right="320"/>
        <w:spacing w:after="0" w:line="231" w:lineRule="auto"/>
        <w:rPr>
          <w:sz w:val="20"/>
          <w:szCs w:val="20"/>
          <w:color w:val="auto"/>
        </w:rPr>
      </w:pPr>
      <w:r>
        <w:rPr>
          <w:rFonts w:ascii="Arial" w:cs="Arial" w:eastAsia="Arial" w:hAnsi="Arial"/>
          <w:sz w:val="18"/>
          <w:szCs w:val="18"/>
          <w:color w:val="auto"/>
        </w:rPr>
        <w:t>KHE, through the Kaplan Commitment program, provides first-time undergraduate students with a risk-free trial period. Under the program, KHE monitors academic progress and conducts assessments to help determine whether students are likely to be successful in their chosen course of study. Students who withdraw or are subject to dismissal during the risk-free trial period do not incur any significant financial obligation. The Company does not recognize revenues related to coursework until the students complete the risk-free period and decide to continue with their studies, at which time the fees become fixed or determinable.</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724" w:right="239" w:bottom="1440" w:gutter="0" w:footer="0" w:header="0"/>
        </w:sectPr>
      </w:pPr>
    </w:p>
    <w:bookmarkStart w:id="58" w:name="page59"/>
    <w:bookmarkEnd w:id="58"/>
    <w:p>
      <w:pPr>
        <w:ind w:right="80"/>
        <w:spacing w:after="0" w:line="229" w:lineRule="auto"/>
        <w:rPr>
          <w:sz w:val="20"/>
          <w:szCs w:val="20"/>
          <w:color w:val="auto"/>
        </w:rPr>
      </w:pPr>
      <w:r>
        <w:rPr>
          <w:rFonts w:ascii="Arial" w:cs="Arial" w:eastAsia="Arial" w:hAnsi="Arial"/>
          <w:sz w:val="18"/>
          <w:szCs w:val="18"/>
          <w:color w:val="auto"/>
        </w:rPr>
        <w:t>The determination of whether revenue should be reported on a gross or net basis is based on an assessment of whether the Company acts as a principal or an agent in the transaction. In certain cases, the Company is considered the agent, and the Company records revenue equal to the net amount retained when the fee is earned. In these cases, costs incurred with third-party suppliers are excluded from the Company’s revenue. The Company assesses whether it or the third-party supplier is the primary obligor and evaluates the terms of its customer arrangements as part of this assessment. In addition, the Company considers other key indicators such as latitude in establishing price, inventory risk, nature of services performed, discretion in supplier selection and credit risk.</w:t>
      </w:r>
    </w:p>
    <w:p>
      <w:pPr>
        <w:spacing w:after="0" w:line="112" w:lineRule="exact"/>
        <w:rPr>
          <w:sz w:val="20"/>
          <w:szCs w:val="20"/>
          <w:color w:val="auto"/>
        </w:rPr>
      </w:pPr>
    </w:p>
    <w:p>
      <w:pPr>
        <w:ind w:right="40"/>
        <w:spacing w:after="0" w:line="231" w:lineRule="auto"/>
        <w:rPr>
          <w:sz w:val="20"/>
          <w:szCs w:val="20"/>
          <w:color w:val="auto"/>
        </w:rPr>
      </w:pPr>
      <w:r>
        <w:rPr>
          <w:rFonts w:ascii="Arial" w:cs="Arial" w:eastAsia="Arial" w:hAnsi="Arial"/>
          <w:sz w:val="18"/>
          <w:szCs w:val="18"/>
          <w:color w:val="auto"/>
        </w:rPr>
        <w:t>Accounts receivable have been reduced by an allowance for amounts that may be uncollectible in the future. This estimated allowance is based primarily on the aging category, historical collection experience and management’s evaluation of the financial condition of the customer. The Company generally considers an account past due or delinquent when a student or customer misses a scheduled payment. The Company writes off accounts receivable balances deemed uncollectible against the allowance for doubtful accounts following the passage of a certain period of time, or generally when the account is turned over for collection to an outside collection agency.</w:t>
      </w:r>
    </w:p>
    <w:p>
      <w:pPr>
        <w:spacing w:after="0" w:line="109" w:lineRule="exact"/>
        <w:rPr>
          <w:sz w:val="20"/>
          <w:szCs w:val="20"/>
          <w:color w:val="auto"/>
        </w:rPr>
      </w:pPr>
    </w:p>
    <w:p>
      <w:pPr>
        <w:ind w:right="440"/>
        <w:spacing w:after="0" w:line="263" w:lineRule="auto"/>
        <w:rPr>
          <w:sz w:val="20"/>
          <w:szCs w:val="20"/>
          <w:color w:val="auto"/>
        </w:rPr>
      </w:pPr>
      <w:r>
        <w:rPr>
          <w:rFonts w:ascii="Arial" w:cs="Arial" w:eastAsia="Arial" w:hAnsi="Arial"/>
          <w:sz w:val="18"/>
          <w:szCs w:val="18"/>
          <w:b w:val="1"/>
          <w:bCs w:val="1"/>
          <w:color w:val="auto"/>
        </w:rPr>
        <w:t xml:space="preserve">Goodwill and Other Intangible Assets. </w:t>
      </w:r>
      <w:r>
        <w:rPr>
          <w:rFonts w:ascii="Arial" w:cs="Arial" w:eastAsia="Arial" w:hAnsi="Arial"/>
          <w:sz w:val="18"/>
          <w:szCs w:val="18"/>
          <w:color w:val="auto"/>
        </w:rPr>
        <w:t>The Company has a significant amount of goodwill and indefinite-lived intangible assets that are</w:t>
      </w:r>
      <w:r>
        <w:rPr>
          <w:rFonts w:ascii="Arial" w:cs="Arial" w:eastAsia="Arial" w:hAnsi="Arial"/>
          <w:sz w:val="18"/>
          <w:szCs w:val="18"/>
          <w:b w:val="1"/>
          <w:bCs w:val="1"/>
          <w:color w:val="auto"/>
        </w:rPr>
        <w:t xml:space="preserve"> </w:t>
      </w:r>
      <w:r>
        <w:rPr>
          <w:rFonts w:ascii="Arial" w:cs="Arial" w:eastAsia="Arial" w:hAnsi="Arial"/>
          <w:sz w:val="18"/>
          <w:szCs w:val="18"/>
          <w:color w:val="auto"/>
        </w:rPr>
        <w:t>reviewed at least annually for possible impairment.</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6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460" w:type="dxa"/>
            <w:vAlign w:val="bottom"/>
            <w:tcBorders>
              <w:bottom w:val="single" w:sz="8" w:color="auto"/>
            </w:tcBorders>
            <w:gridSpan w:val="3"/>
          </w:tcPr>
          <w:p>
            <w:pPr>
              <w:jc w:val="right"/>
              <w:ind w:right="641"/>
              <w:spacing w:after="0"/>
              <w:rPr>
                <w:sz w:val="20"/>
                <w:szCs w:val="20"/>
                <w:color w:val="auto"/>
              </w:rPr>
            </w:pPr>
            <w:r>
              <w:rPr>
                <w:rFonts w:ascii="Arial" w:cs="Arial" w:eastAsia="Arial" w:hAnsi="Arial"/>
                <w:sz w:val="14"/>
                <w:szCs w:val="14"/>
                <w:b w:val="1"/>
                <w:bCs w:val="1"/>
                <w:color w:val="auto"/>
              </w:rPr>
              <w:t>As of December 31</w:t>
            </w:r>
          </w:p>
        </w:tc>
      </w:tr>
      <w:tr>
        <w:trPr>
          <w:trHeight w:val="264"/>
        </w:trPr>
        <w:tc>
          <w:tcPr>
            <w:tcW w:w="86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23"/>
              <w:spacing w:after="0"/>
              <w:rPr>
                <w:sz w:val="20"/>
                <w:szCs w:val="20"/>
                <w:color w:val="auto"/>
              </w:rPr>
            </w:pPr>
            <w:r>
              <w:rPr>
                <w:rFonts w:ascii="Arial" w:cs="Arial" w:eastAsia="Arial" w:hAnsi="Arial"/>
                <w:sz w:val="14"/>
                <w:szCs w:val="14"/>
                <w:b w:val="1"/>
                <w:bCs w:val="1"/>
                <w:color w:val="auto"/>
              </w:rPr>
              <w:t>2016</w:t>
            </w:r>
          </w:p>
        </w:tc>
        <w:tc>
          <w:tcPr>
            <w:tcW w:w="4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color w:val="auto"/>
              </w:rPr>
              <w:t>2015</w:t>
            </w:r>
          </w:p>
        </w:tc>
      </w:tr>
      <w:tr>
        <w:trPr>
          <w:trHeight w:val="257"/>
        </w:trPr>
        <w:tc>
          <w:tcPr>
            <w:tcW w:w="8660" w:type="dxa"/>
            <w:vAlign w:val="bottom"/>
          </w:tcPr>
          <w:p>
            <w:pPr>
              <w:ind w:left="40"/>
              <w:spacing w:after="0"/>
              <w:rPr>
                <w:sz w:val="20"/>
                <w:szCs w:val="20"/>
                <w:color w:val="auto"/>
              </w:rPr>
            </w:pPr>
            <w:r>
              <w:rPr>
                <w:rFonts w:ascii="Arial" w:cs="Arial" w:eastAsia="Arial" w:hAnsi="Arial"/>
                <w:sz w:val="16"/>
                <w:szCs w:val="16"/>
                <w:color w:val="auto"/>
              </w:rPr>
              <w:t>Goodwill and indefinite-lived intangible assets</w:t>
            </w:r>
          </w:p>
        </w:tc>
        <w:tc>
          <w:tcPr>
            <w:tcW w:w="300" w:type="dxa"/>
            <w:vAlign w:val="bottom"/>
          </w:tcPr>
          <w:p>
            <w:pPr>
              <w:jc w:val="right"/>
              <w:ind w:right="99"/>
              <w:spacing w:after="0"/>
              <w:rPr>
                <w:sz w:val="20"/>
                <w:szCs w:val="20"/>
                <w:color w:val="auto"/>
              </w:rPr>
            </w:pPr>
            <w:r>
              <w:rPr>
                <w:rFonts w:ascii="Arial" w:cs="Arial" w:eastAsia="Arial" w:hAnsi="Arial"/>
                <w:sz w:val="16"/>
                <w:szCs w:val="16"/>
                <w:b w:val="1"/>
                <w:bCs w:val="1"/>
                <w:color w:val="auto"/>
              </w:rPr>
              <w:t>$</w:t>
            </w:r>
          </w:p>
        </w:tc>
        <w:tc>
          <w:tcPr>
            <w:tcW w:w="1020" w:type="dxa"/>
            <w:vAlign w:val="bottom"/>
          </w:tcPr>
          <w:p>
            <w:pPr>
              <w:jc w:val="right"/>
              <w:ind w:right="223"/>
              <w:spacing w:after="0"/>
              <w:rPr>
                <w:sz w:val="20"/>
                <w:szCs w:val="20"/>
                <w:color w:val="auto"/>
              </w:rPr>
            </w:pPr>
            <w:r>
              <w:rPr>
                <w:rFonts w:ascii="Arial" w:cs="Arial" w:eastAsia="Arial" w:hAnsi="Arial"/>
                <w:sz w:val="16"/>
                <w:szCs w:val="16"/>
                <w:b w:val="1"/>
                <w:bCs w:val="1"/>
                <w:color w:val="auto"/>
              </w:rPr>
              <w:t>1,189.0</w:t>
            </w:r>
          </w:p>
        </w:tc>
        <w:tc>
          <w:tcPr>
            <w:tcW w:w="42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241"/>
              <w:spacing w:after="0"/>
              <w:rPr>
                <w:sz w:val="20"/>
                <w:szCs w:val="20"/>
                <w:color w:val="auto"/>
              </w:rPr>
            </w:pPr>
            <w:r>
              <w:rPr>
                <w:rFonts w:ascii="Arial" w:cs="Arial" w:eastAsia="Arial" w:hAnsi="Arial"/>
                <w:sz w:val="16"/>
                <w:szCs w:val="16"/>
                <w:color w:val="auto"/>
              </w:rPr>
              <w:t>1,039.4</w:t>
            </w:r>
          </w:p>
        </w:tc>
      </w:tr>
      <w:tr>
        <w:trPr>
          <w:trHeight w:val="270"/>
        </w:trPr>
        <w:tc>
          <w:tcPr>
            <w:tcW w:w="8660" w:type="dxa"/>
            <w:vAlign w:val="bottom"/>
          </w:tcPr>
          <w:p>
            <w:pPr>
              <w:ind w:left="40"/>
              <w:spacing w:after="0"/>
              <w:rPr>
                <w:sz w:val="20"/>
                <w:szCs w:val="20"/>
                <w:color w:val="auto"/>
              </w:rPr>
            </w:pPr>
            <w:r>
              <w:rPr>
                <w:rFonts w:ascii="Arial" w:cs="Arial" w:eastAsia="Arial" w:hAnsi="Arial"/>
                <w:sz w:val="16"/>
                <w:szCs w:val="16"/>
                <w:color w:val="auto"/>
              </w:rPr>
              <w:t>Total assets</w:t>
            </w:r>
          </w:p>
        </w:tc>
        <w:tc>
          <w:tcPr>
            <w:tcW w:w="300" w:type="dxa"/>
            <w:vAlign w:val="bottom"/>
          </w:tcPr>
          <w:p>
            <w:pPr>
              <w:jc w:val="right"/>
              <w:ind w:right="99"/>
              <w:spacing w:after="0"/>
              <w:rPr>
                <w:sz w:val="20"/>
                <w:szCs w:val="20"/>
                <w:color w:val="auto"/>
              </w:rPr>
            </w:pPr>
            <w:r>
              <w:rPr>
                <w:rFonts w:ascii="Arial" w:cs="Arial" w:eastAsia="Arial" w:hAnsi="Arial"/>
                <w:sz w:val="16"/>
                <w:szCs w:val="16"/>
                <w:b w:val="1"/>
                <w:bCs w:val="1"/>
                <w:color w:val="auto"/>
              </w:rPr>
              <w:t>$</w:t>
            </w:r>
          </w:p>
        </w:tc>
        <w:tc>
          <w:tcPr>
            <w:tcW w:w="1020" w:type="dxa"/>
            <w:vAlign w:val="bottom"/>
          </w:tcPr>
          <w:p>
            <w:pPr>
              <w:jc w:val="right"/>
              <w:ind w:right="223"/>
              <w:spacing w:after="0"/>
              <w:rPr>
                <w:sz w:val="20"/>
                <w:szCs w:val="20"/>
                <w:color w:val="auto"/>
              </w:rPr>
            </w:pPr>
            <w:r>
              <w:rPr>
                <w:rFonts w:ascii="Arial" w:cs="Arial" w:eastAsia="Arial" w:hAnsi="Arial"/>
                <w:sz w:val="16"/>
                <w:szCs w:val="16"/>
                <w:b w:val="1"/>
                <w:bCs w:val="1"/>
                <w:color w:val="auto"/>
              </w:rPr>
              <w:t>4,432.7</w:t>
            </w:r>
          </w:p>
        </w:tc>
        <w:tc>
          <w:tcPr>
            <w:tcW w:w="42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241"/>
              <w:spacing w:after="0"/>
              <w:rPr>
                <w:sz w:val="20"/>
                <w:szCs w:val="20"/>
                <w:color w:val="auto"/>
              </w:rPr>
            </w:pPr>
            <w:r>
              <w:rPr>
                <w:rFonts w:ascii="Arial" w:cs="Arial" w:eastAsia="Arial" w:hAnsi="Arial"/>
                <w:sz w:val="16"/>
                <w:szCs w:val="16"/>
                <w:color w:val="auto"/>
              </w:rPr>
              <w:t>4,352.8</w:t>
            </w:r>
          </w:p>
        </w:tc>
      </w:tr>
      <w:tr>
        <w:trPr>
          <w:trHeight w:val="270"/>
        </w:trPr>
        <w:tc>
          <w:tcPr>
            <w:tcW w:w="8660" w:type="dxa"/>
            <w:vAlign w:val="bottom"/>
          </w:tcPr>
          <w:p>
            <w:pPr>
              <w:ind w:left="40"/>
              <w:spacing w:after="0"/>
              <w:rPr>
                <w:sz w:val="20"/>
                <w:szCs w:val="20"/>
                <w:color w:val="auto"/>
              </w:rPr>
            </w:pPr>
            <w:r>
              <w:rPr>
                <w:rFonts w:ascii="Arial" w:cs="Arial" w:eastAsia="Arial" w:hAnsi="Arial"/>
                <w:sz w:val="16"/>
                <w:szCs w:val="16"/>
                <w:color w:val="auto"/>
              </w:rPr>
              <w:t>Percentage of goodwill and indefinite-lived intangible assets to total assets</w:t>
            </w:r>
          </w:p>
        </w:tc>
        <w:tc>
          <w:tcPr>
            <w:tcW w:w="300" w:type="dxa"/>
            <w:vAlign w:val="bottom"/>
          </w:tcPr>
          <w:p>
            <w:pPr>
              <w:spacing w:after="0"/>
              <w:rPr>
                <w:sz w:val="23"/>
                <w:szCs w:val="23"/>
                <w:color w:val="auto"/>
              </w:rPr>
            </w:pPr>
          </w:p>
        </w:tc>
        <w:tc>
          <w:tcPr>
            <w:tcW w:w="1020" w:type="dxa"/>
            <w:vAlign w:val="bottom"/>
          </w:tcPr>
          <w:p>
            <w:pPr>
              <w:jc w:val="right"/>
              <w:ind w:right="83"/>
              <w:spacing w:after="0"/>
              <w:rPr>
                <w:sz w:val="20"/>
                <w:szCs w:val="20"/>
                <w:color w:val="auto"/>
              </w:rPr>
            </w:pPr>
            <w:r>
              <w:rPr>
                <w:rFonts w:ascii="Arial" w:cs="Arial" w:eastAsia="Arial" w:hAnsi="Arial"/>
                <w:sz w:val="16"/>
                <w:szCs w:val="16"/>
                <w:b w:val="1"/>
                <w:bCs w:val="1"/>
                <w:color w:val="auto"/>
              </w:rPr>
              <w:t>27%</w:t>
            </w:r>
          </w:p>
        </w:tc>
        <w:tc>
          <w:tcPr>
            <w:tcW w:w="420" w:type="dxa"/>
            <w:vAlign w:val="bottom"/>
          </w:tcPr>
          <w:p>
            <w:pPr>
              <w:spacing w:after="0"/>
              <w:rPr>
                <w:sz w:val="23"/>
                <w:szCs w:val="23"/>
                <w:color w:val="auto"/>
              </w:rPr>
            </w:pPr>
          </w:p>
        </w:tc>
        <w:tc>
          <w:tcPr>
            <w:tcW w:w="1020" w:type="dxa"/>
            <w:vAlign w:val="bottom"/>
          </w:tcPr>
          <w:p>
            <w:pPr>
              <w:jc w:val="right"/>
              <w:ind w:right="81"/>
              <w:spacing w:after="0"/>
              <w:rPr>
                <w:sz w:val="20"/>
                <w:szCs w:val="20"/>
                <w:color w:val="auto"/>
              </w:rPr>
            </w:pPr>
            <w:r>
              <w:rPr>
                <w:rFonts w:ascii="Arial" w:cs="Arial" w:eastAsia="Arial" w:hAnsi="Arial"/>
                <w:sz w:val="16"/>
                <w:szCs w:val="16"/>
                <w:color w:val="auto"/>
              </w:rPr>
              <w:t>24%</w:t>
            </w:r>
          </w:p>
        </w:tc>
      </w:tr>
    </w:tbl>
    <w:p>
      <w:pPr>
        <w:spacing w:after="0" w:line="133" w:lineRule="exact"/>
        <w:rPr>
          <w:sz w:val="20"/>
          <w:szCs w:val="20"/>
          <w:color w:val="auto"/>
        </w:rPr>
      </w:pPr>
    </w:p>
    <w:p>
      <w:pPr>
        <w:jc w:val="both"/>
        <w:ind w:right="100"/>
        <w:spacing w:after="0"/>
        <w:rPr>
          <w:sz w:val="20"/>
          <w:szCs w:val="20"/>
          <w:color w:val="auto"/>
        </w:rPr>
      </w:pPr>
      <w:r>
        <w:rPr>
          <w:rFonts w:ascii="Arial" w:cs="Arial" w:eastAsia="Arial" w:hAnsi="Arial"/>
          <w:sz w:val="18"/>
          <w:szCs w:val="18"/>
          <w:color w:val="auto"/>
        </w:rPr>
        <w:t>The Company performs its annual goodwill and intangible assets impairment test as of November 30. Goodwill and other intangible assets are reviewed for possible impairment between annual tests if an event occurred or circumstances changed that would more likely than not reduce the fair value of the reporting unit or other intangible assets below its carrying value.</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142" w:lineRule="exact"/>
        <w:rPr>
          <w:sz w:val="20"/>
          <w:szCs w:val="20"/>
          <w:color w:val="auto"/>
        </w:rPr>
      </w:pPr>
    </w:p>
    <w:p>
      <w:pPr>
        <w:ind w:right="40"/>
        <w:spacing w:after="0" w:line="224" w:lineRule="auto"/>
        <w:rPr>
          <w:sz w:val="20"/>
          <w:szCs w:val="20"/>
          <w:color w:val="auto"/>
        </w:rPr>
      </w:pPr>
      <w:r>
        <w:rPr>
          <w:rFonts w:ascii="Arial" w:cs="Arial" w:eastAsia="Arial" w:hAnsi="Arial"/>
          <w:sz w:val="18"/>
          <w:szCs w:val="18"/>
          <w:color w:val="auto"/>
        </w:rPr>
        <w:t>The Company tests its goodwill at the reporting unit level, which is an operating segment or one level below an operating segment. The Company initially performs an assessment of qualitative factors to determine if it is necessary to perform the two-step goodwill impairment test. The Company tests goodwill for impairment using the two-step process if, based on its assessment of the qualitative factors, it determines that it is more likely than not that the fair value of a reporting unit is less than its carrying amount, or if it decides to bypass the qualitative assessment. The first step of the goodwill impairment test compares the estimated fair value of a reporting unit with its carrying amount, including goodwill. This step is performed to identify potential impairment, which occurs when the carrying amount of the reporting unit exceeds its estimated fair value. The second step of the goodwill impairment test is only performed when there is a potential impairment and is performed to measure the amount of impairment loss at the reporting unit. During the second step, the Company allocates the estimated fair value of the reporting unit to all of the assets and liabilities of the unit (including any unrecognized intangible assets). The excess of the fair value of the reporting unit over the amounts assigned to its assets and liabilities is the implied fair value of goodwill. The amount of the goodwill impairment is the difference between the carrying value of the reporting unit’s goodwill and the implied fair value determined during the second step.</w:t>
      </w:r>
    </w:p>
    <w:p>
      <w:pPr>
        <w:spacing w:after="0" w:line="113"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The Company had 13 reporting units as of December 31, 2016. The reporting units with significant goodwill balances as of December 31, 2016, were as follows, representing 83% of the total goodwill of the Company:</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01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2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b w:val="1"/>
                <w:bCs w:val="1"/>
                <w:color w:val="auto"/>
              </w:rPr>
              <w:t>Goodwill</w:t>
            </w:r>
          </w:p>
        </w:tc>
      </w:tr>
      <w:tr>
        <w:trPr>
          <w:trHeight w:val="222"/>
        </w:trPr>
        <w:tc>
          <w:tcPr>
            <w:tcW w:w="10120" w:type="dxa"/>
            <w:vAlign w:val="bottom"/>
          </w:tcPr>
          <w:p>
            <w:pPr>
              <w:ind w:left="40"/>
              <w:spacing w:after="0"/>
              <w:rPr>
                <w:sz w:val="20"/>
                <w:szCs w:val="20"/>
                <w:color w:val="auto"/>
              </w:rPr>
            </w:pPr>
            <w:r>
              <w:rPr>
                <w:rFonts w:ascii="Arial" w:cs="Arial" w:eastAsia="Arial" w:hAnsi="Arial"/>
                <w:sz w:val="16"/>
                <w:szCs w:val="16"/>
                <w:color w:val="auto"/>
              </w:rPr>
              <w:t>Education</w:t>
            </w: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43"/>
        </w:trPr>
        <w:tc>
          <w:tcPr>
            <w:tcW w:w="10120" w:type="dxa"/>
            <w:vAlign w:val="bottom"/>
          </w:tcPr>
          <w:p>
            <w:pPr>
              <w:ind w:left="280"/>
              <w:spacing w:after="0"/>
              <w:rPr>
                <w:sz w:val="20"/>
                <w:szCs w:val="20"/>
                <w:color w:val="auto"/>
              </w:rPr>
            </w:pPr>
            <w:r>
              <w:rPr>
                <w:rFonts w:ascii="Arial" w:cs="Arial" w:eastAsia="Arial" w:hAnsi="Arial"/>
                <w:sz w:val="16"/>
                <w:szCs w:val="16"/>
                <w:color w:val="auto"/>
              </w:rPr>
              <w:t>Higher education</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141.1</w:t>
            </w:r>
          </w:p>
        </w:tc>
      </w:tr>
      <w:tr>
        <w:trPr>
          <w:trHeight w:val="243"/>
        </w:trPr>
        <w:tc>
          <w:tcPr>
            <w:tcW w:w="10120" w:type="dxa"/>
            <w:vAlign w:val="bottom"/>
          </w:tcPr>
          <w:p>
            <w:pPr>
              <w:ind w:left="280"/>
              <w:spacing w:after="0"/>
              <w:rPr>
                <w:sz w:val="20"/>
                <w:szCs w:val="20"/>
                <w:color w:val="auto"/>
              </w:rPr>
            </w:pPr>
            <w:r>
              <w:rPr>
                <w:rFonts w:ascii="Arial" w:cs="Arial" w:eastAsia="Arial" w:hAnsi="Arial"/>
                <w:sz w:val="16"/>
                <w:szCs w:val="16"/>
                <w:color w:val="auto"/>
              </w:rPr>
              <w:t>Test preparation</w:t>
            </w:r>
          </w:p>
        </w:tc>
        <w:tc>
          <w:tcPr>
            <w:tcW w:w="220" w:type="dxa"/>
            <w:vAlign w:val="bottom"/>
          </w:tcPr>
          <w:p>
            <w:pPr>
              <w:spacing w:after="0"/>
              <w:rPr>
                <w:sz w:val="21"/>
                <w:szCs w:val="21"/>
                <w:color w:val="auto"/>
              </w:rPr>
            </w:pP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63.8</w:t>
            </w:r>
          </w:p>
        </w:tc>
      </w:tr>
      <w:tr>
        <w:trPr>
          <w:trHeight w:val="243"/>
        </w:trPr>
        <w:tc>
          <w:tcPr>
            <w:tcW w:w="10120" w:type="dxa"/>
            <w:vAlign w:val="bottom"/>
          </w:tcPr>
          <w:p>
            <w:pPr>
              <w:ind w:left="280"/>
              <w:spacing w:after="0"/>
              <w:rPr>
                <w:sz w:val="20"/>
                <w:szCs w:val="20"/>
                <w:color w:val="auto"/>
              </w:rPr>
            </w:pPr>
            <w:r>
              <w:rPr>
                <w:rFonts w:ascii="Arial" w:cs="Arial" w:eastAsia="Arial" w:hAnsi="Arial"/>
                <w:sz w:val="16"/>
                <w:szCs w:val="16"/>
                <w:color w:val="auto"/>
              </w:rPr>
              <w:t>Kaplan international</w:t>
            </w:r>
          </w:p>
        </w:tc>
        <w:tc>
          <w:tcPr>
            <w:tcW w:w="220" w:type="dxa"/>
            <w:vAlign w:val="bottom"/>
          </w:tcPr>
          <w:p>
            <w:pPr>
              <w:spacing w:after="0"/>
              <w:rPr>
                <w:sz w:val="21"/>
                <w:szCs w:val="21"/>
                <w:color w:val="auto"/>
              </w:rPr>
            </w:pP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555.2</w:t>
            </w:r>
          </w:p>
        </w:tc>
      </w:tr>
      <w:tr>
        <w:trPr>
          <w:trHeight w:val="252"/>
        </w:trPr>
        <w:tc>
          <w:tcPr>
            <w:tcW w:w="10120" w:type="dxa"/>
            <w:vAlign w:val="bottom"/>
          </w:tcPr>
          <w:p>
            <w:pPr>
              <w:ind w:left="40"/>
              <w:spacing w:after="0"/>
              <w:rPr>
                <w:sz w:val="20"/>
                <w:szCs w:val="20"/>
                <w:color w:val="auto"/>
              </w:rPr>
            </w:pPr>
            <w:r>
              <w:rPr>
                <w:rFonts w:ascii="Arial" w:cs="Arial" w:eastAsia="Arial" w:hAnsi="Arial"/>
                <w:sz w:val="16"/>
                <w:szCs w:val="16"/>
                <w:color w:val="auto"/>
              </w:rPr>
              <w:t>Television broadcasting</w:t>
            </w:r>
          </w:p>
        </w:tc>
        <w:tc>
          <w:tcPr>
            <w:tcW w:w="2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168.3</w:t>
            </w:r>
          </w:p>
        </w:tc>
      </w:tr>
      <w:tr>
        <w:trPr>
          <w:trHeight w:val="242"/>
        </w:trPr>
        <w:tc>
          <w:tcPr>
            <w:tcW w:w="10120" w:type="dxa"/>
            <w:vAlign w:val="bottom"/>
          </w:tcPr>
          <w:p>
            <w:pPr>
              <w:ind w:left="40"/>
              <w:spacing w:after="0"/>
              <w:rPr>
                <w:sz w:val="20"/>
                <w:szCs w:val="20"/>
                <w:color w:val="auto"/>
              </w:rPr>
            </w:pPr>
            <w:r>
              <w:rPr>
                <w:rFonts w:ascii="Arial" w:cs="Arial" w:eastAsia="Arial" w:hAnsi="Arial"/>
                <w:sz w:val="16"/>
                <w:szCs w:val="16"/>
                <w:color w:val="auto"/>
              </w:rPr>
              <w:t>Total</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928.4</w:t>
            </w:r>
          </w:p>
        </w:tc>
      </w:tr>
      <w:tr>
        <w:trPr>
          <w:trHeight w:val="20"/>
        </w:trPr>
        <w:tc>
          <w:tcPr>
            <w:tcW w:w="10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26" w:lineRule="exact"/>
        <w:rPr>
          <w:sz w:val="20"/>
          <w:szCs w:val="20"/>
          <w:color w:val="auto"/>
        </w:rPr>
      </w:pPr>
    </w:p>
    <w:p>
      <w:pPr>
        <w:ind w:right="20"/>
        <w:spacing w:after="0" w:line="229" w:lineRule="auto"/>
        <w:rPr>
          <w:sz w:val="20"/>
          <w:szCs w:val="20"/>
          <w:color w:val="auto"/>
        </w:rPr>
      </w:pPr>
      <w:r>
        <w:rPr>
          <w:rFonts w:ascii="Arial" w:cs="Arial" w:eastAsia="Arial" w:hAnsi="Arial"/>
          <w:sz w:val="18"/>
          <w:szCs w:val="18"/>
          <w:color w:val="auto"/>
        </w:rPr>
        <w:t>As of November 30, 2016, in connection with the Company’s annual impairment testing, the Company decided to perform the two-step goodwill impairment process at all of the reporting units. The Company’s policy requires the performance of a quantitative impairment review of the goodwill at least once every three years. The Company used a discounted cash flow model, and, where appropriate, a market value approach was also utilized to supplement the discounted cash flow model to determine the estimated fair value of its reporting units. The Company made estimates and assumptions regarding future cash flows, discount rates, long-term growth rates and market values to determine each reporting unit’s estimated fair value. The methodology used to estimate the fair</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724" w:right="239" w:bottom="1440" w:gutter="0" w:footer="0" w:header="0"/>
        </w:sectPr>
      </w:pPr>
    </w:p>
    <w:bookmarkStart w:id="59" w:name="page60"/>
    <w:bookmarkEnd w:id="59"/>
    <w:p>
      <w:pPr>
        <w:ind w:right="160"/>
        <w:spacing w:after="0" w:line="260" w:lineRule="auto"/>
        <w:rPr>
          <w:sz w:val="20"/>
          <w:szCs w:val="20"/>
          <w:color w:val="auto"/>
        </w:rPr>
      </w:pPr>
      <w:r>
        <w:rPr>
          <w:rFonts w:ascii="Arial" w:cs="Arial" w:eastAsia="Arial" w:hAnsi="Arial"/>
          <w:sz w:val="18"/>
          <w:szCs w:val="18"/>
          <w:color w:val="auto"/>
        </w:rPr>
        <w:t>value of the Company’s reporting units on November 30, 2016, was consistent with the one used during the 2015 annual goodwill impairment test.</w:t>
      </w:r>
    </w:p>
    <w:p>
      <w:pPr>
        <w:spacing w:after="0" w:line="92" w:lineRule="exact"/>
        <w:rPr>
          <w:sz w:val="20"/>
          <w:szCs w:val="20"/>
          <w:color w:val="auto"/>
        </w:rPr>
      </w:pPr>
    </w:p>
    <w:p>
      <w:pPr>
        <w:ind w:right="60"/>
        <w:spacing w:after="0"/>
        <w:rPr>
          <w:sz w:val="20"/>
          <w:szCs w:val="20"/>
          <w:color w:val="auto"/>
        </w:rPr>
      </w:pPr>
      <w:r>
        <w:rPr>
          <w:rFonts w:ascii="Arial" w:cs="Arial" w:eastAsia="Arial" w:hAnsi="Arial"/>
          <w:sz w:val="18"/>
          <w:szCs w:val="18"/>
          <w:color w:val="auto"/>
        </w:rPr>
        <w:t>The Company made changes to certain of its assumptions utilized in the discounted cash flow models for 2016 compared with the prior year to take into account changes in the economic environment, regulations and their impact on the Company’s businesses. The key assumptions used by the Company were as follows:</w:t>
      </w:r>
    </w:p>
    <w:p>
      <w:pPr>
        <w:spacing w:after="0" w:line="54" w:lineRule="exact"/>
        <w:rPr>
          <w:sz w:val="20"/>
          <w:szCs w:val="20"/>
          <w:color w:val="auto"/>
        </w:rPr>
      </w:pPr>
    </w:p>
    <w:p>
      <w:pPr>
        <w:ind w:left="180" w:right="100" w:hanging="172"/>
        <w:spacing w:after="0" w:line="234" w:lineRule="auto"/>
        <w:tabs>
          <w:tab w:leader="none" w:pos="1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Expected cash flows underlying the Company’s business plans for the periods 2017 through 2021 were used. The expected cash flows took into account historical growth rates, the effect of the changed economic outlook at some of the Company’s businesses, industry challenges and an estimate for the possible impact of any applicable regulations. Expected cash flows also reflected the anticipated savings from restructuring plans at certain of the education division’s reporting units, and other initiatives.</w:t>
      </w:r>
    </w:p>
    <w:p>
      <w:pPr>
        <w:spacing w:after="0" w:line="57" w:lineRule="exact"/>
        <w:rPr>
          <w:rFonts w:ascii="Arial" w:cs="Arial" w:eastAsia="Arial" w:hAnsi="Arial"/>
          <w:sz w:val="18"/>
          <w:szCs w:val="18"/>
          <w:color w:val="auto"/>
        </w:rPr>
      </w:pPr>
    </w:p>
    <w:p>
      <w:pPr>
        <w:ind w:left="180" w:right="360" w:hanging="172"/>
        <w:spacing w:after="0" w:line="260" w:lineRule="auto"/>
        <w:tabs>
          <w:tab w:leader="none" w:pos="1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Cash flows beyond 2021 were projected to grow at a long-term growth rate, which the Company estimated between 1% and 3% for each reporting unit.</w:t>
      </w:r>
    </w:p>
    <w:p>
      <w:pPr>
        <w:spacing w:after="0" w:line="37" w:lineRule="exact"/>
        <w:rPr>
          <w:rFonts w:ascii="Arial" w:cs="Arial" w:eastAsia="Arial" w:hAnsi="Arial"/>
          <w:sz w:val="18"/>
          <w:szCs w:val="18"/>
          <w:color w:val="auto"/>
        </w:rPr>
      </w:pPr>
    </w:p>
    <w:p>
      <w:pPr>
        <w:ind w:left="180" w:hanging="172"/>
        <w:spacing w:after="0"/>
        <w:tabs>
          <w:tab w:leader="none" w:pos="1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Company used a discount rate of 9.5% to 20.0% to risk adjust the cash flow projections in determining the estimated fair value.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each of the reporting units exceeded its respective carrying value as of November 30, 2016.</w:t>
      </w:r>
    </w:p>
    <w:p>
      <w:pPr>
        <w:spacing w:after="0" w:line="144" w:lineRule="exact"/>
        <w:rPr>
          <w:sz w:val="20"/>
          <w:szCs w:val="20"/>
          <w:color w:val="auto"/>
        </w:rPr>
      </w:pPr>
    </w:p>
    <w:p>
      <w:pPr>
        <w:spacing w:after="0" w:line="231" w:lineRule="auto"/>
        <w:rPr>
          <w:sz w:val="20"/>
          <w:szCs w:val="20"/>
          <w:color w:val="auto"/>
        </w:rPr>
      </w:pPr>
      <w:r>
        <w:rPr>
          <w:rFonts w:ascii="Arial" w:cs="Arial" w:eastAsia="Arial" w:hAnsi="Arial"/>
          <w:sz w:val="18"/>
          <w:szCs w:val="18"/>
          <w:color w:val="auto"/>
        </w:rPr>
        <w:t>In 2015, the Company reported a goodwill impairment charge of $248.6 million at the KHE reporting unit. The remaining goodwill balance at the KHE reporting unit as of December 31, 2016 totaled $141.1 million. The estimated fair value of the KHE reporting unit exceeded its carrying value by a margin in excess of 25%. The estimated fair value of the Company’s other reporting units with significant goodwill balances exceeded their respective carrying values by a margin in excess of 25%. It is possible that impairment charges could occur in the future, given changes in market conditions and the inherent variability in projecting future operating performance.</w:t>
      </w:r>
    </w:p>
    <w:p>
      <w:pPr>
        <w:spacing w:after="0" w:line="111" w:lineRule="exact"/>
        <w:rPr>
          <w:sz w:val="20"/>
          <w:szCs w:val="20"/>
          <w:color w:val="auto"/>
        </w:rPr>
      </w:pPr>
    </w:p>
    <w:p>
      <w:pPr>
        <w:ind w:right="60"/>
        <w:spacing w:after="0" w:line="234" w:lineRule="auto"/>
        <w:rPr>
          <w:sz w:val="20"/>
          <w:szCs w:val="20"/>
          <w:color w:val="auto"/>
        </w:rPr>
      </w:pPr>
      <w:r>
        <w:rPr>
          <w:rFonts w:ascii="Arial" w:cs="Arial" w:eastAsia="Arial" w:hAnsi="Arial"/>
          <w:sz w:val="18"/>
          <w:szCs w:val="18"/>
          <w:color w:val="auto"/>
        </w:rPr>
        <w:t>The estimated fair value of two reporting units included in the Other Businesses category with total goodwill balances less than $70.0 million exceeded their respective carrying values by close margins. There exists a reasonable possibility that a decrease in the assumed projected cash flows or long-term growth rate, or an increase in the discount rate assumption used in the discounted cash flow models of these reporting units, could result in an impairment charge.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Indefinite-Lived Intangible Assets</w:t>
      </w:r>
    </w:p>
    <w:p>
      <w:pPr>
        <w:spacing w:after="0" w:line="142" w:lineRule="exact"/>
        <w:rPr>
          <w:sz w:val="20"/>
          <w:szCs w:val="20"/>
          <w:color w:val="auto"/>
        </w:rPr>
      </w:pPr>
    </w:p>
    <w:p>
      <w:pPr>
        <w:ind w:right="80"/>
        <w:spacing w:after="0" w:line="226" w:lineRule="auto"/>
        <w:rPr>
          <w:sz w:val="20"/>
          <w:szCs w:val="20"/>
          <w:color w:val="auto"/>
        </w:rPr>
      </w:pPr>
      <w:r>
        <w:rPr>
          <w:rFonts w:ascii="Arial" w:cs="Arial" w:eastAsia="Arial" w:hAnsi="Arial"/>
          <w:sz w:val="18"/>
          <w:szCs w:val="18"/>
          <w:color w:val="auto"/>
        </w:rPr>
        <w:t>The Company initially assesses qualitative factors to determine if it is more likely than not that the fair value of its indefinite-lived intangible assets is less than its carrying value. The Company compares the fair value of the indefinite-lived intangible asset with its carrying value if the qualitative factors indicate it is more likely than not that the fair value of the asset is less than its carrying value or if it decides to bypass the qualitative assessment. The Company records an impairment loss if the carrying value of the indefinite-lived intangible assets exceeds the fair value of the assets for the difference in the values. The Company uses a discounted cash flow model, and, in certain cases, a market value approach is also utilized to supplement the discounted cash flow model to determine the estimated fair value of the indefinite-lived intangible assets. The Company makes estimates and assumptions regarding future cash flows, discount rates, long-term growth rates and other market values to determine the estimated fair value of the indefinite-lived intangible assets. The Company’s policy requires the performance of a quantitative impairment review of the indefinite-lived intangible assets at least once every three years.</w:t>
      </w:r>
    </w:p>
    <w:p>
      <w:pPr>
        <w:spacing w:after="0" w:line="110" w:lineRule="exact"/>
        <w:rPr>
          <w:sz w:val="20"/>
          <w:szCs w:val="20"/>
          <w:color w:val="auto"/>
        </w:rPr>
      </w:pPr>
    </w:p>
    <w:p>
      <w:pPr>
        <w:ind w:right="140"/>
        <w:spacing w:after="0"/>
        <w:rPr>
          <w:sz w:val="20"/>
          <w:szCs w:val="20"/>
          <w:color w:val="auto"/>
        </w:rPr>
      </w:pPr>
      <w:r>
        <w:rPr>
          <w:rFonts w:ascii="Arial" w:cs="Arial" w:eastAsia="Arial" w:hAnsi="Arial"/>
          <w:sz w:val="18"/>
          <w:szCs w:val="18"/>
          <w:color w:val="auto"/>
        </w:rPr>
        <w:t>The Company’s intangible assets with an indefinite life are principally from trade names, licensure and accreditation. The fair value of each indefinite-lived intangible asset exceeded its respective carrying value as of November 30, 2016. There is always a possibility that impairment charges could occur in the future, given the inherent variability in projecting future operating performance.</w:t>
      </w:r>
    </w:p>
    <w:p>
      <w:pPr>
        <w:spacing w:after="0" w:line="106" w:lineRule="exact"/>
        <w:rPr>
          <w:sz w:val="20"/>
          <w:szCs w:val="20"/>
          <w:color w:val="auto"/>
        </w:rPr>
      </w:pPr>
    </w:p>
    <w:p>
      <w:pPr>
        <w:ind w:right="20"/>
        <w:spacing w:after="0" w:line="227" w:lineRule="auto"/>
        <w:rPr>
          <w:sz w:val="20"/>
          <w:szCs w:val="20"/>
          <w:color w:val="auto"/>
        </w:rPr>
      </w:pPr>
      <w:r>
        <w:rPr>
          <w:rFonts w:ascii="Arial" w:cs="Arial" w:eastAsia="Arial" w:hAnsi="Arial"/>
          <w:sz w:val="18"/>
          <w:szCs w:val="18"/>
          <w:b w:val="1"/>
          <w:bCs w:val="1"/>
          <w:color w:val="auto"/>
        </w:rPr>
        <w:t xml:space="preserve">Pension Costs. </w:t>
      </w:r>
      <w:r>
        <w:rPr>
          <w:rFonts w:ascii="Arial" w:cs="Arial" w:eastAsia="Arial" w:hAnsi="Arial"/>
          <w:sz w:val="18"/>
          <w:szCs w:val="18"/>
          <w:color w:val="auto"/>
        </w:rPr>
        <w:t>The Company sponsors a defined benefit pension plan for eligible employees in the U.S. Excluding curtailment gain,</w:t>
      </w:r>
      <w:r>
        <w:rPr>
          <w:rFonts w:ascii="Arial" w:cs="Arial" w:eastAsia="Arial" w:hAnsi="Arial"/>
          <w:sz w:val="18"/>
          <w:szCs w:val="18"/>
          <w:b w:val="1"/>
          <w:bCs w:val="1"/>
          <w:color w:val="auto"/>
        </w:rPr>
        <w:t xml:space="preserve"> </w:t>
      </w:r>
      <w:r>
        <w:rPr>
          <w:rFonts w:ascii="Arial" w:cs="Arial" w:eastAsia="Arial" w:hAnsi="Arial"/>
          <w:sz w:val="18"/>
          <w:szCs w:val="18"/>
          <w:color w:val="auto"/>
        </w:rPr>
        <w:t>settlement gain and special termination benefits, the Company’s net pension credit including amounts for discontinued operations was $49.1 million, $63.3 million and $ 69.4 million for 2016, 2015 and 2014, respectively. The Company’s pension benefit obligation and related credits are actuarially determined and are impacted significantly by the Company’s assumptions related to future events, including the discount rate, expected return on plan assets and rate of compensation increases. The Company evaluates these critical assumptions at least annually and, periodically, evaluates other assumptions involving demographic factors, such as retirement age, mortality and turnover, and updates them to reflect its experience and expectations for the future. Actual results in any given year will often differ from actuarial assumptions because of economic and other factors.</w:t>
      </w:r>
    </w:p>
    <w:p>
      <w:pPr>
        <w:spacing w:after="0" w:line="110" w:lineRule="exact"/>
        <w:rPr>
          <w:sz w:val="20"/>
          <w:szCs w:val="20"/>
          <w:color w:val="auto"/>
        </w:rPr>
      </w:pPr>
    </w:p>
    <w:p>
      <w:pPr>
        <w:ind w:right="220"/>
        <w:spacing w:after="0"/>
        <w:rPr>
          <w:sz w:val="20"/>
          <w:szCs w:val="20"/>
          <w:color w:val="auto"/>
        </w:rPr>
      </w:pPr>
      <w:r>
        <w:rPr>
          <w:rFonts w:ascii="Arial" w:cs="Arial" w:eastAsia="Arial" w:hAnsi="Arial"/>
          <w:sz w:val="18"/>
          <w:szCs w:val="18"/>
          <w:color w:val="auto"/>
        </w:rPr>
        <w:t>The Company assumed a 6.5% expected return on plan assets for year 2016, which is consistent with the expected return assumption for years 2015 and 2014. The Company’s actual (loss) return on plan assets was (2.0)% in 2016, (6.2)% in 2015 and 7.4% in 2014. The 10-year and 20-year actual returns on plan assets on an annual basis were 7.5% and 9.7%, respectively.</w:t>
      </w: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00"/>
          </w:cols>
          <w:pgMar w:left="240" w:top="724" w:right="259" w:bottom="1440" w:gutter="0" w:footer="0" w:header="0"/>
        </w:sectPr>
      </w:pPr>
    </w:p>
    <w:bookmarkStart w:id="60" w:name="page61"/>
    <w:bookmarkEnd w:id="60"/>
    <w:p>
      <w:pPr>
        <w:spacing w:after="0" w:line="231" w:lineRule="auto"/>
        <w:rPr>
          <w:sz w:val="20"/>
          <w:szCs w:val="20"/>
          <w:color w:val="auto"/>
        </w:rPr>
      </w:pPr>
      <w:r>
        <w:rPr>
          <w:rFonts w:ascii="Arial" w:cs="Arial" w:eastAsia="Arial" w:hAnsi="Arial"/>
          <w:sz w:val="18"/>
          <w:szCs w:val="18"/>
          <w:color w:val="auto"/>
        </w:rPr>
        <w:t>Accumulated and projected benefit obligations are measured as the present value of future cash payments. The Company discounts those cash payments using the weighted average of market-observed yields for high-quality fixed-income securities with maturities that correspond to the payment of benefits. Lower discount rates increase present values and generally increase subsequent-year pension costs; higher discount rates decrease present values and decrease subsequent-year pension costs. The Company’s discount rate at December 31, 2016, 2015 and 2014, was 4.1%, 4.3% and 4.0%, respectively, reflecting market interest rates.</w:t>
      </w:r>
    </w:p>
    <w:p>
      <w:pPr>
        <w:spacing w:after="0" w:line="111" w:lineRule="exact"/>
        <w:rPr>
          <w:sz w:val="20"/>
          <w:szCs w:val="20"/>
          <w:color w:val="auto"/>
        </w:rPr>
      </w:pPr>
    </w:p>
    <w:p>
      <w:pPr>
        <w:ind w:right="540"/>
        <w:spacing w:after="0" w:line="260" w:lineRule="auto"/>
        <w:rPr>
          <w:sz w:val="20"/>
          <w:szCs w:val="20"/>
          <w:color w:val="auto"/>
        </w:rPr>
      </w:pPr>
      <w:r>
        <w:rPr>
          <w:rFonts w:ascii="Arial" w:cs="Arial" w:eastAsia="Arial" w:hAnsi="Arial"/>
          <w:sz w:val="18"/>
          <w:szCs w:val="18"/>
          <w:color w:val="auto"/>
        </w:rPr>
        <w:t>Changes in key assumptions for the Company’s pension plan would have had the following effects on the 2016 pension credit, excluding settlement gain and special termination benefits:</w:t>
      </w:r>
    </w:p>
    <w:p>
      <w:pPr>
        <w:spacing w:after="0" w:line="38" w:lineRule="exact"/>
        <w:rPr>
          <w:sz w:val="20"/>
          <w:szCs w:val="20"/>
          <w:color w:val="auto"/>
        </w:rPr>
      </w:pPr>
    </w:p>
    <w:p>
      <w:pPr>
        <w:ind w:left="180" w:right="40" w:hanging="172"/>
        <w:spacing w:after="0" w:line="260" w:lineRule="auto"/>
        <w:tabs>
          <w:tab w:leader="none" w:pos="1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Expected return on assets – A 1% increase or decrease to the Company’s assumed expected return on plan assets would have increased or decreased the pension credit by approximately $18.7 million.</w:t>
      </w:r>
    </w:p>
    <w:p>
      <w:pPr>
        <w:spacing w:after="0" w:line="37" w:lineRule="exact"/>
        <w:rPr>
          <w:rFonts w:ascii="Arial" w:cs="Arial" w:eastAsia="Arial" w:hAnsi="Arial"/>
          <w:sz w:val="18"/>
          <w:szCs w:val="18"/>
          <w:color w:val="auto"/>
        </w:rPr>
      </w:pPr>
    </w:p>
    <w:p>
      <w:pPr>
        <w:jc w:val="both"/>
        <w:ind w:left="180" w:right="360" w:hanging="172"/>
        <w:spacing w:after="0" w:line="290" w:lineRule="auto"/>
        <w:tabs>
          <w:tab w:leader="none" w:pos="180" w:val="left"/>
        </w:tabs>
        <w:numPr>
          <w:ilvl w:val="0"/>
          <w:numId w:val="49"/>
        </w:numPr>
        <w:rPr>
          <w:rFonts w:ascii="Arial" w:cs="Arial" w:eastAsia="Arial" w:hAnsi="Arial"/>
          <w:sz w:val="17"/>
          <w:szCs w:val="17"/>
          <w:color w:val="auto"/>
        </w:rPr>
      </w:pPr>
      <w:r>
        <w:rPr>
          <w:rFonts w:ascii="Arial" w:cs="Arial" w:eastAsia="Arial" w:hAnsi="Arial"/>
          <w:sz w:val="17"/>
          <w:szCs w:val="17"/>
          <w:color w:val="auto"/>
        </w:rPr>
        <w:t>Discount rate – A 1% decrease to the Company’s assumed discount rate would have increased the pension credit by approximately $4.3 million. A 1% increase to the Company’s assumed discount rate would have increased the pension credit by approximately $10.0 million.</w:t>
      </w:r>
    </w:p>
    <w:p>
      <w:pPr>
        <w:spacing w:after="0" w:line="68" w:lineRule="exact"/>
        <w:rPr>
          <w:sz w:val="20"/>
          <w:szCs w:val="20"/>
          <w:color w:val="auto"/>
        </w:rPr>
      </w:pPr>
    </w:p>
    <w:p>
      <w:pPr>
        <w:spacing w:after="0" w:line="229" w:lineRule="auto"/>
        <w:rPr>
          <w:sz w:val="20"/>
          <w:szCs w:val="20"/>
          <w:color w:val="auto"/>
        </w:rPr>
      </w:pPr>
      <w:r>
        <w:rPr>
          <w:rFonts w:ascii="Arial" w:cs="Arial" w:eastAsia="Arial" w:hAnsi="Arial"/>
          <w:sz w:val="18"/>
          <w:szCs w:val="18"/>
          <w:color w:val="auto"/>
        </w:rPr>
        <w:t>The Company’s net pension credit includes an expected return on plan assets component, calculated using the expected return on plan assets assumption applied to a market-related value of plan assets. The market-related value of plan assets is determined using a five-year average market value method, which recognizes realized and unrealized appreciation and depreciation in market values over a five-year period. The value resulting from applying this method is adjusted, if necessary, such that it cannot be less than 80% or more than 120% of the market value of plan assets as of the relevant measurement date. As a result, year-to-year increases or decreases in the market-related value of plan assets impact the return on plan assets component of pension credit for the year.</w:t>
      </w:r>
    </w:p>
    <w:p>
      <w:pPr>
        <w:spacing w:after="0" w:line="112" w:lineRule="exact"/>
        <w:rPr>
          <w:sz w:val="20"/>
          <w:szCs w:val="20"/>
          <w:color w:val="auto"/>
        </w:rPr>
      </w:pPr>
    </w:p>
    <w:p>
      <w:pPr>
        <w:ind w:right="20"/>
        <w:spacing w:after="0" w:line="234" w:lineRule="auto"/>
        <w:rPr>
          <w:sz w:val="20"/>
          <w:szCs w:val="20"/>
          <w:color w:val="auto"/>
        </w:rPr>
      </w:pPr>
      <w:r>
        <w:rPr>
          <w:rFonts w:ascii="Arial" w:cs="Arial" w:eastAsia="Arial" w:hAnsi="Arial"/>
          <w:sz w:val="18"/>
          <w:szCs w:val="18"/>
          <w:color w:val="auto"/>
        </w:rPr>
        <w:t>At the end of each year, differences between the actual return on plan assets and the expected return on plan assets are combined with other differences in actual versus expected experience to form a net unamortized actuarial gain or loss in accumulated other comprehensive income. Only those net actuarial gains or losses in excess of the deferred realized and unrealized appreciation and depreciation are potentially subject to amortization.</w:t>
      </w:r>
    </w:p>
    <w:p>
      <w:pPr>
        <w:spacing w:after="0" w:line="111" w:lineRule="exact"/>
        <w:rPr>
          <w:sz w:val="20"/>
          <w:szCs w:val="20"/>
          <w:color w:val="auto"/>
        </w:rPr>
      </w:pPr>
    </w:p>
    <w:p>
      <w:pPr>
        <w:ind w:right="80"/>
        <w:spacing w:after="0" w:line="260" w:lineRule="auto"/>
        <w:rPr>
          <w:sz w:val="20"/>
          <w:szCs w:val="20"/>
          <w:color w:val="auto"/>
        </w:rPr>
      </w:pPr>
      <w:r>
        <w:rPr>
          <w:rFonts w:ascii="Arial" w:cs="Arial" w:eastAsia="Arial" w:hAnsi="Arial"/>
          <w:sz w:val="18"/>
          <w:szCs w:val="18"/>
          <w:color w:val="auto"/>
        </w:rPr>
        <w:t>The types of items that generate actuarial gains and losses that may be subject to amortization in net periodic pension (credit) cost include the following:</w:t>
      </w:r>
    </w:p>
    <w:p>
      <w:pPr>
        <w:spacing w:after="0" w:line="38" w:lineRule="exact"/>
        <w:rPr>
          <w:sz w:val="20"/>
          <w:szCs w:val="20"/>
          <w:color w:val="auto"/>
        </w:rPr>
      </w:pPr>
    </w:p>
    <w:p>
      <w:pPr>
        <w:ind w:left="180" w:hanging="172"/>
        <w:spacing w:after="0"/>
        <w:tabs>
          <w:tab w:leader="none" w:pos="1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Asset returns that are more or less than the expected return on plan assets for the year;</w:t>
      </w:r>
    </w:p>
    <w:p>
      <w:pPr>
        <w:spacing w:after="0" w:line="90" w:lineRule="exact"/>
        <w:rPr>
          <w:rFonts w:ascii="Arial" w:cs="Arial" w:eastAsia="Arial" w:hAnsi="Arial"/>
          <w:sz w:val="18"/>
          <w:szCs w:val="18"/>
          <w:color w:val="auto"/>
        </w:rPr>
      </w:pPr>
    </w:p>
    <w:p>
      <w:pPr>
        <w:ind w:left="180" w:hanging="172"/>
        <w:spacing w:after="0"/>
        <w:tabs>
          <w:tab w:leader="none" w:pos="1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Actual participant demographic experience different from assumed (retirements, terminations and deaths during the year);</w:t>
      </w:r>
    </w:p>
    <w:p>
      <w:pPr>
        <w:spacing w:after="0" w:line="90" w:lineRule="exact"/>
        <w:rPr>
          <w:rFonts w:ascii="Arial" w:cs="Arial" w:eastAsia="Arial" w:hAnsi="Arial"/>
          <w:sz w:val="18"/>
          <w:szCs w:val="18"/>
          <w:color w:val="auto"/>
        </w:rPr>
      </w:pPr>
    </w:p>
    <w:p>
      <w:pPr>
        <w:ind w:left="180" w:hanging="172"/>
        <w:spacing w:after="0"/>
        <w:tabs>
          <w:tab w:leader="none" w:pos="1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Actual salary increases different from assumed; and</w:t>
      </w:r>
    </w:p>
    <w:p>
      <w:pPr>
        <w:spacing w:after="0" w:line="90" w:lineRule="exact"/>
        <w:rPr>
          <w:rFonts w:ascii="Arial" w:cs="Arial" w:eastAsia="Arial" w:hAnsi="Arial"/>
          <w:sz w:val="18"/>
          <w:szCs w:val="18"/>
          <w:color w:val="auto"/>
        </w:rPr>
      </w:pPr>
    </w:p>
    <w:p>
      <w:pPr>
        <w:ind w:left="180" w:right="220" w:hanging="172"/>
        <w:spacing w:after="0" w:line="260" w:lineRule="auto"/>
        <w:tabs>
          <w:tab w:leader="none" w:pos="1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Any changes in assumptions that are made to better reflect anticipated experience of the plan or to reflect current market conditions on the measurement date (discount rate, longevity increases, changes in expected participant behavior and expected return on plan assets).</w:t>
      </w:r>
    </w:p>
    <w:p>
      <w:pPr>
        <w:spacing w:after="0" w:line="92" w:lineRule="exact"/>
        <w:rPr>
          <w:sz w:val="20"/>
          <w:szCs w:val="20"/>
          <w:color w:val="auto"/>
        </w:rPr>
      </w:pPr>
    </w:p>
    <w:p>
      <w:pPr>
        <w:ind w:right="120"/>
        <w:spacing w:after="0" w:line="229" w:lineRule="auto"/>
        <w:rPr>
          <w:sz w:val="20"/>
          <w:szCs w:val="20"/>
          <w:color w:val="auto"/>
        </w:rPr>
      </w:pPr>
      <w:r>
        <w:rPr>
          <w:rFonts w:ascii="Arial" w:cs="Arial" w:eastAsia="Arial" w:hAnsi="Arial"/>
          <w:sz w:val="18"/>
          <w:szCs w:val="18"/>
          <w:color w:val="auto"/>
        </w:rPr>
        <w:t>Amortization of the unrecognized actuarial gain or loss is included as a component of pension credit for a year if the magnitude of the net unamortized gain or loss in accumulated other comprehensive income exceeds 10% of the greater of the benefit obligation or the market-related value of assets (10% corridor). The amortization component is equal to that excess divided by the average remaining service period of active employees expected to receive benefits under the plan. At the end of 2013, the Company had net unamortized actuarial gains in accumulated other comprehensive income potentially subject to amortization that were outside the 10% corridor that resulted in amortized gains of $28.9 million being included in the pension credit for 2014.</w:t>
      </w:r>
    </w:p>
    <w:p>
      <w:pPr>
        <w:spacing w:after="0" w:line="112" w:lineRule="exact"/>
        <w:rPr>
          <w:sz w:val="20"/>
          <w:szCs w:val="20"/>
          <w:color w:val="auto"/>
        </w:rPr>
      </w:pPr>
    </w:p>
    <w:p>
      <w:pPr>
        <w:spacing w:after="0" w:line="239" w:lineRule="auto"/>
        <w:rPr>
          <w:sz w:val="20"/>
          <w:szCs w:val="20"/>
          <w:color w:val="auto"/>
        </w:rPr>
      </w:pPr>
      <w:r>
        <w:rPr>
          <w:rFonts w:ascii="Arial" w:cs="Arial" w:eastAsia="Arial" w:hAnsi="Arial"/>
          <w:sz w:val="17"/>
          <w:szCs w:val="17"/>
          <w:color w:val="auto"/>
        </w:rPr>
        <w:t>During 2014, there was a decrease in the discount rate offset by pension asset gains that resulted in no net unamortized actuarial gains or losses in accumulated other comprehensive income subject to amortization outside the 10% corridor, and therefore, no amortized gain or loss amounts were included in the pension credit in the first six months of 2015. As a result of the Cable ONE spin-off and KHE Campuses sale, the Company remeasured the accumulated and projected benefit obligation as of July 1, 2015 and September 3, 2015, respectively, and recorded a curtailment gain. During the first six months of 2015, there were pension asset gains and an increase in the discount rate, which resulted in net unamortized actuarial gains in accumulated other comprehensive income subject to amortization outside the corridor, and therefore, an amortized gain of $ 11.9 million is included in the pension credit for the last six months of 2015. During the last four months of 2015, there were significant pension asset losses that resulted in no net unamortized actuarial gains or losses in accumulated other comprehensive income subject to amortization outside the 10% corridor, and therefore, no amortized gain or loss amounts were included in the pension credit for 2016.</w:t>
      </w:r>
    </w:p>
    <w:p>
      <w:pPr>
        <w:spacing w:after="0" w:line="112" w:lineRule="exact"/>
        <w:rPr>
          <w:sz w:val="20"/>
          <w:szCs w:val="20"/>
          <w:color w:val="auto"/>
        </w:rPr>
      </w:pPr>
    </w:p>
    <w:p>
      <w:pPr>
        <w:ind w:right="80"/>
        <w:spacing w:after="0" w:line="260" w:lineRule="auto"/>
        <w:rPr>
          <w:sz w:val="20"/>
          <w:szCs w:val="20"/>
          <w:color w:val="auto"/>
        </w:rPr>
      </w:pPr>
      <w:r>
        <w:rPr>
          <w:rFonts w:ascii="Arial" w:cs="Arial" w:eastAsia="Arial" w:hAnsi="Arial"/>
          <w:sz w:val="18"/>
          <w:szCs w:val="18"/>
          <w:color w:val="auto"/>
        </w:rPr>
        <w:t>During 2016, there was a decrease in the discount rate and pension asset losses; however, the Company currently estimates that there will be net unamortized gains in accumulated other comprehensive income subject to</w:t>
      </w: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00"/>
          </w:cols>
          <w:pgMar w:left="240" w:top="724" w:right="259" w:bottom="1440" w:gutter="0" w:footer="0" w:header="0"/>
        </w:sectPr>
      </w:pPr>
    </w:p>
    <w:bookmarkStart w:id="61" w:name="page62"/>
    <w:bookmarkEnd w:id="61"/>
    <w:p>
      <w:pPr>
        <w:spacing w:after="0"/>
        <w:rPr>
          <w:sz w:val="20"/>
          <w:szCs w:val="20"/>
          <w:color w:val="auto"/>
        </w:rPr>
      </w:pPr>
      <w:r>
        <w:rPr>
          <w:rFonts w:ascii="Arial" w:cs="Arial" w:eastAsia="Arial" w:hAnsi="Arial"/>
          <w:sz w:val="18"/>
          <w:szCs w:val="18"/>
          <w:color w:val="auto"/>
        </w:rPr>
        <w:t>amortization outside the corridor, and therefore, an amortized gain amount of $5.2 million is included in the estimated pension credit for 2017.</w:t>
      </w:r>
    </w:p>
    <w:p>
      <w:pPr>
        <w:spacing w:after="0" w:line="144" w:lineRule="exact"/>
        <w:rPr>
          <w:sz w:val="20"/>
          <w:szCs w:val="20"/>
          <w:color w:val="auto"/>
        </w:rPr>
      </w:pPr>
    </w:p>
    <w:p>
      <w:pPr>
        <w:ind w:right="200"/>
        <w:spacing w:after="0" w:line="260" w:lineRule="auto"/>
        <w:rPr>
          <w:sz w:val="20"/>
          <w:szCs w:val="20"/>
          <w:color w:val="auto"/>
        </w:rPr>
      </w:pPr>
      <w:r>
        <w:rPr>
          <w:rFonts w:ascii="Arial" w:cs="Arial" w:eastAsia="Arial" w:hAnsi="Arial"/>
          <w:sz w:val="18"/>
          <w:szCs w:val="18"/>
          <w:color w:val="auto"/>
        </w:rPr>
        <w:t>Overall, the Company estimates that it will record a net pension credit of approximately $59 million in 2017, which incorporates a reduction in the assumed rate of return assumption to 6.25%.</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color w:val="auto"/>
        </w:rPr>
        <w:t>Note 14 to the Company’s Consolidated Financial Statements provides additional details surrounding pension costs and related assumptions.</w:t>
      </w:r>
    </w:p>
    <w:p>
      <w:pPr>
        <w:spacing w:after="0" w:line="142" w:lineRule="exact"/>
        <w:rPr>
          <w:sz w:val="20"/>
          <w:szCs w:val="20"/>
          <w:color w:val="auto"/>
        </w:rPr>
      </w:pPr>
    </w:p>
    <w:p>
      <w:pPr>
        <w:ind w:right="380"/>
        <w:spacing w:after="0" w:line="232" w:lineRule="auto"/>
        <w:rPr>
          <w:sz w:val="20"/>
          <w:szCs w:val="20"/>
          <w:color w:val="auto"/>
        </w:rPr>
      </w:pPr>
      <w:r>
        <w:rPr>
          <w:rFonts w:ascii="Arial" w:cs="Arial" w:eastAsia="Arial" w:hAnsi="Arial"/>
          <w:sz w:val="18"/>
          <w:szCs w:val="18"/>
          <w:b w:val="1"/>
          <w:bCs w:val="1"/>
          <w:color w:val="auto"/>
        </w:rPr>
        <w:t xml:space="preserve">Income Tax Valuation Allowances. </w:t>
      </w:r>
      <w:r>
        <w:rPr>
          <w:rFonts w:ascii="Arial" w:cs="Arial" w:eastAsia="Arial" w:hAnsi="Arial"/>
          <w:sz w:val="18"/>
          <w:szCs w:val="18"/>
          <w:color w:val="auto"/>
        </w:rPr>
        <w:t>Deferred income taxes arise from temporary differences between the tax and financial statement</w:t>
      </w:r>
      <w:r>
        <w:rPr>
          <w:rFonts w:ascii="Arial" w:cs="Arial" w:eastAsia="Arial" w:hAnsi="Arial"/>
          <w:sz w:val="18"/>
          <w:szCs w:val="18"/>
          <w:b w:val="1"/>
          <w:bCs w:val="1"/>
          <w:color w:val="auto"/>
        </w:rPr>
        <w:t xml:space="preserve"> </w:t>
      </w:r>
      <w:r>
        <w:rPr>
          <w:rFonts w:ascii="Arial" w:cs="Arial" w:eastAsia="Arial" w:hAnsi="Arial"/>
          <w:sz w:val="18"/>
          <w:szCs w:val="18"/>
          <w:color w:val="auto"/>
        </w:rPr>
        <w:t>recognition of assets and liabilities. In evaluating its ability to recover deferred tax assets within the jurisdiction from which they arise, the Company considers all available positive and negative evidence, including scheduled reversals of deferred tax liabilities, projected future taxable income, tax planning strategies and recent financial operations. These assumptions require significant judgment about forecasts of future taxable income.</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2016, the Company had state income tax net operating loss carryforwards of $455.6 million, which will expire at various</w:t>
      </w:r>
    </w:p>
    <w:p>
      <w:pPr>
        <w:spacing w:after="0" w:line="223" w:lineRule="auto"/>
        <w:rPr>
          <w:sz w:val="20"/>
          <w:szCs w:val="20"/>
          <w:color w:val="auto"/>
        </w:rPr>
      </w:pPr>
      <w:r>
        <w:rPr>
          <w:rFonts w:ascii="Arial" w:cs="Arial" w:eastAsia="Arial" w:hAnsi="Arial"/>
          <w:sz w:val="18"/>
          <w:szCs w:val="18"/>
          <w:color w:val="auto"/>
        </w:rPr>
        <w:t>dates from 2017 through 2035. Also at December 31, 2016, the Company had $69.3 million of non-U.S. income tax loss carryforwards, of</w:t>
      </w:r>
    </w:p>
    <w:p>
      <w:pPr>
        <w:spacing w:after="0" w:line="220" w:lineRule="auto"/>
        <w:rPr>
          <w:sz w:val="20"/>
          <w:szCs w:val="20"/>
          <w:color w:val="auto"/>
        </w:rPr>
      </w:pPr>
      <w:r>
        <w:rPr>
          <w:rFonts w:ascii="Arial" w:cs="Arial" w:eastAsia="Arial" w:hAnsi="Arial"/>
          <w:sz w:val="18"/>
          <w:szCs w:val="18"/>
          <w:color w:val="auto"/>
        </w:rPr>
        <w:t>which $60.3 million may be carried forward indefinitely; $4.8 million of losses that, if unutilized, will expire in varying amounts through 2021; and</w:t>
      </w:r>
    </w:p>
    <w:p>
      <w:pPr>
        <w:spacing w:after="0" w:line="219" w:lineRule="auto"/>
        <w:rPr>
          <w:sz w:val="20"/>
          <w:szCs w:val="20"/>
          <w:color w:val="auto"/>
        </w:rPr>
      </w:pPr>
      <w:r>
        <w:rPr>
          <w:rFonts w:ascii="Arial" w:cs="Arial" w:eastAsia="Arial" w:hAnsi="Arial"/>
          <w:sz w:val="18"/>
          <w:szCs w:val="18"/>
          <w:color w:val="auto"/>
        </w:rPr>
        <w:t>$4.2 million of losses that, if unutilized, will start to expire after 2021. At December 31, 2016, the Company has established approximately</w:t>
      </w:r>
    </w:p>
    <w:p>
      <w:pPr>
        <w:spacing w:after="0" w:line="219" w:lineRule="auto"/>
        <w:rPr>
          <w:sz w:val="20"/>
          <w:szCs w:val="20"/>
          <w:color w:val="auto"/>
        </w:rPr>
      </w:pPr>
      <w:r>
        <w:rPr>
          <w:rFonts w:ascii="Arial" w:cs="Arial" w:eastAsia="Arial" w:hAnsi="Arial"/>
          <w:sz w:val="18"/>
          <w:szCs w:val="18"/>
          <w:color w:val="auto"/>
        </w:rPr>
        <w:t>$41.3 million in valuation allowances against deferred state tax assets, net of U.S. Federal income taxes, and non-U.S. deferred tax assets, as</w:t>
      </w:r>
    </w:p>
    <w:p>
      <w:pPr>
        <w:spacing w:after="0" w:line="219" w:lineRule="auto"/>
        <w:rPr>
          <w:sz w:val="20"/>
          <w:szCs w:val="20"/>
          <w:color w:val="auto"/>
        </w:rPr>
      </w:pPr>
      <w:r>
        <w:rPr>
          <w:rFonts w:ascii="Arial" w:cs="Arial" w:eastAsia="Arial" w:hAnsi="Arial"/>
          <w:sz w:val="18"/>
          <w:szCs w:val="18"/>
          <w:color w:val="auto"/>
        </w:rPr>
        <w:t>the Company believes that it is more likely than not that the benefit from certain state and non-U.S. net operating loss carryforwards and other</w:t>
      </w:r>
    </w:p>
    <w:p>
      <w:pPr>
        <w:spacing w:after="0" w:line="220" w:lineRule="auto"/>
        <w:rPr>
          <w:sz w:val="20"/>
          <w:szCs w:val="20"/>
          <w:color w:val="auto"/>
        </w:rPr>
      </w:pPr>
      <w:r>
        <w:rPr>
          <w:rFonts w:ascii="Arial" w:cs="Arial" w:eastAsia="Arial" w:hAnsi="Arial"/>
          <w:sz w:val="18"/>
          <w:szCs w:val="18"/>
          <w:color w:val="auto"/>
        </w:rPr>
        <w:t>deferred tax assets will not be realized. The Company has established valuation allowances against state income tax benefits recognized,</w:t>
      </w:r>
    </w:p>
    <w:p>
      <w:pPr>
        <w:spacing w:after="0" w:line="219" w:lineRule="auto"/>
        <w:rPr>
          <w:sz w:val="20"/>
          <w:szCs w:val="20"/>
          <w:color w:val="auto"/>
        </w:rPr>
      </w:pPr>
      <w:r>
        <w:rPr>
          <w:rFonts w:ascii="Arial" w:cs="Arial" w:eastAsia="Arial" w:hAnsi="Arial"/>
          <w:sz w:val="18"/>
          <w:szCs w:val="18"/>
          <w:color w:val="auto"/>
        </w:rPr>
        <w:t>without considering potentially offsetting deferred tax liabilities established with respect to prepaid pension cost and goodwill. Prepaid pension</w:t>
      </w:r>
    </w:p>
    <w:p>
      <w:pPr>
        <w:spacing w:after="0" w:line="219" w:lineRule="auto"/>
        <w:rPr>
          <w:sz w:val="20"/>
          <w:szCs w:val="20"/>
          <w:color w:val="auto"/>
        </w:rPr>
      </w:pPr>
      <w:r>
        <w:rPr>
          <w:rFonts w:ascii="Arial" w:cs="Arial" w:eastAsia="Arial" w:hAnsi="Arial"/>
          <w:sz w:val="18"/>
          <w:szCs w:val="18"/>
          <w:color w:val="auto"/>
        </w:rPr>
        <w:t>cost and goodwill have not been considered a source of future taxable income for realizing deferred tax benefits recognized since these</w:t>
      </w:r>
    </w:p>
    <w:p>
      <w:pPr>
        <w:spacing w:after="0" w:line="219" w:lineRule="auto"/>
        <w:rPr>
          <w:sz w:val="20"/>
          <w:szCs w:val="20"/>
          <w:color w:val="auto"/>
        </w:rPr>
      </w:pPr>
      <w:r>
        <w:rPr>
          <w:rFonts w:ascii="Arial" w:cs="Arial" w:eastAsia="Arial" w:hAnsi="Arial"/>
          <w:sz w:val="18"/>
          <w:szCs w:val="18"/>
          <w:color w:val="auto"/>
        </w:rPr>
        <w:t>temporary differences are not likely to reverse in the foreseeable future. The valuation allowances established against state and non-U.S.</w:t>
      </w:r>
    </w:p>
    <w:p>
      <w:pPr>
        <w:spacing w:after="0" w:line="220" w:lineRule="auto"/>
        <w:rPr>
          <w:sz w:val="20"/>
          <w:szCs w:val="20"/>
          <w:color w:val="auto"/>
        </w:rPr>
      </w:pPr>
      <w:r>
        <w:rPr>
          <w:rFonts w:ascii="Arial" w:cs="Arial" w:eastAsia="Arial" w:hAnsi="Arial"/>
          <w:sz w:val="18"/>
          <w:szCs w:val="18"/>
          <w:color w:val="auto"/>
        </w:rPr>
        <w:t>income tax benefits recorded may increase or decrease within the next 12 months, based on operating results, the market value of investment</w:t>
      </w:r>
    </w:p>
    <w:p>
      <w:pPr>
        <w:spacing w:after="0" w:line="219" w:lineRule="auto"/>
        <w:rPr>
          <w:sz w:val="20"/>
          <w:szCs w:val="20"/>
          <w:color w:val="auto"/>
        </w:rPr>
      </w:pPr>
      <w:r>
        <w:rPr>
          <w:rFonts w:ascii="Arial" w:cs="Arial" w:eastAsia="Arial" w:hAnsi="Arial"/>
          <w:sz w:val="18"/>
          <w:szCs w:val="18"/>
          <w:color w:val="auto"/>
        </w:rPr>
        <w:t>holdings or business and tax planning strategies; as a result, the Company is unable to estimate the potential tax impact, given the uncertain</w:t>
      </w:r>
    </w:p>
    <w:p>
      <w:pPr>
        <w:spacing w:after="0" w:line="219" w:lineRule="auto"/>
        <w:rPr>
          <w:sz w:val="20"/>
          <w:szCs w:val="20"/>
          <w:color w:val="auto"/>
        </w:rPr>
      </w:pPr>
      <w:r>
        <w:rPr>
          <w:rFonts w:ascii="Arial" w:cs="Arial" w:eastAsia="Arial" w:hAnsi="Arial"/>
          <w:sz w:val="18"/>
          <w:szCs w:val="18"/>
          <w:color w:val="auto"/>
        </w:rPr>
        <w:t>operating and market environment. The Company will be monitoring future operating results and projected future operating results on a</w:t>
      </w:r>
    </w:p>
    <w:p>
      <w:pPr>
        <w:spacing w:after="0" w:line="219" w:lineRule="auto"/>
        <w:rPr>
          <w:sz w:val="20"/>
          <w:szCs w:val="20"/>
          <w:color w:val="auto"/>
        </w:rPr>
      </w:pPr>
      <w:r>
        <w:rPr>
          <w:rFonts w:ascii="Arial" w:cs="Arial" w:eastAsia="Arial" w:hAnsi="Arial"/>
          <w:sz w:val="18"/>
          <w:szCs w:val="18"/>
          <w:color w:val="auto"/>
        </w:rPr>
        <w:t>quarterly basis to determine whether the valuation allowances provided against state and non-U.S. deferred tax assets should be increased or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decreased, as future circumstances warrant.</w:t>
      </w:r>
    </w:p>
    <w:p>
      <w:pPr>
        <w:spacing w:after="0" w:line="120" w:lineRule="exact"/>
        <w:rPr>
          <w:sz w:val="20"/>
          <w:szCs w:val="20"/>
          <w:color w:val="auto"/>
        </w:rPr>
      </w:pPr>
    </w:p>
    <w:p>
      <w:pPr>
        <w:ind w:right="860"/>
        <w:spacing w:after="0" w:line="263" w:lineRule="auto"/>
        <w:rPr>
          <w:sz w:val="20"/>
          <w:szCs w:val="20"/>
          <w:color w:val="auto"/>
        </w:rPr>
      </w:pPr>
      <w:r>
        <w:rPr>
          <w:rFonts w:ascii="Arial" w:cs="Arial" w:eastAsia="Arial" w:hAnsi="Arial"/>
          <w:sz w:val="18"/>
          <w:szCs w:val="18"/>
          <w:b w:val="1"/>
          <w:bCs w:val="1"/>
          <w:color w:val="auto"/>
        </w:rPr>
        <w:t xml:space="preserve">Recent Accounting Pronouncements. </w:t>
      </w:r>
      <w:r>
        <w:rPr>
          <w:rFonts w:ascii="Arial" w:cs="Arial" w:eastAsia="Arial" w:hAnsi="Arial"/>
          <w:sz w:val="18"/>
          <w:szCs w:val="18"/>
          <w:color w:val="auto"/>
        </w:rPr>
        <w:t>See Note 2 to the Company’s Consolidated Financial Statements for a discussion of recent</w:t>
      </w:r>
      <w:r>
        <w:rPr>
          <w:rFonts w:ascii="Arial" w:cs="Arial" w:eastAsia="Arial" w:hAnsi="Arial"/>
          <w:sz w:val="18"/>
          <w:szCs w:val="18"/>
          <w:b w:val="1"/>
          <w:bCs w:val="1"/>
          <w:color w:val="auto"/>
        </w:rPr>
        <w:t xml:space="preserve"> </w:t>
      </w:r>
      <w:r>
        <w:rPr>
          <w:rFonts w:ascii="Arial" w:cs="Arial" w:eastAsia="Arial" w:hAnsi="Arial"/>
          <w:sz w:val="18"/>
          <w:szCs w:val="18"/>
          <w:color w:val="auto"/>
        </w:rPr>
        <w:t>accounting pronouncements.</w:t>
      </w: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00"/>
          </w:cols>
          <w:pgMar w:left="240" w:top="724" w:right="259" w:bottom="1440" w:gutter="0" w:footer="0" w:header="0"/>
        </w:sectPr>
      </w:pPr>
    </w:p>
    <w:bookmarkStart w:id="62" w:name="page63"/>
    <w:bookmarkEnd w:id="62"/>
    <w:p>
      <w:pPr>
        <w:jc w:val="center"/>
        <w:ind w:right="-159"/>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46" w:lineRule="exact"/>
        <w:rPr>
          <w:sz w:val="20"/>
          <w:szCs w:val="20"/>
          <w:color w:val="auto"/>
        </w:rPr>
      </w:pPr>
    </w:p>
    <w:p>
      <w:pPr>
        <w:ind w:right="100"/>
        <w:spacing w:after="0" w:line="234" w:lineRule="auto"/>
        <w:rPr>
          <w:sz w:val="20"/>
          <w:szCs w:val="20"/>
          <w:color w:val="auto"/>
        </w:rPr>
      </w:pPr>
      <w:r>
        <w:rPr>
          <w:rFonts w:ascii="Arial" w:cs="Arial" w:eastAsia="Arial" w:hAnsi="Arial"/>
          <w:sz w:val="18"/>
          <w:szCs w:val="18"/>
          <w:color w:val="auto"/>
        </w:rPr>
        <w:t>Management of Graham Holdings Company is responsible for establishing and maintaining adequate internal control over financial reporting (as defined in Exchange Act Rules 13a-15(f) and 15d-15(f)). The Company’s internal control over financial reporting is designed to provide reasonable assurance regarding the reliability of financial reporting and the preparation of financial statements for external purposes in accordance with accounting principles generally accepted in the United States of America.</w:t>
      </w:r>
    </w:p>
    <w:p>
      <w:pPr>
        <w:spacing w:after="0" w:line="111" w:lineRule="exact"/>
        <w:rPr>
          <w:sz w:val="20"/>
          <w:szCs w:val="20"/>
          <w:color w:val="auto"/>
        </w:rPr>
      </w:pPr>
    </w:p>
    <w:p>
      <w:pPr>
        <w:ind w:right="120"/>
        <w:spacing w:after="0" w:line="229" w:lineRule="auto"/>
        <w:rPr>
          <w:sz w:val="20"/>
          <w:szCs w:val="20"/>
          <w:color w:val="auto"/>
        </w:rPr>
      </w:pPr>
      <w:r>
        <w:rPr>
          <w:rFonts w:ascii="Arial" w:cs="Arial" w:eastAsia="Arial" w:hAnsi="Arial"/>
          <w:sz w:val="18"/>
          <w:szCs w:val="18"/>
          <w:color w:val="auto"/>
        </w:rPr>
        <w:t>The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08" w:lineRule="exact"/>
        <w:rPr>
          <w:sz w:val="20"/>
          <w:szCs w:val="20"/>
          <w:color w:val="auto"/>
        </w:rPr>
      </w:pPr>
    </w:p>
    <w:p>
      <w:pPr>
        <w:ind w:right="100"/>
        <w:spacing w:after="0" w:line="234" w:lineRule="auto"/>
        <w:rPr>
          <w:sz w:val="20"/>
          <w:szCs w:val="20"/>
          <w:color w:val="auto"/>
        </w:rPr>
      </w:pPr>
      <w:r>
        <w:rPr>
          <w:rFonts w:ascii="Arial" w:cs="Arial" w:eastAsia="Arial" w:hAnsi="Arial"/>
          <w:sz w:val="18"/>
          <w:szCs w:val="18"/>
          <w:color w:val="auto"/>
        </w:rPr>
        <w:t xml:space="preserve">The Company’s management assessed the effectiveness of internal control over financial reporting as of December 31, 2016. In making this assessment, management used the criteria set forth in </w:t>
      </w:r>
      <w:r>
        <w:rPr>
          <w:rFonts w:ascii="Arial" w:cs="Arial" w:eastAsia="Arial" w:hAnsi="Arial"/>
          <w:sz w:val="18"/>
          <w:szCs w:val="18"/>
          <w:i w:val="1"/>
          <w:iCs w:val="1"/>
          <w:color w:val="auto"/>
        </w:rPr>
        <w:t>Internal Control—Integrated Framework</w:t>
      </w:r>
      <w:r>
        <w:rPr>
          <w:rFonts w:ascii="Arial" w:cs="Arial" w:eastAsia="Arial" w:hAnsi="Arial"/>
          <w:sz w:val="18"/>
          <w:szCs w:val="18"/>
          <w:color w:val="auto"/>
        </w:rPr>
        <w:t xml:space="preserve"> issued by the Committee of Sponsoring Organizations of the Treadway Commission (COSO) in 2013. Management has concluded that, as of December 31, 2016, the Company’s internal control over financial reporting was effective based on these criteria.</w:t>
      </w:r>
    </w:p>
    <w:p>
      <w:pPr>
        <w:spacing w:after="0" w:line="111" w:lineRule="exact"/>
        <w:rPr>
          <w:sz w:val="20"/>
          <w:szCs w:val="20"/>
          <w:color w:val="auto"/>
        </w:rPr>
      </w:pPr>
    </w:p>
    <w:p>
      <w:pPr>
        <w:ind w:right="1500"/>
        <w:spacing w:after="0" w:line="260" w:lineRule="auto"/>
        <w:rPr>
          <w:sz w:val="20"/>
          <w:szCs w:val="20"/>
          <w:color w:val="auto"/>
        </w:rPr>
      </w:pPr>
      <w:r>
        <w:rPr>
          <w:rFonts w:ascii="Arial" w:cs="Arial" w:eastAsia="Arial" w:hAnsi="Arial"/>
          <w:sz w:val="18"/>
          <w:szCs w:val="18"/>
          <w:color w:val="auto"/>
        </w:rPr>
        <w:t>The effectiveness of the Company’s internal control over financial reporting as of December 31, 2016, has been audited by PricewaterhouseCoopers LLP, an independent registered public accounting firm, as stated in their report included herein.</w:t>
      </w:r>
    </w:p>
    <w:p>
      <w:pPr>
        <w:spacing w:after="0" w:line="200" w:lineRule="exact"/>
        <w:rPr>
          <w:sz w:val="20"/>
          <w:szCs w:val="20"/>
          <w:color w:val="auto"/>
        </w:rPr>
      </w:pPr>
    </w:p>
    <w:p>
      <w:pPr>
        <w:spacing w:after="0" w:line="25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260"/>
          </w:cols>
          <w:pgMar w:left="240" w:top="722" w:right="399" w:bottom="1440" w:gutter="0" w:footer="0" w:header="0"/>
        </w:sectPr>
      </w:pPr>
    </w:p>
    <w:bookmarkStart w:id="63" w:name="page64"/>
    <w:bookmarkEnd w:id="63"/>
    <w:p>
      <w:pPr>
        <w:jc w:val="center"/>
        <w:ind w:right="-3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Shareholders of Graham Holdings Company:</w:t>
      </w:r>
    </w:p>
    <w:p>
      <w:pPr>
        <w:spacing w:after="0" w:line="122" w:lineRule="exact"/>
        <w:rPr>
          <w:sz w:val="20"/>
          <w:szCs w:val="20"/>
          <w:color w:val="auto"/>
        </w:rPr>
      </w:pPr>
    </w:p>
    <w:p>
      <w:pPr>
        <w:ind w:right="20"/>
        <w:spacing w:after="0" w:line="222" w:lineRule="auto"/>
        <w:rPr>
          <w:sz w:val="20"/>
          <w:szCs w:val="20"/>
          <w:color w:val="auto"/>
        </w:rPr>
      </w:pPr>
      <w:r>
        <w:rPr>
          <w:rFonts w:ascii="Arial" w:cs="Arial" w:eastAsia="Arial" w:hAnsi="Arial"/>
          <w:sz w:val="18"/>
          <w:szCs w:val="18"/>
          <w:color w:val="auto"/>
        </w:rPr>
        <w:t xml:space="preserve">In our opinion, the accompanying consolidated balance sheets and the related consolidated statements of operations, comprehensive income, cash flows and changes in common stockholders’ equity present fairly in all material respects, the financial position of Graham Holdings Company and its subsidiaries at December 31, 2016 and 2015, and the results of their operations and their cash flows for each of the three years in the period ended December 31, 2016 in conformity with accounting principles generally accepted in the United States of America. Also in our opinion, the Company maintained, in all material respects, effective internal control over financial reporting as of December 31, 2016, based on criteria established in </w:t>
      </w:r>
      <w:r>
        <w:rPr>
          <w:rFonts w:ascii="Arial" w:cs="Arial" w:eastAsia="Arial" w:hAnsi="Arial"/>
          <w:sz w:val="18"/>
          <w:szCs w:val="18"/>
          <w:i w:val="1"/>
          <w:iCs w:val="1"/>
          <w:color w:val="auto"/>
        </w:rPr>
        <w:t>Internal Control-Integrated Framework</w:t>
      </w:r>
      <w:r>
        <w:rPr>
          <w:rFonts w:ascii="Arial" w:cs="Arial" w:eastAsia="Arial" w:hAnsi="Arial"/>
          <w:sz w:val="18"/>
          <w:szCs w:val="18"/>
          <w:color w:val="auto"/>
        </w:rPr>
        <w:t xml:space="preserve"> (2013) issued by the Committee of Sponsoring Organizations of the Treadway Commission (COSO). The Company’s management is responsible for these financial statements,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opinions on these financial statements, and on the Company’s internal control over financial reporting based on our integrated audits. We conducted our audits in accordance with the standards of the Public Company Accounting Oversight Board (United States). Those standards require that we plan and perform the audits to obtain reasonable assurance about whether the financial statements are free of material misstatement and whether effective internal control over financial reporting was maintained in all material respects. Our audits of the financial statements included examining, on a test basis, evidence supporting the amounts and disclosures in the financial statements, assessing the accounting principles used and significant estimates made by management, and evaluating the overall financial statement presentation.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17" w:lineRule="exact"/>
        <w:rPr>
          <w:sz w:val="20"/>
          <w:szCs w:val="20"/>
          <w:color w:val="auto"/>
        </w:rPr>
      </w:pPr>
    </w:p>
    <w:p>
      <w:pPr>
        <w:ind w:right="160"/>
        <w:spacing w:after="0" w:line="260" w:lineRule="auto"/>
        <w:rPr>
          <w:sz w:val="20"/>
          <w:szCs w:val="20"/>
          <w:color w:val="auto"/>
        </w:rPr>
      </w:pPr>
      <w:r>
        <w:rPr>
          <w:rFonts w:ascii="Arial" w:cs="Arial" w:eastAsia="Arial" w:hAnsi="Arial"/>
          <w:sz w:val="18"/>
          <w:szCs w:val="18"/>
          <w:color w:val="auto"/>
        </w:rPr>
        <w:t>As discussed in Note 2 to the consolidated financial statements, the Company has changed the manner in which it presents restricted cash in the statement of cash flows in 2016.</w:t>
      </w:r>
    </w:p>
    <w:p>
      <w:pPr>
        <w:spacing w:after="0" w:line="92" w:lineRule="exact"/>
        <w:rPr>
          <w:sz w:val="20"/>
          <w:szCs w:val="20"/>
          <w:color w:val="auto"/>
        </w:rPr>
      </w:pPr>
    </w:p>
    <w:p>
      <w:pPr>
        <w:spacing w:after="0" w:line="227"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08" w:lineRule="exact"/>
        <w:rPr>
          <w:sz w:val="20"/>
          <w:szCs w:val="20"/>
          <w:color w:val="auto"/>
        </w:rPr>
      </w:pPr>
    </w:p>
    <w:p>
      <w:pPr>
        <w:ind w:right="140"/>
        <w:spacing w:after="0"/>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McLean, Virginia</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February 24, 2017</w:t>
      </w:r>
    </w:p>
    <w:p>
      <w:pPr>
        <w:spacing w:after="0" w:line="3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00"/>
          </w:cols>
          <w:pgMar w:left="240" w:top="722" w:right="259" w:bottom="1440" w:gutter="0" w:footer="0" w:header="0"/>
        </w:sectPr>
      </w:pPr>
    </w:p>
    <w:bookmarkStart w:id="64" w:name="page65"/>
    <w:bookmarkEnd w:id="64"/>
    <w:p>
      <w:pPr>
        <w:jc w:val="center"/>
        <w:spacing w:after="0"/>
        <w:rPr>
          <w:sz w:val="20"/>
          <w:szCs w:val="20"/>
          <w:color w:val="auto"/>
        </w:rPr>
      </w:pPr>
      <w:r>
        <w:rPr>
          <w:rFonts w:ascii="Arial" w:cs="Arial" w:eastAsia="Arial" w:hAnsi="Arial"/>
          <w:sz w:val="18"/>
          <w:szCs w:val="18"/>
          <w:b w:val="1"/>
          <w:bCs w:val="1"/>
          <w:color w:val="auto"/>
        </w:rPr>
        <w:t>GRAHAM HOLDINGS COMPANY</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780" w:type="dxa"/>
            <w:vAlign w:val="bottom"/>
          </w:tcPr>
          <w:p>
            <w:pPr>
              <w:spacing w:after="0"/>
              <w:rPr>
                <w:sz w:val="17"/>
                <w:szCs w:val="17"/>
                <w:color w:val="auto"/>
              </w:rPr>
            </w:pPr>
          </w:p>
        </w:tc>
        <w:tc>
          <w:tcPr>
            <w:tcW w:w="27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880" w:type="dxa"/>
            <w:vAlign w:val="bottom"/>
            <w:tcBorders>
              <w:bottom w:val="single" w:sz="8" w:color="auto"/>
            </w:tcBorders>
          </w:tcPr>
          <w:p>
            <w:pPr>
              <w:spacing w:after="0"/>
              <w:rPr>
                <w:sz w:val="17"/>
                <w:szCs w:val="17"/>
                <w:color w:val="auto"/>
              </w:rPr>
            </w:pPr>
          </w:p>
        </w:tc>
      </w:tr>
      <w:tr>
        <w:trPr>
          <w:trHeight w:val="264"/>
        </w:trPr>
        <w:tc>
          <w:tcPr>
            <w:tcW w:w="77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 except per share amounts)</w:t>
            </w:r>
          </w:p>
        </w:tc>
        <w:tc>
          <w:tcPr>
            <w:tcW w:w="1160" w:type="dxa"/>
            <w:vAlign w:val="bottom"/>
            <w:tcBorders>
              <w:bottom w:val="single" w:sz="8" w:color="auto"/>
            </w:tcBorders>
          </w:tcPr>
          <w:p>
            <w:pPr>
              <w:jc w:val="right"/>
              <w:ind w:right="342"/>
              <w:spacing w:after="0"/>
              <w:rPr>
                <w:sz w:val="20"/>
                <w:szCs w:val="20"/>
                <w:color w:val="auto"/>
              </w:rPr>
            </w:pPr>
            <w:r>
              <w:rPr>
                <w:rFonts w:ascii="Arial" w:cs="Arial" w:eastAsia="Arial" w:hAnsi="Arial"/>
                <w:sz w:val="14"/>
                <w:szCs w:val="14"/>
                <w:b w:val="1"/>
                <w:bCs w:val="1"/>
                <w:color w:val="auto"/>
              </w:rPr>
              <w:t>2016</w:t>
            </w:r>
          </w:p>
        </w:tc>
        <w:tc>
          <w:tcPr>
            <w:tcW w:w="126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color w:val="auto"/>
              </w:rPr>
              <w:t>2015</w:t>
            </w:r>
          </w:p>
        </w:tc>
        <w:tc>
          <w:tcPr>
            <w:tcW w:w="3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color w:val="auto"/>
              </w:rPr>
              <w:t>2014</w:t>
            </w:r>
          </w:p>
        </w:tc>
      </w:tr>
      <w:tr>
        <w:trPr>
          <w:trHeight w:val="257"/>
        </w:trPr>
        <w:tc>
          <w:tcPr>
            <w:tcW w:w="7780" w:type="dxa"/>
            <w:vAlign w:val="bottom"/>
          </w:tcPr>
          <w:p>
            <w:pPr>
              <w:ind w:left="40"/>
              <w:spacing w:after="0"/>
              <w:rPr>
                <w:sz w:val="20"/>
                <w:szCs w:val="20"/>
                <w:color w:val="auto"/>
              </w:rPr>
            </w:pPr>
            <w:r>
              <w:rPr>
                <w:rFonts w:ascii="Arial" w:cs="Arial" w:eastAsia="Arial" w:hAnsi="Arial"/>
                <w:sz w:val="16"/>
                <w:szCs w:val="16"/>
                <w:b w:val="1"/>
                <w:bCs w:val="1"/>
                <w:color w:val="auto"/>
              </w:rPr>
              <w:t>Operating Revenues</w:t>
            </w:r>
          </w:p>
        </w:tc>
        <w:tc>
          <w:tcPr>
            <w:tcW w:w="116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270"/>
        </w:trPr>
        <w:tc>
          <w:tcPr>
            <w:tcW w:w="7780" w:type="dxa"/>
            <w:vAlign w:val="bottom"/>
          </w:tcPr>
          <w:p>
            <w:pPr>
              <w:ind w:left="180"/>
              <w:spacing w:after="0"/>
              <w:rPr>
                <w:sz w:val="20"/>
                <w:szCs w:val="20"/>
                <w:color w:val="auto"/>
              </w:rPr>
            </w:pPr>
            <w:r>
              <w:rPr>
                <w:rFonts w:ascii="Arial" w:cs="Arial" w:eastAsia="Arial" w:hAnsi="Arial"/>
                <w:sz w:val="16"/>
                <w:szCs w:val="16"/>
                <w:color w:val="auto"/>
              </w:rPr>
              <w:t>Education</w:t>
            </w:r>
          </w:p>
        </w:tc>
        <w:tc>
          <w:tcPr>
            <w:tcW w:w="1160" w:type="dxa"/>
            <w:vAlign w:val="bottom"/>
          </w:tcPr>
          <w:p>
            <w:pPr>
              <w:jc w:val="right"/>
              <w:ind w:right="42"/>
              <w:spacing w:after="0"/>
              <w:rPr>
                <w:sz w:val="20"/>
                <w:szCs w:val="20"/>
                <w:color w:val="auto"/>
              </w:rPr>
            </w:pPr>
            <w:r>
              <w:rPr>
                <w:rFonts w:ascii="Arial" w:cs="Arial" w:eastAsia="Arial" w:hAnsi="Arial"/>
                <w:sz w:val="16"/>
                <w:szCs w:val="16"/>
                <w:b w:val="1"/>
                <w:bCs w:val="1"/>
                <w:color w:val="auto"/>
              </w:rPr>
              <w:t>$   1,598,347</w:t>
            </w:r>
          </w:p>
        </w:tc>
        <w:tc>
          <w:tcPr>
            <w:tcW w:w="1260" w:type="dxa"/>
            <w:vAlign w:val="bottom"/>
          </w:tcPr>
          <w:p>
            <w:pPr>
              <w:jc w:val="right"/>
              <w:ind w:right="61"/>
              <w:spacing w:after="0"/>
              <w:rPr>
                <w:sz w:val="20"/>
                <w:szCs w:val="20"/>
                <w:color w:val="auto"/>
              </w:rPr>
            </w:pPr>
            <w:r>
              <w:rPr>
                <w:rFonts w:ascii="Arial" w:cs="Arial" w:eastAsia="Arial" w:hAnsi="Arial"/>
                <w:sz w:val="16"/>
                <w:szCs w:val="16"/>
                <w:color w:val="auto"/>
              </w:rPr>
              <w:t>$  1,927,405</w:t>
            </w: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21"/>
              <w:spacing w:after="0"/>
              <w:rPr>
                <w:sz w:val="20"/>
                <w:szCs w:val="20"/>
                <w:color w:val="auto"/>
              </w:rPr>
            </w:pPr>
            <w:r>
              <w:rPr>
                <w:rFonts w:ascii="Arial" w:cs="Arial" w:eastAsia="Arial" w:hAnsi="Arial"/>
                <w:sz w:val="16"/>
                <w:szCs w:val="16"/>
                <w:color w:val="auto"/>
              </w:rPr>
              <w:t>2,160,417</w:t>
            </w:r>
          </w:p>
        </w:tc>
      </w:tr>
      <w:tr>
        <w:trPr>
          <w:trHeight w:val="270"/>
        </w:trPr>
        <w:tc>
          <w:tcPr>
            <w:tcW w:w="7780" w:type="dxa"/>
            <w:vAlign w:val="bottom"/>
          </w:tcPr>
          <w:p>
            <w:pPr>
              <w:ind w:left="180"/>
              <w:spacing w:after="0"/>
              <w:rPr>
                <w:sz w:val="20"/>
                <w:szCs w:val="20"/>
                <w:color w:val="auto"/>
              </w:rPr>
            </w:pPr>
            <w:r>
              <w:rPr>
                <w:rFonts w:ascii="Arial" w:cs="Arial" w:eastAsia="Arial" w:hAnsi="Arial"/>
                <w:sz w:val="16"/>
                <w:szCs w:val="16"/>
                <w:color w:val="auto"/>
              </w:rPr>
              <w:t>Advertising</w:t>
            </w:r>
          </w:p>
        </w:tc>
        <w:tc>
          <w:tcPr>
            <w:tcW w:w="1160" w:type="dxa"/>
            <w:vAlign w:val="bottom"/>
          </w:tcPr>
          <w:p>
            <w:pPr>
              <w:jc w:val="right"/>
              <w:ind w:right="42"/>
              <w:spacing w:after="0"/>
              <w:rPr>
                <w:sz w:val="20"/>
                <w:szCs w:val="20"/>
                <w:color w:val="auto"/>
              </w:rPr>
            </w:pPr>
            <w:r>
              <w:rPr>
                <w:rFonts w:ascii="Arial" w:cs="Arial" w:eastAsia="Arial" w:hAnsi="Arial"/>
                <w:sz w:val="16"/>
                <w:szCs w:val="16"/>
                <w:b w:val="1"/>
                <w:bCs w:val="1"/>
                <w:color w:val="auto"/>
              </w:rPr>
              <w:t>311,078</w:t>
            </w:r>
          </w:p>
        </w:tc>
        <w:tc>
          <w:tcPr>
            <w:tcW w:w="1260" w:type="dxa"/>
            <w:vAlign w:val="bottom"/>
          </w:tcPr>
          <w:p>
            <w:pPr>
              <w:jc w:val="right"/>
              <w:ind w:right="61"/>
              <w:spacing w:after="0"/>
              <w:rPr>
                <w:sz w:val="20"/>
                <w:szCs w:val="20"/>
                <w:color w:val="auto"/>
              </w:rPr>
            </w:pPr>
            <w:r>
              <w:rPr>
                <w:rFonts w:ascii="Arial" w:cs="Arial" w:eastAsia="Arial" w:hAnsi="Arial"/>
                <w:sz w:val="16"/>
                <w:szCs w:val="16"/>
                <w:color w:val="auto"/>
              </w:rPr>
              <w:t>279,924</w:t>
            </w:r>
          </w:p>
        </w:tc>
        <w:tc>
          <w:tcPr>
            <w:tcW w:w="340" w:type="dxa"/>
            <w:vAlign w:val="bottom"/>
          </w:tcPr>
          <w:p>
            <w:pPr>
              <w:spacing w:after="0"/>
              <w:rPr>
                <w:sz w:val="23"/>
                <w:szCs w:val="23"/>
                <w:color w:val="auto"/>
              </w:rPr>
            </w:pPr>
          </w:p>
        </w:tc>
        <w:tc>
          <w:tcPr>
            <w:tcW w:w="880" w:type="dxa"/>
            <w:vAlign w:val="bottom"/>
          </w:tcPr>
          <w:p>
            <w:pPr>
              <w:jc w:val="right"/>
              <w:ind w:right="21"/>
              <w:spacing w:after="0"/>
              <w:rPr>
                <w:sz w:val="20"/>
                <w:szCs w:val="20"/>
                <w:color w:val="auto"/>
              </w:rPr>
            </w:pPr>
            <w:r>
              <w:rPr>
                <w:rFonts w:ascii="Arial" w:cs="Arial" w:eastAsia="Arial" w:hAnsi="Arial"/>
                <w:sz w:val="16"/>
                <w:szCs w:val="16"/>
                <w:color w:val="auto"/>
              </w:rPr>
              <w:t>308,214</w:t>
            </w:r>
          </w:p>
        </w:tc>
      </w:tr>
      <w:tr>
        <w:trPr>
          <w:trHeight w:val="274"/>
        </w:trPr>
        <w:tc>
          <w:tcPr>
            <w:tcW w:w="7780" w:type="dxa"/>
            <w:vAlign w:val="bottom"/>
          </w:tcPr>
          <w:p>
            <w:pPr>
              <w:ind w:left="180"/>
              <w:spacing w:after="0"/>
              <w:rPr>
                <w:sz w:val="20"/>
                <w:szCs w:val="20"/>
                <w:color w:val="auto"/>
              </w:rPr>
            </w:pPr>
            <w:r>
              <w:rPr>
                <w:rFonts w:ascii="Arial" w:cs="Arial" w:eastAsia="Arial" w:hAnsi="Arial"/>
                <w:sz w:val="16"/>
                <w:szCs w:val="16"/>
                <w:color w:val="auto"/>
              </w:rPr>
              <w:t>Other</w:t>
            </w:r>
          </w:p>
        </w:tc>
        <w:tc>
          <w:tcPr>
            <w:tcW w:w="116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572,465</w:t>
            </w:r>
          </w:p>
        </w:tc>
        <w:tc>
          <w:tcPr>
            <w:tcW w:w="126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378,785</w:t>
            </w:r>
          </w:p>
        </w:tc>
        <w:tc>
          <w:tcPr>
            <w:tcW w:w="34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268,401</w:t>
            </w:r>
          </w:p>
        </w:tc>
      </w:tr>
      <w:tr>
        <w:trPr>
          <w:trHeight w:val="261"/>
        </w:trPr>
        <w:tc>
          <w:tcPr>
            <w:tcW w:w="7780" w:type="dxa"/>
            <w:vAlign w:val="bottom"/>
          </w:tcPr>
          <w:p>
            <w:pPr>
              <w:spacing w:after="0"/>
              <w:rPr>
                <w:sz w:val="22"/>
                <w:szCs w:val="22"/>
                <w:color w:val="auto"/>
              </w:rPr>
            </w:pPr>
          </w:p>
        </w:tc>
        <w:tc>
          <w:tcPr>
            <w:tcW w:w="116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2,481,890</w:t>
            </w:r>
          </w:p>
        </w:tc>
        <w:tc>
          <w:tcPr>
            <w:tcW w:w="126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2,586,114</w:t>
            </w:r>
          </w:p>
        </w:tc>
        <w:tc>
          <w:tcPr>
            <w:tcW w:w="3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2,737,032</w:t>
            </w:r>
          </w:p>
        </w:tc>
      </w:tr>
      <w:tr>
        <w:trPr>
          <w:trHeight w:val="263"/>
        </w:trPr>
        <w:tc>
          <w:tcPr>
            <w:tcW w:w="7780" w:type="dxa"/>
            <w:vAlign w:val="bottom"/>
          </w:tcPr>
          <w:p>
            <w:pPr>
              <w:ind w:left="40"/>
              <w:spacing w:after="0"/>
              <w:rPr>
                <w:sz w:val="20"/>
                <w:szCs w:val="20"/>
                <w:color w:val="auto"/>
              </w:rPr>
            </w:pPr>
            <w:r>
              <w:rPr>
                <w:rFonts w:ascii="Arial" w:cs="Arial" w:eastAsia="Arial" w:hAnsi="Arial"/>
                <w:sz w:val="16"/>
                <w:szCs w:val="16"/>
                <w:b w:val="1"/>
                <w:bCs w:val="1"/>
                <w:color w:val="auto"/>
              </w:rPr>
              <w:t>Operating Costs and Expenses</w:t>
            </w:r>
          </w:p>
        </w:tc>
        <w:tc>
          <w:tcPr>
            <w:tcW w:w="116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80" w:type="dxa"/>
            <w:vAlign w:val="bottom"/>
          </w:tcPr>
          <w:p>
            <w:pPr>
              <w:spacing w:after="0"/>
              <w:rPr>
                <w:sz w:val="22"/>
                <w:szCs w:val="22"/>
                <w:color w:val="auto"/>
              </w:rPr>
            </w:pPr>
          </w:p>
        </w:tc>
      </w:tr>
    </w:tbl>
    <w:p>
      <w:pPr>
        <w:spacing w:after="0" w:line="41" w:lineRule="exact"/>
        <w:rPr>
          <w:sz w:val="20"/>
          <w:szCs w:val="20"/>
          <w:color w:val="auto"/>
        </w:rPr>
      </w:pPr>
    </w:p>
    <w:p>
      <w:pPr>
        <w:sectPr>
          <w:pgSz w:w="11900" w:h="16838" w:orient="portrait"/>
          <w:cols w:equalWidth="0" w:num="1">
            <w:col w:w="11420"/>
          </w:cols>
          <w:pgMar w:left="240" w:top="736" w:right="239" w:bottom="1440" w:gutter="0" w:footer="0" w:header="0"/>
        </w:sectPr>
      </w:pPr>
    </w:p>
    <w:p>
      <w:pPr>
        <w:spacing w:after="0" w:line="2" w:lineRule="exact"/>
        <w:rPr>
          <w:sz w:val="20"/>
          <w:szCs w:val="20"/>
          <w:color w:val="auto"/>
        </w:rPr>
      </w:pPr>
    </w:p>
    <w:p>
      <w:pPr>
        <w:ind w:left="180"/>
        <w:spacing w:after="0"/>
        <w:rPr>
          <w:sz w:val="20"/>
          <w:szCs w:val="20"/>
          <w:color w:val="auto"/>
        </w:rPr>
      </w:pPr>
      <w:r>
        <w:rPr>
          <w:rFonts w:ascii="Arial" w:cs="Arial" w:eastAsia="Arial" w:hAnsi="Arial"/>
          <w:sz w:val="16"/>
          <w:szCs w:val="16"/>
          <w:color w:val="auto"/>
        </w:rPr>
        <w:t>Operating</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Selling, general and administrative</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Depreciation of property, plant and equipment</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Amortization of intangible assets</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Impairment of goodwill and other long-lived assets</w:t>
      </w:r>
    </w:p>
    <w:p>
      <w:pPr>
        <w:spacing w:after="0" w:line="381"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Income (Loss) from Operations</w:t>
      </w:r>
    </w:p>
    <w:p>
      <w:pPr>
        <w:spacing w:after="0" w:line="88" w:lineRule="exact"/>
        <w:rPr>
          <w:sz w:val="20"/>
          <w:szCs w:val="20"/>
          <w:color w:val="auto"/>
        </w:rPr>
      </w:pPr>
    </w:p>
    <w:p>
      <w:pPr>
        <w:ind w:left="180"/>
        <w:spacing w:after="0"/>
        <w:rPr>
          <w:sz w:val="20"/>
          <w:szCs w:val="20"/>
          <w:color w:val="auto"/>
        </w:rPr>
      </w:pPr>
      <w:r>
        <w:rPr>
          <w:rFonts w:ascii="Arial" w:cs="Arial" w:eastAsia="Arial" w:hAnsi="Arial"/>
          <w:sz w:val="16"/>
          <w:szCs w:val="16"/>
          <w:color w:val="auto"/>
        </w:rPr>
        <w:t>Equity in (losses) earnings of affiliates, net</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Interest income</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Interest expense</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Other (expense) income, net</w:t>
      </w:r>
    </w:p>
    <w:p>
      <w:pPr>
        <w:spacing w:after="0" w:line="98" w:lineRule="exact"/>
        <w:rPr>
          <w:sz w:val="20"/>
          <w:szCs w:val="20"/>
          <w:color w:val="auto"/>
        </w:rPr>
      </w:pPr>
    </w:p>
    <w:p>
      <w:pPr>
        <w:ind w:left="40" w:right="2060"/>
        <w:spacing w:after="0" w:line="361" w:lineRule="auto"/>
        <w:rPr>
          <w:sz w:val="20"/>
          <w:szCs w:val="20"/>
          <w:color w:val="auto"/>
        </w:rPr>
      </w:pPr>
      <w:r>
        <w:rPr>
          <w:rFonts w:ascii="Arial" w:cs="Arial" w:eastAsia="Arial" w:hAnsi="Arial"/>
          <w:sz w:val="16"/>
          <w:szCs w:val="16"/>
          <w:b w:val="1"/>
          <w:bCs w:val="1"/>
          <w:color w:val="auto"/>
        </w:rPr>
        <w:t>Income (Loss) from Continuing Operations Before Income Taxes Provision for Income Taxes</w:t>
      </w:r>
    </w:p>
    <w:p>
      <w:pPr>
        <w:ind w:left="40"/>
        <w:spacing w:after="0"/>
        <w:rPr>
          <w:sz w:val="20"/>
          <w:szCs w:val="20"/>
          <w:color w:val="auto"/>
        </w:rPr>
      </w:pPr>
      <w:r>
        <w:rPr>
          <w:rFonts w:ascii="Arial" w:cs="Arial" w:eastAsia="Arial" w:hAnsi="Arial"/>
          <w:sz w:val="16"/>
          <w:szCs w:val="16"/>
          <w:b w:val="1"/>
          <w:bCs w:val="1"/>
          <w:color w:val="auto"/>
        </w:rPr>
        <w:t>Income (Loss) from Continuing Operations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Income from Discontinued Operations, Net of Tax</w:t>
      </w:r>
    </w:p>
    <w:p>
      <w:pPr>
        <w:spacing w:after="0" w:line="100"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Net Income (Loss)</w:t>
      </w:r>
    </w:p>
    <w:p>
      <w:pPr>
        <w:spacing w:after="0" w:line="86" w:lineRule="exact"/>
        <w:rPr>
          <w:sz w:val="20"/>
          <w:szCs w:val="20"/>
          <w:color w:val="auto"/>
        </w:rPr>
      </w:pPr>
    </w:p>
    <w:p>
      <w:pPr>
        <w:ind w:left="40" w:right="2280"/>
        <w:spacing w:after="0" w:line="369" w:lineRule="auto"/>
        <w:rPr>
          <w:sz w:val="20"/>
          <w:szCs w:val="20"/>
          <w:color w:val="auto"/>
        </w:rPr>
      </w:pPr>
      <w:r>
        <w:rPr>
          <w:rFonts w:ascii="Arial" w:cs="Arial" w:eastAsia="Arial" w:hAnsi="Arial"/>
          <w:sz w:val="16"/>
          <w:szCs w:val="16"/>
          <w:b w:val="1"/>
          <w:bCs w:val="1"/>
          <w:color w:val="auto"/>
        </w:rPr>
        <w:t>Net (Income) Loss Attributable to Noncontrolling Interests Net Income (Loss) Attributable to Graham Holdings Company Redeemable Preferred Stock Dividends</w:t>
      </w:r>
    </w:p>
    <w:p>
      <w:pPr>
        <w:spacing w:after="0" w:line="2" w:lineRule="exact"/>
        <w:rPr>
          <w:sz w:val="20"/>
          <w:szCs w:val="20"/>
          <w:color w:val="auto"/>
        </w:rPr>
      </w:pPr>
    </w:p>
    <w:p>
      <w:pPr>
        <w:ind w:left="40" w:right="460"/>
        <w:spacing w:after="0" w:line="369" w:lineRule="auto"/>
        <w:rPr>
          <w:sz w:val="20"/>
          <w:szCs w:val="20"/>
          <w:color w:val="auto"/>
        </w:rPr>
      </w:pPr>
      <w:r>
        <w:rPr>
          <w:rFonts w:ascii="Arial" w:cs="Arial" w:eastAsia="Arial" w:hAnsi="Arial"/>
          <w:sz w:val="16"/>
          <w:szCs w:val="16"/>
          <w:b w:val="1"/>
          <w:bCs w:val="1"/>
          <w:color w:val="auto"/>
        </w:rPr>
        <w:t>Net Income (Loss) Attributable to Graham Holdings Company Common Stockholders Amounts Attributable to Graham Holdings Company Common Stockholders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9"/>
        </w:trPr>
        <w:tc>
          <w:tcPr>
            <w:tcW w:w="220" w:type="dxa"/>
            <w:vAlign w:val="bottom"/>
          </w:tcPr>
          <w:p>
            <w:pPr>
              <w:spacing w:after="0"/>
              <w:rPr>
                <w:sz w:val="19"/>
                <w:szCs w:val="19"/>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b w:val="1"/>
                <w:bCs w:val="1"/>
                <w:color w:val="auto"/>
              </w:rPr>
              <w:t>1,180,945</w:t>
            </w:r>
          </w:p>
        </w:tc>
        <w:tc>
          <w:tcPr>
            <w:tcW w:w="280" w:type="dxa"/>
            <w:vAlign w:val="bottom"/>
          </w:tcPr>
          <w:p>
            <w:pPr>
              <w:spacing w:after="0"/>
              <w:rPr>
                <w:sz w:val="19"/>
                <w:szCs w:val="19"/>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1,206,153</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1,261,753</w:t>
            </w:r>
          </w:p>
        </w:tc>
      </w:tr>
      <w:tr>
        <w:trPr>
          <w:trHeight w:val="270"/>
        </w:trPr>
        <w:tc>
          <w:tcPr>
            <w:tcW w:w="220" w:type="dxa"/>
            <w:vAlign w:val="bottom"/>
          </w:tcPr>
          <w:p>
            <w:pPr>
              <w:spacing w:after="0"/>
              <w:rPr>
                <w:sz w:val="23"/>
                <w:szCs w:val="23"/>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b w:val="1"/>
                <w:bCs w:val="1"/>
                <w:color w:val="auto"/>
              </w:rPr>
              <w:t>904,517</w:t>
            </w:r>
          </w:p>
        </w:tc>
        <w:tc>
          <w:tcPr>
            <w:tcW w:w="280" w:type="dxa"/>
            <w:vAlign w:val="bottom"/>
          </w:tcPr>
          <w:p>
            <w:pPr>
              <w:spacing w:after="0"/>
              <w:rPr>
                <w:sz w:val="23"/>
                <w:szCs w:val="23"/>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1,104,163</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1,132,157</w:t>
            </w:r>
          </w:p>
        </w:tc>
      </w:tr>
      <w:tr>
        <w:trPr>
          <w:trHeight w:val="270"/>
        </w:trPr>
        <w:tc>
          <w:tcPr>
            <w:tcW w:w="220" w:type="dxa"/>
            <w:vAlign w:val="bottom"/>
          </w:tcPr>
          <w:p>
            <w:pPr>
              <w:spacing w:after="0"/>
              <w:rPr>
                <w:sz w:val="23"/>
                <w:szCs w:val="23"/>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b w:val="1"/>
                <w:bCs w:val="1"/>
                <w:color w:val="auto"/>
              </w:rPr>
              <w:t>64,620</w:t>
            </w:r>
          </w:p>
        </w:tc>
        <w:tc>
          <w:tcPr>
            <w:tcW w:w="280" w:type="dxa"/>
            <w:vAlign w:val="bottom"/>
          </w:tcPr>
          <w:p>
            <w:pPr>
              <w:spacing w:after="0"/>
              <w:rPr>
                <w:sz w:val="23"/>
                <w:szCs w:val="23"/>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77,906</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74,913</w:t>
            </w:r>
          </w:p>
        </w:tc>
      </w:tr>
      <w:tr>
        <w:trPr>
          <w:trHeight w:val="270"/>
        </w:trPr>
        <w:tc>
          <w:tcPr>
            <w:tcW w:w="220" w:type="dxa"/>
            <w:vAlign w:val="bottom"/>
          </w:tcPr>
          <w:p>
            <w:pPr>
              <w:spacing w:after="0"/>
              <w:rPr>
                <w:sz w:val="23"/>
                <w:szCs w:val="23"/>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b w:val="1"/>
                <w:bCs w:val="1"/>
                <w:color w:val="auto"/>
              </w:rPr>
              <w:t>26,671</w:t>
            </w:r>
          </w:p>
        </w:tc>
        <w:tc>
          <w:tcPr>
            <w:tcW w:w="280" w:type="dxa"/>
            <w:vAlign w:val="bottom"/>
          </w:tcPr>
          <w:p>
            <w:pPr>
              <w:spacing w:after="0"/>
              <w:rPr>
                <w:sz w:val="23"/>
                <w:szCs w:val="23"/>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19,017</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18,187</w:t>
            </w:r>
          </w:p>
        </w:tc>
      </w:tr>
      <w:tr>
        <w:trPr>
          <w:trHeight w:val="274"/>
        </w:trPr>
        <w:tc>
          <w:tcPr>
            <w:tcW w:w="22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1,603</w:t>
            </w:r>
          </w:p>
        </w:tc>
        <w:tc>
          <w:tcPr>
            <w:tcW w:w="2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259,700</w:t>
            </w: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17,302</w:t>
            </w:r>
          </w:p>
        </w:tc>
      </w:tr>
      <w:tr>
        <w:trPr>
          <w:trHeight w:val="264"/>
        </w:trPr>
        <w:tc>
          <w:tcPr>
            <w:tcW w:w="2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2,178,356</w:t>
            </w: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2,666,939</w:t>
            </w: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2,504,312</w:t>
            </w:r>
          </w:p>
        </w:tc>
      </w:tr>
      <w:tr>
        <w:trPr>
          <w:trHeight w:val="260"/>
        </w:trPr>
        <w:tc>
          <w:tcPr>
            <w:tcW w:w="220" w:type="dxa"/>
            <w:vAlign w:val="bottom"/>
          </w:tcPr>
          <w:p>
            <w:pPr>
              <w:spacing w:after="0"/>
              <w:rPr>
                <w:sz w:val="22"/>
                <w:szCs w:val="22"/>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b w:val="1"/>
                <w:bCs w:val="1"/>
                <w:color w:val="auto"/>
              </w:rPr>
              <w:t>303,534</w:t>
            </w:r>
          </w:p>
        </w:tc>
        <w:tc>
          <w:tcPr>
            <w:tcW w:w="280" w:type="dxa"/>
            <w:vAlign w:val="bottom"/>
          </w:tcPr>
          <w:p>
            <w:pPr>
              <w:spacing w:after="0"/>
              <w:rPr>
                <w:sz w:val="22"/>
                <w:szCs w:val="22"/>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(80,825)</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232,720</w:t>
            </w:r>
          </w:p>
        </w:tc>
      </w:tr>
      <w:tr>
        <w:trPr>
          <w:trHeight w:val="270"/>
        </w:trPr>
        <w:tc>
          <w:tcPr>
            <w:tcW w:w="220" w:type="dxa"/>
            <w:vAlign w:val="bottom"/>
          </w:tcPr>
          <w:p>
            <w:pPr>
              <w:spacing w:after="0"/>
              <w:rPr>
                <w:sz w:val="23"/>
                <w:szCs w:val="23"/>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b w:val="1"/>
                <w:bCs w:val="1"/>
                <w:color w:val="auto"/>
              </w:rPr>
              <w:t>(7,937)</w:t>
            </w:r>
          </w:p>
        </w:tc>
        <w:tc>
          <w:tcPr>
            <w:tcW w:w="28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(697)</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100,370</w:t>
            </w:r>
          </w:p>
        </w:tc>
      </w:tr>
      <w:tr>
        <w:trPr>
          <w:trHeight w:val="270"/>
        </w:trPr>
        <w:tc>
          <w:tcPr>
            <w:tcW w:w="220" w:type="dxa"/>
            <w:vAlign w:val="bottom"/>
          </w:tcPr>
          <w:p>
            <w:pPr>
              <w:spacing w:after="0"/>
              <w:rPr>
                <w:sz w:val="23"/>
                <w:szCs w:val="23"/>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b w:val="1"/>
                <w:bCs w:val="1"/>
                <w:color w:val="auto"/>
              </w:rPr>
              <w:t>3,093</w:t>
            </w:r>
          </w:p>
        </w:tc>
        <w:tc>
          <w:tcPr>
            <w:tcW w:w="280" w:type="dxa"/>
            <w:vAlign w:val="bottom"/>
          </w:tcPr>
          <w:p>
            <w:pPr>
              <w:spacing w:after="0"/>
              <w:rPr>
                <w:sz w:val="23"/>
                <w:szCs w:val="23"/>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1,909</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2,136</w:t>
            </w:r>
          </w:p>
        </w:tc>
      </w:tr>
      <w:tr>
        <w:trPr>
          <w:trHeight w:val="270"/>
        </w:trPr>
        <w:tc>
          <w:tcPr>
            <w:tcW w:w="220" w:type="dxa"/>
            <w:vAlign w:val="bottom"/>
          </w:tcPr>
          <w:p>
            <w:pPr>
              <w:spacing w:after="0"/>
              <w:rPr>
                <w:sz w:val="23"/>
                <w:szCs w:val="23"/>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b w:val="1"/>
                <w:bCs w:val="1"/>
                <w:color w:val="auto"/>
              </w:rPr>
              <w:t>(35,390)</w:t>
            </w:r>
          </w:p>
        </w:tc>
        <w:tc>
          <w:tcPr>
            <w:tcW w:w="28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(32,654)</w:t>
            </w:r>
          </w:p>
        </w:tc>
        <w:tc>
          <w:tcPr>
            <w:tcW w:w="1200" w:type="dxa"/>
            <w:vAlign w:val="bottom"/>
          </w:tcPr>
          <w:p>
            <w:pPr>
              <w:jc w:val="right"/>
              <w:spacing w:after="0"/>
              <w:rPr>
                <w:sz w:val="20"/>
                <w:szCs w:val="20"/>
                <w:color w:val="auto"/>
              </w:rPr>
            </w:pPr>
            <w:r>
              <w:rPr>
                <w:rFonts w:ascii="Arial" w:cs="Arial" w:eastAsia="Arial" w:hAnsi="Arial"/>
                <w:sz w:val="16"/>
                <w:szCs w:val="16"/>
                <w:color w:val="auto"/>
              </w:rPr>
              <w:t>(35,533)</w:t>
            </w:r>
          </w:p>
        </w:tc>
      </w:tr>
      <w:tr>
        <w:trPr>
          <w:trHeight w:val="274"/>
        </w:trPr>
        <w:tc>
          <w:tcPr>
            <w:tcW w:w="22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(12,642)</w:t>
            </w:r>
          </w:p>
        </w:tc>
        <w:tc>
          <w:tcPr>
            <w:tcW w:w="2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(8,623)</w:t>
            </w: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778,010</w:t>
            </w:r>
          </w:p>
        </w:tc>
      </w:tr>
      <w:tr>
        <w:trPr>
          <w:trHeight w:val="260"/>
        </w:trPr>
        <w:tc>
          <w:tcPr>
            <w:tcW w:w="220" w:type="dxa"/>
            <w:vAlign w:val="bottom"/>
          </w:tcPr>
          <w:p>
            <w:pPr>
              <w:spacing w:after="0"/>
              <w:rPr>
                <w:sz w:val="22"/>
                <w:szCs w:val="22"/>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b w:val="1"/>
                <w:bCs w:val="1"/>
                <w:color w:val="auto"/>
              </w:rPr>
              <w:t>250,658</w:t>
            </w:r>
          </w:p>
        </w:tc>
        <w:tc>
          <w:tcPr>
            <w:tcW w:w="280" w:type="dxa"/>
            <w:vAlign w:val="bottom"/>
          </w:tcPr>
          <w:p>
            <w:pPr>
              <w:spacing w:after="0"/>
              <w:rPr>
                <w:sz w:val="22"/>
                <w:szCs w:val="22"/>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(120,890)</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1,077,703</w:t>
            </w:r>
          </w:p>
        </w:tc>
      </w:tr>
      <w:tr>
        <w:trPr>
          <w:trHeight w:val="274"/>
        </w:trPr>
        <w:tc>
          <w:tcPr>
            <w:tcW w:w="22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81,200</w:t>
            </w:r>
          </w:p>
        </w:tc>
        <w:tc>
          <w:tcPr>
            <w:tcW w:w="2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20,500</w:t>
            </w: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312,300</w:t>
            </w:r>
          </w:p>
        </w:tc>
      </w:tr>
      <w:tr>
        <w:trPr>
          <w:trHeight w:val="260"/>
        </w:trPr>
        <w:tc>
          <w:tcPr>
            <w:tcW w:w="220" w:type="dxa"/>
            <w:vAlign w:val="bottom"/>
          </w:tcPr>
          <w:p>
            <w:pPr>
              <w:spacing w:after="0"/>
              <w:rPr>
                <w:sz w:val="22"/>
                <w:szCs w:val="22"/>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b w:val="1"/>
                <w:bCs w:val="1"/>
                <w:color w:val="auto"/>
              </w:rPr>
              <w:t>169,458</w:t>
            </w:r>
          </w:p>
        </w:tc>
        <w:tc>
          <w:tcPr>
            <w:tcW w:w="280" w:type="dxa"/>
            <w:vAlign w:val="bottom"/>
          </w:tcPr>
          <w:p>
            <w:pPr>
              <w:spacing w:after="0"/>
              <w:rPr>
                <w:sz w:val="22"/>
                <w:szCs w:val="22"/>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(141,390)</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765,403</w:t>
            </w:r>
          </w:p>
        </w:tc>
      </w:tr>
      <w:tr>
        <w:trPr>
          <w:trHeight w:val="274"/>
        </w:trPr>
        <w:tc>
          <w:tcPr>
            <w:tcW w:w="22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2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42,170</w:t>
            </w: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527,857</w:t>
            </w:r>
          </w:p>
        </w:tc>
      </w:tr>
      <w:tr>
        <w:trPr>
          <w:trHeight w:val="260"/>
        </w:trPr>
        <w:tc>
          <w:tcPr>
            <w:tcW w:w="220" w:type="dxa"/>
            <w:vAlign w:val="bottom"/>
          </w:tcPr>
          <w:p>
            <w:pPr>
              <w:spacing w:after="0"/>
              <w:rPr>
                <w:sz w:val="22"/>
                <w:szCs w:val="22"/>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b w:val="1"/>
                <w:bCs w:val="1"/>
                <w:color w:val="auto"/>
              </w:rPr>
              <w:t>169,458</w:t>
            </w:r>
          </w:p>
        </w:tc>
        <w:tc>
          <w:tcPr>
            <w:tcW w:w="280" w:type="dxa"/>
            <w:vAlign w:val="bottom"/>
          </w:tcPr>
          <w:p>
            <w:pPr>
              <w:spacing w:after="0"/>
              <w:rPr>
                <w:sz w:val="22"/>
                <w:szCs w:val="22"/>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(99,220)</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1,293,260</w:t>
            </w:r>
          </w:p>
        </w:tc>
      </w:tr>
      <w:tr>
        <w:trPr>
          <w:trHeight w:val="274"/>
        </w:trPr>
        <w:tc>
          <w:tcPr>
            <w:tcW w:w="22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(868)</w:t>
            </w:r>
          </w:p>
        </w:tc>
        <w:tc>
          <w:tcPr>
            <w:tcW w:w="2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(1,435)</w:t>
            </w: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583</w:t>
            </w:r>
          </w:p>
        </w:tc>
      </w:tr>
      <w:tr>
        <w:trPr>
          <w:trHeight w:val="260"/>
        </w:trPr>
        <w:tc>
          <w:tcPr>
            <w:tcW w:w="220" w:type="dxa"/>
            <w:vAlign w:val="bottom"/>
          </w:tcPr>
          <w:p>
            <w:pPr>
              <w:spacing w:after="0"/>
              <w:rPr>
                <w:sz w:val="22"/>
                <w:szCs w:val="22"/>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b w:val="1"/>
                <w:bCs w:val="1"/>
                <w:color w:val="auto"/>
              </w:rPr>
              <w:t>168,590</w:t>
            </w:r>
          </w:p>
        </w:tc>
        <w:tc>
          <w:tcPr>
            <w:tcW w:w="280" w:type="dxa"/>
            <w:vAlign w:val="bottom"/>
          </w:tcPr>
          <w:p>
            <w:pPr>
              <w:spacing w:after="0"/>
              <w:rPr>
                <w:sz w:val="22"/>
                <w:szCs w:val="22"/>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(100,655)</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1,293,843</w:t>
            </w:r>
          </w:p>
        </w:tc>
      </w:tr>
      <w:tr>
        <w:trPr>
          <w:trHeight w:val="274"/>
        </w:trPr>
        <w:tc>
          <w:tcPr>
            <w:tcW w:w="22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2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(631)</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(847)</w:t>
            </w:r>
          </w:p>
        </w:tc>
      </w:tr>
      <w:tr>
        <w:trPr>
          <w:trHeight w:val="264"/>
        </w:trPr>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168,590</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(101,286)</w:t>
            </w: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  1,292,996</w:t>
            </w:r>
          </w:p>
        </w:tc>
      </w:tr>
      <w:tr>
        <w:trPr>
          <w:trHeight w:val="20"/>
        </w:trPr>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303" w:lineRule="exact"/>
        <w:rPr>
          <w:sz w:val="20"/>
          <w:szCs w:val="20"/>
          <w:color w:val="auto"/>
        </w:rPr>
      </w:pPr>
    </w:p>
    <w:p>
      <w:pPr>
        <w:sectPr>
          <w:pgSz w:w="11900" w:h="16838" w:orient="portrait"/>
          <w:cols w:equalWidth="0" w:num="2">
            <w:col w:w="7060" w:space="720"/>
            <w:col w:w="3640"/>
          </w:cols>
          <w:pgMar w:left="240" w:top="736" w:right="239" w:bottom="1440" w:gutter="0" w:footer="0" w:header="0"/>
          <w:type w:val="continuous"/>
        </w:sectPr>
      </w:pPr>
    </w:p>
    <w:tbl>
      <w:tblPr>
        <w:tblLayout w:type="fixed"/>
        <w:tblInd w:w="40" w:type="dxa"/>
        <w:tblCellMar>
          <w:top w:w="0" w:type="dxa"/>
          <w:left w:w="0" w:type="dxa"/>
          <w:bottom w:w="0" w:type="dxa"/>
          <w:right w:w="0" w:type="dxa"/>
        </w:tblCellMar>
      </w:tblPr>
      <w:tr>
        <w:trPr>
          <w:trHeight w:val="229"/>
        </w:trPr>
        <w:tc>
          <w:tcPr>
            <w:tcW w:w="7740" w:type="dxa"/>
            <w:vAlign w:val="bottom"/>
          </w:tcPr>
          <w:p>
            <w:pPr>
              <w:spacing w:after="0"/>
              <w:rPr>
                <w:sz w:val="20"/>
                <w:szCs w:val="20"/>
                <w:color w:val="auto"/>
              </w:rPr>
            </w:pPr>
            <w:r>
              <w:rPr>
                <w:rFonts w:ascii="Arial" w:cs="Arial" w:eastAsia="Arial" w:hAnsi="Arial"/>
                <w:sz w:val="16"/>
                <w:szCs w:val="16"/>
                <w:color w:val="auto"/>
              </w:rPr>
              <w:t>Income (loss) from continuing operations</w:t>
            </w:r>
          </w:p>
        </w:tc>
        <w:tc>
          <w:tcPr>
            <w:tcW w:w="28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880" w:type="dxa"/>
            <w:vAlign w:val="bottom"/>
          </w:tcPr>
          <w:p>
            <w:pPr>
              <w:jc w:val="right"/>
              <w:ind w:right="39"/>
              <w:spacing w:after="0"/>
              <w:rPr>
                <w:sz w:val="20"/>
                <w:szCs w:val="20"/>
                <w:color w:val="auto"/>
              </w:rPr>
            </w:pPr>
            <w:r>
              <w:rPr>
                <w:rFonts w:ascii="Arial" w:cs="Arial" w:eastAsia="Arial" w:hAnsi="Arial"/>
                <w:sz w:val="16"/>
                <w:szCs w:val="16"/>
                <w:b w:val="1"/>
                <w:bCs w:val="1"/>
                <w:color w:val="auto"/>
              </w:rPr>
              <w:t>168,590</w:t>
            </w:r>
          </w:p>
        </w:tc>
        <w:tc>
          <w:tcPr>
            <w:tcW w:w="3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(143,456)</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765,139</w:t>
            </w:r>
          </w:p>
        </w:tc>
        <w:tc>
          <w:tcPr>
            <w:tcW w:w="0" w:type="dxa"/>
            <w:vAlign w:val="bottom"/>
          </w:tcPr>
          <w:p>
            <w:pPr>
              <w:spacing w:after="0"/>
              <w:rPr>
                <w:sz w:val="1"/>
                <w:szCs w:val="1"/>
                <w:color w:val="auto"/>
              </w:rPr>
            </w:pPr>
          </w:p>
        </w:tc>
      </w:tr>
      <w:tr>
        <w:trPr>
          <w:trHeight w:val="274"/>
        </w:trPr>
        <w:tc>
          <w:tcPr>
            <w:tcW w:w="7740" w:type="dxa"/>
            <w:vAlign w:val="bottom"/>
          </w:tcPr>
          <w:p>
            <w:pPr>
              <w:spacing w:after="0"/>
              <w:rPr>
                <w:sz w:val="20"/>
                <w:szCs w:val="20"/>
                <w:color w:val="auto"/>
              </w:rPr>
            </w:pPr>
            <w:r>
              <w:rPr>
                <w:rFonts w:ascii="Arial" w:cs="Arial" w:eastAsia="Arial" w:hAnsi="Arial"/>
                <w:sz w:val="16"/>
                <w:szCs w:val="16"/>
                <w:color w:val="auto"/>
              </w:rPr>
              <w:t>Income from discontinued operations, net of tax</w:t>
            </w:r>
          </w:p>
        </w:tc>
        <w:tc>
          <w:tcPr>
            <w:tcW w:w="28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36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42,170</w:t>
            </w:r>
          </w:p>
        </w:tc>
        <w:tc>
          <w:tcPr>
            <w:tcW w:w="28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527,857</w:t>
            </w:r>
          </w:p>
        </w:tc>
        <w:tc>
          <w:tcPr>
            <w:tcW w:w="0" w:type="dxa"/>
            <w:vAlign w:val="bottom"/>
          </w:tcPr>
          <w:p>
            <w:pPr>
              <w:spacing w:after="0"/>
              <w:rPr>
                <w:sz w:val="1"/>
                <w:szCs w:val="1"/>
                <w:color w:val="auto"/>
              </w:rPr>
            </w:pPr>
          </w:p>
        </w:tc>
      </w:tr>
      <w:tr>
        <w:trPr>
          <w:trHeight w:val="265"/>
        </w:trPr>
        <w:tc>
          <w:tcPr>
            <w:tcW w:w="7740" w:type="dxa"/>
            <w:vAlign w:val="bottom"/>
          </w:tcPr>
          <w:p>
            <w:pPr>
              <w:spacing w:after="0"/>
              <w:rPr>
                <w:sz w:val="20"/>
                <w:szCs w:val="20"/>
                <w:color w:val="auto"/>
              </w:rPr>
            </w:pPr>
            <w:r>
              <w:rPr>
                <w:rFonts w:ascii="Arial" w:cs="Arial" w:eastAsia="Arial" w:hAnsi="Arial"/>
                <w:sz w:val="16"/>
                <w:szCs w:val="16"/>
                <w:color w:val="auto"/>
              </w:rPr>
              <w:t>Net income (loss) attributable to Graham Holdings Company common stockholders</w:t>
            </w: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168,590</w:t>
            </w:r>
          </w:p>
        </w:tc>
        <w:tc>
          <w:tcPr>
            <w:tcW w:w="3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(101,286)</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1,292,996</w:t>
            </w:r>
          </w:p>
        </w:tc>
        <w:tc>
          <w:tcPr>
            <w:tcW w:w="0" w:type="dxa"/>
            <w:vAlign w:val="bottom"/>
          </w:tcPr>
          <w:p>
            <w:pPr>
              <w:spacing w:after="0"/>
              <w:rPr>
                <w:sz w:val="1"/>
                <w:szCs w:val="1"/>
                <w:color w:val="auto"/>
              </w:rPr>
            </w:pPr>
          </w:p>
        </w:tc>
      </w:tr>
      <w:tr>
        <w:trPr>
          <w:trHeight w:val="20"/>
        </w:trPr>
        <w:tc>
          <w:tcPr>
            <w:tcW w:w="7740" w:type="dxa"/>
            <w:vAlign w:val="bottom"/>
            <w:vMerge w:val="restart"/>
          </w:tcPr>
          <w:p>
            <w:pPr>
              <w:spacing w:after="0"/>
              <w:rPr>
                <w:sz w:val="20"/>
                <w:szCs w:val="20"/>
                <w:color w:val="auto"/>
              </w:rPr>
            </w:pPr>
            <w:r>
              <w:rPr>
                <w:rFonts w:ascii="Arial" w:cs="Arial" w:eastAsia="Arial" w:hAnsi="Arial"/>
                <w:sz w:val="16"/>
                <w:szCs w:val="16"/>
                <w:b w:val="1"/>
                <w:bCs w:val="1"/>
                <w:color w:val="auto"/>
              </w:rPr>
              <w:t>Per Share Information Attributable to Graham Holdings Company Common Stockholders</w:t>
            </w: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7740" w:type="dxa"/>
            <w:vAlign w:val="bottom"/>
            <w:vMerge w:val="continue"/>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7740" w:type="dxa"/>
            <w:vAlign w:val="bottom"/>
          </w:tcPr>
          <w:p>
            <w:pPr>
              <w:spacing w:after="0"/>
              <w:rPr>
                <w:sz w:val="20"/>
                <w:szCs w:val="20"/>
                <w:color w:val="auto"/>
              </w:rPr>
            </w:pPr>
            <w:r>
              <w:rPr>
                <w:rFonts w:ascii="Arial" w:cs="Arial" w:eastAsia="Arial" w:hAnsi="Arial"/>
                <w:sz w:val="16"/>
                <w:szCs w:val="16"/>
                <w:color w:val="auto"/>
              </w:rPr>
              <w:t>Basic income (loss) per common share from continuing operations</w:t>
            </w:r>
          </w:p>
        </w:tc>
        <w:tc>
          <w:tcPr>
            <w:tcW w:w="28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880" w:type="dxa"/>
            <w:vAlign w:val="bottom"/>
          </w:tcPr>
          <w:p>
            <w:pPr>
              <w:jc w:val="right"/>
              <w:ind w:right="39"/>
              <w:spacing w:after="0"/>
              <w:rPr>
                <w:sz w:val="20"/>
                <w:szCs w:val="20"/>
                <w:color w:val="auto"/>
              </w:rPr>
            </w:pPr>
            <w:r>
              <w:rPr>
                <w:rFonts w:ascii="Arial" w:cs="Arial" w:eastAsia="Arial" w:hAnsi="Arial"/>
                <w:sz w:val="16"/>
                <w:szCs w:val="16"/>
                <w:b w:val="1"/>
                <w:bCs w:val="1"/>
                <w:color w:val="auto"/>
              </w:rPr>
              <w:t>29.95</w:t>
            </w:r>
          </w:p>
        </w:tc>
        <w:tc>
          <w:tcPr>
            <w:tcW w:w="3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(25.23)</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115.88</w:t>
            </w:r>
          </w:p>
        </w:tc>
        <w:tc>
          <w:tcPr>
            <w:tcW w:w="0" w:type="dxa"/>
            <w:vAlign w:val="bottom"/>
          </w:tcPr>
          <w:p>
            <w:pPr>
              <w:spacing w:after="0"/>
              <w:rPr>
                <w:sz w:val="1"/>
                <w:szCs w:val="1"/>
                <w:color w:val="auto"/>
              </w:rPr>
            </w:pPr>
          </w:p>
        </w:tc>
      </w:tr>
      <w:tr>
        <w:trPr>
          <w:trHeight w:val="274"/>
        </w:trPr>
        <w:tc>
          <w:tcPr>
            <w:tcW w:w="7740" w:type="dxa"/>
            <w:vAlign w:val="bottom"/>
          </w:tcPr>
          <w:p>
            <w:pPr>
              <w:spacing w:after="0"/>
              <w:rPr>
                <w:sz w:val="20"/>
                <w:szCs w:val="20"/>
                <w:color w:val="auto"/>
              </w:rPr>
            </w:pPr>
            <w:r>
              <w:rPr>
                <w:rFonts w:ascii="Arial" w:cs="Arial" w:eastAsia="Arial" w:hAnsi="Arial"/>
                <w:sz w:val="16"/>
                <w:szCs w:val="16"/>
                <w:color w:val="auto"/>
              </w:rPr>
              <w:t>Basic income per common share from discontinued operations</w:t>
            </w:r>
          </w:p>
        </w:tc>
        <w:tc>
          <w:tcPr>
            <w:tcW w:w="28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36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7.36</w:t>
            </w:r>
          </w:p>
        </w:tc>
        <w:tc>
          <w:tcPr>
            <w:tcW w:w="28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79.93</w:t>
            </w:r>
          </w:p>
        </w:tc>
        <w:tc>
          <w:tcPr>
            <w:tcW w:w="0" w:type="dxa"/>
            <w:vAlign w:val="bottom"/>
          </w:tcPr>
          <w:p>
            <w:pPr>
              <w:spacing w:after="0"/>
              <w:rPr>
                <w:sz w:val="1"/>
                <w:szCs w:val="1"/>
                <w:color w:val="auto"/>
              </w:rPr>
            </w:pPr>
          </w:p>
        </w:tc>
      </w:tr>
      <w:tr>
        <w:trPr>
          <w:trHeight w:val="266"/>
        </w:trPr>
        <w:tc>
          <w:tcPr>
            <w:tcW w:w="7740" w:type="dxa"/>
            <w:vAlign w:val="bottom"/>
          </w:tcPr>
          <w:p>
            <w:pPr>
              <w:spacing w:after="0"/>
              <w:rPr>
                <w:sz w:val="20"/>
                <w:szCs w:val="20"/>
                <w:color w:val="auto"/>
              </w:rPr>
            </w:pPr>
            <w:r>
              <w:rPr>
                <w:rFonts w:ascii="Arial" w:cs="Arial" w:eastAsia="Arial" w:hAnsi="Arial"/>
                <w:sz w:val="16"/>
                <w:szCs w:val="16"/>
                <w:color w:val="auto"/>
              </w:rPr>
              <w:t>Basic net income (loss) per common share</w:t>
            </w: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29.95</w:t>
            </w:r>
          </w:p>
        </w:tc>
        <w:tc>
          <w:tcPr>
            <w:tcW w:w="3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(17.87)</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195.81</w:t>
            </w:r>
          </w:p>
        </w:tc>
        <w:tc>
          <w:tcPr>
            <w:tcW w:w="0" w:type="dxa"/>
            <w:vAlign w:val="bottom"/>
          </w:tcPr>
          <w:p>
            <w:pPr>
              <w:spacing w:after="0"/>
              <w:rPr>
                <w:sz w:val="1"/>
                <w:szCs w:val="1"/>
                <w:color w:val="auto"/>
              </w:rPr>
            </w:pPr>
          </w:p>
        </w:tc>
      </w:tr>
      <w:tr>
        <w:trPr>
          <w:trHeight w:val="20"/>
        </w:trPr>
        <w:tc>
          <w:tcPr>
            <w:tcW w:w="77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7740" w:type="dxa"/>
            <w:vAlign w:val="bottom"/>
          </w:tcPr>
          <w:p>
            <w:pPr>
              <w:spacing w:after="0"/>
              <w:rPr>
                <w:sz w:val="20"/>
                <w:szCs w:val="20"/>
                <w:color w:val="auto"/>
              </w:rPr>
            </w:pPr>
            <w:r>
              <w:rPr>
                <w:rFonts w:ascii="Arial" w:cs="Arial" w:eastAsia="Arial" w:hAnsi="Arial"/>
                <w:sz w:val="16"/>
                <w:szCs w:val="16"/>
                <w:color w:val="auto"/>
              </w:rPr>
              <w:t>Basic average number of common shares outstanding</w:t>
            </w:r>
          </w:p>
        </w:tc>
        <w:tc>
          <w:tcPr>
            <w:tcW w:w="2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5,559</w:t>
            </w:r>
          </w:p>
        </w:tc>
        <w:tc>
          <w:tcPr>
            <w:tcW w:w="3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5,727</w:t>
            </w:r>
          </w:p>
        </w:tc>
        <w:tc>
          <w:tcPr>
            <w:tcW w:w="2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6,470</w:t>
            </w:r>
          </w:p>
        </w:tc>
        <w:tc>
          <w:tcPr>
            <w:tcW w:w="0" w:type="dxa"/>
            <w:vAlign w:val="bottom"/>
          </w:tcPr>
          <w:p>
            <w:pPr>
              <w:spacing w:after="0"/>
              <w:rPr>
                <w:sz w:val="1"/>
                <w:szCs w:val="1"/>
                <w:color w:val="auto"/>
              </w:rPr>
            </w:pPr>
          </w:p>
        </w:tc>
      </w:tr>
      <w:tr>
        <w:trPr>
          <w:trHeight w:val="20"/>
        </w:trPr>
        <w:tc>
          <w:tcPr>
            <w:tcW w:w="77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7740" w:type="dxa"/>
            <w:vAlign w:val="bottom"/>
          </w:tcPr>
          <w:p>
            <w:pPr>
              <w:spacing w:after="0"/>
              <w:rPr>
                <w:sz w:val="20"/>
                <w:szCs w:val="20"/>
                <w:color w:val="auto"/>
              </w:rPr>
            </w:pPr>
            <w:r>
              <w:rPr>
                <w:rFonts w:ascii="Arial" w:cs="Arial" w:eastAsia="Arial" w:hAnsi="Arial"/>
                <w:sz w:val="16"/>
                <w:szCs w:val="16"/>
                <w:color w:val="auto"/>
              </w:rPr>
              <w:t>Diluted income (loss) per common share from continuing operations</w:t>
            </w:r>
          </w:p>
        </w:tc>
        <w:tc>
          <w:tcPr>
            <w:tcW w:w="28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880" w:type="dxa"/>
            <w:vAlign w:val="bottom"/>
          </w:tcPr>
          <w:p>
            <w:pPr>
              <w:jc w:val="right"/>
              <w:ind w:right="39"/>
              <w:spacing w:after="0"/>
              <w:rPr>
                <w:sz w:val="20"/>
                <w:szCs w:val="20"/>
                <w:color w:val="auto"/>
              </w:rPr>
            </w:pPr>
            <w:r>
              <w:rPr>
                <w:rFonts w:ascii="Arial" w:cs="Arial" w:eastAsia="Arial" w:hAnsi="Arial"/>
                <w:sz w:val="16"/>
                <w:szCs w:val="16"/>
                <w:b w:val="1"/>
                <w:bCs w:val="1"/>
                <w:color w:val="auto"/>
              </w:rPr>
              <w:t>29.80</w:t>
            </w:r>
          </w:p>
        </w:tc>
        <w:tc>
          <w:tcPr>
            <w:tcW w:w="3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(25.23)</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115.40</w:t>
            </w:r>
          </w:p>
        </w:tc>
        <w:tc>
          <w:tcPr>
            <w:tcW w:w="0" w:type="dxa"/>
            <w:vAlign w:val="bottom"/>
          </w:tcPr>
          <w:p>
            <w:pPr>
              <w:spacing w:after="0"/>
              <w:rPr>
                <w:sz w:val="1"/>
                <w:szCs w:val="1"/>
                <w:color w:val="auto"/>
              </w:rPr>
            </w:pPr>
          </w:p>
        </w:tc>
      </w:tr>
      <w:tr>
        <w:trPr>
          <w:trHeight w:val="274"/>
        </w:trPr>
        <w:tc>
          <w:tcPr>
            <w:tcW w:w="7740" w:type="dxa"/>
            <w:vAlign w:val="bottom"/>
          </w:tcPr>
          <w:p>
            <w:pPr>
              <w:spacing w:after="0"/>
              <w:rPr>
                <w:sz w:val="20"/>
                <w:szCs w:val="20"/>
                <w:color w:val="auto"/>
              </w:rPr>
            </w:pPr>
            <w:r>
              <w:rPr>
                <w:rFonts w:ascii="Arial" w:cs="Arial" w:eastAsia="Arial" w:hAnsi="Arial"/>
                <w:sz w:val="16"/>
                <w:szCs w:val="16"/>
                <w:color w:val="auto"/>
              </w:rPr>
              <w:t>Diluted income per common share from discontinued operations</w:t>
            </w:r>
          </w:p>
        </w:tc>
        <w:tc>
          <w:tcPr>
            <w:tcW w:w="28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36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7.36</w:t>
            </w:r>
          </w:p>
        </w:tc>
        <w:tc>
          <w:tcPr>
            <w:tcW w:w="28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79.63</w:t>
            </w:r>
          </w:p>
        </w:tc>
        <w:tc>
          <w:tcPr>
            <w:tcW w:w="0" w:type="dxa"/>
            <w:vAlign w:val="bottom"/>
          </w:tcPr>
          <w:p>
            <w:pPr>
              <w:spacing w:after="0"/>
              <w:rPr>
                <w:sz w:val="1"/>
                <w:szCs w:val="1"/>
                <w:color w:val="auto"/>
              </w:rPr>
            </w:pPr>
          </w:p>
        </w:tc>
      </w:tr>
      <w:tr>
        <w:trPr>
          <w:trHeight w:val="266"/>
        </w:trPr>
        <w:tc>
          <w:tcPr>
            <w:tcW w:w="7740" w:type="dxa"/>
            <w:vAlign w:val="bottom"/>
          </w:tcPr>
          <w:p>
            <w:pPr>
              <w:spacing w:after="0"/>
              <w:rPr>
                <w:sz w:val="20"/>
                <w:szCs w:val="20"/>
                <w:color w:val="auto"/>
              </w:rPr>
            </w:pPr>
            <w:r>
              <w:rPr>
                <w:rFonts w:ascii="Arial" w:cs="Arial" w:eastAsia="Arial" w:hAnsi="Arial"/>
                <w:sz w:val="16"/>
                <w:szCs w:val="16"/>
                <w:color w:val="auto"/>
              </w:rPr>
              <w:t>Diluted net income (loss) per common share</w:t>
            </w: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29.80</w:t>
            </w:r>
          </w:p>
        </w:tc>
        <w:tc>
          <w:tcPr>
            <w:tcW w:w="3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(17.87)</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195.03</w:t>
            </w:r>
          </w:p>
        </w:tc>
        <w:tc>
          <w:tcPr>
            <w:tcW w:w="0" w:type="dxa"/>
            <w:vAlign w:val="bottom"/>
          </w:tcPr>
          <w:p>
            <w:pPr>
              <w:spacing w:after="0"/>
              <w:rPr>
                <w:sz w:val="1"/>
                <w:szCs w:val="1"/>
                <w:color w:val="auto"/>
              </w:rPr>
            </w:pPr>
          </w:p>
        </w:tc>
      </w:tr>
      <w:tr>
        <w:trPr>
          <w:trHeight w:val="20"/>
        </w:trPr>
        <w:tc>
          <w:tcPr>
            <w:tcW w:w="77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7740" w:type="dxa"/>
            <w:vAlign w:val="bottom"/>
          </w:tcPr>
          <w:p>
            <w:pPr>
              <w:spacing w:after="0"/>
              <w:rPr>
                <w:sz w:val="20"/>
                <w:szCs w:val="20"/>
                <w:color w:val="auto"/>
              </w:rPr>
            </w:pPr>
            <w:r>
              <w:rPr>
                <w:rFonts w:ascii="Arial" w:cs="Arial" w:eastAsia="Arial" w:hAnsi="Arial"/>
                <w:sz w:val="16"/>
                <w:szCs w:val="16"/>
                <w:color w:val="auto"/>
              </w:rPr>
              <w:t>Diluted average number of common shares outstanding</w:t>
            </w:r>
          </w:p>
        </w:tc>
        <w:tc>
          <w:tcPr>
            <w:tcW w:w="2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5,589</w:t>
            </w:r>
          </w:p>
        </w:tc>
        <w:tc>
          <w:tcPr>
            <w:tcW w:w="3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5,727</w:t>
            </w:r>
          </w:p>
        </w:tc>
        <w:tc>
          <w:tcPr>
            <w:tcW w:w="2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6,559</w:t>
            </w:r>
          </w:p>
        </w:tc>
        <w:tc>
          <w:tcPr>
            <w:tcW w:w="0" w:type="dxa"/>
            <w:vAlign w:val="bottom"/>
          </w:tcPr>
          <w:p>
            <w:pPr>
              <w:spacing w:after="0"/>
              <w:rPr>
                <w:sz w:val="1"/>
                <w:szCs w:val="1"/>
                <w:color w:val="auto"/>
              </w:rPr>
            </w:pPr>
          </w:p>
        </w:tc>
      </w:tr>
      <w:tr>
        <w:trPr>
          <w:trHeight w:val="20"/>
        </w:trPr>
        <w:tc>
          <w:tcPr>
            <w:tcW w:w="77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9"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Consolidated Financial Statements.</w:t>
      </w:r>
    </w:p>
    <w:p>
      <w:pPr>
        <w:sectPr>
          <w:pgSz w:w="11900" w:h="16838" w:orient="portrait"/>
          <w:cols w:equalWidth="0" w:num="1">
            <w:col w:w="11420"/>
          </w:cols>
          <w:pgMar w:left="240" w:top="736" w:right="239" w:bottom="1440" w:gutter="0" w:footer="0" w:header="0"/>
          <w:type w:val="continuous"/>
        </w:sect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63</w:t>
      </w:r>
    </w:p>
    <w:p>
      <w:pPr>
        <w:sectPr>
          <w:pgSz w:w="11900" w:h="16838" w:orient="portrait"/>
          <w:cols w:equalWidth="0" w:num="1">
            <w:col w:w="11420"/>
          </w:cols>
          <w:pgMar w:left="240" w:top="736" w:right="239" w:bottom="1440" w:gutter="0" w:footer="0" w:header="0"/>
          <w:type w:val="continuous"/>
        </w:sectPr>
      </w:pPr>
    </w:p>
    <w:bookmarkStart w:id="65" w:name="page66"/>
    <w:bookmarkEnd w:id="65"/>
    <w:p>
      <w:pPr>
        <w:jc w:val="center"/>
        <w:spacing w:after="0"/>
        <w:rPr>
          <w:sz w:val="20"/>
          <w:szCs w:val="20"/>
          <w:color w:val="auto"/>
        </w:rPr>
      </w:pPr>
      <w:r>
        <w:rPr>
          <w:rFonts w:ascii="Arial" w:cs="Arial" w:eastAsia="Arial" w:hAnsi="Arial"/>
          <w:sz w:val="18"/>
          <w:szCs w:val="18"/>
          <w:b w:val="1"/>
          <w:bCs w:val="1"/>
          <w:color w:val="auto"/>
        </w:rPr>
        <w:t>GRAHAM HOLDINGS COMPANY</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157" w:lineRule="exact"/>
        <w:rPr>
          <w:sz w:val="20"/>
          <w:szCs w:val="20"/>
          <w:color w:val="auto"/>
        </w:rPr>
      </w:pPr>
    </w:p>
    <w:p>
      <w:pPr>
        <w:ind w:left="876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4936490</wp:posOffset>
            </wp:positionH>
            <wp:positionV relativeFrom="paragraph">
              <wp:posOffset>27305</wp:posOffset>
            </wp:positionV>
            <wp:extent cx="231521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5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440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2016</w:t>
            </w:r>
          </w:p>
        </w:tc>
        <w:tc>
          <w:tcPr>
            <w:tcW w:w="126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color w:val="auto"/>
              </w:rPr>
              <w:t>2015</w:t>
            </w:r>
          </w:p>
        </w:tc>
        <w:tc>
          <w:tcPr>
            <w:tcW w:w="118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2014</w:t>
            </w:r>
          </w:p>
        </w:tc>
      </w:tr>
    </w:tbl>
    <w:p>
      <w:pPr>
        <w:spacing w:after="0" w:line="34" w:lineRule="exact"/>
        <w:rPr>
          <w:sz w:val="20"/>
          <w:szCs w:val="20"/>
          <w:color w:val="auto"/>
        </w:rPr>
      </w:pPr>
    </w:p>
    <w:p>
      <w:pPr>
        <w:sectPr>
          <w:pgSz w:w="11900" w:h="16838" w:orient="portrait"/>
          <w:cols w:equalWidth="0" w:num="1">
            <w:col w:w="11420"/>
          </w:cols>
          <w:pgMar w:left="240" w:top="736" w:right="239" w:bottom="1440" w:gutter="0" w:footer="0" w:header="0"/>
        </w:sectPr>
      </w:pPr>
    </w:p>
    <w:p>
      <w:pPr>
        <w:ind w:left="40"/>
        <w:spacing w:after="0"/>
        <w:rPr>
          <w:sz w:val="20"/>
          <w:szCs w:val="20"/>
          <w:color w:val="auto"/>
        </w:rPr>
      </w:pPr>
      <w:r>
        <w:rPr>
          <w:rFonts w:ascii="Arial" w:cs="Arial" w:eastAsia="Arial" w:hAnsi="Arial"/>
          <w:sz w:val="16"/>
          <w:szCs w:val="16"/>
          <w:b w:val="1"/>
          <w:bCs w:val="1"/>
          <w:color w:val="auto"/>
        </w:rPr>
        <w:t>Net Income (Loss)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Other Comprehensive Loss, Before Tax</w:t>
      </w:r>
    </w:p>
    <w:p>
      <w:pPr>
        <w:spacing w:after="0" w:line="88" w:lineRule="exact"/>
        <w:rPr>
          <w:sz w:val="20"/>
          <w:szCs w:val="20"/>
          <w:color w:val="auto"/>
        </w:rPr>
      </w:pPr>
    </w:p>
    <w:p>
      <w:pPr>
        <w:ind w:left="280"/>
        <w:spacing w:after="0"/>
        <w:rPr>
          <w:sz w:val="20"/>
          <w:szCs w:val="20"/>
          <w:color w:val="auto"/>
        </w:rPr>
      </w:pPr>
      <w:r>
        <w:rPr>
          <w:rFonts w:ascii="Arial" w:cs="Arial" w:eastAsia="Arial" w:hAnsi="Arial"/>
          <w:sz w:val="16"/>
          <w:szCs w:val="16"/>
          <w:color w:val="auto"/>
        </w:rPr>
        <w:t>Foreign currency translation adjustments:</w:t>
      </w:r>
    </w:p>
    <w:p>
      <w:pPr>
        <w:spacing w:after="0" w:line="86" w:lineRule="exact"/>
        <w:rPr>
          <w:sz w:val="20"/>
          <w:szCs w:val="20"/>
          <w:color w:val="auto"/>
        </w:rPr>
      </w:pPr>
    </w:p>
    <w:p>
      <w:pPr>
        <w:ind w:left="500" w:right="3060"/>
        <w:spacing w:after="0" w:line="397" w:lineRule="auto"/>
        <w:rPr>
          <w:sz w:val="20"/>
          <w:szCs w:val="20"/>
          <w:color w:val="auto"/>
        </w:rPr>
      </w:pPr>
      <w:r>
        <w:rPr>
          <w:rFonts w:ascii="Arial" w:cs="Arial" w:eastAsia="Arial" w:hAnsi="Arial"/>
          <w:sz w:val="16"/>
          <w:szCs w:val="16"/>
          <w:color w:val="auto"/>
        </w:rPr>
        <w:t>Translation adjustments arising during the year Adjustment for sales of businesses with foreign operations</w:t>
      </w:r>
    </w:p>
    <w:p>
      <w:pPr>
        <w:spacing w:after="0" w:line="215" w:lineRule="exact"/>
        <w:rPr>
          <w:sz w:val="20"/>
          <w:szCs w:val="20"/>
          <w:color w:val="auto"/>
        </w:rPr>
      </w:pPr>
    </w:p>
    <w:p>
      <w:pPr>
        <w:ind w:left="280"/>
        <w:spacing w:after="0"/>
        <w:rPr>
          <w:sz w:val="20"/>
          <w:szCs w:val="20"/>
          <w:color w:val="auto"/>
        </w:rPr>
      </w:pPr>
      <w:r>
        <w:rPr>
          <w:rFonts w:ascii="Arial" w:cs="Arial" w:eastAsia="Arial" w:hAnsi="Arial"/>
          <w:sz w:val="16"/>
          <w:szCs w:val="16"/>
          <w:color w:val="auto"/>
        </w:rPr>
        <w:t>Unrealized gains on available-for-sale securities:</w:t>
      </w:r>
    </w:p>
    <w:p>
      <w:pPr>
        <w:spacing w:after="0" w:line="86" w:lineRule="exact"/>
        <w:rPr>
          <w:sz w:val="20"/>
          <w:szCs w:val="20"/>
          <w:color w:val="auto"/>
        </w:rPr>
      </w:pPr>
    </w:p>
    <w:p>
      <w:pPr>
        <w:ind w:left="500"/>
        <w:spacing w:after="0"/>
        <w:rPr>
          <w:sz w:val="20"/>
          <w:szCs w:val="20"/>
          <w:color w:val="auto"/>
        </w:rPr>
      </w:pPr>
      <w:r>
        <w:rPr>
          <w:rFonts w:ascii="Arial" w:cs="Arial" w:eastAsia="Arial" w:hAnsi="Arial"/>
          <w:sz w:val="16"/>
          <w:szCs w:val="16"/>
          <w:color w:val="auto"/>
        </w:rPr>
        <w:t>Unrealized gains for the year</w:t>
      </w:r>
    </w:p>
    <w:p>
      <w:pPr>
        <w:spacing w:after="0" w:line="59" w:lineRule="exact"/>
        <w:rPr>
          <w:sz w:val="20"/>
          <w:szCs w:val="20"/>
          <w:color w:val="auto"/>
        </w:rPr>
      </w:pPr>
    </w:p>
    <w:p>
      <w:pPr>
        <w:ind w:left="660" w:hanging="161"/>
        <w:spacing w:after="0" w:line="291" w:lineRule="auto"/>
        <w:rPr>
          <w:sz w:val="20"/>
          <w:szCs w:val="20"/>
          <w:color w:val="auto"/>
        </w:rPr>
      </w:pPr>
      <w:r>
        <w:rPr>
          <w:rFonts w:ascii="Arial" w:cs="Arial" w:eastAsia="Arial" w:hAnsi="Arial"/>
          <w:sz w:val="16"/>
          <w:szCs w:val="16"/>
          <w:color w:val="auto"/>
        </w:rPr>
        <w:t>Reclassification adjustment for realization of loss (gain) on exchange, sale or write-down of available-for-sale securities included in net income</w:t>
      </w:r>
    </w:p>
    <w:p>
      <w:pPr>
        <w:spacing w:after="0" w:line="297" w:lineRule="exact"/>
        <w:rPr>
          <w:sz w:val="20"/>
          <w:szCs w:val="20"/>
          <w:color w:val="auto"/>
        </w:rPr>
      </w:pPr>
    </w:p>
    <w:p>
      <w:pPr>
        <w:ind w:left="280"/>
        <w:spacing w:after="0"/>
        <w:rPr>
          <w:sz w:val="20"/>
          <w:szCs w:val="20"/>
          <w:color w:val="auto"/>
        </w:rPr>
      </w:pPr>
      <w:r>
        <w:rPr>
          <w:rFonts w:ascii="Arial" w:cs="Arial" w:eastAsia="Arial" w:hAnsi="Arial"/>
          <w:sz w:val="16"/>
          <w:szCs w:val="16"/>
          <w:color w:val="auto"/>
        </w:rPr>
        <w:t>Pension and other postretirement plans:</w:t>
      </w:r>
    </w:p>
    <w:p>
      <w:pPr>
        <w:spacing w:after="0" w:line="86" w:lineRule="exact"/>
        <w:rPr>
          <w:sz w:val="20"/>
          <w:szCs w:val="20"/>
          <w:color w:val="auto"/>
        </w:rPr>
      </w:pPr>
    </w:p>
    <w:p>
      <w:pPr>
        <w:ind w:left="500"/>
        <w:spacing w:after="0"/>
        <w:rPr>
          <w:sz w:val="20"/>
          <w:szCs w:val="20"/>
          <w:color w:val="auto"/>
        </w:rPr>
      </w:pPr>
      <w:r>
        <w:rPr>
          <w:rFonts w:ascii="Arial" w:cs="Arial" w:eastAsia="Arial" w:hAnsi="Arial"/>
          <w:sz w:val="16"/>
          <w:szCs w:val="16"/>
          <w:color w:val="auto"/>
        </w:rPr>
        <w:t>Actuarial loss</w:t>
      </w:r>
    </w:p>
    <w:p>
      <w:pPr>
        <w:spacing w:after="0" w:line="86" w:lineRule="exact"/>
        <w:rPr>
          <w:sz w:val="20"/>
          <w:szCs w:val="20"/>
          <w:color w:val="auto"/>
        </w:rPr>
      </w:pPr>
    </w:p>
    <w:p>
      <w:pPr>
        <w:ind w:left="500"/>
        <w:spacing w:after="0"/>
        <w:rPr>
          <w:sz w:val="20"/>
          <w:szCs w:val="20"/>
          <w:color w:val="auto"/>
        </w:rPr>
      </w:pPr>
      <w:r>
        <w:rPr>
          <w:rFonts w:ascii="Arial" w:cs="Arial" w:eastAsia="Arial" w:hAnsi="Arial"/>
          <w:sz w:val="16"/>
          <w:szCs w:val="16"/>
          <w:color w:val="auto"/>
        </w:rPr>
        <w:t>Prior service cost</w:t>
      </w:r>
    </w:p>
    <w:p>
      <w:pPr>
        <w:spacing w:after="0" w:line="86" w:lineRule="exact"/>
        <w:rPr>
          <w:sz w:val="20"/>
          <w:szCs w:val="20"/>
          <w:color w:val="auto"/>
        </w:rPr>
      </w:pPr>
    </w:p>
    <w:p>
      <w:pPr>
        <w:ind w:left="500"/>
        <w:spacing w:after="0"/>
        <w:rPr>
          <w:sz w:val="20"/>
          <w:szCs w:val="20"/>
          <w:color w:val="auto"/>
        </w:rPr>
      </w:pPr>
      <w:r>
        <w:rPr>
          <w:rFonts w:ascii="Arial" w:cs="Arial" w:eastAsia="Arial" w:hAnsi="Arial"/>
          <w:sz w:val="16"/>
          <w:szCs w:val="16"/>
          <w:color w:val="auto"/>
        </w:rPr>
        <w:t>Amortization of net actuarial loss (gain) included in net income</w:t>
      </w:r>
    </w:p>
    <w:p>
      <w:pPr>
        <w:spacing w:after="0" w:line="86" w:lineRule="exact"/>
        <w:rPr>
          <w:sz w:val="20"/>
          <w:szCs w:val="20"/>
          <w:color w:val="auto"/>
        </w:rPr>
      </w:pPr>
    </w:p>
    <w:p>
      <w:pPr>
        <w:ind w:left="500"/>
        <w:spacing w:after="0"/>
        <w:rPr>
          <w:sz w:val="20"/>
          <w:szCs w:val="20"/>
          <w:color w:val="auto"/>
        </w:rPr>
      </w:pPr>
      <w:r>
        <w:rPr>
          <w:rFonts w:ascii="Arial" w:cs="Arial" w:eastAsia="Arial" w:hAnsi="Arial"/>
          <w:sz w:val="16"/>
          <w:szCs w:val="16"/>
          <w:color w:val="auto"/>
        </w:rPr>
        <w:t>Amortization of net prior service cost (credit) included in net income</w:t>
      </w:r>
    </w:p>
    <w:p>
      <w:pPr>
        <w:spacing w:after="0" w:line="86" w:lineRule="exact"/>
        <w:rPr>
          <w:sz w:val="20"/>
          <w:szCs w:val="20"/>
          <w:color w:val="auto"/>
        </w:rPr>
      </w:pPr>
    </w:p>
    <w:p>
      <w:pPr>
        <w:ind w:left="500"/>
        <w:spacing w:after="0"/>
        <w:rPr>
          <w:sz w:val="20"/>
          <w:szCs w:val="20"/>
          <w:color w:val="auto"/>
        </w:rPr>
      </w:pPr>
      <w:r>
        <w:rPr>
          <w:rFonts w:ascii="Arial" w:cs="Arial" w:eastAsia="Arial" w:hAnsi="Arial"/>
          <w:sz w:val="16"/>
          <w:szCs w:val="16"/>
          <w:color w:val="auto"/>
        </w:rPr>
        <w:t>Curtailments and settlements included in net income</w:t>
      </w:r>
    </w:p>
    <w:p>
      <w:pPr>
        <w:spacing w:after="0" w:line="86" w:lineRule="exact"/>
        <w:rPr>
          <w:sz w:val="20"/>
          <w:szCs w:val="20"/>
          <w:color w:val="auto"/>
        </w:rPr>
      </w:pPr>
    </w:p>
    <w:p>
      <w:pPr>
        <w:ind w:left="500"/>
        <w:spacing w:after="0"/>
        <w:rPr>
          <w:sz w:val="20"/>
          <w:szCs w:val="20"/>
          <w:color w:val="auto"/>
        </w:rPr>
      </w:pPr>
      <w:r>
        <w:rPr>
          <w:rFonts w:ascii="Arial" w:cs="Arial" w:eastAsia="Arial" w:hAnsi="Arial"/>
          <w:sz w:val="16"/>
          <w:szCs w:val="16"/>
          <w:color w:val="auto"/>
        </w:rPr>
        <w:t>Curtailments and settlements included in distribution to Cable ONE</w:t>
      </w:r>
    </w:p>
    <w:p>
      <w:pPr>
        <w:spacing w:after="0" w:line="370" w:lineRule="exact"/>
        <w:rPr>
          <w:sz w:val="20"/>
          <w:szCs w:val="20"/>
          <w:color w:val="auto"/>
        </w:rPr>
      </w:pPr>
    </w:p>
    <w:p>
      <w:pPr>
        <w:ind w:left="280"/>
        <w:spacing w:after="0"/>
        <w:rPr>
          <w:sz w:val="20"/>
          <w:szCs w:val="20"/>
          <w:color w:val="auto"/>
        </w:rPr>
      </w:pPr>
      <w:r>
        <w:rPr>
          <w:rFonts w:ascii="Arial" w:cs="Arial" w:eastAsia="Arial" w:hAnsi="Arial"/>
          <w:sz w:val="16"/>
          <w:szCs w:val="16"/>
          <w:color w:val="auto"/>
        </w:rPr>
        <w:t>Cash flow hedge (loss) gain</w:t>
      </w:r>
    </w:p>
    <w:p>
      <w:pPr>
        <w:spacing w:after="0" w:line="98"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Other Comprehensive Loss, Before Tax</w:t>
      </w:r>
    </w:p>
    <w:p>
      <w:pPr>
        <w:spacing w:after="0" w:line="88" w:lineRule="exact"/>
        <w:rPr>
          <w:sz w:val="20"/>
          <w:szCs w:val="20"/>
          <w:color w:val="auto"/>
        </w:rPr>
      </w:pPr>
    </w:p>
    <w:p>
      <w:pPr>
        <w:ind w:left="280"/>
        <w:spacing w:after="0"/>
        <w:rPr>
          <w:sz w:val="20"/>
          <w:szCs w:val="20"/>
          <w:color w:val="auto"/>
        </w:rPr>
      </w:pPr>
      <w:r>
        <w:rPr>
          <w:rFonts w:ascii="Arial" w:cs="Arial" w:eastAsia="Arial" w:hAnsi="Arial"/>
          <w:sz w:val="16"/>
          <w:szCs w:val="16"/>
          <w:color w:val="auto"/>
        </w:rPr>
        <w:t>Income tax benefit related to items of other comprehensive loss</w:t>
      </w:r>
    </w:p>
    <w:p>
      <w:pPr>
        <w:spacing w:after="0" w:line="98"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Other Comprehensive Loss, Net of Tax</w:t>
      </w:r>
    </w:p>
    <w:p>
      <w:pPr>
        <w:spacing w:after="0" w:line="100"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Comprehensive Income (Loss)</w:t>
      </w:r>
    </w:p>
    <w:p>
      <w:pPr>
        <w:spacing w:after="0" w:line="88" w:lineRule="exact"/>
        <w:rPr>
          <w:sz w:val="20"/>
          <w:szCs w:val="20"/>
          <w:color w:val="auto"/>
        </w:rPr>
      </w:pPr>
    </w:p>
    <w:p>
      <w:pPr>
        <w:ind w:left="280"/>
        <w:spacing w:after="0"/>
        <w:rPr>
          <w:sz w:val="20"/>
          <w:szCs w:val="20"/>
          <w:color w:val="auto"/>
        </w:rPr>
      </w:pPr>
      <w:r>
        <w:rPr>
          <w:rFonts w:ascii="Arial" w:cs="Arial" w:eastAsia="Arial" w:hAnsi="Arial"/>
          <w:sz w:val="16"/>
          <w:szCs w:val="16"/>
          <w:color w:val="auto"/>
        </w:rPr>
        <w:t>Comprehensive (income) loss attributable to noncontrolling interests</w:t>
      </w:r>
    </w:p>
    <w:p>
      <w:pPr>
        <w:spacing w:after="0" w:line="111"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Total Comprehensive Income (Loss) Attributable to Graham Holdings Company</w:t>
      </w:r>
    </w:p>
    <w:p>
      <w:pPr>
        <w:spacing w:after="0" w:line="20" w:lineRule="exact"/>
        <w:rPr>
          <w:sz w:val="20"/>
          <w:szCs w:val="20"/>
          <w:color w:val="auto"/>
        </w:rPr>
      </w:pPr>
      <w:r>
        <w:rPr>
          <w:sz w:val="20"/>
          <w:szCs w:val="20"/>
          <w:color w:val="auto"/>
        </w:rPr>
        <w:br w:type="column"/>
      </w:r>
    </w:p>
    <w:p>
      <w:pPr>
        <w:ind w:left="460" w:hanging="439"/>
        <w:spacing w:after="0"/>
        <w:tabs>
          <w:tab w:leader="none" w:pos="460" w:val="left"/>
        </w:tabs>
        <w:numPr>
          <w:ilvl w:val="0"/>
          <w:numId w:val="5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169,458   </w:t>
      </w:r>
      <w:r>
        <w:rPr>
          <w:rFonts w:ascii="Arial" w:cs="Arial" w:eastAsia="Arial" w:hAnsi="Arial"/>
          <w:sz w:val="16"/>
          <w:szCs w:val="16"/>
          <w:color w:val="auto"/>
        </w:rPr>
        <w:t>$(99,220)  $  1,293,260</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60" w:type="dxa"/>
            <w:vAlign w:val="bottom"/>
          </w:tcPr>
          <w:p>
            <w:pPr>
              <w:spacing w:after="0"/>
              <w:rPr>
                <w:sz w:val="19"/>
                <w:szCs w:val="19"/>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b w:val="1"/>
                <w:bCs w:val="1"/>
                <w:color w:val="auto"/>
              </w:rPr>
              <w:t>(22,149)</w:t>
            </w:r>
          </w:p>
        </w:tc>
        <w:tc>
          <w:tcPr>
            <w:tcW w:w="320" w:type="dxa"/>
            <w:vAlign w:val="bottom"/>
          </w:tcPr>
          <w:p>
            <w:pPr>
              <w:spacing w:after="0"/>
              <w:rPr>
                <w:sz w:val="19"/>
                <w:szCs w:val="19"/>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(18,898)</w:t>
            </w:r>
          </w:p>
        </w:tc>
        <w:tc>
          <w:tcPr>
            <w:tcW w:w="1200" w:type="dxa"/>
            <w:vAlign w:val="bottom"/>
          </w:tcPr>
          <w:p>
            <w:pPr>
              <w:jc w:val="right"/>
              <w:spacing w:after="0"/>
              <w:rPr>
                <w:sz w:val="20"/>
                <w:szCs w:val="20"/>
                <w:color w:val="auto"/>
              </w:rPr>
            </w:pPr>
            <w:r>
              <w:rPr>
                <w:rFonts w:ascii="Arial" w:cs="Arial" w:eastAsia="Arial" w:hAnsi="Arial"/>
                <w:sz w:val="16"/>
                <w:szCs w:val="16"/>
                <w:color w:val="auto"/>
              </w:rPr>
              <w:t>(16,061)</w:t>
            </w:r>
          </w:p>
        </w:tc>
      </w:tr>
      <w:tr>
        <w:trPr>
          <w:trHeight w:val="274"/>
        </w:trPr>
        <w:tc>
          <w:tcPr>
            <w:tcW w:w="26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32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5,501</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(404)</w:t>
            </w:r>
          </w:p>
        </w:tc>
      </w:tr>
      <w:tr>
        <w:trPr>
          <w:trHeight w:val="260"/>
        </w:trPr>
        <w:tc>
          <w:tcPr>
            <w:tcW w:w="260" w:type="dxa"/>
            <w:vAlign w:val="bottom"/>
          </w:tcPr>
          <w:p>
            <w:pPr>
              <w:spacing w:after="0"/>
              <w:rPr>
                <w:sz w:val="22"/>
                <w:szCs w:val="22"/>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b w:val="1"/>
                <w:bCs w:val="1"/>
                <w:color w:val="auto"/>
              </w:rPr>
              <w:t>(22,149)</w:t>
            </w:r>
          </w:p>
        </w:tc>
        <w:tc>
          <w:tcPr>
            <w:tcW w:w="320" w:type="dxa"/>
            <w:vAlign w:val="bottom"/>
          </w:tcPr>
          <w:p>
            <w:pPr>
              <w:spacing w:after="0"/>
              <w:rPr>
                <w:sz w:val="22"/>
                <w:szCs w:val="22"/>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(13,397)</w:t>
            </w:r>
          </w:p>
        </w:tc>
        <w:tc>
          <w:tcPr>
            <w:tcW w:w="1200" w:type="dxa"/>
            <w:vAlign w:val="bottom"/>
          </w:tcPr>
          <w:p>
            <w:pPr>
              <w:jc w:val="right"/>
              <w:spacing w:after="0"/>
              <w:rPr>
                <w:sz w:val="20"/>
                <w:szCs w:val="20"/>
                <w:color w:val="auto"/>
              </w:rPr>
            </w:pPr>
            <w:r>
              <w:rPr>
                <w:rFonts w:ascii="Arial" w:cs="Arial" w:eastAsia="Arial" w:hAnsi="Arial"/>
                <w:sz w:val="16"/>
                <w:szCs w:val="16"/>
                <w:color w:val="auto"/>
              </w:rPr>
              <w:t>(16,465)</w:t>
            </w:r>
          </w:p>
        </w:tc>
      </w:tr>
      <w:tr>
        <w:trPr>
          <w:trHeight w:val="540"/>
        </w:trPr>
        <w:tc>
          <w:tcPr>
            <w:tcW w:w="260" w:type="dxa"/>
            <w:vAlign w:val="bottom"/>
          </w:tcPr>
          <w:p>
            <w:pPr>
              <w:spacing w:after="0"/>
              <w:rPr>
                <w:sz w:val="24"/>
                <w:szCs w:val="24"/>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b w:val="1"/>
                <w:bCs w:val="1"/>
                <w:color w:val="auto"/>
              </w:rPr>
              <w:t>55,507</w:t>
            </w:r>
          </w:p>
        </w:tc>
        <w:tc>
          <w:tcPr>
            <w:tcW w:w="320" w:type="dxa"/>
            <w:vAlign w:val="bottom"/>
          </w:tcPr>
          <w:p>
            <w:pPr>
              <w:spacing w:after="0"/>
              <w:rPr>
                <w:sz w:val="24"/>
                <w:szCs w:val="24"/>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10,620</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62,719</w:t>
            </w:r>
          </w:p>
        </w:tc>
      </w:tr>
      <w:tr>
        <w:trPr>
          <w:trHeight w:val="436"/>
        </w:trPr>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1,879</w:t>
            </w:r>
          </w:p>
        </w:tc>
        <w:tc>
          <w:tcPr>
            <w:tcW w:w="3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(265,274)</w:t>
            </w:r>
          </w:p>
        </w:tc>
      </w:tr>
      <w:tr>
        <w:trPr>
          <w:trHeight w:val="260"/>
        </w:trPr>
        <w:tc>
          <w:tcPr>
            <w:tcW w:w="260" w:type="dxa"/>
            <w:vAlign w:val="bottom"/>
          </w:tcPr>
          <w:p>
            <w:pPr>
              <w:spacing w:after="0"/>
              <w:rPr>
                <w:sz w:val="22"/>
                <w:szCs w:val="22"/>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b w:val="1"/>
                <w:bCs w:val="1"/>
                <w:color w:val="auto"/>
              </w:rPr>
              <w:t>57,386</w:t>
            </w:r>
          </w:p>
        </w:tc>
        <w:tc>
          <w:tcPr>
            <w:tcW w:w="320" w:type="dxa"/>
            <w:vAlign w:val="bottom"/>
          </w:tcPr>
          <w:p>
            <w:pPr>
              <w:spacing w:after="0"/>
              <w:rPr>
                <w:sz w:val="22"/>
                <w:szCs w:val="22"/>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10,616</w:t>
            </w:r>
          </w:p>
        </w:tc>
        <w:tc>
          <w:tcPr>
            <w:tcW w:w="1200" w:type="dxa"/>
            <w:vAlign w:val="bottom"/>
          </w:tcPr>
          <w:p>
            <w:pPr>
              <w:jc w:val="right"/>
              <w:spacing w:after="0"/>
              <w:rPr>
                <w:sz w:val="20"/>
                <w:szCs w:val="20"/>
                <w:color w:val="auto"/>
              </w:rPr>
            </w:pPr>
            <w:r>
              <w:rPr>
                <w:rFonts w:ascii="Arial" w:cs="Arial" w:eastAsia="Arial" w:hAnsi="Arial"/>
                <w:sz w:val="16"/>
                <w:szCs w:val="16"/>
                <w:color w:val="auto"/>
              </w:rPr>
              <w:t>(202,555)</w:t>
            </w:r>
          </w:p>
        </w:tc>
      </w:tr>
      <w:tr>
        <w:trPr>
          <w:trHeight w:val="540"/>
        </w:trPr>
        <w:tc>
          <w:tcPr>
            <w:tcW w:w="260" w:type="dxa"/>
            <w:vAlign w:val="bottom"/>
          </w:tcPr>
          <w:p>
            <w:pPr>
              <w:spacing w:after="0"/>
              <w:rPr>
                <w:sz w:val="24"/>
                <w:szCs w:val="24"/>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b w:val="1"/>
                <w:bCs w:val="1"/>
                <w:color w:val="auto"/>
              </w:rPr>
              <w:t>(133,915)</w:t>
            </w:r>
          </w:p>
        </w:tc>
        <w:tc>
          <w:tcPr>
            <w:tcW w:w="320" w:type="dxa"/>
            <w:vAlign w:val="bottom"/>
          </w:tcPr>
          <w:p>
            <w:pPr>
              <w:spacing w:after="0"/>
              <w:rPr>
                <w:sz w:val="24"/>
                <w:szCs w:val="24"/>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(211,054)</w:t>
            </w:r>
          </w:p>
        </w:tc>
        <w:tc>
          <w:tcPr>
            <w:tcW w:w="1200" w:type="dxa"/>
            <w:vAlign w:val="bottom"/>
          </w:tcPr>
          <w:p>
            <w:pPr>
              <w:jc w:val="right"/>
              <w:spacing w:after="0"/>
              <w:rPr>
                <w:sz w:val="20"/>
                <w:szCs w:val="20"/>
                <w:color w:val="auto"/>
              </w:rPr>
            </w:pPr>
            <w:r>
              <w:rPr>
                <w:rFonts w:ascii="Arial" w:cs="Arial" w:eastAsia="Arial" w:hAnsi="Arial"/>
                <w:sz w:val="16"/>
                <w:szCs w:val="16"/>
                <w:color w:val="auto"/>
              </w:rPr>
              <w:t>(149,482)</w:t>
            </w:r>
          </w:p>
        </w:tc>
      </w:tr>
      <w:tr>
        <w:trPr>
          <w:trHeight w:val="270"/>
        </w:trPr>
        <w:tc>
          <w:tcPr>
            <w:tcW w:w="260" w:type="dxa"/>
            <w:vAlign w:val="bottom"/>
          </w:tcPr>
          <w:p>
            <w:pPr>
              <w:spacing w:after="0"/>
              <w:rPr>
                <w:sz w:val="23"/>
                <w:szCs w:val="23"/>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320" w:type="dxa"/>
            <w:vAlign w:val="bottom"/>
          </w:tcPr>
          <w:p>
            <w:pPr>
              <w:spacing w:after="0"/>
              <w:rPr>
                <w:sz w:val="23"/>
                <w:szCs w:val="23"/>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(1,600)</w:t>
            </w:r>
          </w:p>
        </w:tc>
      </w:tr>
      <w:tr>
        <w:trPr>
          <w:trHeight w:val="270"/>
        </w:trPr>
        <w:tc>
          <w:tcPr>
            <w:tcW w:w="260" w:type="dxa"/>
            <w:vAlign w:val="bottom"/>
          </w:tcPr>
          <w:p>
            <w:pPr>
              <w:spacing w:after="0"/>
              <w:rPr>
                <w:sz w:val="23"/>
                <w:szCs w:val="23"/>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b w:val="1"/>
                <w:bCs w:val="1"/>
                <w:color w:val="auto"/>
              </w:rPr>
              <w:t>1,157</w:t>
            </w:r>
          </w:p>
        </w:tc>
        <w:tc>
          <w:tcPr>
            <w:tcW w:w="32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(9,906)</w:t>
            </w:r>
          </w:p>
        </w:tc>
        <w:tc>
          <w:tcPr>
            <w:tcW w:w="1200" w:type="dxa"/>
            <w:vAlign w:val="bottom"/>
          </w:tcPr>
          <w:p>
            <w:pPr>
              <w:jc w:val="right"/>
              <w:spacing w:after="0"/>
              <w:rPr>
                <w:sz w:val="20"/>
                <w:szCs w:val="20"/>
                <w:color w:val="auto"/>
              </w:rPr>
            </w:pPr>
            <w:r>
              <w:rPr>
                <w:rFonts w:ascii="Arial" w:cs="Arial" w:eastAsia="Arial" w:hAnsi="Arial"/>
                <w:sz w:val="16"/>
                <w:szCs w:val="16"/>
                <w:color w:val="auto"/>
              </w:rPr>
              <w:t>(29,412)</w:t>
            </w:r>
          </w:p>
        </w:tc>
      </w:tr>
      <w:tr>
        <w:trPr>
          <w:trHeight w:val="270"/>
        </w:trPr>
        <w:tc>
          <w:tcPr>
            <w:tcW w:w="260" w:type="dxa"/>
            <w:vAlign w:val="bottom"/>
          </w:tcPr>
          <w:p>
            <w:pPr>
              <w:spacing w:after="0"/>
              <w:rPr>
                <w:sz w:val="23"/>
                <w:szCs w:val="23"/>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b w:val="1"/>
                <w:bCs w:val="1"/>
                <w:color w:val="auto"/>
              </w:rPr>
              <w:t>419</w:t>
            </w:r>
          </w:p>
        </w:tc>
        <w:tc>
          <w:tcPr>
            <w:tcW w:w="320" w:type="dxa"/>
            <w:vAlign w:val="bottom"/>
          </w:tcPr>
          <w:p>
            <w:pPr>
              <w:spacing w:after="0"/>
              <w:rPr>
                <w:sz w:val="23"/>
                <w:szCs w:val="23"/>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275</w:t>
            </w:r>
          </w:p>
        </w:tc>
        <w:tc>
          <w:tcPr>
            <w:tcW w:w="1200" w:type="dxa"/>
            <w:vAlign w:val="bottom"/>
          </w:tcPr>
          <w:p>
            <w:pPr>
              <w:jc w:val="right"/>
              <w:spacing w:after="0"/>
              <w:rPr>
                <w:sz w:val="20"/>
                <w:szCs w:val="20"/>
                <w:color w:val="auto"/>
              </w:rPr>
            </w:pPr>
            <w:r>
              <w:rPr>
                <w:rFonts w:ascii="Arial" w:cs="Arial" w:eastAsia="Arial" w:hAnsi="Arial"/>
                <w:sz w:val="16"/>
                <w:szCs w:val="16"/>
                <w:color w:val="auto"/>
              </w:rPr>
              <w:t>(407)</w:t>
            </w:r>
          </w:p>
        </w:tc>
      </w:tr>
      <w:tr>
        <w:trPr>
          <w:trHeight w:val="270"/>
        </w:trPr>
        <w:tc>
          <w:tcPr>
            <w:tcW w:w="260" w:type="dxa"/>
            <w:vAlign w:val="bottom"/>
          </w:tcPr>
          <w:p>
            <w:pPr>
              <w:spacing w:after="0"/>
              <w:rPr>
                <w:sz w:val="23"/>
                <w:szCs w:val="23"/>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b w:val="1"/>
                <w:bCs w:val="1"/>
                <w:color w:val="auto"/>
              </w:rPr>
              <w:t>(17,993)</w:t>
            </w:r>
          </w:p>
        </w:tc>
        <w:tc>
          <w:tcPr>
            <w:tcW w:w="320" w:type="dxa"/>
            <w:vAlign w:val="bottom"/>
          </w:tcPr>
          <w:p>
            <w:pPr>
              <w:spacing w:after="0"/>
              <w:rPr>
                <w:sz w:val="23"/>
                <w:szCs w:val="23"/>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51</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8</w:t>
            </w:r>
          </w:p>
        </w:tc>
      </w:tr>
      <w:tr>
        <w:trPr>
          <w:trHeight w:val="274"/>
        </w:trPr>
        <w:tc>
          <w:tcPr>
            <w:tcW w:w="26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32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834</w:t>
            </w: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r>
      <w:tr>
        <w:trPr>
          <w:trHeight w:val="260"/>
        </w:trPr>
        <w:tc>
          <w:tcPr>
            <w:tcW w:w="260" w:type="dxa"/>
            <w:vAlign w:val="bottom"/>
          </w:tcPr>
          <w:p>
            <w:pPr>
              <w:spacing w:after="0"/>
              <w:rPr>
                <w:sz w:val="22"/>
                <w:szCs w:val="22"/>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b w:val="1"/>
                <w:bCs w:val="1"/>
                <w:color w:val="auto"/>
              </w:rPr>
              <w:t>(150,332)</w:t>
            </w:r>
          </w:p>
        </w:tc>
        <w:tc>
          <w:tcPr>
            <w:tcW w:w="320" w:type="dxa"/>
            <w:vAlign w:val="bottom"/>
          </w:tcPr>
          <w:p>
            <w:pPr>
              <w:spacing w:after="0"/>
              <w:rPr>
                <w:sz w:val="22"/>
                <w:szCs w:val="22"/>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(219,800)</w:t>
            </w:r>
          </w:p>
        </w:tc>
        <w:tc>
          <w:tcPr>
            <w:tcW w:w="1200" w:type="dxa"/>
            <w:vAlign w:val="bottom"/>
          </w:tcPr>
          <w:p>
            <w:pPr>
              <w:jc w:val="right"/>
              <w:spacing w:after="0"/>
              <w:rPr>
                <w:sz w:val="20"/>
                <w:szCs w:val="20"/>
                <w:color w:val="auto"/>
              </w:rPr>
            </w:pPr>
            <w:r>
              <w:rPr>
                <w:rFonts w:ascii="Arial" w:cs="Arial" w:eastAsia="Arial" w:hAnsi="Arial"/>
                <w:sz w:val="16"/>
                <w:szCs w:val="16"/>
                <w:color w:val="auto"/>
              </w:rPr>
              <w:t>(180,893)</w:t>
            </w:r>
          </w:p>
        </w:tc>
      </w:tr>
      <w:tr>
        <w:trPr>
          <w:trHeight w:val="274"/>
        </w:trPr>
        <w:tc>
          <w:tcPr>
            <w:tcW w:w="26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(334)</w:t>
            </w:r>
          </w:p>
        </w:tc>
        <w:tc>
          <w:tcPr>
            <w:tcW w:w="32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179</w:t>
            </w: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867</w:t>
            </w:r>
          </w:p>
        </w:tc>
      </w:tr>
      <w:tr>
        <w:trPr>
          <w:trHeight w:val="260"/>
        </w:trPr>
        <w:tc>
          <w:tcPr>
            <w:tcW w:w="260" w:type="dxa"/>
            <w:vAlign w:val="bottom"/>
          </w:tcPr>
          <w:p>
            <w:pPr>
              <w:spacing w:after="0"/>
              <w:rPr>
                <w:sz w:val="22"/>
                <w:szCs w:val="22"/>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b w:val="1"/>
                <w:bCs w:val="1"/>
                <w:color w:val="auto"/>
              </w:rPr>
              <w:t>(115,429)</w:t>
            </w:r>
          </w:p>
        </w:tc>
        <w:tc>
          <w:tcPr>
            <w:tcW w:w="320" w:type="dxa"/>
            <w:vAlign w:val="bottom"/>
          </w:tcPr>
          <w:p>
            <w:pPr>
              <w:spacing w:after="0"/>
              <w:rPr>
                <w:sz w:val="22"/>
                <w:szCs w:val="22"/>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(222,402)</w:t>
            </w:r>
          </w:p>
        </w:tc>
        <w:tc>
          <w:tcPr>
            <w:tcW w:w="1200" w:type="dxa"/>
            <w:vAlign w:val="bottom"/>
          </w:tcPr>
          <w:p>
            <w:pPr>
              <w:jc w:val="right"/>
              <w:spacing w:after="0"/>
              <w:rPr>
                <w:sz w:val="20"/>
                <w:szCs w:val="20"/>
                <w:color w:val="auto"/>
              </w:rPr>
            </w:pPr>
            <w:r>
              <w:rPr>
                <w:rFonts w:ascii="Arial" w:cs="Arial" w:eastAsia="Arial" w:hAnsi="Arial"/>
                <w:sz w:val="16"/>
                <w:szCs w:val="16"/>
                <w:color w:val="auto"/>
              </w:rPr>
              <w:t>(399,046)</w:t>
            </w:r>
          </w:p>
        </w:tc>
      </w:tr>
      <w:tr>
        <w:trPr>
          <w:trHeight w:val="274"/>
        </w:trPr>
        <w:tc>
          <w:tcPr>
            <w:tcW w:w="26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37,235</w:t>
            </w:r>
          </w:p>
        </w:tc>
        <w:tc>
          <w:tcPr>
            <w:tcW w:w="32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83,602</w:t>
            </w: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153,032</w:t>
            </w:r>
          </w:p>
        </w:tc>
      </w:tr>
      <w:tr>
        <w:trPr>
          <w:trHeight w:val="264"/>
        </w:trPr>
        <w:tc>
          <w:tcPr>
            <w:tcW w:w="2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(78,194)</w:t>
            </w:r>
          </w:p>
        </w:tc>
        <w:tc>
          <w:tcPr>
            <w:tcW w:w="3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(138,800)</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(246,014)</w:t>
            </w:r>
          </w:p>
        </w:tc>
      </w:tr>
      <w:tr>
        <w:trPr>
          <w:trHeight w:val="260"/>
        </w:trPr>
        <w:tc>
          <w:tcPr>
            <w:tcW w:w="260" w:type="dxa"/>
            <w:vAlign w:val="bottom"/>
          </w:tcPr>
          <w:p>
            <w:pPr>
              <w:spacing w:after="0"/>
              <w:rPr>
                <w:sz w:val="22"/>
                <w:szCs w:val="22"/>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b w:val="1"/>
                <w:bCs w:val="1"/>
                <w:color w:val="auto"/>
              </w:rPr>
              <w:t>91,264</w:t>
            </w:r>
          </w:p>
        </w:tc>
        <w:tc>
          <w:tcPr>
            <w:tcW w:w="320" w:type="dxa"/>
            <w:vAlign w:val="bottom"/>
          </w:tcPr>
          <w:p>
            <w:pPr>
              <w:spacing w:after="0"/>
              <w:rPr>
                <w:sz w:val="22"/>
                <w:szCs w:val="22"/>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(238,020)</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1,047,246</w:t>
            </w:r>
          </w:p>
        </w:tc>
      </w:tr>
      <w:tr>
        <w:trPr>
          <w:trHeight w:val="274"/>
        </w:trPr>
        <w:tc>
          <w:tcPr>
            <w:tcW w:w="26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(868)</w:t>
            </w:r>
          </w:p>
        </w:tc>
        <w:tc>
          <w:tcPr>
            <w:tcW w:w="32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(1,435)</w:t>
            </w: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583</w:t>
            </w:r>
          </w:p>
        </w:tc>
      </w:tr>
      <w:tr>
        <w:trPr>
          <w:trHeight w:val="264"/>
        </w:trPr>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90,396</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(239,455)</w:t>
            </w: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  1,047,829</w:t>
            </w:r>
          </w:p>
        </w:tc>
      </w:tr>
      <w:tr>
        <w:trPr>
          <w:trHeight w:val="20"/>
        </w:trPr>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49" w:lineRule="exact"/>
        <w:rPr>
          <w:sz w:val="20"/>
          <w:szCs w:val="20"/>
          <w:color w:val="auto"/>
        </w:rPr>
      </w:pPr>
    </w:p>
    <w:p>
      <w:pPr>
        <w:sectPr>
          <w:pgSz w:w="11900" w:h="16838" w:orient="portrait"/>
          <w:cols w:equalWidth="0" w:num="2">
            <w:col w:w="7740" w:space="40"/>
            <w:col w:w="3640"/>
          </w:cols>
          <w:pgMar w:left="240" w:top="736" w:right="239" w:bottom="1440" w:gutter="0" w:footer="0" w:header="0"/>
          <w:type w:val="continuous"/>
        </w:sectPr>
      </w:pPr>
    </w:p>
    <w:p>
      <w:pPr>
        <w:spacing w:after="0"/>
        <w:rPr>
          <w:sz w:val="20"/>
          <w:szCs w:val="20"/>
          <w:color w:val="auto"/>
        </w:rPr>
      </w:pPr>
      <w:r>
        <w:rPr>
          <w:rFonts w:ascii="Arial" w:cs="Arial" w:eastAsia="Arial" w:hAnsi="Arial"/>
          <w:sz w:val="14"/>
          <w:szCs w:val="14"/>
          <w:color w:val="auto"/>
        </w:rPr>
        <w:t>See accompanying Notes to Consolidated Financial Statements.</w:t>
      </w: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64</w:t>
      </w:r>
    </w:p>
    <w:p>
      <w:pPr>
        <w:sectPr>
          <w:pgSz w:w="11900" w:h="16838" w:orient="portrait"/>
          <w:cols w:equalWidth="0" w:num="1">
            <w:col w:w="11420"/>
          </w:cols>
          <w:pgMar w:left="240" w:top="736" w:right="239" w:bottom="1440" w:gutter="0" w:footer="0" w:header="0"/>
          <w:type w:val="continuous"/>
        </w:sectPr>
      </w:pPr>
    </w:p>
    <w:bookmarkStart w:id="66" w:name="page67"/>
    <w:bookmarkEnd w:id="66"/>
    <w:p>
      <w:pPr>
        <w:jc w:val="center"/>
        <w:spacing w:after="0"/>
        <w:rPr>
          <w:sz w:val="20"/>
          <w:szCs w:val="20"/>
          <w:color w:val="auto"/>
        </w:rPr>
      </w:pPr>
      <w:r>
        <w:rPr>
          <w:rFonts w:ascii="Arial" w:cs="Arial" w:eastAsia="Arial" w:hAnsi="Arial"/>
          <w:sz w:val="18"/>
          <w:szCs w:val="18"/>
          <w:b w:val="1"/>
          <w:bCs w:val="1"/>
          <w:color w:val="auto"/>
        </w:rPr>
        <w:t>GRAHAM HOLDINGS COMPANY</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90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180" w:type="dxa"/>
            <w:vAlign w:val="bottom"/>
            <w:tcBorders>
              <w:bottom w:val="single" w:sz="8" w:color="auto"/>
            </w:tcBorders>
            <w:gridSpan w:val="3"/>
          </w:tcPr>
          <w:p>
            <w:pPr>
              <w:jc w:val="right"/>
              <w:ind w:right="464"/>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264"/>
        </w:trPr>
        <w:tc>
          <w:tcPr>
            <w:tcW w:w="90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 except share amounts)</w:t>
            </w:r>
          </w:p>
        </w:tc>
        <w:tc>
          <w:tcPr>
            <w:tcW w:w="2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84"/>
              <w:spacing w:after="0"/>
              <w:rPr>
                <w:sz w:val="20"/>
                <w:szCs w:val="20"/>
                <w:color w:val="auto"/>
              </w:rPr>
            </w:pPr>
            <w:r>
              <w:rPr>
                <w:rFonts w:ascii="Arial" w:cs="Arial" w:eastAsia="Arial" w:hAnsi="Arial"/>
                <w:sz w:val="14"/>
                <w:szCs w:val="14"/>
                <w:b w:val="1"/>
                <w:bCs w:val="1"/>
                <w:color w:val="auto"/>
              </w:rPr>
              <w:t>2016</w:t>
            </w:r>
          </w:p>
        </w:tc>
        <w:tc>
          <w:tcPr>
            <w:tcW w:w="2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24"/>
              <w:spacing w:after="0"/>
              <w:rPr>
                <w:sz w:val="20"/>
                <w:szCs w:val="20"/>
                <w:color w:val="auto"/>
              </w:rPr>
            </w:pPr>
            <w:r>
              <w:rPr>
                <w:rFonts w:ascii="Arial" w:cs="Arial" w:eastAsia="Arial" w:hAnsi="Arial"/>
                <w:sz w:val="14"/>
                <w:szCs w:val="14"/>
                <w:color w:val="auto"/>
              </w:rPr>
              <w:t>2015</w:t>
            </w:r>
          </w:p>
        </w:tc>
        <w:tc>
          <w:tcPr>
            <w:tcW w:w="0" w:type="dxa"/>
            <w:vAlign w:val="bottom"/>
          </w:tcPr>
          <w:p>
            <w:pPr>
              <w:spacing w:after="0"/>
              <w:rPr>
                <w:sz w:val="1"/>
                <w:szCs w:val="1"/>
                <w:color w:val="auto"/>
              </w:rPr>
            </w:pPr>
          </w:p>
        </w:tc>
      </w:tr>
      <w:tr>
        <w:trPr>
          <w:trHeight w:val="267"/>
        </w:trPr>
        <w:tc>
          <w:tcPr>
            <w:tcW w:w="9020" w:type="dxa"/>
            <w:vAlign w:val="bottom"/>
          </w:tcPr>
          <w:p>
            <w:pPr>
              <w:ind w:left="40"/>
              <w:spacing w:after="0"/>
              <w:rPr>
                <w:sz w:val="20"/>
                <w:szCs w:val="20"/>
                <w:color w:val="auto"/>
              </w:rPr>
            </w:pPr>
            <w:r>
              <w:rPr>
                <w:rFonts w:ascii="Arial" w:cs="Arial" w:eastAsia="Arial" w:hAnsi="Arial"/>
                <w:sz w:val="15"/>
                <w:szCs w:val="15"/>
                <w:b w:val="1"/>
                <w:bCs w:val="1"/>
                <w:color w:val="auto"/>
              </w:rPr>
              <w:t>Assets</w:t>
            </w:r>
          </w:p>
        </w:tc>
        <w:tc>
          <w:tcPr>
            <w:tcW w:w="2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9020" w:type="dxa"/>
            <w:vAlign w:val="bottom"/>
          </w:tcPr>
          <w:p>
            <w:pPr>
              <w:ind w:left="40"/>
              <w:spacing w:after="0"/>
              <w:rPr>
                <w:sz w:val="20"/>
                <w:szCs w:val="20"/>
                <w:color w:val="auto"/>
              </w:rPr>
            </w:pPr>
            <w:r>
              <w:rPr>
                <w:rFonts w:ascii="Arial" w:cs="Arial" w:eastAsia="Arial" w:hAnsi="Arial"/>
                <w:sz w:val="15"/>
                <w:szCs w:val="15"/>
                <w:b w:val="1"/>
                <w:bCs w:val="1"/>
                <w:color w:val="auto"/>
              </w:rPr>
              <w:t>Current Assets</w:t>
            </w:r>
          </w:p>
        </w:tc>
        <w:tc>
          <w:tcPr>
            <w:tcW w:w="2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9020" w:type="dxa"/>
            <w:vAlign w:val="bottom"/>
          </w:tcPr>
          <w:p>
            <w:pPr>
              <w:ind w:left="280"/>
              <w:spacing w:after="0"/>
              <w:rPr>
                <w:sz w:val="20"/>
                <w:szCs w:val="20"/>
                <w:color w:val="auto"/>
              </w:rPr>
            </w:pPr>
            <w:r>
              <w:rPr>
                <w:rFonts w:ascii="Arial" w:cs="Arial" w:eastAsia="Arial" w:hAnsi="Arial"/>
                <w:sz w:val="15"/>
                <w:szCs w:val="15"/>
                <w:color w:val="auto"/>
              </w:rPr>
              <w:t>Cash and cash equivalents</w:t>
            </w:r>
          </w:p>
        </w:tc>
        <w:tc>
          <w:tcPr>
            <w:tcW w:w="220" w:type="dxa"/>
            <w:vAlign w:val="bottom"/>
          </w:tcPr>
          <w:p>
            <w:pPr>
              <w:jc w:val="right"/>
              <w:ind w:right="23"/>
              <w:spacing w:after="0"/>
              <w:rPr>
                <w:sz w:val="20"/>
                <w:szCs w:val="20"/>
                <w:color w:val="auto"/>
              </w:rPr>
            </w:pPr>
            <w:r>
              <w:rPr>
                <w:rFonts w:ascii="Arial" w:cs="Arial" w:eastAsia="Arial" w:hAnsi="Arial"/>
                <w:sz w:val="15"/>
                <w:szCs w:val="15"/>
                <w:b w:val="1"/>
                <w:bCs w:val="1"/>
                <w:color w:val="auto"/>
              </w:rPr>
              <w:t>$</w:t>
            </w:r>
          </w:p>
        </w:tc>
        <w:tc>
          <w:tcPr>
            <w:tcW w:w="980" w:type="dxa"/>
            <w:vAlign w:val="bottom"/>
          </w:tcPr>
          <w:p>
            <w:pPr>
              <w:jc w:val="right"/>
              <w:ind w:right="84"/>
              <w:spacing w:after="0"/>
              <w:rPr>
                <w:sz w:val="20"/>
                <w:szCs w:val="20"/>
                <w:color w:val="auto"/>
              </w:rPr>
            </w:pPr>
            <w:r>
              <w:rPr>
                <w:rFonts w:ascii="Arial" w:cs="Arial" w:eastAsia="Arial" w:hAnsi="Arial"/>
                <w:sz w:val="15"/>
                <w:szCs w:val="15"/>
                <w:b w:val="1"/>
                <w:bCs w:val="1"/>
                <w:color w:val="auto"/>
              </w:rPr>
              <w:t>648,885</w:t>
            </w:r>
          </w:p>
        </w:tc>
        <w:tc>
          <w:tcPr>
            <w:tcW w:w="26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940" w:type="dxa"/>
            <w:vAlign w:val="bottom"/>
          </w:tcPr>
          <w:p>
            <w:pPr>
              <w:jc w:val="right"/>
              <w:ind w:right="24"/>
              <w:spacing w:after="0"/>
              <w:rPr>
                <w:sz w:val="20"/>
                <w:szCs w:val="20"/>
                <w:color w:val="auto"/>
              </w:rPr>
            </w:pPr>
            <w:r>
              <w:rPr>
                <w:rFonts w:ascii="Arial" w:cs="Arial" w:eastAsia="Arial" w:hAnsi="Arial"/>
                <w:sz w:val="15"/>
                <w:szCs w:val="15"/>
                <w:color w:val="auto"/>
              </w:rPr>
              <w:t>754,207</w:t>
            </w:r>
          </w:p>
        </w:tc>
        <w:tc>
          <w:tcPr>
            <w:tcW w:w="0" w:type="dxa"/>
            <w:vAlign w:val="bottom"/>
          </w:tcPr>
          <w:p>
            <w:pPr>
              <w:spacing w:after="0"/>
              <w:rPr>
                <w:sz w:val="1"/>
                <w:szCs w:val="1"/>
                <w:color w:val="auto"/>
              </w:rPr>
            </w:pPr>
          </w:p>
        </w:tc>
      </w:tr>
      <w:tr>
        <w:trPr>
          <w:trHeight w:val="270"/>
        </w:trPr>
        <w:tc>
          <w:tcPr>
            <w:tcW w:w="9020" w:type="dxa"/>
            <w:vAlign w:val="bottom"/>
          </w:tcPr>
          <w:p>
            <w:pPr>
              <w:ind w:left="280"/>
              <w:spacing w:after="0"/>
              <w:rPr>
                <w:sz w:val="20"/>
                <w:szCs w:val="20"/>
                <w:color w:val="auto"/>
              </w:rPr>
            </w:pPr>
            <w:r>
              <w:rPr>
                <w:rFonts w:ascii="Arial" w:cs="Arial" w:eastAsia="Arial" w:hAnsi="Arial"/>
                <w:sz w:val="15"/>
                <w:szCs w:val="15"/>
                <w:color w:val="auto"/>
              </w:rPr>
              <w:t>Restricted cash</w:t>
            </w:r>
          </w:p>
        </w:tc>
        <w:tc>
          <w:tcPr>
            <w:tcW w:w="220" w:type="dxa"/>
            <w:vAlign w:val="bottom"/>
          </w:tcPr>
          <w:p>
            <w:pPr>
              <w:spacing w:after="0"/>
              <w:rPr>
                <w:sz w:val="23"/>
                <w:szCs w:val="23"/>
                <w:color w:val="auto"/>
              </w:rPr>
            </w:pPr>
          </w:p>
        </w:tc>
        <w:tc>
          <w:tcPr>
            <w:tcW w:w="980" w:type="dxa"/>
            <w:vAlign w:val="bottom"/>
          </w:tcPr>
          <w:p>
            <w:pPr>
              <w:jc w:val="right"/>
              <w:ind w:right="84"/>
              <w:spacing w:after="0"/>
              <w:rPr>
                <w:sz w:val="20"/>
                <w:szCs w:val="20"/>
                <w:color w:val="auto"/>
              </w:rPr>
            </w:pPr>
            <w:r>
              <w:rPr>
                <w:rFonts w:ascii="Arial" w:cs="Arial" w:eastAsia="Arial" w:hAnsi="Arial"/>
                <w:sz w:val="15"/>
                <w:szCs w:val="15"/>
                <w:b w:val="1"/>
                <w:bCs w:val="1"/>
                <w:color w:val="auto"/>
              </w:rPr>
              <w:t>21,931</w:t>
            </w:r>
          </w:p>
        </w:tc>
        <w:tc>
          <w:tcPr>
            <w:tcW w:w="260" w:type="dxa"/>
            <w:vAlign w:val="bottom"/>
          </w:tcPr>
          <w:p>
            <w:pPr>
              <w:spacing w:after="0"/>
              <w:rPr>
                <w:sz w:val="23"/>
                <w:szCs w:val="23"/>
                <w:color w:val="auto"/>
              </w:rPr>
            </w:pPr>
          </w:p>
        </w:tc>
        <w:tc>
          <w:tcPr>
            <w:tcW w:w="940" w:type="dxa"/>
            <w:vAlign w:val="bottom"/>
          </w:tcPr>
          <w:p>
            <w:pPr>
              <w:jc w:val="right"/>
              <w:ind w:right="24"/>
              <w:spacing w:after="0"/>
              <w:rPr>
                <w:sz w:val="20"/>
                <w:szCs w:val="20"/>
                <w:color w:val="auto"/>
              </w:rPr>
            </w:pPr>
            <w:r>
              <w:rPr>
                <w:rFonts w:ascii="Arial" w:cs="Arial" w:eastAsia="Arial" w:hAnsi="Arial"/>
                <w:sz w:val="15"/>
                <w:szCs w:val="15"/>
                <w:color w:val="auto"/>
              </w:rPr>
              <w:t>20,745</w:t>
            </w:r>
          </w:p>
        </w:tc>
        <w:tc>
          <w:tcPr>
            <w:tcW w:w="0" w:type="dxa"/>
            <w:vAlign w:val="bottom"/>
          </w:tcPr>
          <w:p>
            <w:pPr>
              <w:spacing w:after="0"/>
              <w:rPr>
                <w:sz w:val="1"/>
                <w:szCs w:val="1"/>
                <w:color w:val="auto"/>
              </w:rPr>
            </w:pPr>
          </w:p>
        </w:tc>
      </w:tr>
      <w:tr>
        <w:trPr>
          <w:trHeight w:val="270"/>
        </w:trPr>
        <w:tc>
          <w:tcPr>
            <w:tcW w:w="9020" w:type="dxa"/>
            <w:vAlign w:val="bottom"/>
          </w:tcPr>
          <w:p>
            <w:pPr>
              <w:ind w:left="280"/>
              <w:spacing w:after="0"/>
              <w:rPr>
                <w:sz w:val="20"/>
                <w:szCs w:val="20"/>
                <w:color w:val="auto"/>
              </w:rPr>
            </w:pPr>
            <w:r>
              <w:rPr>
                <w:rFonts w:ascii="Arial" w:cs="Arial" w:eastAsia="Arial" w:hAnsi="Arial"/>
                <w:sz w:val="15"/>
                <w:szCs w:val="15"/>
                <w:color w:val="auto"/>
              </w:rPr>
              <w:t>Investments in marketable equity securities and other investments</w:t>
            </w:r>
          </w:p>
        </w:tc>
        <w:tc>
          <w:tcPr>
            <w:tcW w:w="220" w:type="dxa"/>
            <w:vAlign w:val="bottom"/>
          </w:tcPr>
          <w:p>
            <w:pPr>
              <w:spacing w:after="0"/>
              <w:rPr>
                <w:sz w:val="23"/>
                <w:szCs w:val="23"/>
                <w:color w:val="auto"/>
              </w:rPr>
            </w:pPr>
          </w:p>
        </w:tc>
        <w:tc>
          <w:tcPr>
            <w:tcW w:w="980" w:type="dxa"/>
            <w:vAlign w:val="bottom"/>
          </w:tcPr>
          <w:p>
            <w:pPr>
              <w:jc w:val="right"/>
              <w:ind w:right="84"/>
              <w:spacing w:after="0"/>
              <w:rPr>
                <w:sz w:val="20"/>
                <w:szCs w:val="20"/>
                <w:color w:val="auto"/>
              </w:rPr>
            </w:pPr>
            <w:r>
              <w:rPr>
                <w:rFonts w:ascii="Arial" w:cs="Arial" w:eastAsia="Arial" w:hAnsi="Arial"/>
                <w:sz w:val="15"/>
                <w:szCs w:val="15"/>
                <w:b w:val="1"/>
                <w:bCs w:val="1"/>
                <w:color w:val="auto"/>
              </w:rPr>
              <w:t>448,241</w:t>
            </w:r>
          </w:p>
        </w:tc>
        <w:tc>
          <w:tcPr>
            <w:tcW w:w="260" w:type="dxa"/>
            <w:vAlign w:val="bottom"/>
          </w:tcPr>
          <w:p>
            <w:pPr>
              <w:spacing w:after="0"/>
              <w:rPr>
                <w:sz w:val="23"/>
                <w:szCs w:val="23"/>
                <w:color w:val="auto"/>
              </w:rPr>
            </w:pPr>
          </w:p>
        </w:tc>
        <w:tc>
          <w:tcPr>
            <w:tcW w:w="940" w:type="dxa"/>
            <w:vAlign w:val="bottom"/>
          </w:tcPr>
          <w:p>
            <w:pPr>
              <w:jc w:val="right"/>
              <w:ind w:right="24"/>
              <w:spacing w:after="0"/>
              <w:rPr>
                <w:sz w:val="20"/>
                <w:szCs w:val="20"/>
                <w:color w:val="auto"/>
              </w:rPr>
            </w:pPr>
            <w:r>
              <w:rPr>
                <w:rFonts w:ascii="Arial" w:cs="Arial" w:eastAsia="Arial" w:hAnsi="Arial"/>
                <w:sz w:val="15"/>
                <w:szCs w:val="15"/>
                <w:color w:val="auto"/>
              </w:rPr>
              <w:t>379,445</w:t>
            </w:r>
          </w:p>
        </w:tc>
        <w:tc>
          <w:tcPr>
            <w:tcW w:w="0" w:type="dxa"/>
            <w:vAlign w:val="bottom"/>
          </w:tcPr>
          <w:p>
            <w:pPr>
              <w:spacing w:after="0"/>
              <w:rPr>
                <w:sz w:val="1"/>
                <w:szCs w:val="1"/>
                <w:color w:val="auto"/>
              </w:rPr>
            </w:pPr>
          </w:p>
        </w:tc>
      </w:tr>
      <w:tr>
        <w:trPr>
          <w:trHeight w:val="270"/>
        </w:trPr>
        <w:tc>
          <w:tcPr>
            <w:tcW w:w="9020" w:type="dxa"/>
            <w:vAlign w:val="bottom"/>
          </w:tcPr>
          <w:p>
            <w:pPr>
              <w:ind w:left="280"/>
              <w:spacing w:after="0"/>
              <w:rPr>
                <w:sz w:val="20"/>
                <w:szCs w:val="20"/>
                <w:color w:val="auto"/>
              </w:rPr>
            </w:pPr>
            <w:r>
              <w:rPr>
                <w:rFonts w:ascii="Arial" w:cs="Arial" w:eastAsia="Arial" w:hAnsi="Arial"/>
                <w:sz w:val="15"/>
                <w:szCs w:val="15"/>
                <w:color w:val="auto"/>
              </w:rPr>
              <w:t>Accounts receivable, net</w:t>
            </w:r>
          </w:p>
        </w:tc>
        <w:tc>
          <w:tcPr>
            <w:tcW w:w="220" w:type="dxa"/>
            <w:vAlign w:val="bottom"/>
          </w:tcPr>
          <w:p>
            <w:pPr>
              <w:spacing w:after="0"/>
              <w:rPr>
                <w:sz w:val="23"/>
                <w:szCs w:val="23"/>
                <w:color w:val="auto"/>
              </w:rPr>
            </w:pPr>
          </w:p>
        </w:tc>
        <w:tc>
          <w:tcPr>
            <w:tcW w:w="980" w:type="dxa"/>
            <w:vAlign w:val="bottom"/>
          </w:tcPr>
          <w:p>
            <w:pPr>
              <w:jc w:val="right"/>
              <w:ind w:right="84"/>
              <w:spacing w:after="0"/>
              <w:rPr>
                <w:sz w:val="20"/>
                <w:szCs w:val="20"/>
                <w:color w:val="auto"/>
              </w:rPr>
            </w:pPr>
            <w:r>
              <w:rPr>
                <w:rFonts w:ascii="Arial" w:cs="Arial" w:eastAsia="Arial" w:hAnsi="Arial"/>
                <w:sz w:val="15"/>
                <w:szCs w:val="15"/>
                <w:b w:val="1"/>
                <w:bCs w:val="1"/>
                <w:color w:val="auto"/>
              </w:rPr>
              <w:t>615,101</w:t>
            </w:r>
          </w:p>
        </w:tc>
        <w:tc>
          <w:tcPr>
            <w:tcW w:w="260" w:type="dxa"/>
            <w:vAlign w:val="bottom"/>
          </w:tcPr>
          <w:p>
            <w:pPr>
              <w:spacing w:after="0"/>
              <w:rPr>
                <w:sz w:val="23"/>
                <w:szCs w:val="23"/>
                <w:color w:val="auto"/>
              </w:rPr>
            </w:pPr>
          </w:p>
        </w:tc>
        <w:tc>
          <w:tcPr>
            <w:tcW w:w="940" w:type="dxa"/>
            <w:vAlign w:val="bottom"/>
          </w:tcPr>
          <w:p>
            <w:pPr>
              <w:jc w:val="right"/>
              <w:ind w:right="24"/>
              <w:spacing w:after="0"/>
              <w:rPr>
                <w:sz w:val="20"/>
                <w:szCs w:val="20"/>
                <w:color w:val="auto"/>
              </w:rPr>
            </w:pPr>
            <w:r>
              <w:rPr>
                <w:rFonts w:ascii="Arial" w:cs="Arial" w:eastAsia="Arial" w:hAnsi="Arial"/>
                <w:sz w:val="15"/>
                <w:szCs w:val="15"/>
                <w:color w:val="auto"/>
              </w:rPr>
              <w:t>572,435</w:t>
            </w:r>
          </w:p>
        </w:tc>
        <w:tc>
          <w:tcPr>
            <w:tcW w:w="0" w:type="dxa"/>
            <w:vAlign w:val="bottom"/>
          </w:tcPr>
          <w:p>
            <w:pPr>
              <w:spacing w:after="0"/>
              <w:rPr>
                <w:sz w:val="1"/>
                <w:szCs w:val="1"/>
                <w:color w:val="auto"/>
              </w:rPr>
            </w:pPr>
          </w:p>
        </w:tc>
      </w:tr>
      <w:tr>
        <w:trPr>
          <w:trHeight w:val="270"/>
        </w:trPr>
        <w:tc>
          <w:tcPr>
            <w:tcW w:w="9020" w:type="dxa"/>
            <w:vAlign w:val="bottom"/>
          </w:tcPr>
          <w:p>
            <w:pPr>
              <w:ind w:left="280"/>
              <w:spacing w:after="0"/>
              <w:rPr>
                <w:sz w:val="20"/>
                <w:szCs w:val="20"/>
                <w:color w:val="auto"/>
              </w:rPr>
            </w:pPr>
            <w:r>
              <w:rPr>
                <w:rFonts w:ascii="Arial" w:cs="Arial" w:eastAsia="Arial" w:hAnsi="Arial"/>
                <w:sz w:val="15"/>
                <w:szCs w:val="15"/>
                <w:color w:val="auto"/>
              </w:rPr>
              <w:t>Income taxes receivable</w:t>
            </w:r>
          </w:p>
        </w:tc>
        <w:tc>
          <w:tcPr>
            <w:tcW w:w="220" w:type="dxa"/>
            <w:vAlign w:val="bottom"/>
          </w:tcPr>
          <w:p>
            <w:pPr>
              <w:spacing w:after="0"/>
              <w:rPr>
                <w:sz w:val="23"/>
                <w:szCs w:val="23"/>
                <w:color w:val="auto"/>
              </w:rPr>
            </w:pPr>
          </w:p>
        </w:tc>
        <w:tc>
          <w:tcPr>
            <w:tcW w:w="980" w:type="dxa"/>
            <w:vAlign w:val="bottom"/>
          </w:tcPr>
          <w:p>
            <w:pPr>
              <w:jc w:val="right"/>
              <w:ind w:right="84"/>
              <w:spacing w:after="0"/>
              <w:rPr>
                <w:sz w:val="20"/>
                <w:szCs w:val="20"/>
                <w:color w:val="auto"/>
              </w:rPr>
            </w:pPr>
            <w:r>
              <w:rPr>
                <w:rFonts w:ascii="Arial" w:cs="Arial" w:eastAsia="Arial" w:hAnsi="Arial"/>
                <w:sz w:val="15"/>
                <w:szCs w:val="15"/>
                <w:b w:val="1"/>
                <w:bCs w:val="1"/>
                <w:color w:val="auto"/>
              </w:rPr>
              <w:t>41,635</w:t>
            </w:r>
          </w:p>
        </w:tc>
        <w:tc>
          <w:tcPr>
            <w:tcW w:w="260" w:type="dxa"/>
            <w:vAlign w:val="bottom"/>
          </w:tcPr>
          <w:p>
            <w:pPr>
              <w:spacing w:after="0"/>
              <w:rPr>
                <w:sz w:val="23"/>
                <w:szCs w:val="23"/>
                <w:color w:val="auto"/>
              </w:rPr>
            </w:pPr>
          </w:p>
        </w:tc>
        <w:tc>
          <w:tcPr>
            <w:tcW w:w="940" w:type="dxa"/>
            <w:vAlign w:val="bottom"/>
          </w:tcPr>
          <w:p>
            <w:pPr>
              <w:jc w:val="right"/>
              <w:ind w:right="24"/>
              <w:spacing w:after="0"/>
              <w:rPr>
                <w:sz w:val="20"/>
                <w:szCs w:val="20"/>
                <w:color w:val="auto"/>
              </w:rPr>
            </w:pPr>
            <w:r>
              <w:rPr>
                <w:rFonts w:ascii="Arial" w:cs="Arial" w:eastAsia="Arial" w:hAnsi="Arial"/>
                <w:sz w:val="15"/>
                <w:szCs w:val="15"/>
                <w:color w:val="auto"/>
              </w:rPr>
              <w:t>48,383</w:t>
            </w:r>
          </w:p>
        </w:tc>
        <w:tc>
          <w:tcPr>
            <w:tcW w:w="0" w:type="dxa"/>
            <w:vAlign w:val="bottom"/>
          </w:tcPr>
          <w:p>
            <w:pPr>
              <w:spacing w:after="0"/>
              <w:rPr>
                <w:sz w:val="1"/>
                <w:szCs w:val="1"/>
                <w:color w:val="auto"/>
              </w:rPr>
            </w:pPr>
          </w:p>
        </w:tc>
      </w:tr>
      <w:tr>
        <w:trPr>
          <w:trHeight w:val="270"/>
        </w:trPr>
        <w:tc>
          <w:tcPr>
            <w:tcW w:w="9020" w:type="dxa"/>
            <w:vAlign w:val="bottom"/>
          </w:tcPr>
          <w:p>
            <w:pPr>
              <w:ind w:left="280"/>
              <w:spacing w:after="0"/>
              <w:rPr>
                <w:sz w:val="20"/>
                <w:szCs w:val="20"/>
                <w:color w:val="auto"/>
              </w:rPr>
            </w:pPr>
            <w:r>
              <w:rPr>
                <w:rFonts w:ascii="Arial" w:cs="Arial" w:eastAsia="Arial" w:hAnsi="Arial"/>
                <w:sz w:val="15"/>
                <w:szCs w:val="15"/>
                <w:color w:val="auto"/>
              </w:rPr>
              <w:t>Inventories and contracts in progress</w:t>
            </w:r>
          </w:p>
        </w:tc>
        <w:tc>
          <w:tcPr>
            <w:tcW w:w="220" w:type="dxa"/>
            <w:vAlign w:val="bottom"/>
          </w:tcPr>
          <w:p>
            <w:pPr>
              <w:spacing w:after="0"/>
              <w:rPr>
                <w:sz w:val="23"/>
                <w:szCs w:val="23"/>
                <w:color w:val="auto"/>
              </w:rPr>
            </w:pPr>
          </w:p>
        </w:tc>
        <w:tc>
          <w:tcPr>
            <w:tcW w:w="980" w:type="dxa"/>
            <w:vAlign w:val="bottom"/>
          </w:tcPr>
          <w:p>
            <w:pPr>
              <w:jc w:val="right"/>
              <w:ind w:right="84"/>
              <w:spacing w:after="0"/>
              <w:rPr>
                <w:sz w:val="20"/>
                <w:szCs w:val="20"/>
                <w:color w:val="auto"/>
              </w:rPr>
            </w:pPr>
            <w:r>
              <w:rPr>
                <w:rFonts w:ascii="Arial" w:cs="Arial" w:eastAsia="Arial" w:hAnsi="Arial"/>
                <w:sz w:val="15"/>
                <w:szCs w:val="15"/>
                <w:b w:val="1"/>
                <w:bCs w:val="1"/>
                <w:color w:val="auto"/>
              </w:rPr>
              <w:t>34,818</w:t>
            </w:r>
          </w:p>
        </w:tc>
        <w:tc>
          <w:tcPr>
            <w:tcW w:w="260" w:type="dxa"/>
            <w:vAlign w:val="bottom"/>
          </w:tcPr>
          <w:p>
            <w:pPr>
              <w:spacing w:after="0"/>
              <w:rPr>
                <w:sz w:val="23"/>
                <w:szCs w:val="23"/>
                <w:color w:val="auto"/>
              </w:rPr>
            </w:pPr>
          </w:p>
        </w:tc>
        <w:tc>
          <w:tcPr>
            <w:tcW w:w="940" w:type="dxa"/>
            <w:vAlign w:val="bottom"/>
          </w:tcPr>
          <w:p>
            <w:pPr>
              <w:jc w:val="right"/>
              <w:ind w:right="24"/>
              <w:spacing w:after="0"/>
              <w:rPr>
                <w:sz w:val="20"/>
                <w:szCs w:val="20"/>
                <w:color w:val="auto"/>
              </w:rPr>
            </w:pPr>
            <w:r>
              <w:rPr>
                <w:rFonts w:ascii="Arial" w:cs="Arial" w:eastAsia="Arial" w:hAnsi="Arial"/>
                <w:sz w:val="15"/>
                <w:szCs w:val="15"/>
                <w:color w:val="auto"/>
              </w:rPr>
              <w:t>32,068</w:t>
            </w:r>
          </w:p>
        </w:tc>
        <w:tc>
          <w:tcPr>
            <w:tcW w:w="0" w:type="dxa"/>
            <w:vAlign w:val="bottom"/>
          </w:tcPr>
          <w:p>
            <w:pPr>
              <w:spacing w:after="0"/>
              <w:rPr>
                <w:sz w:val="1"/>
                <w:szCs w:val="1"/>
                <w:color w:val="auto"/>
              </w:rPr>
            </w:pPr>
          </w:p>
        </w:tc>
      </w:tr>
      <w:tr>
        <w:trPr>
          <w:trHeight w:val="268"/>
        </w:trPr>
        <w:tc>
          <w:tcPr>
            <w:tcW w:w="9020" w:type="dxa"/>
            <w:vAlign w:val="bottom"/>
          </w:tcPr>
          <w:p>
            <w:pPr>
              <w:ind w:left="280"/>
              <w:spacing w:after="0"/>
              <w:rPr>
                <w:sz w:val="20"/>
                <w:szCs w:val="20"/>
                <w:color w:val="auto"/>
              </w:rPr>
            </w:pPr>
            <w:r>
              <w:rPr>
                <w:rFonts w:ascii="Arial" w:cs="Arial" w:eastAsia="Arial" w:hAnsi="Arial"/>
                <w:sz w:val="15"/>
                <w:szCs w:val="15"/>
                <w:color w:val="auto"/>
              </w:rPr>
              <w:t>Other current assets</w:t>
            </w:r>
          </w:p>
        </w:tc>
        <w:tc>
          <w:tcPr>
            <w:tcW w:w="22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b w:val="1"/>
                <w:bCs w:val="1"/>
                <w:color w:val="auto"/>
              </w:rPr>
              <w:t>60,735</w:t>
            </w:r>
          </w:p>
        </w:tc>
        <w:tc>
          <w:tcPr>
            <w:tcW w:w="26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53,439</w:t>
            </w:r>
          </w:p>
        </w:tc>
        <w:tc>
          <w:tcPr>
            <w:tcW w:w="0" w:type="dxa"/>
            <w:vAlign w:val="bottom"/>
          </w:tcPr>
          <w:p>
            <w:pPr>
              <w:spacing w:after="0"/>
              <w:rPr>
                <w:sz w:val="1"/>
                <w:szCs w:val="1"/>
                <w:color w:val="auto"/>
              </w:rPr>
            </w:pPr>
          </w:p>
        </w:tc>
      </w:tr>
      <w:tr>
        <w:trPr>
          <w:trHeight w:val="266"/>
        </w:trPr>
        <w:tc>
          <w:tcPr>
            <w:tcW w:w="9020" w:type="dxa"/>
            <w:vAlign w:val="bottom"/>
          </w:tcPr>
          <w:p>
            <w:pPr>
              <w:ind w:left="500"/>
              <w:spacing w:after="0"/>
              <w:rPr>
                <w:sz w:val="20"/>
                <w:szCs w:val="20"/>
                <w:color w:val="auto"/>
              </w:rPr>
            </w:pPr>
            <w:r>
              <w:rPr>
                <w:rFonts w:ascii="Arial" w:cs="Arial" w:eastAsia="Arial" w:hAnsi="Arial"/>
                <w:sz w:val="15"/>
                <w:szCs w:val="15"/>
                <w:b w:val="1"/>
                <w:bCs w:val="1"/>
                <w:color w:val="auto"/>
              </w:rPr>
              <w:t>Total Current Assets</w:t>
            </w:r>
          </w:p>
        </w:tc>
        <w:tc>
          <w:tcPr>
            <w:tcW w:w="220" w:type="dxa"/>
            <w:vAlign w:val="bottom"/>
          </w:tcPr>
          <w:p>
            <w:pPr>
              <w:spacing w:after="0"/>
              <w:rPr>
                <w:sz w:val="23"/>
                <w:szCs w:val="23"/>
                <w:color w:val="auto"/>
              </w:rPr>
            </w:pPr>
          </w:p>
        </w:tc>
        <w:tc>
          <w:tcPr>
            <w:tcW w:w="980" w:type="dxa"/>
            <w:vAlign w:val="bottom"/>
          </w:tcPr>
          <w:p>
            <w:pPr>
              <w:jc w:val="right"/>
              <w:ind w:right="84"/>
              <w:spacing w:after="0"/>
              <w:rPr>
                <w:sz w:val="20"/>
                <w:szCs w:val="20"/>
                <w:color w:val="auto"/>
              </w:rPr>
            </w:pPr>
            <w:r>
              <w:rPr>
                <w:rFonts w:ascii="Arial" w:cs="Arial" w:eastAsia="Arial" w:hAnsi="Arial"/>
                <w:sz w:val="15"/>
                <w:szCs w:val="15"/>
                <w:b w:val="1"/>
                <w:bCs w:val="1"/>
                <w:color w:val="auto"/>
              </w:rPr>
              <w:t>1,871,346</w:t>
            </w:r>
          </w:p>
        </w:tc>
        <w:tc>
          <w:tcPr>
            <w:tcW w:w="260" w:type="dxa"/>
            <w:vAlign w:val="bottom"/>
          </w:tcPr>
          <w:p>
            <w:pPr>
              <w:spacing w:after="0"/>
              <w:rPr>
                <w:sz w:val="23"/>
                <w:szCs w:val="23"/>
                <w:color w:val="auto"/>
              </w:rPr>
            </w:pPr>
          </w:p>
        </w:tc>
        <w:tc>
          <w:tcPr>
            <w:tcW w:w="940" w:type="dxa"/>
            <w:vAlign w:val="bottom"/>
          </w:tcPr>
          <w:p>
            <w:pPr>
              <w:jc w:val="right"/>
              <w:ind w:right="24"/>
              <w:spacing w:after="0"/>
              <w:rPr>
                <w:sz w:val="20"/>
                <w:szCs w:val="20"/>
                <w:color w:val="auto"/>
              </w:rPr>
            </w:pPr>
            <w:r>
              <w:rPr>
                <w:rFonts w:ascii="Arial" w:cs="Arial" w:eastAsia="Arial" w:hAnsi="Arial"/>
                <w:sz w:val="15"/>
                <w:szCs w:val="15"/>
                <w:color w:val="auto"/>
              </w:rPr>
              <w:t>1,860,722</w:t>
            </w:r>
          </w:p>
        </w:tc>
        <w:tc>
          <w:tcPr>
            <w:tcW w:w="0" w:type="dxa"/>
            <w:vAlign w:val="bottom"/>
          </w:tcPr>
          <w:p>
            <w:pPr>
              <w:spacing w:after="0"/>
              <w:rPr>
                <w:sz w:val="1"/>
                <w:szCs w:val="1"/>
                <w:color w:val="auto"/>
              </w:rPr>
            </w:pPr>
          </w:p>
        </w:tc>
      </w:tr>
      <w:tr>
        <w:trPr>
          <w:trHeight w:val="270"/>
        </w:trPr>
        <w:tc>
          <w:tcPr>
            <w:tcW w:w="9020" w:type="dxa"/>
            <w:vAlign w:val="bottom"/>
          </w:tcPr>
          <w:p>
            <w:pPr>
              <w:ind w:left="40"/>
              <w:spacing w:after="0"/>
              <w:rPr>
                <w:sz w:val="20"/>
                <w:szCs w:val="20"/>
                <w:color w:val="auto"/>
              </w:rPr>
            </w:pPr>
            <w:r>
              <w:rPr>
                <w:rFonts w:ascii="Arial" w:cs="Arial" w:eastAsia="Arial" w:hAnsi="Arial"/>
                <w:sz w:val="15"/>
                <w:szCs w:val="15"/>
                <w:b w:val="1"/>
                <w:bCs w:val="1"/>
                <w:color w:val="auto"/>
              </w:rPr>
              <w:t>Property, Plant and Equipment, Net</w:t>
            </w:r>
          </w:p>
        </w:tc>
        <w:tc>
          <w:tcPr>
            <w:tcW w:w="220" w:type="dxa"/>
            <w:vAlign w:val="bottom"/>
          </w:tcPr>
          <w:p>
            <w:pPr>
              <w:spacing w:after="0"/>
              <w:rPr>
                <w:sz w:val="23"/>
                <w:szCs w:val="23"/>
                <w:color w:val="auto"/>
              </w:rPr>
            </w:pPr>
          </w:p>
        </w:tc>
        <w:tc>
          <w:tcPr>
            <w:tcW w:w="980" w:type="dxa"/>
            <w:vAlign w:val="bottom"/>
          </w:tcPr>
          <w:p>
            <w:pPr>
              <w:jc w:val="right"/>
              <w:ind w:right="84"/>
              <w:spacing w:after="0"/>
              <w:rPr>
                <w:sz w:val="20"/>
                <w:szCs w:val="20"/>
                <w:color w:val="auto"/>
              </w:rPr>
            </w:pPr>
            <w:r>
              <w:rPr>
                <w:rFonts w:ascii="Arial" w:cs="Arial" w:eastAsia="Arial" w:hAnsi="Arial"/>
                <w:sz w:val="15"/>
                <w:szCs w:val="15"/>
                <w:b w:val="1"/>
                <w:bCs w:val="1"/>
                <w:color w:val="auto"/>
              </w:rPr>
              <w:t>233,664</w:t>
            </w:r>
          </w:p>
        </w:tc>
        <w:tc>
          <w:tcPr>
            <w:tcW w:w="260" w:type="dxa"/>
            <w:vAlign w:val="bottom"/>
          </w:tcPr>
          <w:p>
            <w:pPr>
              <w:spacing w:after="0"/>
              <w:rPr>
                <w:sz w:val="23"/>
                <w:szCs w:val="23"/>
                <w:color w:val="auto"/>
              </w:rPr>
            </w:pPr>
          </w:p>
        </w:tc>
        <w:tc>
          <w:tcPr>
            <w:tcW w:w="940" w:type="dxa"/>
            <w:vAlign w:val="bottom"/>
          </w:tcPr>
          <w:p>
            <w:pPr>
              <w:jc w:val="right"/>
              <w:ind w:right="24"/>
              <w:spacing w:after="0"/>
              <w:rPr>
                <w:sz w:val="20"/>
                <w:szCs w:val="20"/>
                <w:color w:val="auto"/>
              </w:rPr>
            </w:pPr>
            <w:r>
              <w:rPr>
                <w:rFonts w:ascii="Arial" w:cs="Arial" w:eastAsia="Arial" w:hAnsi="Arial"/>
                <w:sz w:val="15"/>
                <w:szCs w:val="15"/>
                <w:color w:val="auto"/>
              </w:rPr>
              <w:t>231,123</w:t>
            </w:r>
          </w:p>
        </w:tc>
        <w:tc>
          <w:tcPr>
            <w:tcW w:w="0" w:type="dxa"/>
            <w:vAlign w:val="bottom"/>
          </w:tcPr>
          <w:p>
            <w:pPr>
              <w:spacing w:after="0"/>
              <w:rPr>
                <w:sz w:val="1"/>
                <w:szCs w:val="1"/>
                <w:color w:val="auto"/>
              </w:rPr>
            </w:pPr>
          </w:p>
        </w:tc>
      </w:tr>
      <w:tr>
        <w:trPr>
          <w:trHeight w:val="270"/>
        </w:trPr>
        <w:tc>
          <w:tcPr>
            <w:tcW w:w="9020" w:type="dxa"/>
            <w:vAlign w:val="bottom"/>
          </w:tcPr>
          <w:p>
            <w:pPr>
              <w:ind w:left="40"/>
              <w:spacing w:after="0"/>
              <w:rPr>
                <w:sz w:val="20"/>
                <w:szCs w:val="20"/>
                <w:color w:val="auto"/>
              </w:rPr>
            </w:pPr>
            <w:r>
              <w:rPr>
                <w:rFonts w:ascii="Arial" w:cs="Arial" w:eastAsia="Arial" w:hAnsi="Arial"/>
                <w:sz w:val="15"/>
                <w:szCs w:val="15"/>
                <w:b w:val="1"/>
                <w:bCs w:val="1"/>
                <w:color w:val="auto"/>
              </w:rPr>
              <w:t>Investments in Affiliates</w:t>
            </w:r>
          </w:p>
        </w:tc>
        <w:tc>
          <w:tcPr>
            <w:tcW w:w="220" w:type="dxa"/>
            <w:vAlign w:val="bottom"/>
          </w:tcPr>
          <w:p>
            <w:pPr>
              <w:spacing w:after="0"/>
              <w:rPr>
                <w:sz w:val="23"/>
                <w:szCs w:val="23"/>
                <w:color w:val="auto"/>
              </w:rPr>
            </w:pPr>
          </w:p>
        </w:tc>
        <w:tc>
          <w:tcPr>
            <w:tcW w:w="980" w:type="dxa"/>
            <w:vAlign w:val="bottom"/>
          </w:tcPr>
          <w:p>
            <w:pPr>
              <w:jc w:val="right"/>
              <w:ind w:right="84"/>
              <w:spacing w:after="0"/>
              <w:rPr>
                <w:sz w:val="20"/>
                <w:szCs w:val="20"/>
                <w:color w:val="auto"/>
              </w:rPr>
            </w:pPr>
            <w:r>
              <w:rPr>
                <w:rFonts w:ascii="Arial" w:cs="Arial" w:eastAsia="Arial" w:hAnsi="Arial"/>
                <w:sz w:val="15"/>
                <w:szCs w:val="15"/>
                <w:b w:val="1"/>
                <w:bCs w:val="1"/>
                <w:color w:val="auto"/>
              </w:rPr>
              <w:t>58,806</w:t>
            </w:r>
          </w:p>
        </w:tc>
        <w:tc>
          <w:tcPr>
            <w:tcW w:w="260" w:type="dxa"/>
            <w:vAlign w:val="bottom"/>
          </w:tcPr>
          <w:p>
            <w:pPr>
              <w:spacing w:after="0"/>
              <w:rPr>
                <w:sz w:val="23"/>
                <w:szCs w:val="23"/>
                <w:color w:val="auto"/>
              </w:rPr>
            </w:pPr>
          </w:p>
        </w:tc>
        <w:tc>
          <w:tcPr>
            <w:tcW w:w="940" w:type="dxa"/>
            <w:vAlign w:val="bottom"/>
          </w:tcPr>
          <w:p>
            <w:pPr>
              <w:jc w:val="right"/>
              <w:ind w:right="24"/>
              <w:spacing w:after="0"/>
              <w:rPr>
                <w:sz w:val="20"/>
                <w:szCs w:val="20"/>
                <w:color w:val="auto"/>
              </w:rPr>
            </w:pPr>
            <w:r>
              <w:rPr>
                <w:rFonts w:ascii="Arial" w:cs="Arial" w:eastAsia="Arial" w:hAnsi="Arial"/>
                <w:sz w:val="15"/>
                <w:szCs w:val="15"/>
                <w:color w:val="auto"/>
              </w:rPr>
              <w:t>59,229</w:t>
            </w:r>
          </w:p>
        </w:tc>
        <w:tc>
          <w:tcPr>
            <w:tcW w:w="0" w:type="dxa"/>
            <w:vAlign w:val="bottom"/>
          </w:tcPr>
          <w:p>
            <w:pPr>
              <w:spacing w:after="0"/>
              <w:rPr>
                <w:sz w:val="1"/>
                <w:szCs w:val="1"/>
                <w:color w:val="auto"/>
              </w:rPr>
            </w:pPr>
          </w:p>
        </w:tc>
      </w:tr>
      <w:tr>
        <w:trPr>
          <w:trHeight w:val="270"/>
        </w:trPr>
        <w:tc>
          <w:tcPr>
            <w:tcW w:w="9020" w:type="dxa"/>
            <w:vAlign w:val="bottom"/>
          </w:tcPr>
          <w:p>
            <w:pPr>
              <w:ind w:left="40"/>
              <w:spacing w:after="0"/>
              <w:rPr>
                <w:sz w:val="20"/>
                <w:szCs w:val="20"/>
                <w:color w:val="auto"/>
              </w:rPr>
            </w:pPr>
            <w:r>
              <w:rPr>
                <w:rFonts w:ascii="Arial" w:cs="Arial" w:eastAsia="Arial" w:hAnsi="Arial"/>
                <w:sz w:val="15"/>
                <w:szCs w:val="15"/>
                <w:b w:val="1"/>
                <w:bCs w:val="1"/>
                <w:color w:val="auto"/>
              </w:rPr>
              <w:t>Goodwill, Net</w:t>
            </w:r>
          </w:p>
        </w:tc>
        <w:tc>
          <w:tcPr>
            <w:tcW w:w="220" w:type="dxa"/>
            <w:vAlign w:val="bottom"/>
          </w:tcPr>
          <w:p>
            <w:pPr>
              <w:spacing w:after="0"/>
              <w:rPr>
                <w:sz w:val="23"/>
                <w:szCs w:val="23"/>
                <w:color w:val="auto"/>
              </w:rPr>
            </w:pPr>
          </w:p>
        </w:tc>
        <w:tc>
          <w:tcPr>
            <w:tcW w:w="980" w:type="dxa"/>
            <w:vAlign w:val="bottom"/>
          </w:tcPr>
          <w:p>
            <w:pPr>
              <w:jc w:val="right"/>
              <w:ind w:right="84"/>
              <w:spacing w:after="0"/>
              <w:rPr>
                <w:sz w:val="20"/>
                <w:szCs w:val="20"/>
                <w:color w:val="auto"/>
              </w:rPr>
            </w:pPr>
            <w:r>
              <w:rPr>
                <w:rFonts w:ascii="Arial" w:cs="Arial" w:eastAsia="Arial" w:hAnsi="Arial"/>
                <w:sz w:val="15"/>
                <w:szCs w:val="15"/>
                <w:b w:val="1"/>
                <w:bCs w:val="1"/>
                <w:color w:val="auto"/>
              </w:rPr>
              <w:t>1,122,954</w:t>
            </w:r>
          </w:p>
        </w:tc>
        <w:tc>
          <w:tcPr>
            <w:tcW w:w="260" w:type="dxa"/>
            <w:vAlign w:val="bottom"/>
          </w:tcPr>
          <w:p>
            <w:pPr>
              <w:spacing w:after="0"/>
              <w:rPr>
                <w:sz w:val="23"/>
                <w:szCs w:val="23"/>
                <w:color w:val="auto"/>
              </w:rPr>
            </w:pPr>
          </w:p>
        </w:tc>
        <w:tc>
          <w:tcPr>
            <w:tcW w:w="940" w:type="dxa"/>
            <w:vAlign w:val="bottom"/>
          </w:tcPr>
          <w:p>
            <w:pPr>
              <w:jc w:val="right"/>
              <w:ind w:right="24"/>
              <w:spacing w:after="0"/>
              <w:rPr>
                <w:sz w:val="20"/>
                <w:szCs w:val="20"/>
                <w:color w:val="auto"/>
              </w:rPr>
            </w:pPr>
            <w:r>
              <w:rPr>
                <w:rFonts w:ascii="Arial" w:cs="Arial" w:eastAsia="Arial" w:hAnsi="Arial"/>
                <w:sz w:val="15"/>
                <w:szCs w:val="15"/>
                <w:color w:val="auto"/>
              </w:rPr>
              <w:t>1,017,513</w:t>
            </w:r>
          </w:p>
        </w:tc>
        <w:tc>
          <w:tcPr>
            <w:tcW w:w="0" w:type="dxa"/>
            <w:vAlign w:val="bottom"/>
          </w:tcPr>
          <w:p>
            <w:pPr>
              <w:spacing w:after="0"/>
              <w:rPr>
                <w:sz w:val="1"/>
                <w:szCs w:val="1"/>
                <w:color w:val="auto"/>
              </w:rPr>
            </w:pPr>
          </w:p>
        </w:tc>
      </w:tr>
      <w:tr>
        <w:trPr>
          <w:trHeight w:val="270"/>
        </w:trPr>
        <w:tc>
          <w:tcPr>
            <w:tcW w:w="9020" w:type="dxa"/>
            <w:vAlign w:val="bottom"/>
          </w:tcPr>
          <w:p>
            <w:pPr>
              <w:ind w:left="40"/>
              <w:spacing w:after="0"/>
              <w:rPr>
                <w:sz w:val="20"/>
                <w:szCs w:val="20"/>
                <w:color w:val="auto"/>
              </w:rPr>
            </w:pPr>
            <w:r>
              <w:rPr>
                <w:rFonts w:ascii="Arial" w:cs="Arial" w:eastAsia="Arial" w:hAnsi="Arial"/>
                <w:sz w:val="15"/>
                <w:szCs w:val="15"/>
                <w:b w:val="1"/>
                <w:bCs w:val="1"/>
                <w:color w:val="auto"/>
              </w:rPr>
              <w:t>Indefinite-Lived Intangible Assets, Net</w:t>
            </w:r>
          </w:p>
        </w:tc>
        <w:tc>
          <w:tcPr>
            <w:tcW w:w="220" w:type="dxa"/>
            <w:vAlign w:val="bottom"/>
          </w:tcPr>
          <w:p>
            <w:pPr>
              <w:spacing w:after="0"/>
              <w:rPr>
                <w:sz w:val="23"/>
                <w:szCs w:val="23"/>
                <w:color w:val="auto"/>
              </w:rPr>
            </w:pPr>
          </w:p>
        </w:tc>
        <w:tc>
          <w:tcPr>
            <w:tcW w:w="980" w:type="dxa"/>
            <w:vAlign w:val="bottom"/>
          </w:tcPr>
          <w:p>
            <w:pPr>
              <w:jc w:val="right"/>
              <w:ind w:right="84"/>
              <w:spacing w:after="0"/>
              <w:rPr>
                <w:sz w:val="20"/>
                <w:szCs w:val="20"/>
                <w:color w:val="auto"/>
              </w:rPr>
            </w:pPr>
            <w:r>
              <w:rPr>
                <w:rFonts w:ascii="Arial" w:cs="Arial" w:eastAsia="Arial" w:hAnsi="Arial"/>
                <w:sz w:val="15"/>
                <w:szCs w:val="15"/>
                <w:b w:val="1"/>
                <w:bCs w:val="1"/>
                <w:color w:val="auto"/>
              </w:rPr>
              <w:t>66,026</w:t>
            </w:r>
          </w:p>
        </w:tc>
        <w:tc>
          <w:tcPr>
            <w:tcW w:w="260" w:type="dxa"/>
            <w:vAlign w:val="bottom"/>
          </w:tcPr>
          <w:p>
            <w:pPr>
              <w:spacing w:after="0"/>
              <w:rPr>
                <w:sz w:val="23"/>
                <w:szCs w:val="23"/>
                <w:color w:val="auto"/>
              </w:rPr>
            </w:pPr>
          </w:p>
        </w:tc>
        <w:tc>
          <w:tcPr>
            <w:tcW w:w="940" w:type="dxa"/>
            <w:vAlign w:val="bottom"/>
          </w:tcPr>
          <w:p>
            <w:pPr>
              <w:jc w:val="right"/>
              <w:ind w:right="24"/>
              <w:spacing w:after="0"/>
              <w:rPr>
                <w:sz w:val="20"/>
                <w:szCs w:val="20"/>
                <w:color w:val="auto"/>
              </w:rPr>
            </w:pPr>
            <w:r>
              <w:rPr>
                <w:rFonts w:ascii="Arial" w:cs="Arial" w:eastAsia="Arial" w:hAnsi="Arial"/>
                <w:sz w:val="15"/>
                <w:szCs w:val="15"/>
                <w:color w:val="auto"/>
              </w:rPr>
              <w:t>21,885</w:t>
            </w:r>
          </w:p>
        </w:tc>
        <w:tc>
          <w:tcPr>
            <w:tcW w:w="0" w:type="dxa"/>
            <w:vAlign w:val="bottom"/>
          </w:tcPr>
          <w:p>
            <w:pPr>
              <w:spacing w:after="0"/>
              <w:rPr>
                <w:sz w:val="1"/>
                <w:szCs w:val="1"/>
                <w:color w:val="auto"/>
              </w:rPr>
            </w:pPr>
          </w:p>
        </w:tc>
      </w:tr>
      <w:tr>
        <w:trPr>
          <w:trHeight w:val="270"/>
        </w:trPr>
        <w:tc>
          <w:tcPr>
            <w:tcW w:w="9020" w:type="dxa"/>
            <w:vAlign w:val="bottom"/>
          </w:tcPr>
          <w:p>
            <w:pPr>
              <w:ind w:left="40"/>
              <w:spacing w:after="0"/>
              <w:rPr>
                <w:sz w:val="20"/>
                <w:szCs w:val="20"/>
                <w:color w:val="auto"/>
              </w:rPr>
            </w:pPr>
            <w:r>
              <w:rPr>
                <w:rFonts w:ascii="Arial" w:cs="Arial" w:eastAsia="Arial" w:hAnsi="Arial"/>
                <w:sz w:val="15"/>
                <w:szCs w:val="15"/>
                <w:b w:val="1"/>
                <w:bCs w:val="1"/>
                <w:color w:val="auto"/>
              </w:rPr>
              <w:t>Amortized Intangible Assets, Net</w:t>
            </w:r>
          </w:p>
        </w:tc>
        <w:tc>
          <w:tcPr>
            <w:tcW w:w="220" w:type="dxa"/>
            <w:vAlign w:val="bottom"/>
          </w:tcPr>
          <w:p>
            <w:pPr>
              <w:spacing w:after="0"/>
              <w:rPr>
                <w:sz w:val="23"/>
                <w:szCs w:val="23"/>
                <w:color w:val="auto"/>
              </w:rPr>
            </w:pPr>
          </w:p>
        </w:tc>
        <w:tc>
          <w:tcPr>
            <w:tcW w:w="980" w:type="dxa"/>
            <w:vAlign w:val="bottom"/>
          </w:tcPr>
          <w:p>
            <w:pPr>
              <w:jc w:val="right"/>
              <w:ind w:right="84"/>
              <w:spacing w:after="0"/>
              <w:rPr>
                <w:sz w:val="20"/>
                <w:szCs w:val="20"/>
                <w:color w:val="auto"/>
              </w:rPr>
            </w:pPr>
            <w:r>
              <w:rPr>
                <w:rFonts w:ascii="Arial" w:cs="Arial" w:eastAsia="Arial" w:hAnsi="Arial"/>
                <w:sz w:val="15"/>
                <w:szCs w:val="15"/>
                <w:b w:val="1"/>
                <w:bCs w:val="1"/>
                <w:color w:val="auto"/>
              </w:rPr>
              <w:t>107,939</w:t>
            </w:r>
          </w:p>
        </w:tc>
        <w:tc>
          <w:tcPr>
            <w:tcW w:w="260" w:type="dxa"/>
            <w:vAlign w:val="bottom"/>
          </w:tcPr>
          <w:p>
            <w:pPr>
              <w:spacing w:after="0"/>
              <w:rPr>
                <w:sz w:val="23"/>
                <w:szCs w:val="23"/>
                <w:color w:val="auto"/>
              </w:rPr>
            </w:pPr>
          </w:p>
        </w:tc>
        <w:tc>
          <w:tcPr>
            <w:tcW w:w="940" w:type="dxa"/>
            <w:vAlign w:val="bottom"/>
          </w:tcPr>
          <w:p>
            <w:pPr>
              <w:jc w:val="right"/>
              <w:ind w:right="24"/>
              <w:spacing w:after="0"/>
              <w:rPr>
                <w:sz w:val="20"/>
                <w:szCs w:val="20"/>
                <w:color w:val="auto"/>
              </w:rPr>
            </w:pPr>
            <w:r>
              <w:rPr>
                <w:rFonts w:ascii="Arial" w:cs="Arial" w:eastAsia="Arial" w:hAnsi="Arial"/>
                <w:sz w:val="15"/>
                <w:szCs w:val="15"/>
                <w:color w:val="auto"/>
              </w:rPr>
              <w:t>107,191</w:t>
            </w:r>
          </w:p>
        </w:tc>
        <w:tc>
          <w:tcPr>
            <w:tcW w:w="0" w:type="dxa"/>
            <w:vAlign w:val="bottom"/>
          </w:tcPr>
          <w:p>
            <w:pPr>
              <w:spacing w:after="0"/>
              <w:rPr>
                <w:sz w:val="1"/>
                <w:szCs w:val="1"/>
                <w:color w:val="auto"/>
              </w:rPr>
            </w:pPr>
          </w:p>
        </w:tc>
      </w:tr>
      <w:tr>
        <w:trPr>
          <w:trHeight w:val="270"/>
        </w:trPr>
        <w:tc>
          <w:tcPr>
            <w:tcW w:w="9020" w:type="dxa"/>
            <w:vAlign w:val="bottom"/>
          </w:tcPr>
          <w:p>
            <w:pPr>
              <w:ind w:left="40"/>
              <w:spacing w:after="0"/>
              <w:rPr>
                <w:sz w:val="20"/>
                <w:szCs w:val="20"/>
                <w:color w:val="auto"/>
              </w:rPr>
            </w:pPr>
            <w:r>
              <w:rPr>
                <w:rFonts w:ascii="Arial" w:cs="Arial" w:eastAsia="Arial" w:hAnsi="Arial"/>
                <w:sz w:val="15"/>
                <w:szCs w:val="15"/>
                <w:b w:val="1"/>
                <w:bCs w:val="1"/>
                <w:color w:val="auto"/>
              </w:rPr>
              <w:t>Prepaid Pension Cost</w:t>
            </w:r>
          </w:p>
        </w:tc>
        <w:tc>
          <w:tcPr>
            <w:tcW w:w="220" w:type="dxa"/>
            <w:vAlign w:val="bottom"/>
          </w:tcPr>
          <w:p>
            <w:pPr>
              <w:spacing w:after="0"/>
              <w:rPr>
                <w:sz w:val="23"/>
                <w:szCs w:val="23"/>
                <w:color w:val="auto"/>
              </w:rPr>
            </w:pPr>
          </w:p>
        </w:tc>
        <w:tc>
          <w:tcPr>
            <w:tcW w:w="980" w:type="dxa"/>
            <w:vAlign w:val="bottom"/>
          </w:tcPr>
          <w:p>
            <w:pPr>
              <w:jc w:val="right"/>
              <w:ind w:right="84"/>
              <w:spacing w:after="0"/>
              <w:rPr>
                <w:sz w:val="20"/>
                <w:szCs w:val="20"/>
                <w:color w:val="auto"/>
              </w:rPr>
            </w:pPr>
            <w:r>
              <w:rPr>
                <w:rFonts w:ascii="Arial" w:cs="Arial" w:eastAsia="Arial" w:hAnsi="Arial"/>
                <w:sz w:val="15"/>
                <w:szCs w:val="15"/>
                <w:b w:val="1"/>
                <w:bCs w:val="1"/>
                <w:color w:val="auto"/>
              </w:rPr>
              <w:t>881,593</w:t>
            </w:r>
          </w:p>
        </w:tc>
        <w:tc>
          <w:tcPr>
            <w:tcW w:w="260" w:type="dxa"/>
            <w:vAlign w:val="bottom"/>
          </w:tcPr>
          <w:p>
            <w:pPr>
              <w:spacing w:after="0"/>
              <w:rPr>
                <w:sz w:val="23"/>
                <w:szCs w:val="23"/>
                <w:color w:val="auto"/>
              </w:rPr>
            </w:pPr>
          </w:p>
        </w:tc>
        <w:tc>
          <w:tcPr>
            <w:tcW w:w="940" w:type="dxa"/>
            <w:vAlign w:val="bottom"/>
          </w:tcPr>
          <w:p>
            <w:pPr>
              <w:jc w:val="right"/>
              <w:ind w:right="24"/>
              <w:spacing w:after="0"/>
              <w:rPr>
                <w:sz w:val="20"/>
                <w:szCs w:val="20"/>
                <w:color w:val="auto"/>
              </w:rPr>
            </w:pPr>
            <w:r>
              <w:rPr>
                <w:rFonts w:ascii="Arial" w:cs="Arial" w:eastAsia="Arial" w:hAnsi="Arial"/>
                <w:sz w:val="15"/>
                <w:szCs w:val="15"/>
                <w:color w:val="auto"/>
              </w:rPr>
              <w:t>979,970</w:t>
            </w:r>
          </w:p>
        </w:tc>
        <w:tc>
          <w:tcPr>
            <w:tcW w:w="0" w:type="dxa"/>
            <w:vAlign w:val="bottom"/>
          </w:tcPr>
          <w:p>
            <w:pPr>
              <w:spacing w:after="0"/>
              <w:rPr>
                <w:sz w:val="1"/>
                <w:szCs w:val="1"/>
                <w:color w:val="auto"/>
              </w:rPr>
            </w:pPr>
          </w:p>
        </w:tc>
      </w:tr>
      <w:tr>
        <w:trPr>
          <w:trHeight w:val="270"/>
        </w:trPr>
        <w:tc>
          <w:tcPr>
            <w:tcW w:w="9020" w:type="dxa"/>
            <w:vAlign w:val="bottom"/>
          </w:tcPr>
          <w:p>
            <w:pPr>
              <w:ind w:left="40"/>
              <w:spacing w:after="0"/>
              <w:rPr>
                <w:sz w:val="20"/>
                <w:szCs w:val="20"/>
                <w:color w:val="auto"/>
              </w:rPr>
            </w:pPr>
            <w:r>
              <w:rPr>
                <w:rFonts w:ascii="Arial" w:cs="Arial" w:eastAsia="Arial" w:hAnsi="Arial"/>
                <w:sz w:val="15"/>
                <w:szCs w:val="15"/>
                <w:b w:val="1"/>
                <w:bCs w:val="1"/>
                <w:color w:val="auto"/>
              </w:rPr>
              <w:t>Deferred Income Taxes</w:t>
            </w:r>
          </w:p>
        </w:tc>
        <w:tc>
          <w:tcPr>
            <w:tcW w:w="220" w:type="dxa"/>
            <w:vAlign w:val="bottom"/>
          </w:tcPr>
          <w:p>
            <w:pPr>
              <w:spacing w:after="0"/>
              <w:rPr>
                <w:sz w:val="23"/>
                <w:szCs w:val="23"/>
                <w:color w:val="auto"/>
              </w:rPr>
            </w:pPr>
          </w:p>
        </w:tc>
        <w:tc>
          <w:tcPr>
            <w:tcW w:w="980" w:type="dxa"/>
            <w:vAlign w:val="bottom"/>
          </w:tcPr>
          <w:p>
            <w:pPr>
              <w:jc w:val="right"/>
              <w:ind w:right="84"/>
              <w:spacing w:after="0"/>
              <w:rPr>
                <w:sz w:val="20"/>
                <w:szCs w:val="20"/>
                <w:color w:val="auto"/>
              </w:rPr>
            </w:pPr>
            <w:r>
              <w:rPr>
                <w:rFonts w:ascii="Arial" w:cs="Arial" w:eastAsia="Arial" w:hAnsi="Arial"/>
                <w:sz w:val="15"/>
                <w:szCs w:val="15"/>
                <w:b w:val="1"/>
                <w:bCs w:val="1"/>
                <w:color w:val="auto"/>
              </w:rPr>
              <w:t>17,246</w:t>
            </w:r>
          </w:p>
        </w:tc>
        <w:tc>
          <w:tcPr>
            <w:tcW w:w="260" w:type="dxa"/>
            <w:vAlign w:val="bottom"/>
          </w:tcPr>
          <w:p>
            <w:pPr>
              <w:spacing w:after="0"/>
              <w:rPr>
                <w:sz w:val="23"/>
                <w:szCs w:val="23"/>
                <w:color w:val="auto"/>
              </w:rPr>
            </w:pPr>
          </w:p>
        </w:tc>
        <w:tc>
          <w:tcPr>
            <w:tcW w:w="94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68"/>
        </w:trPr>
        <w:tc>
          <w:tcPr>
            <w:tcW w:w="9020" w:type="dxa"/>
            <w:vAlign w:val="bottom"/>
          </w:tcPr>
          <w:p>
            <w:pPr>
              <w:ind w:left="40"/>
              <w:spacing w:after="0"/>
              <w:rPr>
                <w:sz w:val="20"/>
                <w:szCs w:val="20"/>
                <w:color w:val="auto"/>
              </w:rPr>
            </w:pPr>
            <w:r>
              <w:rPr>
                <w:rFonts w:ascii="Arial" w:cs="Arial" w:eastAsia="Arial" w:hAnsi="Arial"/>
                <w:sz w:val="15"/>
                <w:szCs w:val="15"/>
                <w:b w:val="1"/>
                <w:bCs w:val="1"/>
                <w:color w:val="auto"/>
              </w:rPr>
              <w:t>Deferred Charges and Other Assets</w:t>
            </w:r>
          </w:p>
        </w:tc>
        <w:tc>
          <w:tcPr>
            <w:tcW w:w="22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b w:val="1"/>
                <w:bCs w:val="1"/>
                <w:color w:val="auto"/>
              </w:rPr>
              <w:t>73,096</w:t>
            </w:r>
          </w:p>
        </w:tc>
        <w:tc>
          <w:tcPr>
            <w:tcW w:w="26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75,192</w:t>
            </w:r>
          </w:p>
        </w:tc>
        <w:tc>
          <w:tcPr>
            <w:tcW w:w="0" w:type="dxa"/>
            <w:vAlign w:val="bottom"/>
          </w:tcPr>
          <w:p>
            <w:pPr>
              <w:spacing w:after="0"/>
              <w:rPr>
                <w:sz w:val="1"/>
                <w:szCs w:val="1"/>
                <w:color w:val="auto"/>
              </w:rPr>
            </w:pPr>
          </w:p>
        </w:tc>
      </w:tr>
      <w:tr>
        <w:trPr>
          <w:trHeight w:val="264"/>
        </w:trPr>
        <w:tc>
          <w:tcPr>
            <w:tcW w:w="9020" w:type="dxa"/>
            <w:vAlign w:val="bottom"/>
          </w:tcPr>
          <w:p>
            <w:pPr>
              <w:ind w:left="500"/>
              <w:spacing w:after="0"/>
              <w:rPr>
                <w:sz w:val="20"/>
                <w:szCs w:val="20"/>
                <w:color w:val="auto"/>
              </w:rPr>
            </w:pPr>
            <w:r>
              <w:rPr>
                <w:rFonts w:ascii="Arial" w:cs="Arial" w:eastAsia="Arial" w:hAnsi="Arial"/>
                <w:sz w:val="15"/>
                <w:szCs w:val="15"/>
                <w:b w:val="1"/>
                <w:bCs w:val="1"/>
                <w:color w:val="auto"/>
              </w:rPr>
              <w:t>Total Assets</w:t>
            </w:r>
          </w:p>
        </w:tc>
        <w:tc>
          <w:tcPr>
            <w:tcW w:w="22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b w:val="1"/>
                <w:bCs w:val="1"/>
                <w:color w:val="auto"/>
              </w:rPr>
              <w:t>$</w:t>
            </w:r>
          </w:p>
        </w:tc>
        <w:tc>
          <w:tcPr>
            <w:tcW w:w="98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b w:val="1"/>
                <w:bCs w:val="1"/>
                <w:color w:val="auto"/>
              </w:rPr>
              <w:t>4,432,670</w:t>
            </w:r>
          </w:p>
        </w:tc>
        <w:tc>
          <w:tcPr>
            <w:tcW w:w="26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w:t>
            </w:r>
          </w:p>
        </w:tc>
        <w:tc>
          <w:tcPr>
            <w:tcW w:w="94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4,352,825</w:t>
            </w:r>
          </w:p>
        </w:tc>
        <w:tc>
          <w:tcPr>
            <w:tcW w:w="0" w:type="dxa"/>
            <w:vAlign w:val="bottom"/>
          </w:tcPr>
          <w:p>
            <w:pPr>
              <w:spacing w:after="0"/>
              <w:rPr>
                <w:sz w:val="1"/>
                <w:szCs w:val="1"/>
                <w:color w:val="auto"/>
              </w:rPr>
            </w:pPr>
          </w:p>
        </w:tc>
      </w:tr>
      <w:tr>
        <w:trPr>
          <w:trHeight w:val="20"/>
        </w:trPr>
        <w:tc>
          <w:tcPr>
            <w:tcW w:w="9020" w:type="dxa"/>
            <w:vAlign w:val="bottom"/>
            <w:vMerge w:val="restart"/>
          </w:tcPr>
          <w:p>
            <w:pPr>
              <w:ind w:left="40"/>
              <w:spacing w:after="0"/>
              <w:rPr>
                <w:sz w:val="20"/>
                <w:szCs w:val="20"/>
                <w:color w:val="auto"/>
              </w:rPr>
            </w:pPr>
            <w:r>
              <w:rPr>
                <w:rFonts w:ascii="Arial" w:cs="Arial" w:eastAsia="Arial" w:hAnsi="Arial"/>
                <w:sz w:val="15"/>
                <w:szCs w:val="15"/>
                <w:b w:val="1"/>
                <w:bCs w:val="1"/>
                <w:color w:val="auto"/>
              </w:rPr>
              <w:t>Liabilities and Equity</w:t>
            </w: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3"/>
        </w:trPr>
        <w:tc>
          <w:tcPr>
            <w:tcW w:w="9020" w:type="dxa"/>
            <w:vAlign w:val="bottom"/>
            <w:vMerge w:val="continue"/>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9020" w:type="dxa"/>
            <w:vAlign w:val="bottom"/>
          </w:tcPr>
          <w:p>
            <w:pPr>
              <w:ind w:left="40"/>
              <w:spacing w:after="0"/>
              <w:rPr>
                <w:sz w:val="20"/>
                <w:szCs w:val="20"/>
                <w:color w:val="auto"/>
              </w:rPr>
            </w:pPr>
            <w:r>
              <w:rPr>
                <w:rFonts w:ascii="Arial" w:cs="Arial" w:eastAsia="Arial" w:hAnsi="Arial"/>
                <w:sz w:val="15"/>
                <w:szCs w:val="15"/>
                <w:b w:val="1"/>
                <w:bCs w:val="1"/>
                <w:color w:val="auto"/>
              </w:rPr>
              <w:t>Current Liabilities</w:t>
            </w:r>
          </w:p>
        </w:tc>
        <w:tc>
          <w:tcPr>
            <w:tcW w:w="2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9020" w:type="dxa"/>
            <w:vAlign w:val="bottom"/>
          </w:tcPr>
          <w:p>
            <w:pPr>
              <w:ind w:left="280"/>
              <w:spacing w:after="0"/>
              <w:rPr>
                <w:sz w:val="20"/>
                <w:szCs w:val="20"/>
                <w:color w:val="auto"/>
              </w:rPr>
            </w:pPr>
            <w:r>
              <w:rPr>
                <w:rFonts w:ascii="Arial" w:cs="Arial" w:eastAsia="Arial" w:hAnsi="Arial"/>
                <w:sz w:val="15"/>
                <w:szCs w:val="15"/>
                <w:color w:val="auto"/>
              </w:rPr>
              <w:t>Accounts payable and accrued liabilities</w:t>
            </w:r>
          </w:p>
        </w:tc>
        <w:tc>
          <w:tcPr>
            <w:tcW w:w="220" w:type="dxa"/>
            <w:vAlign w:val="bottom"/>
          </w:tcPr>
          <w:p>
            <w:pPr>
              <w:jc w:val="right"/>
              <w:ind w:right="23"/>
              <w:spacing w:after="0"/>
              <w:rPr>
                <w:sz w:val="20"/>
                <w:szCs w:val="20"/>
                <w:color w:val="auto"/>
              </w:rPr>
            </w:pPr>
            <w:r>
              <w:rPr>
                <w:rFonts w:ascii="Arial" w:cs="Arial" w:eastAsia="Arial" w:hAnsi="Arial"/>
                <w:sz w:val="15"/>
                <w:szCs w:val="15"/>
                <w:b w:val="1"/>
                <w:bCs w:val="1"/>
                <w:color w:val="auto"/>
              </w:rPr>
              <w:t>$</w:t>
            </w:r>
          </w:p>
        </w:tc>
        <w:tc>
          <w:tcPr>
            <w:tcW w:w="980" w:type="dxa"/>
            <w:vAlign w:val="bottom"/>
          </w:tcPr>
          <w:p>
            <w:pPr>
              <w:jc w:val="right"/>
              <w:ind w:right="84"/>
              <w:spacing w:after="0"/>
              <w:rPr>
                <w:sz w:val="20"/>
                <w:szCs w:val="20"/>
                <w:color w:val="auto"/>
              </w:rPr>
            </w:pPr>
            <w:r>
              <w:rPr>
                <w:rFonts w:ascii="Arial" w:cs="Arial" w:eastAsia="Arial" w:hAnsi="Arial"/>
                <w:sz w:val="15"/>
                <w:szCs w:val="15"/>
                <w:b w:val="1"/>
                <w:bCs w:val="1"/>
                <w:color w:val="auto"/>
              </w:rPr>
              <w:t>500,726</w:t>
            </w:r>
          </w:p>
        </w:tc>
        <w:tc>
          <w:tcPr>
            <w:tcW w:w="26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940" w:type="dxa"/>
            <w:vAlign w:val="bottom"/>
          </w:tcPr>
          <w:p>
            <w:pPr>
              <w:jc w:val="right"/>
              <w:ind w:right="24"/>
              <w:spacing w:after="0"/>
              <w:rPr>
                <w:sz w:val="20"/>
                <w:szCs w:val="20"/>
                <w:color w:val="auto"/>
              </w:rPr>
            </w:pPr>
            <w:r>
              <w:rPr>
                <w:rFonts w:ascii="Arial" w:cs="Arial" w:eastAsia="Arial" w:hAnsi="Arial"/>
                <w:sz w:val="15"/>
                <w:szCs w:val="15"/>
                <w:color w:val="auto"/>
              </w:rPr>
              <w:t>428,014</w:t>
            </w:r>
          </w:p>
        </w:tc>
        <w:tc>
          <w:tcPr>
            <w:tcW w:w="0" w:type="dxa"/>
            <w:vAlign w:val="bottom"/>
          </w:tcPr>
          <w:p>
            <w:pPr>
              <w:spacing w:after="0"/>
              <w:rPr>
                <w:sz w:val="1"/>
                <w:szCs w:val="1"/>
                <w:color w:val="auto"/>
              </w:rPr>
            </w:pPr>
          </w:p>
        </w:tc>
      </w:tr>
      <w:tr>
        <w:trPr>
          <w:trHeight w:val="270"/>
        </w:trPr>
        <w:tc>
          <w:tcPr>
            <w:tcW w:w="9020" w:type="dxa"/>
            <w:vAlign w:val="bottom"/>
          </w:tcPr>
          <w:p>
            <w:pPr>
              <w:ind w:left="280"/>
              <w:spacing w:after="0"/>
              <w:rPr>
                <w:sz w:val="20"/>
                <w:szCs w:val="20"/>
                <w:color w:val="auto"/>
              </w:rPr>
            </w:pPr>
            <w:r>
              <w:rPr>
                <w:rFonts w:ascii="Arial" w:cs="Arial" w:eastAsia="Arial" w:hAnsi="Arial"/>
                <w:sz w:val="15"/>
                <w:szCs w:val="15"/>
                <w:color w:val="auto"/>
              </w:rPr>
              <w:t>Deferred revenue</w:t>
            </w:r>
          </w:p>
        </w:tc>
        <w:tc>
          <w:tcPr>
            <w:tcW w:w="220" w:type="dxa"/>
            <w:vAlign w:val="bottom"/>
          </w:tcPr>
          <w:p>
            <w:pPr>
              <w:spacing w:after="0"/>
              <w:rPr>
                <w:sz w:val="23"/>
                <w:szCs w:val="23"/>
                <w:color w:val="auto"/>
              </w:rPr>
            </w:pPr>
          </w:p>
        </w:tc>
        <w:tc>
          <w:tcPr>
            <w:tcW w:w="980" w:type="dxa"/>
            <w:vAlign w:val="bottom"/>
          </w:tcPr>
          <w:p>
            <w:pPr>
              <w:jc w:val="right"/>
              <w:ind w:right="84"/>
              <w:spacing w:after="0"/>
              <w:rPr>
                <w:sz w:val="20"/>
                <w:szCs w:val="20"/>
                <w:color w:val="auto"/>
              </w:rPr>
            </w:pPr>
            <w:r>
              <w:rPr>
                <w:rFonts w:ascii="Arial" w:cs="Arial" w:eastAsia="Arial" w:hAnsi="Arial"/>
                <w:sz w:val="15"/>
                <w:szCs w:val="15"/>
                <w:b w:val="1"/>
                <w:bCs w:val="1"/>
                <w:color w:val="auto"/>
              </w:rPr>
              <w:t>312,107</w:t>
            </w:r>
          </w:p>
        </w:tc>
        <w:tc>
          <w:tcPr>
            <w:tcW w:w="260" w:type="dxa"/>
            <w:vAlign w:val="bottom"/>
          </w:tcPr>
          <w:p>
            <w:pPr>
              <w:spacing w:after="0"/>
              <w:rPr>
                <w:sz w:val="23"/>
                <w:szCs w:val="23"/>
                <w:color w:val="auto"/>
              </w:rPr>
            </w:pPr>
          </w:p>
        </w:tc>
        <w:tc>
          <w:tcPr>
            <w:tcW w:w="940" w:type="dxa"/>
            <w:vAlign w:val="bottom"/>
          </w:tcPr>
          <w:p>
            <w:pPr>
              <w:jc w:val="right"/>
              <w:ind w:right="24"/>
              <w:spacing w:after="0"/>
              <w:rPr>
                <w:sz w:val="20"/>
                <w:szCs w:val="20"/>
                <w:color w:val="auto"/>
              </w:rPr>
            </w:pPr>
            <w:r>
              <w:rPr>
                <w:rFonts w:ascii="Arial" w:cs="Arial" w:eastAsia="Arial" w:hAnsi="Arial"/>
                <w:sz w:val="15"/>
                <w:szCs w:val="15"/>
                <w:color w:val="auto"/>
              </w:rPr>
              <w:t>297,135</w:t>
            </w:r>
          </w:p>
        </w:tc>
        <w:tc>
          <w:tcPr>
            <w:tcW w:w="0" w:type="dxa"/>
            <w:vAlign w:val="bottom"/>
          </w:tcPr>
          <w:p>
            <w:pPr>
              <w:spacing w:after="0"/>
              <w:rPr>
                <w:sz w:val="1"/>
                <w:szCs w:val="1"/>
                <w:color w:val="auto"/>
              </w:rPr>
            </w:pPr>
          </w:p>
        </w:tc>
      </w:tr>
      <w:tr>
        <w:trPr>
          <w:trHeight w:val="268"/>
        </w:trPr>
        <w:tc>
          <w:tcPr>
            <w:tcW w:w="9020" w:type="dxa"/>
            <w:vAlign w:val="bottom"/>
          </w:tcPr>
          <w:p>
            <w:pPr>
              <w:ind w:left="280"/>
              <w:spacing w:after="0"/>
              <w:rPr>
                <w:sz w:val="20"/>
                <w:szCs w:val="20"/>
                <w:color w:val="auto"/>
              </w:rPr>
            </w:pPr>
            <w:r>
              <w:rPr>
                <w:rFonts w:ascii="Arial" w:cs="Arial" w:eastAsia="Arial" w:hAnsi="Arial"/>
                <w:sz w:val="15"/>
                <w:szCs w:val="15"/>
                <w:color w:val="auto"/>
              </w:rPr>
              <w:t>Current portion of long-term debt</w:t>
            </w:r>
          </w:p>
        </w:tc>
        <w:tc>
          <w:tcPr>
            <w:tcW w:w="22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b w:val="1"/>
                <w:bCs w:val="1"/>
                <w:color w:val="auto"/>
              </w:rPr>
              <w:t>6,128</w:t>
            </w:r>
          </w:p>
        </w:tc>
        <w:tc>
          <w:tcPr>
            <w:tcW w:w="26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66"/>
        </w:trPr>
        <w:tc>
          <w:tcPr>
            <w:tcW w:w="9020" w:type="dxa"/>
            <w:vAlign w:val="bottom"/>
          </w:tcPr>
          <w:p>
            <w:pPr>
              <w:ind w:left="500"/>
              <w:spacing w:after="0"/>
              <w:rPr>
                <w:sz w:val="20"/>
                <w:szCs w:val="20"/>
                <w:color w:val="auto"/>
              </w:rPr>
            </w:pPr>
            <w:r>
              <w:rPr>
                <w:rFonts w:ascii="Arial" w:cs="Arial" w:eastAsia="Arial" w:hAnsi="Arial"/>
                <w:sz w:val="15"/>
                <w:szCs w:val="15"/>
                <w:b w:val="1"/>
                <w:bCs w:val="1"/>
                <w:color w:val="auto"/>
              </w:rPr>
              <w:t>Total Current Liabilities</w:t>
            </w:r>
          </w:p>
        </w:tc>
        <w:tc>
          <w:tcPr>
            <w:tcW w:w="220" w:type="dxa"/>
            <w:vAlign w:val="bottom"/>
          </w:tcPr>
          <w:p>
            <w:pPr>
              <w:spacing w:after="0"/>
              <w:rPr>
                <w:sz w:val="23"/>
                <w:szCs w:val="23"/>
                <w:color w:val="auto"/>
              </w:rPr>
            </w:pPr>
          </w:p>
        </w:tc>
        <w:tc>
          <w:tcPr>
            <w:tcW w:w="980" w:type="dxa"/>
            <w:vAlign w:val="bottom"/>
          </w:tcPr>
          <w:p>
            <w:pPr>
              <w:jc w:val="right"/>
              <w:ind w:right="84"/>
              <w:spacing w:after="0"/>
              <w:rPr>
                <w:sz w:val="20"/>
                <w:szCs w:val="20"/>
                <w:color w:val="auto"/>
              </w:rPr>
            </w:pPr>
            <w:r>
              <w:rPr>
                <w:rFonts w:ascii="Arial" w:cs="Arial" w:eastAsia="Arial" w:hAnsi="Arial"/>
                <w:sz w:val="15"/>
                <w:szCs w:val="15"/>
                <w:b w:val="1"/>
                <w:bCs w:val="1"/>
                <w:color w:val="auto"/>
              </w:rPr>
              <w:t>818,961</w:t>
            </w:r>
          </w:p>
        </w:tc>
        <w:tc>
          <w:tcPr>
            <w:tcW w:w="260" w:type="dxa"/>
            <w:vAlign w:val="bottom"/>
          </w:tcPr>
          <w:p>
            <w:pPr>
              <w:spacing w:after="0"/>
              <w:rPr>
                <w:sz w:val="23"/>
                <w:szCs w:val="23"/>
                <w:color w:val="auto"/>
              </w:rPr>
            </w:pPr>
          </w:p>
        </w:tc>
        <w:tc>
          <w:tcPr>
            <w:tcW w:w="940" w:type="dxa"/>
            <w:vAlign w:val="bottom"/>
          </w:tcPr>
          <w:p>
            <w:pPr>
              <w:jc w:val="right"/>
              <w:ind w:right="24"/>
              <w:spacing w:after="0"/>
              <w:rPr>
                <w:sz w:val="20"/>
                <w:szCs w:val="20"/>
                <w:color w:val="auto"/>
              </w:rPr>
            </w:pPr>
            <w:r>
              <w:rPr>
                <w:rFonts w:ascii="Arial" w:cs="Arial" w:eastAsia="Arial" w:hAnsi="Arial"/>
                <w:sz w:val="15"/>
                <w:szCs w:val="15"/>
                <w:color w:val="auto"/>
              </w:rPr>
              <w:t>725,149</w:t>
            </w:r>
          </w:p>
        </w:tc>
        <w:tc>
          <w:tcPr>
            <w:tcW w:w="0" w:type="dxa"/>
            <w:vAlign w:val="bottom"/>
          </w:tcPr>
          <w:p>
            <w:pPr>
              <w:spacing w:after="0"/>
              <w:rPr>
                <w:sz w:val="1"/>
                <w:szCs w:val="1"/>
                <w:color w:val="auto"/>
              </w:rPr>
            </w:pPr>
          </w:p>
        </w:tc>
      </w:tr>
      <w:tr>
        <w:trPr>
          <w:trHeight w:val="270"/>
        </w:trPr>
        <w:tc>
          <w:tcPr>
            <w:tcW w:w="9020" w:type="dxa"/>
            <w:vAlign w:val="bottom"/>
          </w:tcPr>
          <w:p>
            <w:pPr>
              <w:ind w:left="40"/>
              <w:spacing w:after="0"/>
              <w:rPr>
                <w:sz w:val="20"/>
                <w:szCs w:val="20"/>
                <w:color w:val="auto"/>
              </w:rPr>
            </w:pPr>
            <w:r>
              <w:rPr>
                <w:rFonts w:ascii="Arial" w:cs="Arial" w:eastAsia="Arial" w:hAnsi="Arial"/>
                <w:sz w:val="15"/>
                <w:szCs w:val="15"/>
                <w:b w:val="1"/>
                <w:bCs w:val="1"/>
                <w:color w:val="auto"/>
              </w:rPr>
              <w:t>Postretirement Benefits Other Than Pensions</w:t>
            </w:r>
          </w:p>
        </w:tc>
        <w:tc>
          <w:tcPr>
            <w:tcW w:w="220" w:type="dxa"/>
            <w:vAlign w:val="bottom"/>
          </w:tcPr>
          <w:p>
            <w:pPr>
              <w:spacing w:after="0"/>
              <w:rPr>
                <w:sz w:val="23"/>
                <w:szCs w:val="23"/>
                <w:color w:val="auto"/>
              </w:rPr>
            </w:pPr>
          </w:p>
        </w:tc>
        <w:tc>
          <w:tcPr>
            <w:tcW w:w="980" w:type="dxa"/>
            <w:vAlign w:val="bottom"/>
          </w:tcPr>
          <w:p>
            <w:pPr>
              <w:jc w:val="right"/>
              <w:ind w:right="84"/>
              <w:spacing w:after="0"/>
              <w:rPr>
                <w:sz w:val="20"/>
                <w:szCs w:val="20"/>
                <w:color w:val="auto"/>
              </w:rPr>
            </w:pPr>
            <w:r>
              <w:rPr>
                <w:rFonts w:ascii="Arial" w:cs="Arial" w:eastAsia="Arial" w:hAnsi="Arial"/>
                <w:sz w:val="15"/>
                <w:szCs w:val="15"/>
                <w:b w:val="1"/>
                <w:bCs w:val="1"/>
                <w:color w:val="auto"/>
              </w:rPr>
              <w:t>21,859</w:t>
            </w:r>
          </w:p>
        </w:tc>
        <w:tc>
          <w:tcPr>
            <w:tcW w:w="260" w:type="dxa"/>
            <w:vAlign w:val="bottom"/>
          </w:tcPr>
          <w:p>
            <w:pPr>
              <w:spacing w:after="0"/>
              <w:rPr>
                <w:sz w:val="23"/>
                <w:szCs w:val="23"/>
                <w:color w:val="auto"/>
              </w:rPr>
            </w:pPr>
          </w:p>
        </w:tc>
        <w:tc>
          <w:tcPr>
            <w:tcW w:w="940" w:type="dxa"/>
            <w:vAlign w:val="bottom"/>
          </w:tcPr>
          <w:p>
            <w:pPr>
              <w:jc w:val="right"/>
              <w:ind w:right="24"/>
              <w:spacing w:after="0"/>
              <w:rPr>
                <w:sz w:val="20"/>
                <w:szCs w:val="20"/>
                <w:color w:val="auto"/>
              </w:rPr>
            </w:pPr>
            <w:r>
              <w:rPr>
                <w:rFonts w:ascii="Arial" w:cs="Arial" w:eastAsia="Arial" w:hAnsi="Arial"/>
                <w:sz w:val="15"/>
                <w:szCs w:val="15"/>
                <w:color w:val="auto"/>
              </w:rPr>
              <w:t>33,947</w:t>
            </w:r>
          </w:p>
        </w:tc>
        <w:tc>
          <w:tcPr>
            <w:tcW w:w="0" w:type="dxa"/>
            <w:vAlign w:val="bottom"/>
          </w:tcPr>
          <w:p>
            <w:pPr>
              <w:spacing w:after="0"/>
              <w:rPr>
                <w:sz w:val="1"/>
                <w:szCs w:val="1"/>
                <w:color w:val="auto"/>
              </w:rPr>
            </w:pPr>
          </w:p>
        </w:tc>
      </w:tr>
      <w:tr>
        <w:trPr>
          <w:trHeight w:val="270"/>
        </w:trPr>
        <w:tc>
          <w:tcPr>
            <w:tcW w:w="9020" w:type="dxa"/>
            <w:vAlign w:val="bottom"/>
          </w:tcPr>
          <w:p>
            <w:pPr>
              <w:ind w:left="40"/>
              <w:spacing w:after="0"/>
              <w:rPr>
                <w:sz w:val="20"/>
                <w:szCs w:val="20"/>
                <w:color w:val="auto"/>
              </w:rPr>
            </w:pPr>
            <w:r>
              <w:rPr>
                <w:rFonts w:ascii="Arial" w:cs="Arial" w:eastAsia="Arial" w:hAnsi="Arial"/>
                <w:sz w:val="15"/>
                <w:szCs w:val="15"/>
                <w:b w:val="1"/>
                <w:bCs w:val="1"/>
                <w:color w:val="auto"/>
              </w:rPr>
              <w:t>Accrued Compensation and Related Benefits</w:t>
            </w:r>
          </w:p>
        </w:tc>
        <w:tc>
          <w:tcPr>
            <w:tcW w:w="220" w:type="dxa"/>
            <w:vAlign w:val="bottom"/>
          </w:tcPr>
          <w:p>
            <w:pPr>
              <w:spacing w:after="0"/>
              <w:rPr>
                <w:sz w:val="23"/>
                <w:szCs w:val="23"/>
                <w:color w:val="auto"/>
              </w:rPr>
            </w:pPr>
          </w:p>
        </w:tc>
        <w:tc>
          <w:tcPr>
            <w:tcW w:w="980" w:type="dxa"/>
            <w:vAlign w:val="bottom"/>
          </w:tcPr>
          <w:p>
            <w:pPr>
              <w:jc w:val="right"/>
              <w:ind w:right="84"/>
              <w:spacing w:after="0"/>
              <w:rPr>
                <w:sz w:val="20"/>
                <w:szCs w:val="20"/>
                <w:color w:val="auto"/>
              </w:rPr>
            </w:pPr>
            <w:r>
              <w:rPr>
                <w:rFonts w:ascii="Arial" w:cs="Arial" w:eastAsia="Arial" w:hAnsi="Arial"/>
                <w:sz w:val="15"/>
                <w:szCs w:val="15"/>
                <w:b w:val="1"/>
                <w:bCs w:val="1"/>
                <w:color w:val="auto"/>
              </w:rPr>
              <w:t>195,910</w:t>
            </w:r>
          </w:p>
        </w:tc>
        <w:tc>
          <w:tcPr>
            <w:tcW w:w="260" w:type="dxa"/>
            <w:vAlign w:val="bottom"/>
          </w:tcPr>
          <w:p>
            <w:pPr>
              <w:spacing w:after="0"/>
              <w:rPr>
                <w:sz w:val="23"/>
                <w:szCs w:val="23"/>
                <w:color w:val="auto"/>
              </w:rPr>
            </w:pPr>
          </w:p>
        </w:tc>
        <w:tc>
          <w:tcPr>
            <w:tcW w:w="940" w:type="dxa"/>
            <w:vAlign w:val="bottom"/>
          </w:tcPr>
          <w:p>
            <w:pPr>
              <w:jc w:val="right"/>
              <w:ind w:right="24"/>
              <w:spacing w:after="0"/>
              <w:rPr>
                <w:sz w:val="20"/>
                <w:szCs w:val="20"/>
                <w:color w:val="auto"/>
              </w:rPr>
            </w:pPr>
            <w:r>
              <w:rPr>
                <w:rFonts w:ascii="Arial" w:cs="Arial" w:eastAsia="Arial" w:hAnsi="Arial"/>
                <w:sz w:val="15"/>
                <w:szCs w:val="15"/>
                <w:color w:val="auto"/>
              </w:rPr>
              <w:t>203,280</w:t>
            </w:r>
          </w:p>
        </w:tc>
        <w:tc>
          <w:tcPr>
            <w:tcW w:w="0" w:type="dxa"/>
            <w:vAlign w:val="bottom"/>
          </w:tcPr>
          <w:p>
            <w:pPr>
              <w:spacing w:after="0"/>
              <w:rPr>
                <w:sz w:val="1"/>
                <w:szCs w:val="1"/>
                <w:color w:val="auto"/>
              </w:rPr>
            </w:pPr>
          </w:p>
        </w:tc>
      </w:tr>
      <w:tr>
        <w:trPr>
          <w:trHeight w:val="270"/>
        </w:trPr>
        <w:tc>
          <w:tcPr>
            <w:tcW w:w="9020" w:type="dxa"/>
            <w:vAlign w:val="bottom"/>
          </w:tcPr>
          <w:p>
            <w:pPr>
              <w:ind w:left="40"/>
              <w:spacing w:after="0"/>
              <w:rPr>
                <w:sz w:val="20"/>
                <w:szCs w:val="20"/>
                <w:color w:val="auto"/>
              </w:rPr>
            </w:pPr>
            <w:r>
              <w:rPr>
                <w:rFonts w:ascii="Arial" w:cs="Arial" w:eastAsia="Arial" w:hAnsi="Arial"/>
                <w:sz w:val="15"/>
                <w:szCs w:val="15"/>
                <w:b w:val="1"/>
                <w:bCs w:val="1"/>
                <w:color w:val="auto"/>
              </w:rPr>
              <w:t>Other Liabilities</w:t>
            </w:r>
          </w:p>
        </w:tc>
        <w:tc>
          <w:tcPr>
            <w:tcW w:w="220" w:type="dxa"/>
            <w:vAlign w:val="bottom"/>
          </w:tcPr>
          <w:p>
            <w:pPr>
              <w:spacing w:after="0"/>
              <w:rPr>
                <w:sz w:val="23"/>
                <w:szCs w:val="23"/>
                <w:color w:val="auto"/>
              </w:rPr>
            </w:pPr>
          </w:p>
        </w:tc>
        <w:tc>
          <w:tcPr>
            <w:tcW w:w="980" w:type="dxa"/>
            <w:vAlign w:val="bottom"/>
          </w:tcPr>
          <w:p>
            <w:pPr>
              <w:jc w:val="right"/>
              <w:ind w:right="84"/>
              <w:spacing w:after="0"/>
              <w:rPr>
                <w:sz w:val="20"/>
                <w:szCs w:val="20"/>
                <w:color w:val="auto"/>
              </w:rPr>
            </w:pPr>
            <w:r>
              <w:rPr>
                <w:rFonts w:ascii="Arial" w:cs="Arial" w:eastAsia="Arial" w:hAnsi="Arial"/>
                <w:sz w:val="15"/>
                <w:szCs w:val="15"/>
                <w:b w:val="1"/>
                <w:bCs w:val="1"/>
                <w:color w:val="auto"/>
              </w:rPr>
              <w:t>65,554</w:t>
            </w:r>
          </w:p>
        </w:tc>
        <w:tc>
          <w:tcPr>
            <w:tcW w:w="260" w:type="dxa"/>
            <w:vAlign w:val="bottom"/>
          </w:tcPr>
          <w:p>
            <w:pPr>
              <w:spacing w:after="0"/>
              <w:rPr>
                <w:sz w:val="23"/>
                <w:szCs w:val="23"/>
                <w:color w:val="auto"/>
              </w:rPr>
            </w:pPr>
          </w:p>
        </w:tc>
        <w:tc>
          <w:tcPr>
            <w:tcW w:w="940" w:type="dxa"/>
            <w:vAlign w:val="bottom"/>
          </w:tcPr>
          <w:p>
            <w:pPr>
              <w:jc w:val="right"/>
              <w:ind w:right="24"/>
              <w:spacing w:after="0"/>
              <w:rPr>
                <w:sz w:val="20"/>
                <w:szCs w:val="20"/>
                <w:color w:val="auto"/>
              </w:rPr>
            </w:pPr>
            <w:r>
              <w:rPr>
                <w:rFonts w:ascii="Arial" w:cs="Arial" w:eastAsia="Arial" w:hAnsi="Arial"/>
                <w:sz w:val="15"/>
                <w:szCs w:val="15"/>
                <w:color w:val="auto"/>
              </w:rPr>
              <w:t>70,678</w:t>
            </w:r>
          </w:p>
        </w:tc>
        <w:tc>
          <w:tcPr>
            <w:tcW w:w="0" w:type="dxa"/>
            <w:vAlign w:val="bottom"/>
          </w:tcPr>
          <w:p>
            <w:pPr>
              <w:spacing w:after="0"/>
              <w:rPr>
                <w:sz w:val="1"/>
                <w:szCs w:val="1"/>
                <w:color w:val="auto"/>
              </w:rPr>
            </w:pPr>
          </w:p>
        </w:tc>
      </w:tr>
      <w:tr>
        <w:trPr>
          <w:trHeight w:val="270"/>
        </w:trPr>
        <w:tc>
          <w:tcPr>
            <w:tcW w:w="9020" w:type="dxa"/>
            <w:vAlign w:val="bottom"/>
          </w:tcPr>
          <w:p>
            <w:pPr>
              <w:ind w:left="40"/>
              <w:spacing w:after="0"/>
              <w:rPr>
                <w:sz w:val="20"/>
                <w:szCs w:val="20"/>
                <w:color w:val="auto"/>
              </w:rPr>
            </w:pPr>
            <w:r>
              <w:rPr>
                <w:rFonts w:ascii="Arial" w:cs="Arial" w:eastAsia="Arial" w:hAnsi="Arial"/>
                <w:sz w:val="15"/>
                <w:szCs w:val="15"/>
                <w:b w:val="1"/>
                <w:bCs w:val="1"/>
                <w:color w:val="auto"/>
              </w:rPr>
              <w:t>Deferred Income Taxes</w:t>
            </w:r>
          </w:p>
        </w:tc>
        <w:tc>
          <w:tcPr>
            <w:tcW w:w="220" w:type="dxa"/>
            <w:vAlign w:val="bottom"/>
          </w:tcPr>
          <w:p>
            <w:pPr>
              <w:spacing w:after="0"/>
              <w:rPr>
                <w:sz w:val="23"/>
                <w:szCs w:val="23"/>
                <w:color w:val="auto"/>
              </w:rPr>
            </w:pPr>
          </w:p>
        </w:tc>
        <w:tc>
          <w:tcPr>
            <w:tcW w:w="980" w:type="dxa"/>
            <w:vAlign w:val="bottom"/>
          </w:tcPr>
          <w:p>
            <w:pPr>
              <w:jc w:val="right"/>
              <w:ind w:right="84"/>
              <w:spacing w:after="0"/>
              <w:rPr>
                <w:sz w:val="20"/>
                <w:szCs w:val="20"/>
                <w:color w:val="auto"/>
              </w:rPr>
            </w:pPr>
            <w:r>
              <w:rPr>
                <w:rFonts w:ascii="Arial" w:cs="Arial" w:eastAsia="Arial" w:hAnsi="Arial"/>
                <w:sz w:val="15"/>
                <w:szCs w:val="15"/>
                <w:b w:val="1"/>
                <w:bCs w:val="1"/>
                <w:color w:val="auto"/>
              </w:rPr>
              <w:t>379,092</w:t>
            </w:r>
          </w:p>
        </w:tc>
        <w:tc>
          <w:tcPr>
            <w:tcW w:w="260" w:type="dxa"/>
            <w:vAlign w:val="bottom"/>
          </w:tcPr>
          <w:p>
            <w:pPr>
              <w:spacing w:after="0"/>
              <w:rPr>
                <w:sz w:val="23"/>
                <w:szCs w:val="23"/>
                <w:color w:val="auto"/>
              </w:rPr>
            </w:pPr>
          </w:p>
        </w:tc>
        <w:tc>
          <w:tcPr>
            <w:tcW w:w="940" w:type="dxa"/>
            <w:vAlign w:val="bottom"/>
          </w:tcPr>
          <w:p>
            <w:pPr>
              <w:jc w:val="right"/>
              <w:ind w:right="24"/>
              <w:spacing w:after="0"/>
              <w:rPr>
                <w:sz w:val="20"/>
                <w:szCs w:val="20"/>
                <w:color w:val="auto"/>
              </w:rPr>
            </w:pPr>
            <w:r>
              <w:rPr>
                <w:rFonts w:ascii="Arial" w:cs="Arial" w:eastAsia="Arial" w:hAnsi="Arial"/>
                <w:sz w:val="15"/>
                <w:szCs w:val="15"/>
                <w:color w:val="auto"/>
              </w:rPr>
              <w:t>403,316</w:t>
            </w:r>
          </w:p>
        </w:tc>
        <w:tc>
          <w:tcPr>
            <w:tcW w:w="0" w:type="dxa"/>
            <w:vAlign w:val="bottom"/>
          </w:tcPr>
          <w:p>
            <w:pPr>
              <w:spacing w:after="0"/>
              <w:rPr>
                <w:sz w:val="1"/>
                <w:szCs w:val="1"/>
                <w:color w:val="auto"/>
              </w:rPr>
            </w:pPr>
          </w:p>
        </w:tc>
      </w:tr>
      <w:tr>
        <w:trPr>
          <w:trHeight w:val="270"/>
        </w:trPr>
        <w:tc>
          <w:tcPr>
            <w:tcW w:w="9020" w:type="dxa"/>
            <w:vAlign w:val="bottom"/>
          </w:tcPr>
          <w:p>
            <w:pPr>
              <w:ind w:left="40"/>
              <w:spacing w:after="0"/>
              <w:rPr>
                <w:sz w:val="20"/>
                <w:szCs w:val="20"/>
                <w:color w:val="auto"/>
              </w:rPr>
            </w:pPr>
            <w:r>
              <w:rPr>
                <w:rFonts w:ascii="Arial" w:cs="Arial" w:eastAsia="Arial" w:hAnsi="Arial"/>
                <w:sz w:val="15"/>
                <w:szCs w:val="15"/>
                <w:b w:val="1"/>
                <w:bCs w:val="1"/>
                <w:color w:val="auto"/>
              </w:rPr>
              <w:t>Mandatorily Redeemable Noncontrolling Interest</w:t>
            </w:r>
          </w:p>
        </w:tc>
        <w:tc>
          <w:tcPr>
            <w:tcW w:w="220" w:type="dxa"/>
            <w:vAlign w:val="bottom"/>
          </w:tcPr>
          <w:p>
            <w:pPr>
              <w:spacing w:after="0"/>
              <w:rPr>
                <w:sz w:val="23"/>
                <w:szCs w:val="23"/>
                <w:color w:val="auto"/>
              </w:rPr>
            </w:pPr>
          </w:p>
        </w:tc>
        <w:tc>
          <w:tcPr>
            <w:tcW w:w="980" w:type="dxa"/>
            <w:vAlign w:val="bottom"/>
          </w:tcPr>
          <w:p>
            <w:pPr>
              <w:jc w:val="right"/>
              <w:ind w:right="84"/>
              <w:spacing w:after="0"/>
              <w:rPr>
                <w:sz w:val="20"/>
                <w:szCs w:val="20"/>
                <w:color w:val="auto"/>
              </w:rPr>
            </w:pPr>
            <w:r>
              <w:rPr>
                <w:rFonts w:ascii="Arial" w:cs="Arial" w:eastAsia="Arial" w:hAnsi="Arial"/>
                <w:sz w:val="15"/>
                <w:szCs w:val="15"/>
                <w:b w:val="1"/>
                <w:bCs w:val="1"/>
                <w:color w:val="auto"/>
              </w:rPr>
              <w:t>12,584</w:t>
            </w:r>
          </w:p>
        </w:tc>
        <w:tc>
          <w:tcPr>
            <w:tcW w:w="260" w:type="dxa"/>
            <w:vAlign w:val="bottom"/>
          </w:tcPr>
          <w:p>
            <w:pPr>
              <w:spacing w:after="0"/>
              <w:rPr>
                <w:sz w:val="23"/>
                <w:szCs w:val="23"/>
                <w:color w:val="auto"/>
              </w:rPr>
            </w:pPr>
          </w:p>
        </w:tc>
        <w:tc>
          <w:tcPr>
            <w:tcW w:w="94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68"/>
        </w:trPr>
        <w:tc>
          <w:tcPr>
            <w:tcW w:w="9020" w:type="dxa"/>
            <w:vAlign w:val="bottom"/>
          </w:tcPr>
          <w:p>
            <w:pPr>
              <w:ind w:left="40"/>
              <w:spacing w:after="0"/>
              <w:rPr>
                <w:sz w:val="20"/>
                <w:szCs w:val="20"/>
                <w:color w:val="auto"/>
              </w:rPr>
            </w:pPr>
            <w:r>
              <w:rPr>
                <w:rFonts w:ascii="Arial" w:cs="Arial" w:eastAsia="Arial" w:hAnsi="Arial"/>
                <w:sz w:val="15"/>
                <w:szCs w:val="15"/>
                <w:b w:val="1"/>
                <w:bCs w:val="1"/>
                <w:color w:val="auto"/>
              </w:rPr>
              <w:t>Long-Term Debt</w:t>
            </w:r>
          </w:p>
        </w:tc>
        <w:tc>
          <w:tcPr>
            <w:tcW w:w="22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b w:val="1"/>
                <w:bCs w:val="1"/>
                <w:color w:val="auto"/>
              </w:rPr>
              <w:t>485,719</w:t>
            </w:r>
          </w:p>
        </w:tc>
        <w:tc>
          <w:tcPr>
            <w:tcW w:w="26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399,800</w:t>
            </w:r>
          </w:p>
        </w:tc>
        <w:tc>
          <w:tcPr>
            <w:tcW w:w="0" w:type="dxa"/>
            <w:vAlign w:val="bottom"/>
          </w:tcPr>
          <w:p>
            <w:pPr>
              <w:spacing w:after="0"/>
              <w:rPr>
                <w:sz w:val="1"/>
                <w:szCs w:val="1"/>
                <w:color w:val="auto"/>
              </w:rPr>
            </w:pPr>
          </w:p>
        </w:tc>
      </w:tr>
      <w:tr>
        <w:trPr>
          <w:trHeight w:val="264"/>
        </w:trPr>
        <w:tc>
          <w:tcPr>
            <w:tcW w:w="9020" w:type="dxa"/>
            <w:vAlign w:val="bottom"/>
          </w:tcPr>
          <w:p>
            <w:pPr>
              <w:ind w:left="500"/>
              <w:spacing w:after="0"/>
              <w:rPr>
                <w:sz w:val="20"/>
                <w:szCs w:val="20"/>
                <w:color w:val="auto"/>
              </w:rPr>
            </w:pPr>
            <w:r>
              <w:rPr>
                <w:rFonts w:ascii="Arial" w:cs="Arial" w:eastAsia="Arial" w:hAnsi="Arial"/>
                <w:sz w:val="15"/>
                <w:szCs w:val="15"/>
                <w:b w:val="1"/>
                <w:bCs w:val="1"/>
                <w:color w:val="auto"/>
              </w:rPr>
              <w:t>Total Liabilities</w:t>
            </w:r>
          </w:p>
        </w:tc>
        <w:tc>
          <w:tcPr>
            <w:tcW w:w="2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b w:val="1"/>
                <w:bCs w:val="1"/>
                <w:color w:val="auto"/>
              </w:rPr>
              <w:t>1,979,679</w:t>
            </w:r>
          </w:p>
        </w:tc>
        <w:tc>
          <w:tcPr>
            <w:tcW w:w="2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1,836,170</w:t>
            </w:r>
          </w:p>
        </w:tc>
        <w:tc>
          <w:tcPr>
            <w:tcW w:w="0" w:type="dxa"/>
            <w:vAlign w:val="bottom"/>
          </w:tcPr>
          <w:p>
            <w:pPr>
              <w:spacing w:after="0"/>
              <w:rPr>
                <w:sz w:val="1"/>
                <w:szCs w:val="1"/>
                <w:color w:val="auto"/>
              </w:rPr>
            </w:pPr>
          </w:p>
        </w:tc>
      </w:tr>
      <w:tr>
        <w:trPr>
          <w:trHeight w:val="266"/>
        </w:trPr>
        <w:tc>
          <w:tcPr>
            <w:tcW w:w="9020" w:type="dxa"/>
            <w:vAlign w:val="bottom"/>
          </w:tcPr>
          <w:p>
            <w:pPr>
              <w:ind w:left="40"/>
              <w:spacing w:after="0"/>
              <w:rPr>
                <w:sz w:val="20"/>
                <w:szCs w:val="20"/>
                <w:color w:val="auto"/>
              </w:rPr>
            </w:pPr>
            <w:r>
              <w:rPr>
                <w:rFonts w:ascii="Arial" w:cs="Arial" w:eastAsia="Arial" w:hAnsi="Arial"/>
                <w:sz w:val="15"/>
                <w:szCs w:val="15"/>
                <w:b w:val="1"/>
                <w:bCs w:val="1"/>
                <w:color w:val="auto"/>
              </w:rPr>
              <w:t xml:space="preserve">Commitments and Contingencies </w:t>
            </w:r>
            <w:r>
              <w:rPr>
                <w:rFonts w:ascii="Arial" w:cs="Arial" w:eastAsia="Arial" w:hAnsi="Arial"/>
                <w:sz w:val="15"/>
                <w:szCs w:val="15"/>
                <w:color w:val="auto"/>
              </w:rPr>
              <w:t>(Notes 17 and 18)</w:t>
            </w:r>
          </w:p>
        </w:tc>
        <w:tc>
          <w:tcPr>
            <w:tcW w:w="2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8"/>
        </w:trPr>
        <w:tc>
          <w:tcPr>
            <w:tcW w:w="9020" w:type="dxa"/>
            <w:vAlign w:val="bottom"/>
          </w:tcPr>
          <w:p>
            <w:pPr>
              <w:ind w:left="40"/>
              <w:spacing w:after="0"/>
              <w:rPr>
                <w:sz w:val="20"/>
                <w:szCs w:val="20"/>
                <w:color w:val="auto"/>
              </w:rPr>
            </w:pPr>
            <w:r>
              <w:rPr>
                <w:rFonts w:ascii="Arial" w:cs="Arial" w:eastAsia="Arial" w:hAnsi="Arial"/>
                <w:sz w:val="15"/>
                <w:szCs w:val="15"/>
                <w:b w:val="1"/>
                <w:bCs w:val="1"/>
                <w:color w:val="auto"/>
              </w:rPr>
              <w:t>Redeemable Noncontrolling Interests</w:t>
            </w:r>
          </w:p>
        </w:tc>
        <w:tc>
          <w:tcPr>
            <w:tcW w:w="22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b w:val="1"/>
                <w:bCs w:val="1"/>
                <w:color w:val="auto"/>
              </w:rPr>
              <w:t>50</w:t>
            </w:r>
          </w:p>
        </w:tc>
        <w:tc>
          <w:tcPr>
            <w:tcW w:w="26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25,957</w:t>
            </w:r>
          </w:p>
        </w:tc>
        <w:tc>
          <w:tcPr>
            <w:tcW w:w="0" w:type="dxa"/>
            <w:vAlign w:val="bottom"/>
          </w:tcPr>
          <w:p>
            <w:pPr>
              <w:spacing w:after="0"/>
              <w:rPr>
                <w:sz w:val="1"/>
                <w:szCs w:val="1"/>
                <w:color w:val="auto"/>
              </w:rPr>
            </w:pPr>
          </w:p>
        </w:tc>
      </w:tr>
      <w:tr>
        <w:trPr>
          <w:trHeight w:val="264"/>
        </w:trPr>
        <w:tc>
          <w:tcPr>
            <w:tcW w:w="9020" w:type="dxa"/>
            <w:vAlign w:val="bottom"/>
          </w:tcPr>
          <w:p>
            <w:pPr>
              <w:ind w:left="40"/>
              <w:spacing w:after="0"/>
              <w:rPr>
                <w:sz w:val="20"/>
                <w:szCs w:val="20"/>
                <w:color w:val="auto"/>
              </w:rPr>
            </w:pPr>
            <w:r>
              <w:rPr>
                <w:rFonts w:ascii="Arial" w:cs="Arial" w:eastAsia="Arial" w:hAnsi="Arial"/>
                <w:sz w:val="15"/>
                <w:szCs w:val="15"/>
                <w:b w:val="1"/>
                <w:bCs w:val="1"/>
                <w:color w:val="auto"/>
              </w:rPr>
              <w:t xml:space="preserve">Preferred Stock, </w:t>
            </w:r>
            <w:r>
              <w:rPr>
                <w:rFonts w:ascii="Arial" w:cs="Arial" w:eastAsia="Arial" w:hAnsi="Arial"/>
                <w:sz w:val="15"/>
                <w:szCs w:val="15"/>
                <w:color w:val="auto"/>
              </w:rPr>
              <w:t>$1 par value; 977,000 shares authorized, none issued</w:t>
            </w:r>
          </w:p>
        </w:tc>
        <w:tc>
          <w:tcPr>
            <w:tcW w:w="2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b w:val="1"/>
                <w:bCs w:val="1"/>
                <w:color w:val="auto"/>
              </w:rPr>
              <w:t>—</w:t>
            </w:r>
          </w:p>
        </w:tc>
        <w:tc>
          <w:tcPr>
            <w:tcW w:w="2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66"/>
        </w:trPr>
        <w:tc>
          <w:tcPr>
            <w:tcW w:w="9020" w:type="dxa"/>
            <w:vAlign w:val="bottom"/>
          </w:tcPr>
          <w:p>
            <w:pPr>
              <w:ind w:left="40"/>
              <w:spacing w:after="0"/>
              <w:rPr>
                <w:sz w:val="20"/>
                <w:szCs w:val="20"/>
                <w:color w:val="auto"/>
              </w:rPr>
            </w:pPr>
            <w:r>
              <w:rPr>
                <w:rFonts w:ascii="Arial" w:cs="Arial" w:eastAsia="Arial" w:hAnsi="Arial"/>
                <w:sz w:val="15"/>
                <w:szCs w:val="15"/>
                <w:b w:val="1"/>
                <w:bCs w:val="1"/>
                <w:color w:val="auto"/>
              </w:rPr>
              <w:t>Common Stockholders’ Equity</w:t>
            </w:r>
          </w:p>
        </w:tc>
        <w:tc>
          <w:tcPr>
            <w:tcW w:w="2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2"/>
        </w:trPr>
        <w:tc>
          <w:tcPr>
            <w:tcW w:w="9020" w:type="dxa"/>
            <w:vAlign w:val="bottom"/>
          </w:tcPr>
          <w:p>
            <w:pPr>
              <w:ind w:left="280"/>
              <w:spacing w:after="0"/>
              <w:rPr>
                <w:sz w:val="20"/>
                <w:szCs w:val="20"/>
                <w:color w:val="auto"/>
              </w:rPr>
            </w:pPr>
            <w:r>
              <w:rPr>
                <w:rFonts w:ascii="Arial" w:cs="Arial" w:eastAsia="Arial" w:hAnsi="Arial"/>
                <w:sz w:val="15"/>
                <w:szCs w:val="15"/>
                <w:color w:val="auto"/>
              </w:rPr>
              <w:t>Common stock</w:t>
            </w:r>
          </w:p>
        </w:tc>
        <w:tc>
          <w:tcPr>
            <w:tcW w:w="2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8"/>
        </w:trPr>
        <w:tc>
          <w:tcPr>
            <w:tcW w:w="9020" w:type="dxa"/>
            <w:vAlign w:val="bottom"/>
          </w:tcPr>
          <w:p>
            <w:pPr>
              <w:ind w:left="500"/>
              <w:spacing w:after="0"/>
              <w:rPr>
                <w:sz w:val="20"/>
                <w:szCs w:val="20"/>
                <w:color w:val="auto"/>
              </w:rPr>
            </w:pPr>
            <w:r>
              <w:rPr>
                <w:rFonts w:ascii="Arial" w:cs="Arial" w:eastAsia="Arial" w:hAnsi="Arial"/>
                <w:sz w:val="15"/>
                <w:szCs w:val="15"/>
                <w:color w:val="auto"/>
              </w:rPr>
              <w:t>Class A Common stock, $1 par value; 7,000,000 shares authorized; 964,001 shares issued and outstanding</w:t>
            </w:r>
          </w:p>
        </w:tc>
        <w:tc>
          <w:tcPr>
            <w:tcW w:w="220" w:type="dxa"/>
            <w:vAlign w:val="bottom"/>
          </w:tcPr>
          <w:p>
            <w:pPr>
              <w:spacing w:after="0"/>
              <w:rPr>
                <w:sz w:val="24"/>
                <w:szCs w:val="24"/>
                <w:color w:val="auto"/>
              </w:rPr>
            </w:pPr>
          </w:p>
        </w:tc>
        <w:tc>
          <w:tcPr>
            <w:tcW w:w="980" w:type="dxa"/>
            <w:vAlign w:val="bottom"/>
          </w:tcPr>
          <w:p>
            <w:pPr>
              <w:jc w:val="right"/>
              <w:ind w:right="84"/>
              <w:spacing w:after="0"/>
              <w:rPr>
                <w:sz w:val="20"/>
                <w:szCs w:val="20"/>
                <w:color w:val="auto"/>
              </w:rPr>
            </w:pPr>
            <w:r>
              <w:rPr>
                <w:rFonts w:ascii="Arial" w:cs="Arial" w:eastAsia="Arial" w:hAnsi="Arial"/>
                <w:sz w:val="15"/>
                <w:szCs w:val="15"/>
                <w:b w:val="1"/>
                <w:bCs w:val="1"/>
                <w:color w:val="auto"/>
              </w:rPr>
              <w:t>964</w:t>
            </w:r>
          </w:p>
        </w:tc>
        <w:tc>
          <w:tcPr>
            <w:tcW w:w="260" w:type="dxa"/>
            <w:vAlign w:val="bottom"/>
          </w:tcPr>
          <w:p>
            <w:pPr>
              <w:spacing w:after="0"/>
              <w:rPr>
                <w:sz w:val="24"/>
                <w:szCs w:val="24"/>
                <w:color w:val="auto"/>
              </w:rPr>
            </w:pPr>
          </w:p>
        </w:tc>
        <w:tc>
          <w:tcPr>
            <w:tcW w:w="940" w:type="dxa"/>
            <w:vAlign w:val="bottom"/>
          </w:tcPr>
          <w:p>
            <w:pPr>
              <w:jc w:val="right"/>
              <w:ind w:right="24"/>
              <w:spacing w:after="0"/>
              <w:rPr>
                <w:sz w:val="20"/>
                <w:szCs w:val="20"/>
                <w:color w:val="auto"/>
              </w:rPr>
            </w:pPr>
            <w:r>
              <w:rPr>
                <w:rFonts w:ascii="Arial" w:cs="Arial" w:eastAsia="Arial" w:hAnsi="Arial"/>
                <w:sz w:val="15"/>
                <w:szCs w:val="15"/>
                <w:color w:val="auto"/>
              </w:rPr>
              <w:t>964</w:t>
            </w:r>
          </w:p>
        </w:tc>
        <w:tc>
          <w:tcPr>
            <w:tcW w:w="0" w:type="dxa"/>
            <w:vAlign w:val="bottom"/>
          </w:tcPr>
          <w:p>
            <w:pPr>
              <w:spacing w:after="0"/>
              <w:rPr>
                <w:sz w:val="1"/>
                <w:szCs w:val="1"/>
                <w:color w:val="auto"/>
              </w:rPr>
            </w:pPr>
          </w:p>
        </w:tc>
      </w:tr>
      <w:tr>
        <w:trPr>
          <w:trHeight w:val="164"/>
        </w:trPr>
        <w:tc>
          <w:tcPr>
            <w:tcW w:w="9020" w:type="dxa"/>
            <w:vAlign w:val="bottom"/>
          </w:tcPr>
          <w:p>
            <w:pPr>
              <w:ind w:left="500"/>
              <w:spacing w:after="0" w:line="164" w:lineRule="exact"/>
              <w:rPr>
                <w:sz w:val="20"/>
                <w:szCs w:val="20"/>
                <w:color w:val="auto"/>
              </w:rPr>
            </w:pPr>
            <w:r>
              <w:rPr>
                <w:rFonts w:ascii="Arial" w:cs="Arial" w:eastAsia="Arial" w:hAnsi="Arial"/>
                <w:sz w:val="15"/>
                <w:szCs w:val="15"/>
                <w:color w:val="auto"/>
              </w:rPr>
              <w:t>Class B Common stock, $1 par value; 40,000,000 shares authorized; 19,035,999 shares issued; 4,612,435 and 4,839,853</w:t>
            </w:r>
          </w:p>
        </w:tc>
        <w:tc>
          <w:tcPr>
            <w:tcW w:w="220" w:type="dxa"/>
            <w:vAlign w:val="bottom"/>
          </w:tcPr>
          <w:p>
            <w:pPr>
              <w:spacing w:after="0"/>
              <w:rPr>
                <w:sz w:val="14"/>
                <w:szCs w:val="14"/>
                <w:color w:val="auto"/>
              </w:rPr>
            </w:pPr>
          </w:p>
        </w:tc>
        <w:tc>
          <w:tcPr>
            <w:tcW w:w="980" w:type="dxa"/>
            <w:vAlign w:val="bottom"/>
            <w:vMerge w:val="restart"/>
          </w:tcPr>
          <w:p>
            <w:pPr>
              <w:jc w:val="right"/>
              <w:ind w:right="84"/>
              <w:spacing w:after="0"/>
              <w:rPr>
                <w:sz w:val="20"/>
                <w:szCs w:val="20"/>
                <w:color w:val="auto"/>
              </w:rPr>
            </w:pPr>
            <w:r>
              <w:rPr>
                <w:rFonts w:ascii="Arial" w:cs="Arial" w:eastAsia="Arial" w:hAnsi="Arial"/>
                <w:sz w:val="15"/>
                <w:szCs w:val="15"/>
                <w:b w:val="1"/>
                <w:bCs w:val="1"/>
                <w:color w:val="auto"/>
              </w:rPr>
              <w:t>19,036</w:t>
            </w:r>
          </w:p>
        </w:tc>
        <w:tc>
          <w:tcPr>
            <w:tcW w:w="260" w:type="dxa"/>
            <w:vAlign w:val="bottom"/>
          </w:tcPr>
          <w:p>
            <w:pPr>
              <w:spacing w:after="0"/>
              <w:rPr>
                <w:sz w:val="14"/>
                <w:szCs w:val="14"/>
                <w:color w:val="auto"/>
              </w:rPr>
            </w:pPr>
          </w:p>
        </w:tc>
        <w:tc>
          <w:tcPr>
            <w:tcW w:w="940" w:type="dxa"/>
            <w:vAlign w:val="bottom"/>
            <w:vMerge w:val="restart"/>
          </w:tcPr>
          <w:p>
            <w:pPr>
              <w:jc w:val="right"/>
              <w:ind w:right="24"/>
              <w:spacing w:after="0"/>
              <w:rPr>
                <w:sz w:val="20"/>
                <w:szCs w:val="20"/>
                <w:color w:val="auto"/>
              </w:rPr>
            </w:pPr>
            <w:r>
              <w:rPr>
                <w:rFonts w:ascii="Arial" w:cs="Arial" w:eastAsia="Arial" w:hAnsi="Arial"/>
                <w:sz w:val="15"/>
                <w:szCs w:val="15"/>
                <w:color w:val="auto"/>
              </w:rPr>
              <w:t>19,036</w:t>
            </w:r>
          </w:p>
        </w:tc>
        <w:tc>
          <w:tcPr>
            <w:tcW w:w="0" w:type="dxa"/>
            <w:vAlign w:val="bottom"/>
          </w:tcPr>
          <w:p>
            <w:pPr>
              <w:spacing w:after="0"/>
              <w:rPr>
                <w:sz w:val="1"/>
                <w:szCs w:val="1"/>
                <w:color w:val="auto"/>
              </w:rPr>
            </w:pPr>
          </w:p>
        </w:tc>
      </w:tr>
      <w:tr>
        <w:trPr>
          <w:trHeight w:val="214"/>
        </w:trPr>
        <w:tc>
          <w:tcPr>
            <w:tcW w:w="9020" w:type="dxa"/>
            <w:vAlign w:val="bottom"/>
          </w:tcPr>
          <w:p>
            <w:pPr>
              <w:ind w:left="660"/>
              <w:spacing w:after="0"/>
              <w:rPr>
                <w:sz w:val="20"/>
                <w:szCs w:val="20"/>
                <w:color w:val="auto"/>
              </w:rPr>
            </w:pPr>
            <w:r>
              <w:rPr>
                <w:rFonts w:ascii="Arial" w:cs="Arial" w:eastAsia="Arial" w:hAnsi="Arial"/>
                <w:sz w:val="15"/>
                <w:szCs w:val="15"/>
                <w:color w:val="auto"/>
              </w:rPr>
              <w:t>shares outstanding</w:t>
            </w:r>
          </w:p>
        </w:tc>
        <w:tc>
          <w:tcPr>
            <w:tcW w:w="22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9020" w:type="dxa"/>
            <w:vAlign w:val="bottom"/>
          </w:tcPr>
          <w:p>
            <w:pPr>
              <w:ind w:left="280"/>
              <w:spacing w:after="0"/>
              <w:rPr>
                <w:sz w:val="20"/>
                <w:szCs w:val="20"/>
                <w:color w:val="auto"/>
              </w:rPr>
            </w:pPr>
            <w:r>
              <w:rPr>
                <w:rFonts w:ascii="Arial" w:cs="Arial" w:eastAsia="Arial" w:hAnsi="Arial"/>
                <w:sz w:val="15"/>
                <w:szCs w:val="15"/>
                <w:color w:val="auto"/>
              </w:rPr>
              <w:t>Capital in excess of par value</w:t>
            </w:r>
          </w:p>
        </w:tc>
        <w:tc>
          <w:tcPr>
            <w:tcW w:w="220" w:type="dxa"/>
            <w:vAlign w:val="bottom"/>
          </w:tcPr>
          <w:p>
            <w:pPr>
              <w:spacing w:after="0"/>
              <w:rPr>
                <w:sz w:val="23"/>
                <w:szCs w:val="23"/>
                <w:color w:val="auto"/>
              </w:rPr>
            </w:pPr>
          </w:p>
        </w:tc>
        <w:tc>
          <w:tcPr>
            <w:tcW w:w="980" w:type="dxa"/>
            <w:vAlign w:val="bottom"/>
          </w:tcPr>
          <w:p>
            <w:pPr>
              <w:jc w:val="right"/>
              <w:ind w:right="84"/>
              <w:spacing w:after="0"/>
              <w:rPr>
                <w:sz w:val="20"/>
                <w:szCs w:val="20"/>
                <w:color w:val="auto"/>
              </w:rPr>
            </w:pPr>
            <w:r>
              <w:rPr>
                <w:rFonts w:ascii="Arial" w:cs="Arial" w:eastAsia="Arial" w:hAnsi="Arial"/>
                <w:sz w:val="15"/>
                <w:szCs w:val="15"/>
                <w:b w:val="1"/>
                <w:bCs w:val="1"/>
                <w:color w:val="auto"/>
              </w:rPr>
              <w:t>364,363</w:t>
            </w:r>
          </w:p>
        </w:tc>
        <w:tc>
          <w:tcPr>
            <w:tcW w:w="260" w:type="dxa"/>
            <w:vAlign w:val="bottom"/>
          </w:tcPr>
          <w:p>
            <w:pPr>
              <w:spacing w:after="0"/>
              <w:rPr>
                <w:sz w:val="23"/>
                <w:szCs w:val="23"/>
                <w:color w:val="auto"/>
              </w:rPr>
            </w:pPr>
          </w:p>
        </w:tc>
        <w:tc>
          <w:tcPr>
            <w:tcW w:w="940" w:type="dxa"/>
            <w:vAlign w:val="bottom"/>
          </w:tcPr>
          <w:p>
            <w:pPr>
              <w:jc w:val="right"/>
              <w:ind w:right="24"/>
              <w:spacing w:after="0"/>
              <w:rPr>
                <w:sz w:val="20"/>
                <w:szCs w:val="20"/>
                <w:color w:val="auto"/>
              </w:rPr>
            </w:pPr>
            <w:r>
              <w:rPr>
                <w:rFonts w:ascii="Arial" w:cs="Arial" w:eastAsia="Arial" w:hAnsi="Arial"/>
                <w:sz w:val="15"/>
                <w:szCs w:val="15"/>
                <w:color w:val="auto"/>
              </w:rPr>
              <w:t>356,887</w:t>
            </w:r>
          </w:p>
        </w:tc>
        <w:tc>
          <w:tcPr>
            <w:tcW w:w="0" w:type="dxa"/>
            <w:vAlign w:val="bottom"/>
          </w:tcPr>
          <w:p>
            <w:pPr>
              <w:spacing w:after="0"/>
              <w:rPr>
                <w:sz w:val="1"/>
                <w:szCs w:val="1"/>
                <w:color w:val="auto"/>
              </w:rPr>
            </w:pPr>
          </w:p>
        </w:tc>
      </w:tr>
      <w:tr>
        <w:trPr>
          <w:trHeight w:val="270"/>
        </w:trPr>
        <w:tc>
          <w:tcPr>
            <w:tcW w:w="9020" w:type="dxa"/>
            <w:vAlign w:val="bottom"/>
          </w:tcPr>
          <w:p>
            <w:pPr>
              <w:ind w:left="280"/>
              <w:spacing w:after="0"/>
              <w:rPr>
                <w:sz w:val="20"/>
                <w:szCs w:val="20"/>
                <w:color w:val="auto"/>
              </w:rPr>
            </w:pPr>
            <w:r>
              <w:rPr>
                <w:rFonts w:ascii="Arial" w:cs="Arial" w:eastAsia="Arial" w:hAnsi="Arial"/>
                <w:sz w:val="15"/>
                <w:szCs w:val="15"/>
                <w:color w:val="auto"/>
              </w:rPr>
              <w:t>Retained earnings</w:t>
            </w:r>
          </w:p>
        </w:tc>
        <w:tc>
          <w:tcPr>
            <w:tcW w:w="220" w:type="dxa"/>
            <w:vAlign w:val="bottom"/>
          </w:tcPr>
          <w:p>
            <w:pPr>
              <w:spacing w:after="0"/>
              <w:rPr>
                <w:sz w:val="23"/>
                <w:szCs w:val="23"/>
                <w:color w:val="auto"/>
              </w:rPr>
            </w:pPr>
          </w:p>
        </w:tc>
        <w:tc>
          <w:tcPr>
            <w:tcW w:w="980" w:type="dxa"/>
            <w:vAlign w:val="bottom"/>
          </w:tcPr>
          <w:p>
            <w:pPr>
              <w:jc w:val="right"/>
              <w:ind w:right="84"/>
              <w:spacing w:after="0"/>
              <w:rPr>
                <w:sz w:val="20"/>
                <w:szCs w:val="20"/>
                <w:color w:val="auto"/>
              </w:rPr>
            </w:pPr>
            <w:r>
              <w:rPr>
                <w:rFonts w:ascii="Arial" w:cs="Arial" w:eastAsia="Arial" w:hAnsi="Arial"/>
                <w:sz w:val="15"/>
                <w:szCs w:val="15"/>
                <w:b w:val="1"/>
                <w:bCs w:val="1"/>
                <w:color w:val="auto"/>
              </w:rPr>
              <w:t>5,588,942</w:t>
            </w:r>
          </w:p>
        </w:tc>
        <w:tc>
          <w:tcPr>
            <w:tcW w:w="260" w:type="dxa"/>
            <w:vAlign w:val="bottom"/>
          </w:tcPr>
          <w:p>
            <w:pPr>
              <w:spacing w:after="0"/>
              <w:rPr>
                <w:sz w:val="23"/>
                <w:szCs w:val="23"/>
                <w:color w:val="auto"/>
              </w:rPr>
            </w:pPr>
          </w:p>
        </w:tc>
        <w:tc>
          <w:tcPr>
            <w:tcW w:w="940" w:type="dxa"/>
            <w:vAlign w:val="bottom"/>
          </w:tcPr>
          <w:p>
            <w:pPr>
              <w:jc w:val="right"/>
              <w:ind w:right="24"/>
              <w:spacing w:after="0"/>
              <w:rPr>
                <w:sz w:val="20"/>
                <w:szCs w:val="20"/>
                <w:color w:val="auto"/>
              </w:rPr>
            </w:pPr>
            <w:r>
              <w:rPr>
                <w:rFonts w:ascii="Arial" w:cs="Arial" w:eastAsia="Arial" w:hAnsi="Arial"/>
                <w:sz w:val="15"/>
                <w:szCs w:val="15"/>
                <w:color w:val="auto"/>
              </w:rPr>
              <w:t>5,447,677</w:t>
            </w:r>
          </w:p>
        </w:tc>
        <w:tc>
          <w:tcPr>
            <w:tcW w:w="0" w:type="dxa"/>
            <w:vAlign w:val="bottom"/>
          </w:tcPr>
          <w:p>
            <w:pPr>
              <w:spacing w:after="0"/>
              <w:rPr>
                <w:sz w:val="1"/>
                <w:szCs w:val="1"/>
                <w:color w:val="auto"/>
              </w:rPr>
            </w:pPr>
          </w:p>
        </w:tc>
      </w:tr>
      <w:tr>
        <w:trPr>
          <w:trHeight w:val="262"/>
        </w:trPr>
        <w:tc>
          <w:tcPr>
            <w:tcW w:w="9020" w:type="dxa"/>
            <w:vAlign w:val="bottom"/>
          </w:tcPr>
          <w:p>
            <w:pPr>
              <w:ind w:left="280"/>
              <w:spacing w:after="0"/>
              <w:rPr>
                <w:sz w:val="20"/>
                <w:szCs w:val="20"/>
                <w:color w:val="auto"/>
              </w:rPr>
            </w:pPr>
            <w:r>
              <w:rPr>
                <w:rFonts w:ascii="Arial" w:cs="Arial" w:eastAsia="Arial" w:hAnsi="Arial"/>
                <w:sz w:val="15"/>
                <w:szCs w:val="15"/>
                <w:color w:val="auto"/>
              </w:rPr>
              <w:t>Accumulated other comprehensive income, net of taxes</w:t>
            </w:r>
          </w:p>
        </w:tc>
        <w:tc>
          <w:tcPr>
            <w:tcW w:w="2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8"/>
        </w:trPr>
        <w:tc>
          <w:tcPr>
            <w:tcW w:w="9020" w:type="dxa"/>
            <w:vAlign w:val="bottom"/>
          </w:tcPr>
          <w:p>
            <w:pPr>
              <w:ind w:left="500"/>
              <w:spacing w:after="0"/>
              <w:rPr>
                <w:sz w:val="20"/>
                <w:szCs w:val="20"/>
                <w:color w:val="auto"/>
              </w:rPr>
            </w:pPr>
            <w:r>
              <w:rPr>
                <w:rFonts w:ascii="Arial" w:cs="Arial" w:eastAsia="Arial" w:hAnsi="Arial"/>
                <w:sz w:val="15"/>
                <w:szCs w:val="15"/>
                <w:color w:val="auto"/>
              </w:rPr>
              <w:t>Cumulative foreign currency translation adjustment</w:t>
            </w:r>
          </w:p>
        </w:tc>
        <w:tc>
          <w:tcPr>
            <w:tcW w:w="220" w:type="dxa"/>
            <w:vAlign w:val="bottom"/>
          </w:tcPr>
          <w:p>
            <w:pPr>
              <w:spacing w:after="0"/>
              <w:rPr>
                <w:sz w:val="24"/>
                <w:szCs w:val="24"/>
                <w:color w:val="auto"/>
              </w:rPr>
            </w:pPr>
          </w:p>
        </w:tc>
        <w:tc>
          <w:tcPr>
            <w:tcW w:w="980" w:type="dxa"/>
            <w:vAlign w:val="bottom"/>
          </w:tcPr>
          <w:p>
            <w:pPr>
              <w:jc w:val="right"/>
              <w:ind w:right="24"/>
              <w:spacing w:after="0"/>
              <w:rPr>
                <w:sz w:val="20"/>
                <w:szCs w:val="20"/>
                <w:color w:val="auto"/>
              </w:rPr>
            </w:pPr>
            <w:r>
              <w:rPr>
                <w:rFonts w:ascii="Arial" w:cs="Arial" w:eastAsia="Arial" w:hAnsi="Arial"/>
                <w:sz w:val="15"/>
                <w:szCs w:val="15"/>
                <w:b w:val="1"/>
                <w:bCs w:val="1"/>
                <w:color w:val="auto"/>
              </w:rPr>
              <w:t>(26,998)</w:t>
            </w:r>
          </w:p>
        </w:tc>
        <w:tc>
          <w:tcPr>
            <w:tcW w:w="2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(4,849)</w:t>
            </w:r>
          </w:p>
        </w:tc>
        <w:tc>
          <w:tcPr>
            <w:tcW w:w="0" w:type="dxa"/>
            <w:vAlign w:val="bottom"/>
          </w:tcPr>
          <w:p>
            <w:pPr>
              <w:spacing w:after="0"/>
              <w:rPr>
                <w:sz w:val="1"/>
                <w:szCs w:val="1"/>
                <w:color w:val="auto"/>
              </w:rPr>
            </w:pPr>
          </w:p>
        </w:tc>
      </w:tr>
      <w:tr>
        <w:trPr>
          <w:trHeight w:val="270"/>
        </w:trPr>
        <w:tc>
          <w:tcPr>
            <w:tcW w:w="9020" w:type="dxa"/>
            <w:vAlign w:val="bottom"/>
          </w:tcPr>
          <w:p>
            <w:pPr>
              <w:ind w:left="500"/>
              <w:spacing w:after="0"/>
              <w:rPr>
                <w:sz w:val="20"/>
                <w:szCs w:val="20"/>
                <w:color w:val="auto"/>
              </w:rPr>
            </w:pPr>
            <w:r>
              <w:rPr>
                <w:rFonts w:ascii="Arial" w:cs="Arial" w:eastAsia="Arial" w:hAnsi="Arial"/>
                <w:sz w:val="15"/>
                <w:szCs w:val="15"/>
                <w:color w:val="auto"/>
              </w:rPr>
              <w:t>Unrealized gain on available-for-sale securities</w:t>
            </w:r>
          </w:p>
        </w:tc>
        <w:tc>
          <w:tcPr>
            <w:tcW w:w="220" w:type="dxa"/>
            <w:vAlign w:val="bottom"/>
          </w:tcPr>
          <w:p>
            <w:pPr>
              <w:spacing w:after="0"/>
              <w:rPr>
                <w:sz w:val="23"/>
                <w:szCs w:val="23"/>
                <w:color w:val="auto"/>
              </w:rPr>
            </w:pPr>
          </w:p>
        </w:tc>
        <w:tc>
          <w:tcPr>
            <w:tcW w:w="980" w:type="dxa"/>
            <w:vAlign w:val="bottom"/>
          </w:tcPr>
          <w:p>
            <w:pPr>
              <w:jc w:val="right"/>
              <w:ind w:right="84"/>
              <w:spacing w:after="0"/>
              <w:rPr>
                <w:sz w:val="20"/>
                <w:szCs w:val="20"/>
                <w:color w:val="auto"/>
              </w:rPr>
            </w:pPr>
            <w:r>
              <w:rPr>
                <w:rFonts w:ascii="Arial" w:cs="Arial" w:eastAsia="Arial" w:hAnsi="Arial"/>
                <w:sz w:val="15"/>
                <w:szCs w:val="15"/>
                <w:b w:val="1"/>
                <w:bCs w:val="1"/>
                <w:color w:val="auto"/>
              </w:rPr>
              <w:t>92,931</w:t>
            </w:r>
          </w:p>
        </w:tc>
        <w:tc>
          <w:tcPr>
            <w:tcW w:w="260" w:type="dxa"/>
            <w:vAlign w:val="bottom"/>
          </w:tcPr>
          <w:p>
            <w:pPr>
              <w:spacing w:after="0"/>
              <w:rPr>
                <w:sz w:val="23"/>
                <w:szCs w:val="23"/>
                <w:color w:val="auto"/>
              </w:rPr>
            </w:pPr>
          </w:p>
        </w:tc>
        <w:tc>
          <w:tcPr>
            <w:tcW w:w="940" w:type="dxa"/>
            <w:vAlign w:val="bottom"/>
          </w:tcPr>
          <w:p>
            <w:pPr>
              <w:jc w:val="right"/>
              <w:ind w:right="24"/>
              <w:spacing w:after="0"/>
              <w:rPr>
                <w:sz w:val="20"/>
                <w:szCs w:val="20"/>
                <w:color w:val="auto"/>
              </w:rPr>
            </w:pPr>
            <w:r>
              <w:rPr>
                <w:rFonts w:ascii="Arial" w:cs="Arial" w:eastAsia="Arial" w:hAnsi="Arial"/>
                <w:sz w:val="15"/>
                <w:szCs w:val="15"/>
                <w:color w:val="auto"/>
              </w:rPr>
              <w:t>58,500</w:t>
            </w:r>
          </w:p>
        </w:tc>
        <w:tc>
          <w:tcPr>
            <w:tcW w:w="0" w:type="dxa"/>
            <w:vAlign w:val="bottom"/>
          </w:tcPr>
          <w:p>
            <w:pPr>
              <w:spacing w:after="0"/>
              <w:rPr>
                <w:sz w:val="1"/>
                <w:szCs w:val="1"/>
                <w:color w:val="auto"/>
              </w:rPr>
            </w:pPr>
          </w:p>
        </w:tc>
      </w:tr>
      <w:tr>
        <w:trPr>
          <w:trHeight w:val="270"/>
        </w:trPr>
        <w:tc>
          <w:tcPr>
            <w:tcW w:w="9020" w:type="dxa"/>
            <w:vAlign w:val="bottom"/>
          </w:tcPr>
          <w:p>
            <w:pPr>
              <w:ind w:left="500"/>
              <w:spacing w:after="0"/>
              <w:rPr>
                <w:sz w:val="20"/>
                <w:szCs w:val="20"/>
                <w:color w:val="auto"/>
              </w:rPr>
            </w:pPr>
            <w:r>
              <w:rPr>
                <w:rFonts w:ascii="Arial" w:cs="Arial" w:eastAsia="Arial" w:hAnsi="Arial"/>
                <w:sz w:val="15"/>
                <w:szCs w:val="15"/>
                <w:color w:val="auto"/>
              </w:rPr>
              <w:t>Unrealized gain on pensions and other postretirement plans</w:t>
            </w:r>
          </w:p>
        </w:tc>
        <w:tc>
          <w:tcPr>
            <w:tcW w:w="220" w:type="dxa"/>
            <w:vAlign w:val="bottom"/>
          </w:tcPr>
          <w:p>
            <w:pPr>
              <w:spacing w:after="0"/>
              <w:rPr>
                <w:sz w:val="23"/>
                <w:szCs w:val="23"/>
                <w:color w:val="auto"/>
              </w:rPr>
            </w:pPr>
          </w:p>
        </w:tc>
        <w:tc>
          <w:tcPr>
            <w:tcW w:w="980" w:type="dxa"/>
            <w:vAlign w:val="bottom"/>
          </w:tcPr>
          <w:p>
            <w:pPr>
              <w:jc w:val="right"/>
              <w:ind w:right="84"/>
              <w:spacing w:after="0"/>
              <w:rPr>
                <w:sz w:val="20"/>
                <w:szCs w:val="20"/>
                <w:color w:val="auto"/>
              </w:rPr>
            </w:pPr>
            <w:r>
              <w:rPr>
                <w:rFonts w:ascii="Arial" w:cs="Arial" w:eastAsia="Arial" w:hAnsi="Arial"/>
                <w:sz w:val="15"/>
                <w:szCs w:val="15"/>
                <w:b w:val="1"/>
                <w:bCs w:val="1"/>
                <w:color w:val="auto"/>
              </w:rPr>
              <w:t>170,830</w:t>
            </w:r>
          </w:p>
        </w:tc>
        <w:tc>
          <w:tcPr>
            <w:tcW w:w="260" w:type="dxa"/>
            <w:vAlign w:val="bottom"/>
          </w:tcPr>
          <w:p>
            <w:pPr>
              <w:spacing w:after="0"/>
              <w:rPr>
                <w:sz w:val="23"/>
                <w:szCs w:val="23"/>
                <w:color w:val="auto"/>
              </w:rPr>
            </w:pPr>
          </w:p>
        </w:tc>
        <w:tc>
          <w:tcPr>
            <w:tcW w:w="940" w:type="dxa"/>
            <w:vAlign w:val="bottom"/>
          </w:tcPr>
          <w:p>
            <w:pPr>
              <w:jc w:val="right"/>
              <w:ind w:right="24"/>
              <w:spacing w:after="0"/>
              <w:rPr>
                <w:sz w:val="20"/>
                <w:szCs w:val="20"/>
                <w:color w:val="auto"/>
              </w:rPr>
            </w:pPr>
            <w:r>
              <w:rPr>
                <w:rFonts w:ascii="Arial" w:cs="Arial" w:eastAsia="Arial" w:hAnsi="Arial"/>
                <w:sz w:val="15"/>
                <w:szCs w:val="15"/>
                <w:color w:val="auto"/>
              </w:rPr>
              <w:t>261,029</w:t>
            </w:r>
          </w:p>
        </w:tc>
        <w:tc>
          <w:tcPr>
            <w:tcW w:w="0" w:type="dxa"/>
            <w:vAlign w:val="bottom"/>
          </w:tcPr>
          <w:p>
            <w:pPr>
              <w:spacing w:after="0"/>
              <w:rPr>
                <w:sz w:val="1"/>
                <w:szCs w:val="1"/>
                <w:color w:val="auto"/>
              </w:rPr>
            </w:pPr>
          </w:p>
        </w:tc>
      </w:tr>
      <w:tr>
        <w:trPr>
          <w:trHeight w:val="270"/>
        </w:trPr>
        <w:tc>
          <w:tcPr>
            <w:tcW w:w="9020" w:type="dxa"/>
            <w:vAlign w:val="bottom"/>
          </w:tcPr>
          <w:p>
            <w:pPr>
              <w:ind w:left="500"/>
              <w:spacing w:after="0"/>
              <w:rPr>
                <w:sz w:val="20"/>
                <w:szCs w:val="20"/>
                <w:color w:val="auto"/>
              </w:rPr>
            </w:pPr>
            <w:r>
              <w:rPr>
                <w:rFonts w:ascii="Arial" w:cs="Arial" w:eastAsia="Arial" w:hAnsi="Arial"/>
                <w:sz w:val="15"/>
                <w:szCs w:val="15"/>
                <w:color w:val="auto"/>
              </w:rPr>
              <w:t>Cash flow hedge</w:t>
            </w:r>
          </w:p>
        </w:tc>
        <w:tc>
          <w:tcPr>
            <w:tcW w:w="220" w:type="dxa"/>
            <w:vAlign w:val="bottom"/>
          </w:tcPr>
          <w:p>
            <w:pPr>
              <w:spacing w:after="0"/>
              <w:rPr>
                <w:sz w:val="23"/>
                <w:szCs w:val="23"/>
                <w:color w:val="auto"/>
              </w:rPr>
            </w:pPr>
          </w:p>
        </w:tc>
        <w:tc>
          <w:tcPr>
            <w:tcW w:w="980" w:type="dxa"/>
            <w:vAlign w:val="bottom"/>
          </w:tcPr>
          <w:p>
            <w:pPr>
              <w:jc w:val="right"/>
              <w:ind w:right="24"/>
              <w:spacing w:after="0"/>
              <w:rPr>
                <w:sz w:val="20"/>
                <w:szCs w:val="20"/>
                <w:color w:val="auto"/>
              </w:rPr>
            </w:pPr>
            <w:r>
              <w:rPr>
                <w:rFonts w:ascii="Arial" w:cs="Arial" w:eastAsia="Arial" w:hAnsi="Arial"/>
                <w:sz w:val="15"/>
                <w:szCs w:val="15"/>
                <w:b w:val="1"/>
                <w:bCs w:val="1"/>
                <w:color w:val="auto"/>
              </w:rPr>
              <w:t>(277)</w:t>
            </w:r>
          </w:p>
        </w:tc>
        <w:tc>
          <w:tcPr>
            <w:tcW w:w="260" w:type="dxa"/>
            <w:vAlign w:val="bottom"/>
          </w:tcPr>
          <w:p>
            <w:pPr>
              <w:spacing w:after="0"/>
              <w:rPr>
                <w:sz w:val="23"/>
                <w:szCs w:val="23"/>
                <w:color w:val="auto"/>
              </w:rPr>
            </w:pPr>
          </w:p>
        </w:tc>
        <w:tc>
          <w:tcPr>
            <w:tcW w:w="94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68"/>
        </w:trPr>
        <w:tc>
          <w:tcPr>
            <w:tcW w:w="9020" w:type="dxa"/>
            <w:vAlign w:val="bottom"/>
          </w:tcPr>
          <w:p>
            <w:pPr>
              <w:ind w:left="280"/>
              <w:spacing w:after="0"/>
              <w:rPr>
                <w:sz w:val="20"/>
                <w:szCs w:val="20"/>
                <w:color w:val="auto"/>
              </w:rPr>
            </w:pPr>
            <w:r>
              <w:rPr>
                <w:rFonts w:ascii="Arial" w:cs="Arial" w:eastAsia="Arial" w:hAnsi="Arial"/>
                <w:sz w:val="15"/>
                <w:szCs w:val="15"/>
                <w:color w:val="auto"/>
              </w:rPr>
              <w:t>Cost of 14,423,564 and 14,196,146 shares of Class B common stock held in treasury</w:t>
            </w:r>
          </w:p>
        </w:tc>
        <w:tc>
          <w:tcPr>
            <w:tcW w:w="22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b w:val="1"/>
                <w:bCs w:val="1"/>
                <w:color w:val="auto"/>
              </w:rPr>
              <w:t>(3,756,850)</w:t>
            </w:r>
          </w:p>
        </w:tc>
        <w:tc>
          <w:tcPr>
            <w:tcW w:w="26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(3,648,546)</w:t>
            </w:r>
          </w:p>
        </w:tc>
        <w:tc>
          <w:tcPr>
            <w:tcW w:w="0" w:type="dxa"/>
            <w:vAlign w:val="bottom"/>
          </w:tcPr>
          <w:p>
            <w:pPr>
              <w:spacing w:after="0"/>
              <w:rPr>
                <w:sz w:val="1"/>
                <w:szCs w:val="1"/>
                <w:color w:val="auto"/>
              </w:rPr>
            </w:pPr>
          </w:p>
        </w:tc>
      </w:tr>
      <w:tr>
        <w:trPr>
          <w:trHeight w:val="264"/>
        </w:trPr>
        <w:tc>
          <w:tcPr>
            <w:tcW w:w="9020" w:type="dxa"/>
            <w:vAlign w:val="bottom"/>
          </w:tcPr>
          <w:p>
            <w:pPr>
              <w:ind w:left="500"/>
              <w:spacing w:after="0"/>
              <w:rPr>
                <w:sz w:val="20"/>
                <w:szCs w:val="20"/>
                <w:color w:val="auto"/>
              </w:rPr>
            </w:pPr>
            <w:r>
              <w:rPr>
                <w:rFonts w:ascii="Arial" w:cs="Arial" w:eastAsia="Arial" w:hAnsi="Arial"/>
                <w:sz w:val="15"/>
                <w:szCs w:val="15"/>
                <w:b w:val="1"/>
                <w:bCs w:val="1"/>
                <w:color w:val="auto"/>
              </w:rPr>
              <w:t>Total Equity</w:t>
            </w:r>
          </w:p>
        </w:tc>
        <w:tc>
          <w:tcPr>
            <w:tcW w:w="2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b w:val="1"/>
                <w:bCs w:val="1"/>
                <w:color w:val="auto"/>
              </w:rPr>
              <w:t>2,452,941</w:t>
            </w:r>
          </w:p>
        </w:tc>
        <w:tc>
          <w:tcPr>
            <w:tcW w:w="2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2,490,698</w:t>
            </w:r>
          </w:p>
        </w:tc>
        <w:tc>
          <w:tcPr>
            <w:tcW w:w="0" w:type="dxa"/>
            <w:vAlign w:val="bottom"/>
          </w:tcPr>
          <w:p>
            <w:pPr>
              <w:spacing w:after="0"/>
              <w:rPr>
                <w:sz w:val="1"/>
                <w:szCs w:val="1"/>
                <w:color w:val="auto"/>
              </w:rPr>
            </w:pPr>
          </w:p>
        </w:tc>
      </w:tr>
      <w:tr>
        <w:trPr>
          <w:trHeight w:val="264"/>
        </w:trPr>
        <w:tc>
          <w:tcPr>
            <w:tcW w:w="9020" w:type="dxa"/>
            <w:vAlign w:val="bottom"/>
          </w:tcPr>
          <w:p>
            <w:pPr>
              <w:ind w:left="720"/>
              <w:spacing w:after="0"/>
              <w:rPr>
                <w:sz w:val="20"/>
                <w:szCs w:val="20"/>
                <w:color w:val="auto"/>
              </w:rPr>
            </w:pPr>
            <w:r>
              <w:rPr>
                <w:rFonts w:ascii="Arial" w:cs="Arial" w:eastAsia="Arial" w:hAnsi="Arial"/>
                <w:sz w:val="15"/>
                <w:szCs w:val="15"/>
                <w:b w:val="1"/>
                <w:bCs w:val="1"/>
                <w:color w:val="auto"/>
              </w:rPr>
              <w:t>Total Liabilities and Equity</w:t>
            </w:r>
          </w:p>
        </w:tc>
        <w:tc>
          <w:tcPr>
            <w:tcW w:w="22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b w:val="1"/>
                <w:bCs w:val="1"/>
                <w:color w:val="auto"/>
              </w:rPr>
              <w:t>$</w:t>
            </w:r>
          </w:p>
        </w:tc>
        <w:tc>
          <w:tcPr>
            <w:tcW w:w="98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b w:val="1"/>
                <w:bCs w:val="1"/>
                <w:color w:val="auto"/>
              </w:rPr>
              <w:t>4,432,670</w:t>
            </w:r>
          </w:p>
        </w:tc>
        <w:tc>
          <w:tcPr>
            <w:tcW w:w="26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w:t>
            </w:r>
          </w:p>
        </w:tc>
        <w:tc>
          <w:tcPr>
            <w:tcW w:w="94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4,352,825</w:t>
            </w:r>
          </w:p>
        </w:tc>
        <w:tc>
          <w:tcPr>
            <w:tcW w:w="0" w:type="dxa"/>
            <w:vAlign w:val="bottom"/>
          </w:tcPr>
          <w:p>
            <w:pPr>
              <w:spacing w:after="0"/>
              <w:rPr>
                <w:sz w:val="1"/>
                <w:szCs w:val="1"/>
                <w:color w:val="auto"/>
              </w:rPr>
            </w:pPr>
          </w:p>
        </w:tc>
      </w:tr>
      <w:tr>
        <w:trPr>
          <w:trHeight w:val="20"/>
        </w:trPr>
        <w:tc>
          <w:tcPr>
            <w:tcW w:w="90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5"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Consolidated Financial Statements.</w:t>
      </w:r>
    </w:p>
    <w:p>
      <w:pPr>
        <w:sectPr>
          <w:pgSz w:w="11900" w:h="16838" w:orient="portrait"/>
          <w:cols w:equalWidth="0" w:num="1">
            <w:col w:w="11420"/>
          </w:cols>
          <w:pgMar w:left="240" w:top="722" w:right="239" w:bottom="106" w:gutter="0" w:footer="0" w:header="0"/>
        </w:sect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65</w:t>
      </w:r>
    </w:p>
    <w:p>
      <w:pPr>
        <w:sectPr>
          <w:pgSz w:w="11900" w:h="16838" w:orient="portrait"/>
          <w:cols w:equalWidth="0" w:num="1">
            <w:col w:w="11420"/>
          </w:cols>
          <w:pgMar w:left="240" w:top="722" w:right="239" w:bottom="106" w:gutter="0" w:footer="0" w:header="0"/>
          <w:type w:val="continuous"/>
        </w:sectPr>
      </w:pPr>
    </w:p>
    <w:bookmarkStart w:id="67" w:name="page68"/>
    <w:bookmarkEnd w:id="67"/>
    <w:p>
      <w:pPr>
        <w:spacing w:after="0" w:line="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GRAHAM HOLDINGS COMPANY</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7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520" w:type="dxa"/>
            <w:vAlign w:val="bottom"/>
            <w:tcBorders>
              <w:bottom w:val="single" w:sz="8" w:color="auto"/>
            </w:tcBorders>
            <w:gridSpan w:val="4"/>
          </w:tcPr>
          <w:p>
            <w:pPr>
              <w:jc w:val="right"/>
              <w:ind w:right="3"/>
              <w:spacing w:after="0"/>
              <w:rPr>
                <w:sz w:val="20"/>
                <w:szCs w:val="20"/>
                <w:color w:val="auto"/>
              </w:rPr>
            </w:pPr>
            <w:r>
              <w:rPr>
                <w:rFonts w:ascii="Arial" w:cs="Arial" w:eastAsia="Arial" w:hAnsi="Arial"/>
                <w:sz w:val="14"/>
                <w:szCs w:val="14"/>
                <w:b w:val="1"/>
                <w:bCs w:val="1"/>
                <w:color w:val="auto"/>
              </w:rPr>
              <w:t>Year Ended December 31</w:t>
            </w:r>
          </w:p>
        </w:tc>
        <w:tc>
          <w:tcPr>
            <w:tcW w:w="8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77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84"/>
              <w:spacing w:after="0"/>
              <w:rPr>
                <w:sz w:val="20"/>
                <w:szCs w:val="20"/>
                <w:color w:val="auto"/>
              </w:rPr>
            </w:pPr>
            <w:r>
              <w:rPr>
                <w:rFonts w:ascii="Arial" w:cs="Arial" w:eastAsia="Arial" w:hAnsi="Arial"/>
                <w:sz w:val="14"/>
                <w:szCs w:val="14"/>
                <w:b w:val="1"/>
                <w:bCs w:val="1"/>
                <w:color w:val="auto"/>
              </w:rPr>
              <w:t>2016</w:t>
            </w:r>
          </w:p>
        </w:tc>
        <w:tc>
          <w:tcPr>
            <w:tcW w:w="3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64"/>
              <w:spacing w:after="0"/>
              <w:rPr>
                <w:sz w:val="20"/>
                <w:szCs w:val="20"/>
                <w:color w:val="auto"/>
              </w:rPr>
            </w:pPr>
            <w:r>
              <w:rPr>
                <w:rFonts w:ascii="Arial" w:cs="Arial" w:eastAsia="Arial" w:hAnsi="Arial"/>
                <w:sz w:val="14"/>
                <w:szCs w:val="14"/>
                <w:color w:val="auto"/>
              </w:rPr>
              <w:t>2015</w:t>
            </w:r>
          </w:p>
        </w:tc>
        <w:tc>
          <w:tcPr>
            <w:tcW w:w="3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24"/>
              <w:spacing w:after="0"/>
              <w:rPr>
                <w:sz w:val="20"/>
                <w:szCs w:val="20"/>
                <w:color w:val="auto"/>
              </w:rPr>
            </w:pPr>
            <w:r>
              <w:rPr>
                <w:rFonts w:ascii="Arial" w:cs="Arial" w:eastAsia="Arial" w:hAnsi="Arial"/>
                <w:sz w:val="14"/>
                <w:szCs w:val="14"/>
                <w:color w:val="auto"/>
              </w:rPr>
              <w:t>2014</w:t>
            </w:r>
          </w:p>
        </w:tc>
        <w:tc>
          <w:tcPr>
            <w:tcW w:w="0" w:type="dxa"/>
            <w:vAlign w:val="bottom"/>
          </w:tcPr>
          <w:p>
            <w:pPr>
              <w:spacing w:after="0"/>
              <w:rPr>
                <w:sz w:val="1"/>
                <w:szCs w:val="1"/>
                <w:color w:val="auto"/>
              </w:rPr>
            </w:pPr>
          </w:p>
        </w:tc>
      </w:tr>
      <w:tr>
        <w:trPr>
          <w:trHeight w:val="267"/>
        </w:trPr>
        <w:tc>
          <w:tcPr>
            <w:tcW w:w="7780" w:type="dxa"/>
            <w:vAlign w:val="bottom"/>
          </w:tcPr>
          <w:p>
            <w:pPr>
              <w:ind w:left="40"/>
              <w:spacing w:after="0"/>
              <w:rPr>
                <w:sz w:val="20"/>
                <w:szCs w:val="20"/>
                <w:color w:val="auto"/>
              </w:rPr>
            </w:pPr>
            <w:r>
              <w:rPr>
                <w:rFonts w:ascii="Arial" w:cs="Arial" w:eastAsia="Arial" w:hAnsi="Arial"/>
                <w:sz w:val="15"/>
                <w:szCs w:val="15"/>
                <w:b w:val="1"/>
                <w:bCs w:val="1"/>
                <w:color w:val="auto"/>
              </w:rPr>
              <w:t>Cash Flows from Operating Activities</w:t>
            </w:r>
          </w:p>
        </w:tc>
        <w:tc>
          <w:tcPr>
            <w:tcW w:w="2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780" w:type="dxa"/>
            <w:vAlign w:val="bottom"/>
          </w:tcPr>
          <w:p>
            <w:pPr>
              <w:ind w:left="40"/>
              <w:spacing w:after="0"/>
              <w:rPr>
                <w:sz w:val="20"/>
                <w:szCs w:val="20"/>
                <w:color w:val="auto"/>
              </w:rPr>
            </w:pPr>
            <w:r>
              <w:rPr>
                <w:rFonts w:ascii="Arial" w:cs="Arial" w:eastAsia="Arial" w:hAnsi="Arial"/>
                <w:sz w:val="15"/>
                <w:szCs w:val="15"/>
                <w:b w:val="1"/>
                <w:bCs w:val="1"/>
                <w:color w:val="auto"/>
              </w:rPr>
              <w:t>Net Income (Loss)</w:t>
            </w:r>
          </w:p>
        </w:tc>
        <w:tc>
          <w:tcPr>
            <w:tcW w:w="260" w:type="dxa"/>
            <w:vAlign w:val="bottom"/>
          </w:tcPr>
          <w:p>
            <w:pPr>
              <w:jc w:val="right"/>
              <w:ind w:right="83"/>
              <w:spacing w:after="0"/>
              <w:rPr>
                <w:sz w:val="20"/>
                <w:szCs w:val="20"/>
                <w:color w:val="auto"/>
              </w:rPr>
            </w:pPr>
            <w:r>
              <w:rPr>
                <w:rFonts w:ascii="Arial" w:cs="Arial" w:eastAsia="Arial" w:hAnsi="Arial"/>
                <w:sz w:val="15"/>
                <w:szCs w:val="15"/>
                <w:b w:val="1"/>
                <w:bCs w:val="1"/>
                <w:color w:val="auto"/>
                <w:w w:val="95"/>
              </w:rPr>
              <w:t>$</w:t>
            </w:r>
          </w:p>
        </w:tc>
        <w:tc>
          <w:tcPr>
            <w:tcW w:w="940" w:type="dxa"/>
            <w:vAlign w:val="bottom"/>
          </w:tcPr>
          <w:p>
            <w:pPr>
              <w:jc w:val="right"/>
              <w:ind w:right="84"/>
              <w:spacing w:after="0"/>
              <w:rPr>
                <w:sz w:val="20"/>
                <w:szCs w:val="20"/>
                <w:color w:val="auto"/>
              </w:rPr>
            </w:pPr>
            <w:r>
              <w:rPr>
                <w:rFonts w:ascii="Arial" w:cs="Arial" w:eastAsia="Arial" w:hAnsi="Arial"/>
                <w:sz w:val="15"/>
                <w:szCs w:val="15"/>
                <w:b w:val="1"/>
                <w:bCs w:val="1"/>
                <w:color w:val="auto"/>
              </w:rPr>
              <w:t>169,458</w:t>
            </w:r>
          </w:p>
        </w:tc>
        <w:tc>
          <w:tcPr>
            <w:tcW w:w="320" w:type="dxa"/>
            <w:vAlign w:val="bottom"/>
          </w:tcPr>
          <w:p>
            <w:pPr>
              <w:jc w:val="right"/>
              <w:ind w:right="63"/>
              <w:spacing w:after="0"/>
              <w:rPr>
                <w:sz w:val="20"/>
                <w:szCs w:val="20"/>
                <w:color w:val="auto"/>
              </w:rPr>
            </w:pPr>
            <w:r>
              <w:rPr>
                <w:rFonts w:ascii="Arial" w:cs="Arial" w:eastAsia="Arial" w:hAnsi="Arial"/>
                <w:sz w:val="15"/>
                <w:szCs w:val="15"/>
                <w:color w:val="auto"/>
              </w:rPr>
              <w:t>$</w:t>
            </w:r>
          </w:p>
        </w:tc>
        <w:tc>
          <w:tcPr>
            <w:tcW w:w="920" w:type="dxa"/>
            <w:vAlign w:val="bottom"/>
          </w:tcPr>
          <w:p>
            <w:pPr>
              <w:jc w:val="right"/>
              <w:ind w:right="24"/>
              <w:spacing w:after="0"/>
              <w:rPr>
                <w:sz w:val="20"/>
                <w:szCs w:val="20"/>
                <w:color w:val="auto"/>
              </w:rPr>
            </w:pPr>
            <w:r>
              <w:rPr>
                <w:rFonts w:ascii="Arial" w:cs="Arial" w:eastAsia="Arial" w:hAnsi="Arial"/>
                <w:sz w:val="15"/>
                <w:szCs w:val="15"/>
                <w:color w:val="auto"/>
              </w:rPr>
              <w:t>(99,220)</w:t>
            </w:r>
          </w:p>
        </w:tc>
        <w:tc>
          <w:tcPr>
            <w:tcW w:w="340" w:type="dxa"/>
            <w:vAlign w:val="bottom"/>
          </w:tcPr>
          <w:p>
            <w:pPr>
              <w:jc w:val="right"/>
              <w:ind w:right="83"/>
              <w:spacing w:after="0"/>
              <w:rPr>
                <w:sz w:val="20"/>
                <w:szCs w:val="20"/>
                <w:color w:val="auto"/>
              </w:rPr>
            </w:pPr>
            <w:r>
              <w:rPr>
                <w:rFonts w:ascii="Arial" w:cs="Arial" w:eastAsia="Arial" w:hAnsi="Arial"/>
                <w:sz w:val="15"/>
                <w:szCs w:val="15"/>
                <w:color w:val="auto"/>
              </w:rPr>
              <w:t>$</w:t>
            </w:r>
          </w:p>
        </w:tc>
        <w:tc>
          <w:tcPr>
            <w:tcW w:w="860" w:type="dxa"/>
            <w:vAlign w:val="bottom"/>
          </w:tcPr>
          <w:p>
            <w:pPr>
              <w:jc w:val="right"/>
              <w:ind w:right="24"/>
              <w:spacing w:after="0"/>
              <w:rPr>
                <w:sz w:val="20"/>
                <w:szCs w:val="20"/>
                <w:color w:val="auto"/>
              </w:rPr>
            </w:pPr>
            <w:r>
              <w:rPr>
                <w:rFonts w:ascii="Arial" w:cs="Arial" w:eastAsia="Arial" w:hAnsi="Arial"/>
                <w:sz w:val="15"/>
                <w:szCs w:val="15"/>
                <w:color w:val="auto"/>
              </w:rPr>
              <w:t>1,293,260</w:t>
            </w:r>
          </w:p>
        </w:tc>
        <w:tc>
          <w:tcPr>
            <w:tcW w:w="0" w:type="dxa"/>
            <w:vAlign w:val="bottom"/>
          </w:tcPr>
          <w:p>
            <w:pPr>
              <w:spacing w:after="0"/>
              <w:rPr>
                <w:sz w:val="1"/>
                <w:szCs w:val="1"/>
                <w:color w:val="auto"/>
              </w:rPr>
            </w:pPr>
          </w:p>
        </w:tc>
      </w:tr>
      <w:tr>
        <w:trPr>
          <w:trHeight w:val="262"/>
        </w:trPr>
        <w:tc>
          <w:tcPr>
            <w:tcW w:w="7780" w:type="dxa"/>
            <w:vAlign w:val="bottom"/>
          </w:tcPr>
          <w:p>
            <w:pPr>
              <w:ind w:left="40"/>
              <w:spacing w:after="0"/>
              <w:rPr>
                <w:sz w:val="20"/>
                <w:szCs w:val="20"/>
                <w:color w:val="auto"/>
              </w:rPr>
            </w:pPr>
            <w:r>
              <w:rPr>
                <w:rFonts w:ascii="Arial" w:cs="Arial" w:eastAsia="Arial" w:hAnsi="Arial"/>
                <w:sz w:val="15"/>
                <w:szCs w:val="15"/>
                <w:color w:val="auto"/>
              </w:rPr>
              <w:t>Adjustments to reconcile net income to net cash provided by operating activities:</w:t>
            </w:r>
          </w:p>
        </w:tc>
        <w:tc>
          <w:tcPr>
            <w:tcW w:w="2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8"/>
        </w:trPr>
        <w:tc>
          <w:tcPr>
            <w:tcW w:w="7780" w:type="dxa"/>
            <w:vAlign w:val="bottom"/>
          </w:tcPr>
          <w:p>
            <w:pPr>
              <w:ind w:left="280"/>
              <w:spacing w:after="0"/>
              <w:rPr>
                <w:sz w:val="20"/>
                <w:szCs w:val="20"/>
                <w:color w:val="auto"/>
              </w:rPr>
            </w:pPr>
            <w:r>
              <w:rPr>
                <w:rFonts w:ascii="Arial" w:cs="Arial" w:eastAsia="Arial" w:hAnsi="Arial"/>
                <w:sz w:val="15"/>
                <w:szCs w:val="15"/>
                <w:color w:val="auto"/>
              </w:rPr>
              <w:t>Depreciation, amortization and goodwill and other long-lived asset impairment</w:t>
            </w:r>
          </w:p>
        </w:tc>
        <w:tc>
          <w:tcPr>
            <w:tcW w:w="260" w:type="dxa"/>
            <w:vAlign w:val="bottom"/>
          </w:tcPr>
          <w:p>
            <w:pPr>
              <w:spacing w:after="0"/>
              <w:rPr>
                <w:sz w:val="24"/>
                <w:szCs w:val="24"/>
                <w:color w:val="auto"/>
              </w:rPr>
            </w:pPr>
          </w:p>
        </w:tc>
        <w:tc>
          <w:tcPr>
            <w:tcW w:w="940" w:type="dxa"/>
            <w:vAlign w:val="bottom"/>
          </w:tcPr>
          <w:p>
            <w:pPr>
              <w:jc w:val="right"/>
              <w:ind w:right="84"/>
              <w:spacing w:after="0"/>
              <w:rPr>
                <w:sz w:val="20"/>
                <w:szCs w:val="20"/>
                <w:color w:val="auto"/>
              </w:rPr>
            </w:pPr>
            <w:r>
              <w:rPr>
                <w:rFonts w:ascii="Arial" w:cs="Arial" w:eastAsia="Arial" w:hAnsi="Arial"/>
                <w:sz w:val="15"/>
                <w:szCs w:val="15"/>
                <w:b w:val="1"/>
                <w:bCs w:val="1"/>
                <w:color w:val="auto"/>
              </w:rPr>
              <w:t>92,894</w:t>
            </w:r>
          </w:p>
        </w:tc>
        <w:tc>
          <w:tcPr>
            <w:tcW w:w="320" w:type="dxa"/>
            <w:vAlign w:val="bottom"/>
          </w:tcPr>
          <w:p>
            <w:pPr>
              <w:spacing w:after="0"/>
              <w:rPr>
                <w:sz w:val="24"/>
                <w:szCs w:val="24"/>
                <w:color w:val="auto"/>
              </w:rPr>
            </w:pPr>
          </w:p>
        </w:tc>
        <w:tc>
          <w:tcPr>
            <w:tcW w:w="920" w:type="dxa"/>
            <w:vAlign w:val="bottom"/>
          </w:tcPr>
          <w:p>
            <w:pPr>
              <w:jc w:val="right"/>
              <w:ind w:right="84"/>
              <w:spacing w:after="0"/>
              <w:rPr>
                <w:sz w:val="20"/>
                <w:szCs w:val="20"/>
                <w:color w:val="auto"/>
              </w:rPr>
            </w:pPr>
            <w:r>
              <w:rPr>
                <w:rFonts w:ascii="Arial" w:cs="Arial" w:eastAsia="Arial" w:hAnsi="Arial"/>
                <w:sz w:val="15"/>
                <w:szCs w:val="15"/>
                <w:color w:val="auto"/>
              </w:rPr>
              <w:t>428,437</w:t>
            </w:r>
          </w:p>
        </w:tc>
        <w:tc>
          <w:tcPr>
            <w:tcW w:w="340" w:type="dxa"/>
            <w:vAlign w:val="bottom"/>
          </w:tcPr>
          <w:p>
            <w:pPr>
              <w:spacing w:after="0"/>
              <w:rPr>
                <w:sz w:val="24"/>
                <w:szCs w:val="24"/>
                <w:color w:val="auto"/>
              </w:rPr>
            </w:pPr>
          </w:p>
        </w:tc>
        <w:tc>
          <w:tcPr>
            <w:tcW w:w="860" w:type="dxa"/>
            <w:vAlign w:val="bottom"/>
          </w:tcPr>
          <w:p>
            <w:pPr>
              <w:jc w:val="right"/>
              <w:ind w:right="24"/>
              <w:spacing w:after="0"/>
              <w:rPr>
                <w:sz w:val="20"/>
                <w:szCs w:val="20"/>
                <w:color w:val="auto"/>
              </w:rPr>
            </w:pPr>
            <w:r>
              <w:rPr>
                <w:rFonts w:ascii="Arial" w:cs="Arial" w:eastAsia="Arial" w:hAnsi="Arial"/>
                <w:sz w:val="15"/>
                <w:szCs w:val="15"/>
                <w:color w:val="auto"/>
              </w:rPr>
              <w:t>249,457</w:t>
            </w:r>
          </w:p>
        </w:tc>
        <w:tc>
          <w:tcPr>
            <w:tcW w:w="0" w:type="dxa"/>
            <w:vAlign w:val="bottom"/>
          </w:tcPr>
          <w:p>
            <w:pPr>
              <w:spacing w:after="0"/>
              <w:rPr>
                <w:sz w:val="1"/>
                <w:szCs w:val="1"/>
                <w:color w:val="auto"/>
              </w:rPr>
            </w:pPr>
          </w:p>
        </w:tc>
      </w:tr>
      <w:tr>
        <w:trPr>
          <w:trHeight w:val="270"/>
        </w:trPr>
        <w:tc>
          <w:tcPr>
            <w:tcW w:w="7780" w:type="dxa"/>
            <w:vAlign w:val="bottom"/>
          </w:tcPr>
          <w:p>
            <w:pPr>
              <w:ind w:left="280"/>
              <w:spacing w:after="0"/>
              <w:rPr>
                <w:sz w:val="20"/>
                <w:szCs w:val="20"/>
                <w:color w:val="auto"/>
              </w:rPr>
            </w:pPr>
            <w:r>
              <w:rPr>
                <w:rFonts w:ascii="Arial" w:cs="Arial" w:eastAsia="Arial" w:hAnsi="Arial"/>
                <w:sz w:val="15"/>
                <w:szCs w:val="15"/>
                <w:color w:val="auto"/>
              </w:rPr>
              <w:t>Net pension benefit</w:t>
            </w:r>
          </w:p>
        </w:tc>
        <w:tc>
          <w:tcPr>
            <w:tcW w:w="260" w:type="dxa"/>
            <w:vAlign w:val="bottom"/>
          </w:tcPr>
          <w:p>
            <w:pPr>
              <w:spacing w:after="0"/>
              <w:rPr>
                <w:sz w:val="23"/>
                <w:szCs w:val="23"/>
                <w:color w:val="auto"/>
              </w:rPr>
            </w:pPr>
          </w:p>
        </w:tc>
        <w:tc>
          <w:tcPr>
            <w:tcW w:w="940" w:type="dxa"/>
            <w:vAlign w:val="bottom"/>
          </w:tcPr>
          <w:p>
            <w:pPr>
              <w:jc w:val="right"/>
              <w:ind w:right="24"/>
              <w:spacing w:after="0"/>
              <w:rPr>
                <w:sz w:val="20"/>
                <w:szCs w:val="20"/>
                <w:color w:val="auto"/>
              </w:rPr>
            </w:pPr>
            <w:r>
              <w:rPr>
                <w:rFonts w:ascii="Arial" w:cs="Arial" w:eastAsia="Arial" w:hAnsi="Arial"/>
                <w:sz w:val="15"/>
                <w:szCs w:val="15"/>
                <w:b w:val="1"/>
                <w:bCs w:val="1"/>
                <w:color w:val="auto"/>
              </w:rPr>
              <w:t>(67,097)</w:t>
            </w:r>
          </w:p>
        </w:tc>
        <w:tc>
          <w:tcPr>
            <w:tcW w:w="320" w:type="dxa"/>
            <w:vAlign w:val="bottom"/>
          </w:tcPr>
          <w:p>
            <w:pPr>
              <w:spacing w:after="0"/>
              <w:rPr>
                <w:sz w:val="23"/>
                <w:szCs w:val="23"/>
                <w:color w:val="auto"/>
              </w:rPr>
            </w:pPr>
          </w:p>
        </w:tc>
        <w:tc>
          <w:tcPr>
            <w:tcW w:w="920" w:type="dxa"/>
            <w:vAlign w:val="bottom"/>
          </w:tcPr>
          <w:p>
            <w:pPr>
              <w:jc w:val="right"/>
              <w:ind w:right="24"/>
              <w:spacing w:after="0"/>
              <w:rPr>
                <w:sz w:val="20"/>
                <w:szCs w:val="20"/>
                <w:color w:val="auto"/>
              </w:rPr>
            </w:pPr>
            <w:r>
              <w:rPr>
                <w:rFonts w:ascii="Arial" w:cs="Arial" w:eastAsia="Arial" w:hAnsi="Arial"/>
                <w:sz w:val="15"/>
                <w:szCs w:val="15"/>
                <w:color w:val="auto"/>
              </w:rPr>
              <w:t>(65,433)</w:t>
            </w:r>
          </w:p>
        </w:tc>
        <w:tc>
          <w:tcPr>
            <w:tcW w:w="3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(69,406)</w:t>
            </w:r>
          </w:p>
        </w:tc>
        <w:tc>
          <w:tcPr>
            <w:tcW w:w="0" w:type="dxa"/>
            <w:vAlign w:val="bottom"/>
          </w:tcPr>
          <w:p>
            <w:pPr>
              <w:spacing w:after="0"/>
              <w:rPr>
                <w:sz w:val="1"/>
                <w:szCs w:val="1"/>
                <w:color w:val="auto"/>
              </w:rPr>
            </w:pPr>
          </w:p>
        </w:tc>
      </w:tr>
      <w:tr>
        <w:trPr>
          <w:trHeight w:val="270"/>
        </w:trPr>
        <w:tc>
          <w:tcPr>
            <w:tcW w:w="7780" w:type="dxa"/>
            <w:vAlign w:val="bottom"/>
          </w:tcPr>
          <w:p>
            <w:pPr>
              <w:ind w:left="280"/>
              <w:spacing w:after="0"/>
              <w:rPr>
                <w:sz w:val="20"/>
                <w:szCs w:val="20"/>
                <w:color w:val="auto"/>
              </w:rPr>
            </w:pPr>
            <w:r>
              <w:rPr>
                <w:rFonts w:ascii="Arial" w:cs="Arial" w:eastAsia="Arial" w:hAnsi="Arial"/>
                <w:sz w:val="15"/>
                <w:szCs w:val="15"/>
                <w:color w:val="auto"/>
              </w:rPr>
              <w:t>Early retirement and special separation benefit program expense</w:t>
            </w:r>
          </w:p>
        </w:tc>
        <w:tc>
          <w:tcPr>
            <w:tcW w:w="260" w:type="dxa"/>
            <w:vAlign w:val="bottom"/>
          </w:tcPr>
          <w:p>
            <w:pPr>
              <w:spacing w:after="0"/>
              <w:rPr>
                <w:sz w:val="23"/>
                <w:szCs w:val="23"/>
                <w:color w:val="auto"/>
              </w:rPr>
            </w:pPr>
          </w:p>
        </w:tc>
        <w:tc>
          <w:tcPr>
            <w:tcW w:w="940" w:type="dxa"/>
            <w:vAlign w:val="bottom"/>
          </w:tcPr>
          <w:p>
            <w:pPr>
              <w:jc w:val="right"/>
              <w:ind w:right="84"/>
              <w:spacing w:after="0"/>
              <w:rPr>
                <w:sz w:val="20"/>
                <w:szCs w:val="20"/>
                <w:color w:val="auto"/>
              </w:rPr>
            </w:pPr>
            <w:r>
              <w:rPr>
                <w:rFonts w:ascii="Arial" w:cs="Arial" w:eastAsia="Arial" w:hAnsi="Arial"/>
                <w:sz w:val="15"/>
                <w:szCs w:val="15"/>
                <w:b w:val="1"/>
                <w:bCs w:val="1"/>
                <w:color w:val="auto"/>
              </w:rPr>
              <w:t>—</w:t>
            </w:r>
          </w:p>
        </w:tc>
        <w:tc>
          <w:tcPr>
            <w:tcW w:w="320" w:type="dxa"/>
            <w:vAlign w:val="bottom"/>
          </w:tcPr>
          <w:p>
            <w:pPr>
              <w:spacing w:after="0"/>
              <w:rPr>
                <w:sz w:val="23"/>
                <w:szCs w:val="23"/>
                <w:color w:val="auto"/>
              </w:rPr>
            </w:pPr>
          </w:p>
        </w:tc>
        <w:tc>
          <w:tcPr>
            <w:tcW w:w="920" w:type="dxa"/>
            <w:vAlign w:val="bottom"/>
          </w:tcPr>
          <w:p>
            <w:pPr>
              <w:jc w:val="right"/>
              <w:ind w:right="84"/>
              <w:spacing w:after="0"/>
              <w:rPr>
                <w:sz w:val="20"/>
                <w:szCs w:val="20"/>
                <w:color w:val="auto"/>
              </w:rPr>
            </w:pPr>
            <w:r>
              <w:rPr>
                <w:rFonts w:ascii="Arial" w:cs="Arial" w:eastAsia="Arial" w:hAnsi="Arial"/>
                <w:sz w:val="15"/>
                <w:szCs w:val="15"/>
                <w:color w:val="auto"/>
              </w:rPr>
              <w:t>4,606</w:t>
            </w:r>
          </w:p>
        </w:tc>
        <w:tc>
          <w:tcPr>
            <w:tcW w:w="340" w:type="dxa"/>
            <w:vAlign w:val="bottom"/>
          </w:tcPr>
          <w:p>
            <w:pPr>
              <w:spacing w:after="0"/>
              <w:rPr>
                <w:sz w:val="23"/>
                <w:szCs w:val="23"/>
                <w:color w:val="auto"/>
              </w:rPr>
            </w:pPr>
          </w:p>
        </w:tc>
        <w:tc>
          <w:tcPr>
            <w:tcW w:w="860" w:type="dxa"/>
            <w:vAlign w:val="bottom"/>
          </w:tcPr>
          <w:p>
            <w:pPr>
              <w:jc w:val="right"/>
              <w:ind w:right="24"/>
              <w:spacing w:after="0"/>
              <w:rPr>
                <w:sz w:val="20"/>
                <w:szCs w:val="20"/>
                <w:color w:val="auto"/>
              </w:rPr>
            </w:pPr>
            <w:r>
              <w:rPr>
                <w:rFonts w:ascii="Arial" w:cs="Arial" w:eastAsia="Arial" w:hAnsi="Arial"/>
                <w:sz w:val="15"/>
                <w:szCs w:val="15"/>
                <w:color w:val="auto"/>
              </w:rPr>
              <w:t>8,374</w:t>
            </w:r>
          </w:p>
        </w:tc>
        <w:tc>
          <w:tcPr>
            <w:tcW w:w="0" w:type="dxa"/>
            <w:vAlign w:val="bottom"/>
          </w:tcPr>
          <w:p>
            <w:pPr>
              <w:spacing w:after="0"/>
              <w:rPr>
                <w:sz w:val="1"/>
                <w:szCs w:val="1"/>
                <w:color w:val="auto"/>
              </w:rPr>
            </w:pPr>
          </w:p>
        </w:tc>
      </w:tr>
      <w:tr>
        <w:trPr>
          <w:trHeight w:val="270"/>
        </w:trPr>
        <w:tc>
          <w:tcPr>
            <w:tcW w:w="7780" w:type="dxa"/>
            <w:vAlign w:val="bottom"/>
          </w:tcPr>
          <w:p>
            <w:pPr>
              <w:ind w:left="280"/>
              <w:spacing w:after="0"/>
              <w:rPr>
                <w:sz w:val="20"/>
                <w:szCs w:val="20"/>
                <w:color w:val="auto"/>
              </w:rPr>
            </w:pPr>
            <w:r>
              <w:rPr>
                <w:rFonts w:ascii="Arial" w:cs="Arial" w:eastAsia="Arial" w:hAnsi="Arial"/>
                <w:sz w:val="15"/>
                <w:szCs w:val="15"/>
                <w:color w:val="auto"/>
              </w:rPr>
              <w:t>Stock-based compensation expense, net</w:t>
            </w:r>
          </w:p>
        </w:tc>
        <w:tc>
          <w:tcPr>
            <w:tcW w:w="260" w:type="dxa"/>
            <w:vAlign w:val="bottom"/>
          </w:tcPr>
          <w:p>
            <w:pPr>
              <w:spacing w:after="0"/>
              <w:rPr>
                <w:sz w:val="23"/>
                <w:szCs w:val="23"/>
                <w:color w:val="auto"/>
              </w:rPr>
            </w:pPr>
          </w:p>
        </w:tc>
        <w:tc>
          <w:tcPr>
            <w:tcW w:w="940" w:type="dxa"/>
            <w:vAlign w:val="bottom"/>
          </w:tcPr>
          <w:p>
            <w:pPr>
              <w:jc w:val="right"/>
              <w:ind w:right="84"/>
              <w:spacing w:after="0"/>
              <w:rPr>
                <w:sz w:val="20"/>
                <w:szCs w:val="20"/>
                <w:color w:val="auto"/>
              </w:rPr>
            </w:pPr>
            <w:r>
              <w:rPr>
                <w:rFonts w:ascii="Arial" w:cs="Arial" w:eastAsia="Arial" w:hAnsi="Arial"/>
                <w:sz w:val="15"/>
                <w:szCs w:val="15"/>
                <w:b w:val="1"/>
                <w:bCs w:val="1"/>
                <w:color w:val="auto"/>
              </w:rPr>
              <w:t>13,418</w:t>
            </w:r>
          </w:p>
        </w:tc>
        <w:tc>
          <w:tcPr>
            <w:tcW w:w="320" w:type="dxa"/>
            <w:vAlign w:val="bottom"/>
          </w:tcPr>
          <w:p>
            <w:pPr>
              <w:spacing w:after="0"/>
              <w:rPr>
                <w:sz w:val="23"/>
                <w:szCs w:val="23"/>
                <w:color w:val="auto"/>
              </w:rPr>
            </w:pPr>
          </w:p>
        </w:tc>
        <w:tc>
          <w:tcPr>
            <w:tcW w:w="920" w:type="dxa"/>
            <w:vAlign w:val="bottom"/>
          </w:tcPr>
          <w:p>
            <w:pPr>
              <w:jc w:val="right"/>
              <w:ind w:right="84"/>
              <w:spacing w:after="0"/>
              <w:rPr>
                <w:sz w:val="20"/>
                <w:szCs w:val="20"/>
                <w:color w:val="auto"/>
              </w:rPr>
            </w:pPr>
            <w:r>
              <w:rPr>
                <w:rFonts w:ascii="Arial" w:cs="Arial" w:eastAsia="Arial" w:hAnsi="Arial"/>
                <w:sz w:val="15"/>
                <w:szCs w:val="15"/>
                <w:color w:val="auto"/>
              </w:rPr>
              <w:t>48,033</w:t>
            </w:r>
          </w:p>
        </w:tc>
        <w:tc>
          <w:tcPr>
            <w:tcW w:w="340" w:type="dxa"/>
            <w:vAlign w:val="bottom"/>
          </w:tcPr>
          <w:p>
            <w:pPr>
              <w:spacing w:after="0"/>
              <w:rPr>
                <w:sz w:val="23"/>
                <w:szCs w:val="23"/>
                <w:color w:val="auto"/>
              </w:rPr>
            </w:pPr>
          </w:p>
        </w:tc>
        <w:tc>
          <w:tcPr>
            <w:tcW w:w="860" w:type="dxa"/>
            <w:vAlign w:val="bottom"/>
          </w:tcPr>
          <w:p>
            <w:pPr>
              <w:jc w:val="right"/>
              <w:ind w:right="24"/>
              <w:spacing w:after="0"/>
              <w:rPr>
                <w:sz w:val="20"/>
                <w:szCs w:val="20"/>
                <w:color w:val="auto"/>
              </w:rPr>
            </w:pPr>
            <w:r>
              <w:rPr>
                <w:rFonts w:ascii="Arial" w:cs="Arial" w:eastAsia="Arial" w:hAnsi="Arial"/>
                <w:sz w:val="15"/>
                <w:szCs w:val="15"/>
                <w:color w:val="auto"/>
              </w:rPr>
              <w:t>17,577</w:t>
            </w:r>
          </w:p>
        </w:tc>
        <w:tc>
          <w:tcPr>
            <w:tcW w:w="0" w:type="dxa"/>
            <w:vAlign w:val="bottom"/>
          </w:tcPr>
          <w:p>
            <w:pPr>
              <w:spacing w:after="0"/>
              <w:rPr>
                <w:sz w:val="1"/>
                <w:szCs w:val="1"/>
                <w:color w:val="auto"/>
              </w:rPr>
            </w:pPr>
          </w:p>
        </w:tc>
      </w:tr>
      <w:tr>
        <w:trPr>
          <w:trHeight w:val="270"/>
        </w:trPr>
        <w:tc>
          <w:tcPr>
            <w:tcW w:w="7780" w:type="dxa"/>
            <w:vAlign w:val="bottom"/>
          </w:tcPr>
          <w:p>
            <w:pPr>
              <w:ind w:left="280"/>
              <w:spacing w:after="0"/>
              <w:rPr>
                <w:sz w:val="20"/>
                <w:szCs w:val="20"/>
                <w:color w:val="auto"/>
              </w:rPr>
            </w:pPr>
            <w:r>
              <w:rPr>
                <w:rFonts w:ascii="Arial" w:cs="Arial" w:eastAsia="Arial" w:hAnsi="Arial"/>
                <w:sz w:val="15"/>
                <w:szCs w:val="15"/>
                <w:color w:val="auto"/>
              </w:rPr>
              <w:t>Foreign exchange loss</w:t>
            </w:r>
          </w:p>
        </w:tc>
        <w:tc>
          <w:tcPr>
            <w:tcW w:w="260" w:type="dxa"/>
            <w:vAlign w:val="bottom"/>
          </w:tcPr>
          <w:p>
            <w:pPr>
              <w:spacing w:after="0"/>
              <w:rPr>
                <w:sz w:val="23"/>
                <w:szCs w:val="23"/>
                <w:color w:val="auto"/>
              </w:rPr>
            </w:pPr>
          </w:p>
        </w:tc>
        <w:tc>
          <w:tcPr>
            <w:tcW w:w="940" w:type="dxa"/>
            <w:vAlign w:val="bottom"/>
          </w:tcPr>
          <w:p>
            <w:pPr>
              <w:jc w:val="right"/>
              <w:ind w:right="84"/>
              <w:spacing w:after="0"/>
              <w:rPr>
                <w:sz w:val="20"/>
                <w:szCs w:val="20"/>
                <w:color w:val="auto"/>
              </w:rPr>
            </w:pPr>
            <w:r>
              <w:rPr>
                <w:rFonts w:ascii="Arial" w:cs="Arial" w:eastAsia="Arial" w:hAnsi="Arial"/>
                <w:sz w:val="15"/>
                <w:szCs w:val="15"/>
                <w:b w:val="1"/>
                <w:bCs w:val="1"/>
                <w:color w:val="auto"/>
              </w:rPr>
              <w:t>39,890</w:t>
            </w:r>
          </w:p>
        </w:tc>
        <w:tc>
          <w:tcPr>
            <w:tcW w:w="320" w:type="dxa"/>
            <w:vAlign w:val="bottom"/>
          </w:tcPr>
          <w:p>
            <w:pPr>
              <w:spacing w:after="0"/>
              <w:rPr>
                <w:sz w:val="23"/>
                <w:szCs w:val="23"/>
                <w:color w:val="auto"/>
              </w:rPr>
            </w:pPr>
          </w:p>
        </w:tc>
        <w:tc>
          <w:tcPr>
            <w:tcW w:w="920" w:type="dxa"/>
            <w:vAlign w:val="bottom"/>
          </w:tcPr>
          <w:p>
            <w:pPr>
              <w:jc w:val="right"/>
              <w:ind w:right="84"/>
              <w:spacing w:after="0"/>
              <w:rPr>
                <w:sz w:val="20"/>
                <w:szCs w:val="20"/>
                <w:color w:val="auto"/>
              </w:rPr>
            </w:pPr>
            <w:r>
              <w:rPr>
                <w:rFonts w:ascii="Arial" w:cs="Arial" w:eastAsia="Arial" w:hAnsi="Arial"/>
                <w:sz w:val="15"/>
                <w:szCs w:val="15"/>
                <w:color w:val="auto"/>
              </w:rPr>
              <w:t>15,564</w:t>
            </w:r>
          </w:p>
        </w:tc>
        <w:tc>
          <w:tcPr>
            <w:tcW w:w="340" w:type="dxa"/>
            <w:vAlign w:val="bottom"/>
          </w:tcPr>
          <w:p>
            <w:pPr>
              <w:spacing w:after="0"/>
              <w:rPr>
                <w:sz w:val="23"/>
                <w:szCs w:val="23"/>
                <w:color w:val="auto"/>
              </w:rPr>
            </w:pPr>
          </w:p>
        </w:tc>
        <w:tc>
          <w:tcPr>
            <w:tcW w:w="860" w:type="dxa"/>
            <w:vAlign w:val="bottom"/>
          </w:tcPr>
          <w:p>
            <w:pPr>
              <w:jc w:val="right"/>
              <w:ind w:right="24"/>
              <w:spacing w:after="0"/>
              <w:rPr>
                <w:sz w:val="20"/>
                <w:szCs w:val="20"/>
                <w:color w:val="auto"/>
              </w:rPr>
            </w:pPr>
            <w:r>
              <w:rPr>
                <w:rFonts w:ascii="Arial" w:cs="Arial" w:eastAsia="Arial" w:hAnsi="Arial"/>
                <w:sz w:val="15"/>
                <w:szCs w:val="15"/>
                <w:color w:val="auto"/>
              </w:rPr>
              <w:t>11,129</w:t>
            </w:r>
          </w:p>
        </w:tc>
        <w:tc>
          <w:tcPr>
            <w:tcW w:w="0" w:type="dxa"/>
            <w:vAlign w:val="bottom"/>
          </w:tcPr>
          <w:p>
            <w:pPr>
              <w:spacing w:after="0"/>
              <w:rPr>
                <w:sz w:val="1"/>
                <w:szCs w:val="1"/>
                <w:color w:val="auto"/>
              </w:rPr>
            </w:pPr>
          </w:p>
        </w:tc>
      </w:tr>
      <w:tr>
        <w:trPr>
          <w:trHeight w:val="270"/>
        </w:trPr>
        <w:tc>
          <w:tcPr>
            <w:tcW w:w="7780" w:type="dxa"/>
            <w:vAlign w:val="bottom"/>
          </w:tcPr>
          <w:p>
            <w:pPr>
              <w:ind w:left="280"/>
              <w:spacing w:after="0"/>
              <w:rPr>
                <w:sz w:val="20"/>
                <w:szCs w:val="20"/>
                <w:color w:val="auto"/>
              </w:rPr>
            </w:pPr>
            <w:r>
              <w:rPr>
                <w:rFonts w:ascii="Arial" w:cs="Arial" w:eastAsia="Arial" w:hAnsi="Arial"/>
                <w:sz w:val="15"/>
                <w:szCs w:val="15"/>
                <w:color w:val="auto"/>
              </w:rPr>
              <w:t>Net (gain) loss on sales and disposition of businesses</w:t>
            </w:r>
          </w:p>
        </w:tc>
        <w:tc>
          <w:tcPr>
            <w:tcW w:w="260" w:type="dxa"/>
            <w:vAlign w:val="bottom"/>
          </w:tcPr>
          <w:p>
            <w:pPr>
              <w:spacing w:after="0"/>
              <w:rPr>
                <w:sz w:val="23"/>
                <w:szCs w:val="23"/>
                <w:color w:val="auto"/>
              </w:rPr>
            </w:pPr>
          </w:p>
        </w:tc>
        <w:tc>
          <w:tcPr>
            <w:tcW w:w="940" w:type="dxa"/>
            <w:vAlign w:val="bottom"/>
          </w:tcPr>
          <w:p>
            <w:pPr>
              <w:jc w:val="right"/>
              <w:ind w:right="24"/>
              <w:spacing w:after="0"/>
              <w:rPr>
                <w:sz w:val="20"/>
                <w:szCs w:val="20"/>
                <w:color w:val="auto"/>
              </w:rPr>
            </w:pPr>
            <w:r>
              <w:rPr>
                <w:rFonts w:ascii="Arial" w:cs="Arial" w:eastAsia="Arial" w:hAnsi="Arial"/>
                <w:sz w:val="15"/>
                <w:szCs w:val="15"/>
                <w:b w:val="1"/>
                <w:bCs w:val="1"/>
                <w:color w:val="auto"/>
              </w:rPr>
              <w:t>(22,163)</w:t>
            </w:r>
          </w:p>
        </w:tc>
        <w:tc>
          <w:tcPr>
            <w:tcW w:w="320" w:type="dxa"/>
            <w:vAlign w:val="bottom"/>
          </w:tcPr>
          <w:p>
            <w:pPr>
              <w:spacing w:after="0"/>
              <w:rPr>
                <w:sz w:val="23"/>
                <w:szCs w:val="23"/>
                <w:color w:val="auto"/>
              </w:rPr>
            </w:pPr>
          </w:p>
        </w:tc>
        <w:tc>
          <w:tcPr>
            <w:tcW w:w="920" w:type="dxa"/>
            <w:vAlign w:val="bottom"/>
          </w:tcPr>
          <w:p>
            <w:pPr>
              <w:jc w:val="right"/>
              <w:ind w:right="84"/>
              <w:spacing w:after="0"/>
              <w:rPr>
                <w:sz w:val="20"/>
                <w:szCs w:val="20"/>
                <w:color w:val="auto"/>
              </w:rPr>
            </w:pPr>
            <w:r>
              <w:rPr>
                <w:rFonts w:ascii="Arial" w:cs="Arial" w:eastAsia="Arial" w:hAnsi="Arial"/>
                <w:sz w:val="15"/>
                <w:szCs w:val="15"/>
                <w:color w:val="auto"/>
              </w:rPr>
              <w:t>18,095</w:t>
            </w:r>
          </w:p>
        </w:tc>
        <w:tc>
          <w:tcPr>
            <w:tcW w:w="3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(351,133)</w:t>
            </w:r>
          </w:p>
        </w:tc>
        <w:tc>
          <w:tcPr>
            <w:tcW w:w="0" w:type="dxa"/>
            <w:vAlign w:val="bottom"/>
          </w:tcPr>
          <w:p>
            <w:pPr>
              <w:spacing w:after="0"/>
              <w:rPr>
                <w:sz w:val="1"/>
                <w:szCs w:val="1"/>
                <w:color w:val="auto"/>
              </w:rPr>
            </w:pPr>
          </w:p>
        </w:tc>
      </w:tr>
      <w:tr>
        <w:trPr>
          <w:trHeight w:val="164"/>
        </w:trPr>
        <w:tc>
          <w:tcPr>
            <w:tcW w:w="7780" w:type="dxa"/>
            <w:vAlign w:val="bottom"/>
          </w:tcPr>
          <w:p>
            <w:pPr>
              <w:ind w:left="280"/>
              <w:spacing w:after="0" w:line="164" w:lineRule="exact"/>
              <w:rPr>
                <w:sz w:val="20"/>
                <w:szCs w:val="20"/>
                <w:color w:val="auto"/>
              </w:rPr>
            </w:pPr>
            <w:r>
              <w:rPr>
                <w:rFonts w:ascii="Arial" w:cs="Arial" w:eastAsia="Arial" w:hAnsi="Arial"/>
                <w:sz w:val="15"/>
                <w:szCs w:val="15"/>
                <w:color w:val="auto"/>
              </w:rPr>
              <w:t>Net loss (gain) on dispositions, sales or write-downs of marketable equity securities and cost method</w:t>
            </w:r>
          </w:p>
        </w:tc>
        <w:tc>
          <w:tcPr>
            <w:tcW w:w="260" w:type="dxa"/>
            <w:vAlign w:val="bottom"/>
          </w:tcPr>
          <w:p>
            <w:pPr>
              <w:spacing w:after="0"/>
              <w:rPr>
                <w:sz w:val="14"/>
                <w:szCs w:val="14"/>
                <w:color w:val="auto"/>
              </w:rPr>
            </w:pPr>
          </w:p>
        </w:tc>
        <w:tc>
          <w:tcPr>
            <w:tcW w:w="940" w:type="dxa"/>
            <w:vAlign w:val="bottom"/>
            <w:vMerge w:val="restart"/>
          </w:tcPr>
          <w:p>
            <w:pPr>
              <w:jc w:val="right"/>
              <w:ind w:right="84"/>
              <w:spacing w:after="0"/>
              <w:rPr>
                <w:sz w:val="20"/>
                <w:szCs w:val="20"/>
                <w:color w:val="auto"/>
              </w:rPr>
            </w:pPr>
            <w:r>
              <w:rPr>
                <w:rFonts w:ascii="Arial" w:cs="Arial" w:eastAsia="Arial" w:hAnsi="Arial"/>
                <w:sz w:val="15"/>
                <w:szCs w:val="15"/>
                <w:b w:val="1"/>
                <w:bCs w:val="1"/>
                <w:color w:val="auto"/>
              </w:rPr>
              <w:t>30,449</w:t>
            </w:r>
          </w:p>
        </w:tc>
        <w:tc>
          <w:tcPr>
            <w:tcW w:w="320" w:type="dxa"/>
            <w:vAlign w:val="bottom"/>
          </w:tcPr>
          <w:p>
            <w:pPr>
              <w:spacing w:after="0"/>
              <w:rPr>
                <w:sz w:val="14"/>
                <w:szCs w:val="14"/>
                <w:color w:val="auto"/>
              </w:rPr>
            </w:pPr>
          </w:p>
        </w:tc>
        <w:tc>
          <w:tcPr>
            <w:tcW w:w="920" w:type="dxa"/>
            <w:vAlign w:val="bottom"/>
            <w:vMerge w:val="restart"/>
          </w:tcPr>
          <w:p>
            <w:pPr>
              <w:jc w:val="right"/>
              <w:ind w:right="84"/>
              <w:spacing w:after="0"/>
              <w:rPr>
                <w:sz w:val="20"/>
                <w:szCs w:val="20"/>
                <w:color w:val="auto"/>
              </w:rPr>
            </w:pPr>
            <w:r>
              <w:rPr>
                <w:rFonts w:ascii="Arial" w:cs="Arial" w:eastAsia="Arial" w:hAnsi="Arial"/>
                <w:sz w:val="15"/>
                <w:szCs w:val="15"/>
                <w:color w:val="auto"/>
              </w:rPr>
              <w:t>1,378</w:t>
            </w:r>
          </w:p>
        </w:tc>
        <w:tc>
          <w:tcPr>
            <w:tcW w:w="34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5"/>
                <w:szCs w:val="15"/>
                <w:color w:val="auto"/>
              </w:rPr>
              <w:t>(263,595)</w:t>
            </w:r>
          </w:p>
        </w:tc>
        <w:tc>
          <w:tcPr>
            <w:tcW w:w="0" w:type="dxa"/>
            <w:vAlign w:val="bottom"/>
          </w:tcPr>
          <w:p>
            <w:pPr>
              <w:spacing w:after="0"/>
              <w:rPr>
                <w:sz w:val="1"/>
                <w:szCs w:val="1"/>
                <w:color w:val="auto"/>
              </w:rPr>
            </w:pPr>
          </w:p>
        </w:tc>
      </w:tr>
      <w:tr>
        <w:trPr>
          <w:trHeight w:val="214"/>
        </w:trPr>
        <w:tc>
          <w:tcPr>
            <w:tcW w:w="7780" w:type="dxa"/>
            <w:vAlign w:val="bottom"/>
          </w:tcPr>
          <w:p>
            <w:pPr>
              <w:ind w:left="440"/>
              <w:spacing w:after="0"/>
              <w:rPr>
                <w:sz w:val="20"/>
                <w:szCs w:val="20"/>
                <w:color w:val="auto"/>
              </w:rPr>
            </w:pPr>
            <w:r>
              <w:rPr>
                <w:rFonts w:ascii="Arial" w:cs="Arial" w:eastAsia="Arial" w:hAnsi="Arial"/>
                <w:sz w:val="15"/>
                <w:szCs w:val="15"/>
                <w:color w:val="auto"/>
              </w:rPr>
              <w:t>investments</w:t>
            </w:r>
          </w:p>
        </w:tc>
        <w:tc>
          <w:tcPr>
            <w:tcW w:w="26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7780" w:type="dxa"/>
            <w:vAlign w:val="bottom"/>
          </w:tcPr>
          <w:p>
            <w:pPr>
              <w:ind w:left="280"/>
              <w:spacing w:after="0"/>
              <w:rPr>
                <w:sz w:val="20"/>
                <w:szCs w:val="20"/>
                <w:color w:val="auto"/>
              </w:rPr>
            </w:pPr>
            <w:r>
              <w:rPr>
                <w:rFonts w:ascii="Arial" w:cs="Arial" w:eastAsia="Arial" w:hAnsi="Arial"/>
                <w:sz w:val="15"/>
                <w:szCs w:val="15"/>
                <w:color w:val="auto"/>
              </w:rPr>
              <w:t>Gain on sale of an equity affiliate</w:t>
            </w:r>
          </w:p>
        </w:tc>
        <w:tc>
          <w:tcPr>
            <w:tcW w:w="260" w:type="dxa"/>
            <w:vAlign w:val="bottom"/>
          </w:tcPr>
          <w:p>
            <w:pPr>
              <w:spacing w:after="0"/>
              <w:rPr>
                <w:sz w:val="23"/>
                <w:szCs w:val="23"/>
                <w:color w:val="auto"/>
              </w:rPr>
            </w:pPr>
          </w:p>
        </w:tc>
        <w:tc>
          <w:tcPr>
            <w:tcW w:w="940" w:type="dxa"/>
            <w:vAlign w:val="bottom"/>
          </w:tcPr>
          <w:p>
            <w:pPr>
              <w:jc w:val="right"/>
              <w:ind w:right="84"/>
              <w:spacing w:after="0"/>
              <w:rPr>
                <w:sz w:val="20"/>
                <w:szCs w:val="20"/>
                <w:color w:val="auto"/>
              </w:rPr>
            </w:pPr>
            <w:r>
              <w:rPr>
                <w:rFonts w:ascii="Arial" w:cs="Arial" w:eastAsia="Arial" w:hAnsi="Arial"/>
                <w:sz w:val="15"/>
                <w:szCs w:val="15"/>
                <w:b w:val="1"/>
                <w:bCs w:val="1"/>
                <w:color w:val="auto"/>
              </w:rPr>
              <w:t>—</w:t>
            </w:r>
          </w:p>
        </w:tc>
        <w:tc>
          <w:tcPr>
            <w:tcW w:w="320" w:type="dxa"/>
            <w:vAlign w:val="bottom"/>
          </w:tcPr>
          <w:p>
            <w:pPr>
              <w:spacing w:after="0"/>
              <w:rPr>
                <w:sz w:val="23"/>
                <w:szCs w:val="23"/>
                <w:color w:val="auto"/>
              </w:rPr>
            </w:pPr>
          </w:p>
        </w:tc>
        <w:tc>
          <w:tcPr>
            <w:tcW w:w="920" w:type="dxa"/>
            <w:vAlign w:val="bottom"/>
          </w:tcPr>
          <w:p>
            <w:pPr>
              <w:jc w:val="right"/>
              <w:ind w:right="24"/>
              <w:spacing w:after="0"/>
              <w:rPr>
                <w:sz w:val="20"/>
                <w:szCs w:val="20"/>
                <w:color w:val="auto"/>
              </w:rPr>
            </w:pPr>
            <w:r>
              <w:rPr>
                <w:rFonts w:ascii="Arial" w:cs="Arial" w:eastAsia="Arial" w:hAnsi="Arial"/>
                <w:sz w:val="15"/>
                <w:szCs w:val="15"/>
                <w:color w:val="auto"/>
              </w:rPr>
              <w:t>(4,827)</w:t>
            </w:r>
          </w:p>
        </w:tc>
        <w:tc>
          <w:tcPr>
            <w:tcW w:w="3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(396,553)</w:t>
            </w:r>
          </w:p>
        </w:tc>
        <w:tc>
          <w:tcPr>
            <w:tcW w:w="0" w:type="dxa"/>
            <w:vAlign w:val="bottom"/>
          </w:tcPr>
          <w:p>
            <w:pPr>
              <w:spacing w:after="0"/>
              <w:rPr>
                <w:sz w:val="1"/>
                <w:szCs w:val="1"/>
                <w:color w:val="auto"/>
              </w:rPr>
            </w:pPr>
          </w:p>
        </w:tc>
      </w:tr>
      <w:tr>
        <w:trPr>
          <w:trHeight w:val="270"/>
        </w:trPr>
        <w:tc>
          <w:tcPr>
            <w:tcW w:w="7780" w:type="dxa"/>
            <w:vAlign w:val="bottom"/>
          </w:tcPr>
          <w:p>
            <w:pPr>
              <w:ind w:left="280"/>
              <w:spacing w:after="0"/>
              <w:rPr>
                <w:sz w:val="20"/>
                <w:szCs w:val="20"/>
                <w:color w:val="auto"/>
              </w:rPr>
            </w:pPr>
            <w:r>
              <w:rPr>
                <w:rFonts w:ascii="Arial" w:cs="Arial" w:eastAsia="Arial" w:hAnsi="Arial"/>
                <w:sz w:val="15"/>
                <w:szCs w:val="15"/>
                <w:color w:val="auto"/>
              </w:rPr>
              <w:t>Equity in losses (earnings) of affiliates, net of distributions</w:t>
            </w:r>
          </w:p>
        </w:tc>
        <w:tc>
          <w:tcPr>
            <w:tcW w:w="260" w:type="dxa"/>
            <w:vAlign w:val="bottom"/>
          </w:tcPr>
          <w:p>
            <w:pPr>
              <w:spacing w:after="0"/>
              <w:rPr>
                <w:sz w:val="23"/>
                <w:szCs w:val="23"/>
                <w:color w:val="auto"/>
              </w:rPr>
            </w:pPr>
          </w:p>
        </w:tc>
        <w:tc>
          <w:tcPr>
            <w:tcW w:w="940" w:type="dxa"/>
            <w:vAlign w:val="bottom"/>
          </w:tcPr>
          <w:p>
            <w:pPr>
              <w:jc w:val="right"/>
              <w:ind w:right="84"/>
              <w:spacing w:after="0"/>
              <w:rPr>
                <w:sz w:val="20"/>
                <w:szCs w:val="20"/>
                <w:color w:val="auto"/>
              </w:rPr>
            </w:pPr>
            <w:r>
              <w:rPr>
                <w:rFonts w:ascii="Arial" w:cs="Arial" w:eastAsia="Arial" w:hAnsi="Arial"/>
                <w:sz w:val="15"/>
                <w:szCs w:val="15"/>
                <w:b w:val="1"/>
                <w:bCs w:val="1"/>
                <w:color w:val="auto"/>
              </w:rPr>
              <w:t>8,859</w:t>
            </w:r>
          </w:p>
        </w:tc>
        <w:tc>
          <w:tcPr>
            <w:tcW w:w="320" w:type="dxa"/>
            <w:vAlign w:val="bottom"/>
          </w:tcPr>
          <w:p>
            <w:pPr>
              <w:spacing w:after="0"/>
              <w:rPr>
                <w:sz w:val="23"/>
                <w:szCs w:val="23"/>
                <w:color w:val="auto"/>
              </w:rPr>
            </w:pPr>
          </w:p>
        </w:tc>
        <w:tc>
          <w:tcPr>
            <w:tcW w:w="920" w:type="dxa"/>
            <w:vAlign w:val="bottom"/>
          </w:tcPr>
          <w:p>
            <w:pPr>
              <w:jc w:val="right"/>
              <w:ind w:right="84"/>
              <w:spacing w:after="0"/>
              <w:rPr>
                <w:sz w:val="20"/>
                <w:szCs w:val="20"/>
                <w:color w:val="auto"/>
              </w:rPr>
            </w:pPr>
            <w:r>
              <w:rPr>
                <w:rFonts w:ascii="Arial" w:cs="Arial" w:eastAsia="Arial" w:hAnsi="Arial"/>
                <w:sz w:val="15"/>
                <w:szCs w:val="15"/>
                <w:color w:val="auto"/>
              </w:rPr>
              <w:t>1,118</w:t>
            </w:r>
          </w:p>
        </w:tc>
        <w:tc>
          <w:tcPr>
            <w:tcW w:w="3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(96,517)</w:t>
            </w:r>
          </w:p>
        </w:tc>
        <w:tc>
          <w:tcPr>
            <w:tcW w:w="0" w:type="dxa"/>
            <w:vAlign w:val="bottom"/>
          </w:tcPr>
          <w:p>
            <w:pPr>
              <w:spacing w:after="0"/>
              <w:rPr>
                <w:sz w:val="1"/>
                <w:szCs w:val="1"/>
                <w:color w:val="auto"/>
              </w:rPr>
            </w:pPr>
          </w:p>
        </w:tc>
      </w:tr>
      <w:tr>
        <w:trPr>
          <w:trHeight w:val="270"/>
        </w:trPr>
        <w:tc>
          <w:tcPr>
            <w:tcW w:w="7780" w:type="dxa"/>
            <w:vAlign w:val="bottom"/>
          </w:tcPr>
          <w:p>
            <w:pPr>
              <w:ind w:left="280"/>
              <w:spacing w:after="0"/>
              <w:rPr>
                <w:sz w:val="20"/>
                <w:szCs w:val="20"/>
                <w:color w:val="auto"/>
              </w:rPr>
            </w:pPr>
            <w:r>
              <w:rPr>
                <w:rFonts w:ascii="Arial" w:cs="Arial" w:eastAsia="Arial" w:hAnsi="Arial"/>
                <w:sz w:val="15"/>
                <w:szCs w:val="15"/>
                <w:color w:val="auto"/>
              </w:rPr>
              <w:t>Provision for deferred income taxes</w:t>
            </w:r>
          </w:p>
        </w:tc>
        <w:tc>
          <w:tcPr>
            <w:tcW w:w="260" w:type="dxa"/>
            <w:vAlign w:val="bottom"/>
          </w:tcPr>
          <w:p>
            <w:pPr>
              <w:spacing w:after="0"/>
              <w:rPr>
                <w:sz w:val="23"/>
                <w:szCs w:val="23"/>
                <w:color w:val="auto"/>
              </w:rPr>
            </w:pPr>
          </w:p>
        </w:tc>
        <w:tc>
          <w:tcPr>
            <w:tcW w:w="940" w:type="dxa"/>
            <w:vAlign w:val="bottom"/>
          </w:tcPr>
          <w:p>
            <w:pPr>
              <w:jc w:val="right"/>
              <w:ind w:right="84"/>
              <w:spacing w:after="0"/>
              <w:rPr>
                <w:sz w:val="20"/>
                <w:szCs w:val="20"/>
                <w:color w:val="auto"/>
              </w:rPr>
            </w:pPr>
            <w:r>
              <w:rPr>
                <w:rFonts w:ascii="Arial" w:cs="Arial" w:eastAsia="Arial" w:hAnsi="Arial"/>
                <w:sz w:val="15"/>
                <w:szCs w:val="15"/>
                <w:b w:val="1"/>
                <w:bCs w:val="1"/>
                <w:color w:val="auto"/>
              </w:rPr>
              <w:t>10,070</w:t>
            </w:r>
          </w:p>
        </w:tc>
        <w:tc>
          <w:tcPr>
            <w:tcW w:w="320" w:type="dxa"/>
            <w:vAlign w:val="bottom"/>
          </w:tcPr>
          <w:p>
            <w:pPr>
              <w:spacing w:after="0"/>
              <w:rPr>
                <w:sz w:val="23"/>
                <w:szCs w:val="23"/>
                <w:color w:val="auto"/>
              </w:rPr>
            </w:pPr>
          </w:p>
        </w:tc>
        <w:tc>
          <w:tcPr>
            <w:tcW w:w="920" w:type="dxa"/>
            <w:vAlign w:val="bottom"/>
          </w:tcPr>
          <w:p>
            <w:pPr>
              <w:jc w:val="right"/>
              <w:ind w:right="84"/>
              <w:spacing w:after="0"/>
              <w:rPr>
                <w:sz w:val="20"/>
                <w:szCs w:val="20"/>
                <w:color w:val="auto"/>
              </w:rPr>
            </w:pPr>
            <w:r>
              <w:rPr>
                <w:rFonts w:ascii="Arial" w:cs="Arial" w:eastAsia="Arial" w:hAnsi="Arial"/>
                <w:sz w:val="15"/>
                <w:szCs w:val="15"/>
                <w:color w:val="auto"/>
              </w:rPr>
              <w:t>4,060</w:t>
            </w:r>
          </w:p>
        </w:tc>
        <w:tc>
          <w:tcPr>
            <w:tcW w:w="340" w:type="dxa"/>
            <w:vAlign w:val="bottom"/>
          </w:tcPr>
          <w:p>
            <w:pPr>
              <w:spacing w:after="0"/>
              <w:rPr>
                <w:sz w:val="23"/>
                <w:szCs w:val="23"/>
                <w:color w:val="auto"/>
              </w:rPr>
            </w:pPr>
          </w:p>
        </w:tc>
        <w:tc>
          <w:tcPr>
            <w:tcW w:w="860" w:type="dxa"/>
            <w:vAlign w:val="bottom"/>
          </w:tcPr>
          <w:p>
            <w:pPr>
              <w:jc w:val="right"/>
              <w:ind w:right="24"/>
              <w:spacing w:after="0"/>
              <w:rPr>
                <w:sz w:val="20"/>
                <w:szCs w:val="20"/>
                <w:color w:val="auto"/>
              </w:rPr>
            </w:pPr>
            <w:r>
              <w:rPr>
                <w:rFonts w:ascii="Arial" w:cs="Arial" w:eastAsia="Arial" w:hAnsi="Arial"/>
                <w:sz w:val="15"/>
                <w:szCs w:val="15"/>
                <w:color w:val="auto"/>
              </w:rPr>
              <w:t>49,143</w:t>
            </w:r>
          </w:p>
        </w:tc>
        <w:tc>
          <w:tcPr>
            <w:tcW w:w="0" w:type="dxa"/>
            <w:vAlign w:val="bottom"/>
          </w:tcPr>
          <w:p>
            <w:pPr>
              <w:spacing w:after="0"/>
              <w:rPr>
                <w:sz w:val="1"/>
                <w:szCs w:val="1"/>
                <w:color w:val="auto"/>
              </w:rPr>
            </w:pPr>
          </w:p>
        </w:tc>
      </w:tr>
      <w:tr>
        <w:trPr>
          <w:trHeight w:val="270"/>
        </w:trPr>
        <w:tc>
          <w:tcPr>
            <w:tcW w:w="7780" w:type="dxa"/>
            <w:vAlign w:val="bottom"/>
          </w:tcPr>
          <w:p>
            <w:pPr>
              <w:ind w:left="280"/>
              <w:spacing w:after="0"/>
              <w:rPr>
                <w:sz w:val="20"/>
                <w:szCs w:val="20"/>
                <w:color w:val="auto"/>
              </w:rPr>
            </w:pPr>
            <w:r>
              <w:rPr>
                <w:rFonts w:ascii="Arial" w:cs="Arial" w:eastAsia="Arial" w:hAnsi="Arial"/>
                <w:sz w:val="15"/>
                <w:szCs w:val="15"/>
                <w:color w:val="auto"/>
              </w:rPr>
              <w:t>Net (gain) loss on sales or write-downs of property, plant and equipment</w:t>
            </w:r>
          </w:p>
        </w:tc>
        <w:tc>
          <w:tcPr>
            <w:tcW w:w="260" w:type="dxa"/>
            <w:vAlign w:val="bottom"/>
          </w:tcPr>
          <w:p>
            <w:pPr>
              <w:spacing w:after="0"/>
              <w:rPr>
                <w:sz w:val="23"/>
                <w:szCs w:val="23"/>
                <w:color w:val="auto"/>
              </w:rPr>
            </w:pPr>
          </w:p>
        </w:tc>
        <w:tc>
          <w:tcPr>
            <w:tcW w:w="940" w:type="dxa"/>
            <w:vAlign w:val="bottom"/>
          </w:tcPr>
          <w:p>
            <w:pPr>
              <w:jc w:val="right"/>
              <w:ind w:right="24"/>
              <w:spacing w:after="0"/>
              <w:rPr>
                <w:sz w:val="20"/>
                <w:szCs w:val="20"/>
                <w:color w:val="auto"/>
              </w:rPr>
            </w:pPr>
            <w:r>
              <w:rPr>
                <w:rFonts w:ascii="Arial" w:cs="Arial" w:eastAsia="Arial" w:hAnsi="Arial"/>
                <w:sz w:val="15"/>
                <w:szCs w:val="15"/>
                <w:b w:val="1"/>
                <w:bCs w:val="1"/>
                <w:color w:val="auto"/>
              </w:rPr>
              <w:t>(32,362)</w:t>
            </w:r>
          </w:p>
        </w:tc>
        <w:tc>
          <w:tcPr>
            <w:tcW w:w="320" w:type="dxa"/>
            <w:vAlign w:val="bottom"/>
          </w:tcPr>
          <w:p>
            <w:pPr>
              <w:spacing w:after="0"/>
              <w:rPr>
                <w:sz w:val="23"/>
                <w:szCs w:val="23"/>
                <w:color w:val="auto"/>
              </w:rPr>
            </w:pPr>
          </w:p>
        </w:tc>
        <w:tc>
          <w:tcPr>
            <w:tcW w:w="920" w:type="dxa"/>
            <w:vAlign w:val="bottom"/>
          </w:tcPr>
          <w:p>
            <w:pPr>
              <w:jc w:val="right"/>
              <w:ind w:right="24"/>
              <w:spacing w:after="0"/>
              <w:rPr>
                <w:sz w:val="20"/>
                <w:szCs w:val="20"/>
                <w:color w:val="auto"/>
              </w:rPr>
            </w:pPr>
            <w:r>
              <w:rPr>
                <w:rFonts w:ascii="Arial" w:cs="Arial" w:eastAsia="Arial" w:hAnsi="Arial"/>
                <w:sz w:val="15"/>
                <w:szCs w:val="15"/>
                <w:color w:val="auto"/>
              </w:rPr>
              <w:t>(18,265)</w:t>
            </w:r>
          </w:p>
        </w:tc>
        <w:tc>
          <w:tcPr>
            <w:tcW w:w="3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(119,399)</w:t>
            </w:r>
          </w:p>
        </w:tc>
        <w:tc>
          <w:tcPr>
            <w:tcW w:w="0" w:type="dxa"/>
            <w:vAlign w:val="bottom"/>
          </w:tcPr>
          <w:p>
            <w:pPr>
              <w:spacing w:after="0"/>
              <w:rPr>
                <w:sz w:val="1"/>
                <w:szCs w:val="1"/>
                <w:color w:val="auto"/>
              </w:rPr>
            </w:pPr>
          </w:p>
        </w:tc>
      </w:tr>
      <w:tr>
        <w:trPr>
          <w:trHeight w:val="270"/>
        </w:trPr>
        <w:tc>
          <w:tcPr>
            <w:tcW w:w="7780" w:type="dxa"/>
            <w:vAlign w:val="bottom"/>
          </w:tcPr>
          <w:p>
            <w:pPr>
              <w:ind w:left="280"/>
              <w:spacing w:after="0"/>
              <w:rPr>
                <w:sz w:val="20"/>
                <w:szCs w:val="20"/>
                <w:color w:val="auto"/>
              </w:rPr>
            </w:pPr>
            <w:r>
              <w:rPr>
                <w:rFonts w:ascii="Arial" w:cs="Arial" w:eastAsia="Arial" w:hAnsi="Arial"/>
                <w:sz w:val="15"/>
                <w:szCs w:val="15"/>
                <w:color w:val="auto"/>
              </w:rPr>
              <w:t>Net gain on sale of intangible assets</w:t>
            </w:r>
          </w:p>
        </w:tc>
        <w:tc>
          <w:tcPr>
            <w:tcW w:w="260" w:type="dxa"/>
            <w:vAlign w:val="bottom"/>
          </w:tcPr>
          <w:p>
            <w:pPr>
              <w:spacing w:after="0"/>
              <w:rPr>
                <w:sz w:val="23"/>
                <w:szCs w:val="23"/>
                <w:color w:val="auto"/>
              </w:rPr>
            </w:pPr>
          </w:p>
        </w:tc>
        <w:tc>
          <w:tcPr>
            <w:tcW w:w="940" w:type="dxa"/>
            <w:vAlign w:val="bottom"/>
          </w:tcPr>
          <w:p>
            <w:pPr>
              <w:jc w:val="right"/>
              <w:ind w:right="84"/>
              <w:spacing w:after="0"/>
              <w:rPr>
                <w:sz w:val="20"/>
                <w:szCs w:val="20"/>
                <w:color w:val="auto"/>
              </w:rPr>
            </w:pPr>
            <w:r>
              <w:rPr>
                <w:rFonts w:ascii="Arial" w:cs="Arial" w:eastAsia="Arial" w:hAnsi="Arial"/>
                <w:sz w:val="15"/>
                <w:szCs w:val="15"/>
                <w:b w:val="1"/>
                <w:bCs w:val="1"/>
                <w:color w:val="auto"/>
              </w:rPr>
              <w:t>—</w:t>
            </w:r>
          </w:p>
        </w:tc>
        <w:tc>
          <w:tcPr>
            <w:tcW w:w="320" w:type="dxa"/>
            <w:vAlign w:val="bottom"/>
          </w:tcPr>
          <w:p>
            <w:pPr>
              <w:spacing w:after="0"/>
              <w:rPr>
                <w:sz w:val="23"/>
                <w:szCs w:val="23"/>
                <w:color w:val="auto"/>
              </w:rPr>
            </w:pPr>
          </w:p>
        </w:tc>
        <w:tc>
          <w:tcPr>
            <w:tcW w:w="920" w:type="dxa"/>
            <w:vAlign w:val="bottom"/>
          </w:tcPr>
          <w:p>
            <w:pPr>
              <w:jc w:val="right"/>
              <w:ind w:right="84"/>
              <w:spacing w:after="0"/>
              <w:rPr>
                <w:sz w:val="20"/>
                <w:szCs w:val="20"/>
                <w:color w:val="auto"/>
              </w:rPr>
            </w:pPr>
            <w:r>
              <w:rPr>
                <w:rFonts w:ascii="Arial" w:cs="Arial" w:eastAsia="Arial" w:hAnsi="Arial"/>
                <w:sz w:val="15"/>
                <w:szCs w:val="15"/>
                <w:color w:val="auto"/>
              </w:rPr>
              <w:t>—</w:t>
            </w:r>
          </w:p>
        </w:tc>
        <w:tc>
          <w:tcPr>
            <w:tcW w:w="3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(75,249)</w:t>
            </w:r>
          </w:p>
        </w:tc>
        <w:tc>
          <w:tcPr>
            <w:tcW w:w="0" w:type="dxa"/>
            <w:vAlign w:val="bottom"/>
          </w:tcPr>
          <w:p>
            <w:pPr>
              <w:spacing w:after="0"/>
              <w:rPr>
                <w:sz w:val="1"/>
                <w:szCs w:val="1"/>
                <w:color w:val="auto"/>
              </w:rPr>
            </w:pPr>
          </w:p>
        </w:tc>
      </w:tr>
      <w:tr>
        <w:trPr>
          <w:trHeight w:val="262"/>
        </w:trPr>
        <w:tc>
          <w:tcPr>
            <w:tcW w:w="7780" w:type="dxa"/>
            <w:vAlign w:val="bottom"/>
          </w:tcPr>
          <w:p>
            <w:pPr>
              <w:ind w:left="280"/>
              <w:spacing w:after="0"/>
              <w:rPr>
                <w:sz w:val="20"/>
                <w:szCs w:val="20"/>
                <w:color w:val="auto"/>
              </w:rPr>
            </w:pPr>
            <w:r>
              <w:rPr>
                <w:rFonts w:ascii="Arial" w:cs="Arial" w:eastAsia="Arial" w:hAnsi="Arial"/>
                <w:sz w:val="15"/>
                <w:szCs w:val="15"/>
                <w:color w:val="auto"/>
              </w:rPr>
              <w:t>Change in operating assets and liabilities:</w:t>
            </w:r>
          </w:p>
        </w:tc>
        <w:tc>
          <w:tcPr>
            <w:tcW w:w="2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8"/>
        </w:trPr>
        <w:tc>
          <w:tcPr>
            <w:tcW w:w="7780" w:type="dxa"/>
            <w:vAlign w:val="bottom"/>
          </w:tcPr>
          <w:p>
            <w:pPr>
              <w:ind w:left="500"/>
              <w:spacing w:after="0"/>
              <w:rPr>
                <w:sz w:val="20"/>
                <w:szCs w:val="20"/>
                <w:color w:val="auto"/>
              </w:rPr>
            </w:pPr>
            <w:r>
              <w:rPr>
                <w:rFonts w:ascii="Arial" w:cs="Arial" w:eastAsia="Arial" w:hAnsi="Arial"/>
                <w:sz w:val="15"/>
                <w:szCs w:val="15"/>
                <w:color w:val="auto"/>
              </w:rPr>
              <w:t>Accounts receivable, net</w:t>
            </w:r>
          </w:p>
        </w:tc>
        <w:tc>
          <w:tcPr>
            <w:tcW w:w="260" w:type="dxa"/>
            <w:vAlign w:val="bottom"/>
          </w:tcPr>
          <w:p>
            <w:pPr>
              <w:spacing w:after="0"/>
              <w:rPr>
                <w:sz w:val="24"/>
                <w:szCs w:val="24"/>
                <w:color w:val="auto"/>
              </w:rPr>
            </w:pPr>
          </w:p>
        </w:tc>
        <w:tc>
          <w:tcPr>
            <w:tcW w:w="940" w:type="dxa"/>
            <w:vAlign w:val="bottom"/>
          </w:tcPr>
          <w:p>
            <w:pPr>
              <w:jc w:val="right"/>
              <w:ind w:right="24"/>
              <w:spacing w:after="0"/>
              <w:rPr>
                <w:sz w:val="20"/>
                <w:szCs w:val="20"/>
                <w:color w:val="auto"/>
              </w:rPr>
            </w:pPr>
            <w:r>
              <w:rPr>
                <w:rFonts w:ascii="Arial" w:cs="Arial" w:eastAsia="Arial" w:hAnsi="Arial"/>
                <w:sz w:val="15"/>
                <w:szCs w:val="15"/>
                <w:b w:val="1"/>
                <w:bCs w:val="1"/>
                <w:color w:val="auto"/>
              </w:rPr>
              <w:t>(47,892)</w:t>
            </w:r>
          </w:p>
        </w:tc>
        <w:tc>
          <w:tcPr>
            <w:tcW w:w="320" w:type="dxa"/>
            <w:vAlign w:val="bottom"/>
          </w:tcPr>
          <w:p>
            <w:pPr>
              <w:spacing w:after="0"/>
              <w:rPr>
                <w:sz w:val="24"/>
                <w:szCs w:val="24"/>
                <w:color w:val="auto"/>
              </w:rPr>
            </w:pPr>
          </w:p>
        </w:tc>
        <w:tc>
          <w:tcPr>
            <w:tcW w:w="920" w:type="dxa"/>
            <w:vAlign w:val="bottom"/>
          </w:tcPr>
          <w:p>
            <w:pPr>
              <w:jc w:val="right"/>
              <w:ind w:right="24"/>
              <w:spacing w:after="0"/>
              <w:rPr>
                <w:sz w:val="20"/>
                <w:szCs w:val="20"/>
                <w:color w:val="auto"/>
              </w:rPr>
            </w:pPr>
            <w:r>
              <w:rPr>
                <w:rFonts w:ascii="Arial" w:cs="Arial" w:eastAsia="Arial" w:hAnsi="Arial"/>
                <w:sz w:val="15"/>
                <w:szCs w:val="15"/>
                <w:color w:val="auto"/>
              </w:rPr>
              <w:t>(87,165)</w:t>
            </w:r>
          </w:p>
        </w:tc>
        <w:tc>
          <w:tcPr>
            <w:tcW w:w="3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(96,844)</w:t>
            </w:r>
          </w:p>
        </w:tc>
        <w:tc>
          <w:tcPr>
            <w:tcW w:w="0" w:type="dxa"/>
            <w:vAlign w:val="bottom"/>
          </w:tcPr>
          <w:p>
            <w:pPr>
              <w:spacing w:after="0"/>
              <w:rPr>
                <w:sz w:val="1"/>
                <w:szCs w:val="1"/>
                <w:color w:val="auto"/>
              </w:rPr>
            </w:pPr>
          </w:p>
        </w:tc>
      </w:tr>
      <w:tr>
        <w:trPr>
          <w:trHeight w:val="270"/>
        </w:trPr>
        <w:tc>
          <w:tcPr>
            <w:tcW w:w="7780" w:type="dxa"/>
            <w:vAlign w:val="bottom"/>
          </w:tcPr>
          <w:p>
            <w:pPr>
              <w:ind w:left="500"/>
              <w:spacing w:after="0"/>
              <w:rPr>
                <w:sz w:val="20"/>
                <w:szCs w:val="20"/>
                <w:color w:val="auto"/>
              </w:rPr>
            </w:pPr>
            <w:r>
              <w:rPr>
                <w:rFonts w:ascii="Arial" w:cs="Arial" w:eastAsia="Arial" w:hAnsi="Arial"/>
                <w:sz w:val="15"/>
                <w:szCs w:val="15"/>
                <w:color w:val="auto"/>
              </w:rPr>
              <w:t>Inventories</w:t>
            </w:r>
          </w:p>
        </w:tc>
        <w:tc>
          <w:tcPr>
            <w:tcW w:w="260" w:type="dxa"/>
            <w:vAlign w:val="bottom"/>
          </w:tcPr>
          <w:p>
            <w:pPr>
              <w:spacing w:after="0"/>
              <w:rPr>
                <w:sz w:val="23"/>
                <w:szCs w:val="23"/>
                <w:color w:val="auto"/>
              </w:rPr>
            </w:pPr>
          </w:p>
        </w:tc>
        <w:tc>
          <w:tcPr>
            <w:tcW w:w="940" w:type="dxa"/>
            <w:vAlign w:val="bottom"/>
          </w:tcPr>
          <w:p>
            <w:pPr>
              <w:jc w:val="right"/>
              <w:ind w:right="24"/>
              <w:spacing w:after="0"/>
              <w:rPr>
                <w:sz w:val="20"/>
                <w:szCs w:val="20"/>
                <w:color w:val="auto"/>
              </w:rPr>
            </w:pPr>
            <w:r>
              <w:rPr>
                <w:rFonts w:ascii="Arial" w:cs="Arial" w:eastAsia="Arial" w:hAnsi="Arial"/>
                <w:sz w:val="15"/>
                <w:szCs w:val="15"/>
                <w:b w:val="1"/>
                <w:bCs w:val="1"/>
                <w:color w:val="auto"/>
              </w:rPr>
              <w:t>(2,422)</w:t>
            </w:r>
          </w:p>
        </w:tc>
        <w:tc>
          <w:tcPr>
            <w:tcW w:w="320" w:type="dxa"/>
            <w:vAlign w:val="bottom"/>
          </w:tcPr>
          <w:p>
            <w:pPr>
              <w:spacing w:after="0"/>
              <w:rPr>
                <w:sz w:val="23"/>
                <w:szCs w:val="23"/>
                <w:color w:val="auto"/>
              </w:rPr>
            </w:pPr>
          </w:p>
        </w:tc>
        <w:tc>
          <w:tcPr>
            <w:tcW w:w="920" w:type="dxa"/>
            <w:vAlign w:val="bottom"/>
          </w:tcPr>
          <w:p>
            <w:pPr>
              <w:jc w:val="right"/>
              <w:ind w:right="24"/>
              <w:spacing w:after="0"/>
              <w:rPr>
                <w:sz w:val="20"/>
                <w:szCs w:val="20"/>
                <w:color w:val="auto"/>
              </w:rPr>
            </w:pPr>
            <w:r>
              <w:rPr>
                <w:rFonts w:ascii="Arial" w:cs="Arial" w:eastAsia="Arial" w:hAnsi="Arial"/>
                <w:sz w:val="15"/>
                <w:szCs w:val="15"/>
                <w:color w:val="auto"/>
              </w:rPr>
              <w:t>(1,778)</w:t>
            </w:r>
          </w:p>
        </w:tc>
        <w:tc>
          <w:tcPr>
            <w:tcW w:w="3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(2,413)</w:t>
            </w:r>
          </w:p>
        </w:tc>
        <w:tc>
          <w:tcPr>
            <w:tcW w:w="0" w:type="dxa"/>
            <w:vAlign w:val="bottom"/>
          </w:tcPr>
          <w:p>
            <w:pPr>
              <w:spacing w:after="0"/>
              <w:rPr>
                <w:sz w:val="1"/>
                <w:szCs w:val="1"/>
                <w:color w:val="auto"/>
              </w:rPr>
            </w:pPr>
          </w:p>
        </w:tc>
      </w:tr>
      <w:tr>
        <w:trPr>
          <w:trHeight w:val="270"/>
        </w:trPr>
        <w:tc>
          <w:tcPr>
            <w:tcW w:w="7780" w:type="dxa"/>
            <w:vAlign w:val="bottom"/>
          </w:tcPr>
          <w:p>
            <w:pPr>
              <w:ind w:left="500"/>
              <w:spacing w:after="0"/>
              <w:rPr>
                <w:sz w:val="20"/>
                <w:szCs w:val="20"/>
                <w:color w:val="auto"/>
              </w:rPr>
            </w:pPr>
            <w:r>
              <w:rPr>
                <w:rFonts w:ascii="Arial" w:cs="Arial" w:eastAsia="Arial" w:hAnsi="Arial"/>
                <w:sz w:val="15"/>
                <w:szCs w:val="15"/>
                <w:color w:val="auto"/>
              </w:rPr>
              <w:t>Accounts payable and accrued liabilities</w:t>
            </w:r>
          </w:p>
        </w:tc>
        <w:tc>
          <w:tcPr>
            <w:tcW w:w="260" w:type="dxa"/>
            <w:vAlign w:val="bottom"/>
          </w:tcPr>
          <w:p>
            <w:pPr>
              <w:spacing w:after="0"/>
              <w:rPr>
                <w:sz w:val="23"/>
                <w:szCs w:val="23"/>
                <w:color w:val="auto"/>
              </w:rPr>
            </w:pPr>
          </w:p>
        </w:tc>
        <w:tc>
          <w:tcPr>
            <w:tcW w:w="940" w:type="dxa"/>
            <w:vAlign w:val="bottom"/>
          </w:tcPr>
          <w:p>
            <w:pPr>
              <w:jc w:val="right"/>
              <w:ind w:right="84"/>
              <w:spacing w:after="0"/>
              <w:rPr>
                <w:sz w:val="20"/>
                <w:szCs w:val="20"/>
                <w:color w:val="auto"/>
              </w:rPr>
            </w:pPr>
            <w:r>
              <w:rPr>
                <w:rFonts w:ascii="Arial" w:cs="Arial" w:eastAsia="Arial" w:hAnsi="Arial"/>
                <w:sz w:val="15"/>
                <w:szCs w:val="15"/>
                <w:b w:val="1"/>
                <w:bCs w:val="1"/>
                <w:color w:val="auto"/>
              </w:rPr>
              <w:t>58,147</w:t>
            </w:r>
          </w:p>
        </w:tc>
        <w:tc>
          <w:tcPr>
            <w:tcW w:w="320" w:type="dxa"/>
            <w:vAlign w:val="bottom"/>
          </w:tcPr>
          <w:p>
            <w:pPr>
              <w:spacing w:after="0"/>
              <w:rPr>
                <w:sz w:val="23"/>
                <w:szCs w:val="23"/>
                <w:color w:val="auto"/>
              </w:rPr>
            </w:pPr>
          </w:p>
        </w:tc>
        <w:tc>
          <w:tcPr>
            <w:tcW w:w="920" w:type="dxa"/>
            <w:vAlign w:val="bottom"/>
          </w:tcPr>
          <w:p>
            <w:pPr>
              <w:jc w:val="right"/>
              <w:ind w:right="84"/>
              <w:spacing w:after="0"/>
              <w:rPr>
                <w:sz w:val="20"/>
                <w:szCs w:val="20"/>
                <w:color w:val="auto"/>
              </w:rPr>
            </w:pPr>
            <w:r>
              <w:rPr>
                <w:rFonts w:ascii="Arial" w:cs="Arial" w:eastAsia="Arial" w:hAnsi="Arial"/>
                <w:sz w:val="15"/>
                <w:szCs w:val="15"/>
                <w:color w:val="auto"/>
              </w:rPr>
              <w:t>62,901</w:t>
            </w:r>
          </w:p>
        </w:tc>
        <w:tc>
          <w:tcPr>
            <w:tcW w:w="3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(39,199)</w:t>
            </w:r>
          </w:p>
        </w:tc>
        <w:tc>
          <w:tcPr>
            <w:tcW w:w="0" w:type="dxa"/>
            <w:vAlign w:val="bottom"/>
          </w:tcPr>
          <w:p>
            <w:pPr>
              <w:spacing w:after="0"/>
              <w:rPr>
                <w:sz w:val="1"/>
                <w:szCs w:val="1"/>
                <w:color w:val="auto"/>
              </w:rPr>
            </w:pPr>
          </w:p>
        </w:tc>
      </w:tr>
      <w:tr>
        <w:trPr>
          <w:trHeight w:val="270"/>
        </w:trPr>
        <w:tc>
          <w:tcPr>
            <w:tcW w:w="7780" w:type="dxa"/>
            <w:vAlign w:val="bottom"/>
          </w:tcPr>
          <w:p>
            <w:pPr>
              <w:ind w:left="500"/>
              <w:spacing w:after="0"/>
              <w:rPr>
                <w:sz w:val="20"/>
                <w:szCs w:val="20"/>
                <w:color w:val="auto"/>
              </w:rPr>
            </w:pPr>
            <w:r>
              <w:rPr>
                <w:rFonts w:ascii="Arial" w:cs="Arial" w:eastAsia="Arial" w:hAnsi="Arial"/>
                <w:sz w:val="15"/>
                <w:szCs w:val="15"/>
                <w:color w:val="auto"/>
              </w:rPr>
              <w:t>Deferred revenue</w:t>
            </w:r>
          </w:p>
        </w:tc>
        <w:tc>
          <w:tcPr>
            <w:tcW w:w="260" w:type="dxa"/>
            <w:vAlign w:val="bottom"/>
          </w:tcPr>
          <w:p>
            <w:pPr>
              <w:spacing w:after="0"/>
              <w:rPr>
                <w:sz w:val="23"/>
                <w:szCs w:val="23"/>
                <w:color w:val="auto"/>
              </w:rPr>
            </w:pPr>
          </w:p>
        </w:tc>
        <w:tc>
          <w:tcPr>
            <w:tcW w:w="940" w:type="dxa"/>
            <w:vAlign w:val="bottom"/>
          </w:tcPr>
          <w:p>
            <w:pPr>
              <w:jc w:val="right"/>
              <w:ind w:right="84"/>
              <w:spacing w:after="0"/>
              <w:rPr>
                <w:sz w:val="20"/>
                <w:szCs w:val="20"/>
                <w:color w:val="auto"/>
              </w:rPr>
            </w:pPr>
            <w:r>
              <w:rPr>
                <w:rFonts w:ascii="Arial" w:cs="Arial" w:eastAsia="Arial" w:hAnsi="Arial"/>
                <w:sz w:val="15"/>
                <w:szCs w:val="15"/>
                <w:b w:val="1"/>
                <w:bCs w:val="1"/>
                <w:color w:val="auto"/>
              </w:rPr>
              <w:t>16,552</w:t>
            </w:r>
          </w:p>
        </w:tc>
        <w:tc>
          <w:tcPr>
            <w:tcW w:w="320" w:type="dxa"/>
            <w:vAlign w:val="bottom"/>
          </w:tcPr>
          <w:p>
            <w:pPr>
              <w:spacing w:after="0"/>
              <w:rPr>
                <w:sz w:val="23"/>
                <w:szCs w:val="23"/>
                <w:color w:val="auto"/>
              </w:rPr>
            </w:pPr>
          </w:p>
        </w:tc>
        <w:tc>
          <w:tcPr>
            <w:tcW w:w="920" w:type="dxa"/>
            <w:vAlign w:val="bottom"/>
          </w:tcPr>
          <w:p>
            <w:pPr>
              <w:jc w:val="right"/>
              <w:ind w:right="24"/>
              <w:spacing w:after="0"/>
              <w:rPr>
                <w:sz w:val="20"/>
                <w:szCs w:val="20"/>
                <w:color w:val="auto"/>
              </w:rPr>
            </w:pPr>
            <w:r>
              <w:rPr>
                <w:rFonts w:ascii="Arial" w:cs="Arial" w:eastAsia="Arial" w:hAnsi="Arial"/>
                <w:sz w:val="15"/>
                <w:szCs w:val="15"/>
                <w:color w:val="auto"/>
              </w:rPr>
              <w:t>(51,825)</w:t>
            </w:r>
          </w:p>
        </w:tc>
        <w:tc>
          <w:tcPr>
            <w:tcW w:w="340" w:type="dxa"/>
            <w:vAlign w:val="bottom"/>
          </w:tcPr>
          <w:p>
            <w:pPr>
              <w:spacing w:after="0"/>
              <w:rPr>
                <w:sz w:val="23"/>
                <w:szCs w:val="23"/>
                <w:color w:val="auto"/>
              </w:rPr>
            </w:pPr>
          </w:p>
        </w:tc>
        <w:tc>
          <w:tcPr>
            <w:tcW w:w="860" w:type="dxa"/>
            <w:vAlign w:val="bottom"/>
          </w:tcPr>
          <w:p>
            <w:pPr>
              <w:jc w:val="right"/>
              <w:ind w:right="24"/>
              <w:spacing w:after="0"/>
              <w:rPr>
                <w:sz w:val="20"/>
                <w:szCs w:val="20"/>
                <w:color w:val="auto"/>
              </w:rPr>
            </w:pPr>
            <w:r>
              <w:rPr>
                <w:rFonts w:ascii="Arial" w:cs="Arial" w:eastAsia="Arial" w:hAnsi="Arial"/>
                <w:sz w:val="15"/>
                <w:szCs w:val="15"/>
                <w:color w:val="auto"/>
              </w:rPr>
              <w:t>37,291</w:t>
            </w:r>
          </w:p>
        </w:tc>
        <w:tc>
          <w:tcPr>
            <w:tcW w:w="0" w:type="dxa"/>
            <w:vAlign w:val="bottom"/>
          </w:tcPr>
          <w:p>
            <w:pPr>
              <w:spacing w:after="0"/>
              <w:rPr>
                <w:sz w:val="1"/>
                <w:szCs w:val="1"/>
                <w:color w:val="auto"/>
              </w:rPr>
            </w:pPr>
          </w:p>
        </w:tc>
      </w:tr>
      <w:tr>
        <w:trPr>
          <w:trHeight w:val="270"/>
        </w:trPr>
        <w:tc>
          <w:tcPr>
            <w:tcW w:w="7780" w:type="dxa"/>
            <w:vAlign w:val="bottom"/>
          </w:tcPr>
          <w:p>
            <w:pPr>
              <w:ind w:left="500"/>
              <w:spacing w:after="0"/>
              <w:rPr>
                <w:sz w:val="20"/>
                <w:szCs w:val="20"/>
                <w:color w:val="auto"/>
              </w:rPr>
            </w:pPr>
            <w:r>
              <w:rPr>
                <w:rFonts w:ascii="Arial" w:cs="Arial" w:eastAsia="Arial" w:hAnsi="Arial"/>
                <w:sz w:val="15"/>
                <w:szCs w:val="15"/>
                <w:color w:val="auto"/>
              </w:rPr>
              <w:t>Income taxes receivable/payable</w:t>
            </w:r>
          </w:p>
        </w:tc>
        <w:tc>
          <w:tcPr>
            <w:tcW w:w="260" w:type="dxa"/>
            <w:vAlign w:val="bottom"/>
          </w:tcPr>
          <w:p>
            <w:pPr>
              <w:spacing w:after="0"/>
              <w:rPr>
                <w:sz w:val="23"/>
                <w:szCs w:val="23"/>
                <w:color w:val="auto"/>
              </w:rPr>
            </w:pPr>
          </w:p>
        </w:tc>
        <w:tc>
          <w:tcPr>
            <w:tcW w:w="940" w:type="dxa"/>
            <w:vAlign w:val="bottom"/>
          </w:tcPr>
          <w:p>
            <w:pPr>
              <w:jc w:val="right"/>
              <w:ind w:right="84"/>
              <w:spacing w:after="0"/>
              <w:rPr>
                <w:sz w:val="20"/>
                <w:szCs w:val="20"/>
                <w:color w:val="auto"/>
              </w:rPr>
            </w:pPr>
            <w:r>
              <w:rPr>
                <w:rFonts w:ascii="Arial" w:cs="Arial" w:eastAsia="Arial" w:hAnsi="Arial"/>
                <w:sz w:val="15"/>
                <w:szCs w:val="15"/>
                <w:b w:val="1"/>
                <w:bCs w:val="1"/>
                <w:color w:val="auto"/>
              </w:rPr>
              <w:t>5,115</w:t>
            </w:r>
          </w:p>
        </w:tc>
        <w:tc>
          <w:tcPr>
            <w:tcW w:w="320" w:type="dxa"/>
            <w:vAlign w:val="bottom"/>
          </w:tcPr>
          <w:p>
            <w:pPr>
              <w:spacing w:after="0"/>
              <w:rPr>
                <w:sz w:val="23"/>
                <w:szCs w:val="23"/>
                <w:color w:val="auto"/>
              </w:rPr>
            </w:pPr>
          </w:p>
        </w:tc>
        <w:tc>
          <w:tcPr>
            <w:tcW w:w="920" w:type="dxa"/>
            <w:vAlign w:val="bottom"/>
          </w:tcPr>
          <w:p>
            <w:pPr>
              <w:jc w:val="right"/>
              <w:ind w:right="24"/>
              <w:spacing w:after="0"/>
              <w:rPr>
                <w:sz w:val="20"/>
                <w:szCs w:val="20"/>
                <w:color w:val="auto"/>
              </w:rPr>
            </w:pPr>
            <w:r>
              <w:rPr>
                <w:rFonts w:ascii="Arial" w:cs="Arial" w:eastAsia="Arial" w:hAnsi="Arial"/>
                <w:sz w:val="15"/>
                <w:szCs w:val="15"/>
                <w:color w:val="auto"/>
              </w:rPr>
              <w:t>(174,326)</w:t>
            </w:r>
          </w:p>
        </w:tc>
        <w:tc>
          <w:tcPr>
            <w:tcW w:w="340" w:type="dxa"/>
            <w:vAlign w:val="bottom"/>
          </w:tcPr>
          <w:p>
            <w:pPr>
              <w:spacing w:after="0"/>
              <w:rPr>
                <w:sz w:val="23"/>
                <w:szCs w:val="23"/>
                <w:color w:val="auto"/>
              </w:rPr>
            </w:pPr>
          </w:p>
        </w:tc>
        <w:tc>
          <w:tcPr>
            <w:tcW w:w="860" w:type="dxa"/>
            <w:vAlign w:val="bottom"/>
          </w:tcPr>
          <w:p>
            <w:pPr>
              <w:jc w:val="right"/>
              <w:ind w:right="24"/>
              <w:spacing w:after="0"/>
              <w:rPr>
                <w:sz w:val="20"/>
                <w:szCs w:val="20"/>
                <w:color w:val="auto"/>
              </w:rPr>
            </w:pPr>
            <w:r>
              <w:rPr>
                <w:rFonts w:ascii="Arial" w:cs="Arial" w:eastAsia="Arial" w:hAnsi="Arial"/>
                <w:sz w:val="15"/>
                <w:szCs w:val="15"/>
                <w:color w:val="auto"/>
              </w:rPr>
              <w:t>146,692</w:t>
            </w:r>
          </w:p>
        </w:tc>
        <w:tc>
          <w:tcPr>
            <w:tcW w:w="0" w:type="dxa"/>
            <w:vAlign w:val="bottom"/>
          </w:tcPr>
          <w:p>
            <w:pPr>
              <w:spacing w:after="0"/>
              <w:rPr>
                <w:sz w:val="1"/>
                <w:szCs w:val="1"/>
                <w:color w:val="auto"/>
              </w:rPr>
            </w:pPr>
          </w:p>
        </w:tc>
      </w:tr>
      <w:tr>
        <w:trPr>
          <w:trHeight w:val="270"/>
        </w:trPr>
        <w:tc>
          <w:tcPr>
            <w:tcW w:w="7780" w:type="dxa"/>
            <w:vAlign w:val="bottom"/>
          </w:tcPr>
          <w:p>
            <w:pPr>
              <w:ind w:left="500"/>
              <w:spacing w:after="0"/>
              <w:rPr>
                <w:sz w:val="20"/>
                <w:szCs w:val="20"/>
                <w:color w:val="auto"/>
              </w:rPr>
            </w:pPr>
            <w:r>
              <w:rPr>
                <w:rFonts w:ascii="Arial" w:cs="Arial" w:eastAsia="Arial" w:hAnsi="Arial"/>
                <w:sz w:val="15"/>
                <w:szCs w:val="15"/>
                <w:color w:val="auto"/>
              </w:rPr>
              <w:t>Other assets and other liabilities, net</w:t>
            </w:r>
          </w:p>
        </w:tc>
        <w:tc>
          <w:tcPr>
            <w:tcW w:w="260" w:type="dxa"/>
            <w:vAlign w:val="bottom"/>
          </w:tcPr>
          <w:p>
            <w:pPr>
              <w:spacing w:after="0"/>
              <w:rPr>
                <w:sz w:val="23"/>
                <w:szCs w:val="23"/>
                <w:color w:val="auto"/>
              </w:rPr>
            </w:pPr>
          </w:p>
        </w:tc>
        <w:tc>
          <w:tcPr>
            <w:tcW w:w="940" w:type="dxa"/>
            <w:vAlign w:val="bottom"/>
          </w:tcPr>
          <w:p>
            <w:pPr>
              <w:jc w:val="right"/>
              <w:ind w:right="24"/>
              <w:spacing w:after="0"/>
              <w:rPr>
                <w:sz w:val="20"/>
                <w:szCs w:val="20"/>
                <w:color w:val="auto"/>
              </w:rPr>
            </w:pPr>
            <w:r>
              <w:rPr>
                <w:rFonts w:ascii="Arial" w:cs="Arial" w:eastAsia="Arial" w:hAnsi="Arial"/>
                <w:sz w:val="15"/>
                <w:szCs w:val="15"/>
                <w:b w:val="1"/>
                <w:bCs w:val="1"/>
                <w:color w:val="auto"/>
              </w:rPr>
              <w:t>(12,265)</w:t>
            </w:r>
          </w:p>
        </w:tc>
        <w:tc>
          <w:tcPr>
            <w:tcW w:w="320" w:type="dxa"/>
            <w:vAlign w:val="bottom"/>
          </w:tcPr>
          <w:p>
            <w:pPr>
              <w:spacing w:after="0"/>
              <w:rPr>
                <w:sz w:val="23"/>
                <w:szCs w:val="23"/>
                <w:color w:val="auto"/>
              </w:rPr>
            </w:pPr>
          </w:p>
        </w:tc>
        <w:tc>
          <w:tcPr>
            <w:tcW w:w="920" w:type="dxa"/>
            <w:vAlign w:val="bottom"/>
          </w:tcPr>
          <w:p>
            <w:pPr>
              <w:jc w:val="right"/>
              <w:ind w:right="24"/>
              <w:spacing w:after="0"/>
              <w:rPr>
                <w:sz w:val="20"/>
                <w:szCs w:val="20"/>
                <w:color w:val="auto"/>
              </w:rPr>
            </w:pPr>
            <w:r>
              <w:rPr>
                <w:rFonts w:ascii="Arial" w:cs="Arial" w:eastAsia="Arial" w:hAnsi="Arial"/>
                <w:sz w:val="15"/>
                <w:szCs w:val="15"/>
                <w:color w:val="auto"/>
              </w:rPr>
              <w:t>(11,972)</w:t>
            </w:r>
          </w:p>
        </w:tc>
        <w:tc>
          <w:tcPr>
            <w:tcW w:w="340" w:type="dxa"/>
            <w:vAlign w:val="bottom"/>
          </w:tcPr>
          <w:p>
            <w:pPr>
              <w:spacing w:after="0"/>
              <w:rPr>
                <w:sz w:val="23"/>
                <w:szCs w:val="23"/>
                <w:color w:val="auto"/>
              </w:rPr>
            </w:pPr>
          </w:p>
        </w:tc>
        <w:tc>
          <w:tcPr>
            <w:tcW w:w="860" w:type="dxa"/>
            <w:vAlign w:val="bottom"/>
          </w:tcPr>
          <w:p>
            <w:pPr>
              <w:jc w:val="right"/>
              <w:ind w:right="24"/>
              <w:spacing w:after="0"/>
              <w:rPr>
                <w:sz w:val="20"/>
                <w:szCs w:val="20"/>
                <w:color w:val="auto"/>
              </w:rPr>
            </w:pPr>
            <w:r>
              <w:rPr>
                <w:rFonts w:ascii="Arial" w:cs="Arial" w:eastAsia="Arial" w:hAnsi="Arial"/>
                <w:sz w:val="15"/>
                <w:szCs w:val="15"/>
                <w:color w:val="auto"/>
              </w:rPr>
              <w:t>8,791</w:t>
            </w:r>
          </w:p>
        </w:tc>
        <w:tc>
          <w:tcPr>
            <w:tcW w:w="0" w:type="dxa"/>
            <w:vAlign w:val="bottom"/>
          </w:tcPr>
          <w:p>
            <w:pPr>
              <w:spacing w:after="0"/>
              <w:rPr>
                <w:sz w:val="1"/>
                <w:szCs w:val="1"/>
                <w:color w:val="auto"/>
              </w:rPr>
            </w:pPr>
          </w:p>
        </w:tc>
      </w:tr>
      <w:tr>
        <w:trPr>
          <w:trHeight w:val="268"/>
        </w:trPr>
        <w:tc>
          <w:tcPr>
            <w:tcW w:w="7780" w:type="dxa"/>
            <w:vAlign w:val="bottom"/>
          </w:tcPr>
          <w:p>
            <w:pPr>
              <w:ind w:left="280"/>
              <w:spacing w:after="0"/>
              <w:rPr>
                <w:sz w:val="20"/>
                <w:szCs w:val="20"/>
                <w:color w:val="auto"/>
              </w:rPr>
            </w:pPr>
            <w:r>
              <w:rPr>
                <w:rFonts w:ascii="Arial" w:cs="Arial" w:eastAsia="Arial" w:hAnsi="Arial"/>
                <w:sz w:val="15"/>
                <w:szCs w:val="15"/>
                <w:color w:val="auto"/>
              </w:rPr>
              <w:t>Other</w:t>
            </w:r>
          </w:p>
        </w:tc>
        <w:tc>
          <w:tcPr>
            <w:tcW w:w="26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b w:val="1"/>
                <w:bCs w:val="1"/>
                <w:color w:val="auto"/>
              </w:rPr>
              <w:t>605</w:t>
            </w:r>
          </w:p>
        </w:tc>
        <w:tc>
          <w:tcPr>
            <w:tcW w:w="32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color w:val="auto"/>
              </w:rPr>
              <w:t>1,270</w:t>
            </w:r>
          </w:p>
        </w:tc>
        <w:tc>
          <w:tcPr>
            <w:tcW w:w="34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2,093</w:t>
            </w:r>
          </w:p>
        </w:tc>
        <w:tc>
          <w:tcPr>
            <w:tcW w:w="0" w:type="dxa"/>
            <w:vAlign w:val="bottom"/>
          </w:tcPr>
          <w:p>
            <w:pPr>
              <w:spacing w:after="0"/>
              <w:rPr>
                <w:sz w:val="1"/>
                <w:szCs w:val="1"/>
                <w:color w:val="auto"/>
              </w:rPr>
            </w:pPr>
          </w:p>
        </w:tc>
      </w:tr>
      <w:tr>
        <w:trPr>
          <w:trHeight w:val="264"/>
        </w:trPr>
        <w:tc>
          <w:tcPr>
            <w:tcW w:w="7780" w:type="dxa"/>
            <w:vAlign w:val="bottom"/>
          </w:tcPr>
          <w:p>
            <w:pPr>
              <w:ind w:left="500"/>
              <w:spacing w:after="0"/>
              <w:rPr>
                <w:sz w:val="20"/>
                <w:szCs w:val="20"/>
                <w:color w:val="auto"/>
              </w:rPr>
            </w:pPr>
            <w:r>
              <w:rPr>
                <w:rFonts w:ascii="Arial" w:cs="Arial" w:eastAsia="Arial" w:hAnsi="Arial"/>
                <w:sz w:val="15"/>
                <w:szCs w:val="15"/>
                <w:color w:val="auto"/>
              </w:rPr>
              <w:t>Net Cash Provided by Operating Activities</w:t>
            </w:r>
          </w:p>
        </w:tc>
        <w:tc>
          <w:tcPr>
            <w:tcW w:w="2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b w:val="1"/>
                <w:bCs w:val="1"/>
                <w:color w:val="auto"/>
              </w:rPr>
              <w:t>261,256</w:t>
            </w:r>
          </w:p>
        </w:tc>
        <w:tc>
          <w:tcPr>
            <w:tcW w:w="3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color w:val="auto"/>
              </w:rPr>
              <w:t>70,651</w:t>
            </w:r>
          </w:p>
        </w:tc>
        <w:tc>
          <w:tcPr>
            <w:tcW w:w="3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313,499</w:t>
            </w:r>
          </w:p>
        </w:tc>
        <w:tc>
          <w:tcPr>
            <w:tcW w:w="0" w:type="dxa"/>
            <w:vAlign w:val="bottom"/>
          </w:tcPr>
          <w:p>
            <w:pPr>
              <w:spacing w:after="0"/>
              <w:rPr>
                <w:sz w:val="1"/>
                <w:szCs w:val="1"/>
                <w:color w:val="auto"/>
              </w:rPr>
            </w:pPr>
          </w:p>
        </w:tc>
      </w:tr>
      <w:tr>
        <w:trPr>
          <w:trHeight w:val="266"/>
        </w:trPr>
        <w:tc>
          <w:tcPr>
            <w:tcW w:w="7780" w:type="dxa"/>
            <w:vAlign w:val="bottom"/>
          </w:tcPr>
          <w:p>
            <w:pPr>
              <w:ind w:left="40"/>
              <w:spacing w:after="0"/>
              <w:rPr>
                <w:sz w:val="20"/>
                <w:szCs w:val="20"/>
                <w:color w:val="auto"/>
              </w:rPr>
            </w:pPr>
            <w:r>
              <w:rPr>
                <w:rFonts w:ascii="Arial" w:cs="Arial" w:eastAsia="Arial" w:hAnsi="Arial"/>
                <w:sz w:val="15"/>
                <w:szCs w:val="15"/>
                <w:b w:val="1"/>
                <w:bCs w:val="1"/>
                <w:color w:val="auto"/>
              </w:rPr>
              <w:t>Cash Flows from Investing Activities</w:t>
            </w:r>
          </w:p>
        </w:tc>
        <w:tc>
          <w:tcPr>
            <w:tcW w:w="2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780" w:type="dxa"/>
            <w:vAlign w:val="bottom"/>
          </w:tcPr>
          <w:p>
            <w:pPr>
              <w:ind w:left="280"/>
              <w:spacing w:after="0"/>
              <w:rPr>
                <w:sz w:val="20"/>
                <w:szCs w:val="20"/>
                <w:color w:val="auto"/>
              </w:rPr>
            </w:pPr>
            <w:r>
              <w:rPr>
                <w:rFonts w:ascii="Arial" w:cs="Arial" w:eastAsia="Arial" w:hAnsi="Arial"/>
                <w:sz w:val="15"/>
                <w:szCs w:val="15"/>
                <w:color w:val="auto"/>
              </w:rPr>
              <w:t>Investments in certain businesses, net of cash acquired</w:t>
            </w:r>
          </w:p>
        </w:tc>
        <w:tc>
          <w:tcPr>
            <w:tcW w:w="260" w:type="dxa"/>
            <w:vAlign w:val="bottom"/>
          </w:tcPr>
          <w:p>
            <w:pPr>
              <w:spacing w:after="0"/>
              <w:rPr>
                <w:sz w:val="23"/>
                <w:szCs w:val="23"/>
                <w:color w:val="auto"/>
              </w:rPr>
            </w:pPr>
          </w:p>
        </w:tc>
        <w:tc>
          <w:tcPr>
            <w:tcW w:w="940" w:type="dxa"/>
            <w:vAlign w:val="bottom"/>
          </w:tcPr>
          <w:p>
            <w:pPr>
              <w:jc w:val="right"/>
              <w:ind w:right="24"/>
              <w:spacing w:after="0"/>
              <w:rPr>
                <w:sz w:val="20"/>
                <w:szCs w:val="20"/>
                <w:color w:val="auto"/>
              </w:rPr>
            </w:pPr>
            <w:r>
              <w:rPr>
                <w:rFonts w:ascii="Arial" w:cs="Arial" w:eastAsia="Arial" w:hAnsi="Arial"/>
                <w:sz w:val="15"/>
                <w:szCs w:val="15"/>
                <w:b w:val="1"/>
                <w:bCs w:val="1"/>
                <w:color w:val="auto"/>
              </w:rPr>
              <w:t>(245,084)</w:t>
            </w:r>
          </w:p>
        </w:tc>
        <w:tc>
          <w:tcPr>
            <w:tcW w:w="320" w:type="dxa"/>
            <w:vAlign w:val="bottom"/>
          </w:tcPr>
          <w:p>
            <w:pPr>
              <w:spacing w:after="0"/>
              <w:rPr>
                <w:sz w:val="23"/>
                <w:szCs w:val="23"/>
                <w:color w:val="auto"/>
              </w:rPr>
            </w:pPr>
          </w:p>
        </w:tc>
        <w:tc>
          <w:tcPr>
            <w:tcW w:w="920" w:type="dxa"/>
            <w:vAlign w:val="bottom"/>
          </w:tcPr>
          <w:p>
            <w:pPr>
              <w:jc w:val="right"/>
              <w:ind w:right="24"/>
              <w:spacing w:after="0"/>
              <w:rPr>
                <w:sz w:val="20"/>
                <w:szCs w:val="20"/>
                <w:color w:val="auto"/>
              </w:rPr>
            </w:pPr>
            <w:r>
              <w:rPr>
                <w:rFonts w:ascii="Arial" w:cs="Arial" w:eastAsia="Arial" w:hAnsi="Arial"/>
                <w:sz w:val="15"/>
                <w:szCs w:val="15"/>
                <w:color w:val="auto"/>
              </w:rPr>
              <w:t>(159,320)</w:t>
            </w:r>
          </w:p>
        </w:tc>
        <w:tc>
          <w:tcPr>
            <w:tcW w:w="3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(206,035)</w:t>
            </w:r>
          </w:p>
        </w:tc>
        <w:tc>
          <w:tcPr>
            <w:tcW w:w="0" w:type="dxa"/>
            <w:vAlign w:val="bottom"/>
          </w:tcPr>
          <w:p>
            <w:pPr>
              <w:spacing w:after="0"/>
              <w:rPr>
                <w:sz w:val="1"/>
                <w:szCs w:val="1"/>
                <w:color w:val="auto"/>
              </w:rPr>
            </w:pPr>
          </w:p>
        </w:tc>
      </w:tr>
      <w:tr>
        <w:trPr>
          <w:trHeight w:val="270"/>
        </w:trPr>
        <w:tc>
          <w:tcPr>
            <w:tcW w:w="7780" w:type="dxa"/>
            <w:vAlign w:val="bottom"/>
          </w:tcPr>
          <w:p>
            <w:pPr>
              <w:ind w:left="280"/>
              <w:spacing w:after="0"/>
              <w:rPr>
                <w:sz w:val="20"/>
                <w:szCs w:val="20"/>
                <w:color w:val="auto"/>
              </w:rPr>
            </w:pPr>
            <w:r>
              <w:rPr>
                <w:rFonts w:ascii="Arial" w:cs="Arial" w:eastAsia="Arial" w:hAnsi="Arial"/>
                <w:sz w:val="15"/>
                <w:szCs w:val="15"/>
                <w:color w:val="auto"/>
              </w:rPr>
              <w:t>Purchases of property, plant and equipment</w:t>
            </w:r>
          </w:p>
        </w:tc>
        <w:tc>
          <w:tcPr>
            <w:tcW w:w="260" w:type="dxa"/>
            <w:vAlign w:val="bottom"/>
          </w:tcPr>
          <w:p>
            <w:pPr>
              <w:spacing w:after="0"/>
              <w:rPr>
                <w:sz w:val="23"/>
                <w:szCs w:val="23"/>
                <w:color w:val="auto"/>
              </w:rPr>
            </w:pPr>
          </w:p>
        </w:tc>
        <w:tc>
          <w:tcPr>
            <w:tcW w:w="940" w:type="dxa"/>
            <w:vAlign w:val="bottom"/>
          </w:tcPr>
          <w:p>
            <w:pPr>
              <w:jc w:val="right"/>
              <w:ind w:right="24"/>
              <w:spacing w:after="0"/>
              <w:rPr>
                <w:sz w:val="20"/>
                <w:szCs w:val="20"/>
                <w:color w:val="auto"/>
              </w:rPr>
            </w:pPr>
            <w:r>
              <w:rPr>
                <w:rFonts w:ascii="Arial" w:cs="Arial" w:eastAsia="Arial" w:hAnsi="Arial"/>
                <w:sz w:val="15"/>
                <w:szCs w:val="15"/>
                <w:b w:val="1"/>
                <w:bCs w:val="1"/>
                <w:color w:val="auto"/>
              </w:rPr>
              <w:t>(66,612)</w:t>
            </w:r>
          </w:p>
        </w:tc>
        <w:tc>
          <w:tcPr>
            <w:tcW w:w="320" w:type="dxa"/>
            <w:vAlign w:val="bottom"/>
          </w:tcPr>
          <w:p>
            <w:pPr>
              <w:spacing w:after="0"/>
              <w:rPr>
                <w:sz w:val="23"/>
                <w:szCs w:val="23"/>
                <w:color w:val="auto"/>
              </w:rPr>
            </w:pPr>
          </w:p>
        </w:tc>
        <w:tc>
          <w:tcPr>
            <w:tcW w:w="920" w:type="dxa"/>
            <w:vAlign w:val="bottom"/>
          </w:tcPr>
          <w:p>
            <w:pPr>
              <w:jc w:val="right"/>
              <w:ind w:right="24"/>
              <w:spacing w:after="0"/>
              <w:rPr>
                <w:sz w:val="20"/>
                <w:szCs w:val="20"/>
                <w:color w:val="auto"/>
              </w:rPr>
            </w:pPr>
            <w:r>
              <w:rPr>
                <w:rFonts w:ascii="Arial" w:cs="Arial" w:eastAsia="Arial" w:hAnsi="Arial"/>
                <w:sz w:val="15"/>
                <w:szCs w:val="15"/>
                <w:color w:val="auto"/>
              </w:rPr>
              <w:t>(136,859)</w:t>
            </w:r>
          </w:p>
        </w:tc>
        <w:tc>
          <w:tcPr>
            <w:tcW w:w="3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(237,292)</w:t>
            </w:r>
          </w:p>
        </w:tc>
        <w:tc>
          <w:tcPr>
            <w:tcW w:w="0" w:type="dxa"/>
            <w:vAlign w:val="bottom"/>
          </w:tcPr>
          <w:p>
            <w:pPr>
              <w:spacing w:after="0"/>
              <w:rPr>
                <w:sz w:val="1"/>
                <w:szCs w:val="1"/>
                <w:color w:val="auto"/>
              </w:rPr>
            </w:pPr>
          </w:p>
        </w:tc>
      </w:tr>
      <w:tr>
        <w:trPr>
          <w:trHeight w:val="270"/>
        </w:trPr>
        <w:tc>
          <w:tcPr>
            <w:tcW w:w="7780" w:type="dxa"/>
            <w:vAlign w:val="bottom"/>
          </w:tcPr>
          <w:p>
            <w:pPr>
              <w:ind w:left="280"/>
              <w:spacing w:after="0"/>
              <w:rPr>
                <w:sz w:val="20"/>
                <w:szCs w:val="20"/>
                <w:color w:val="auto"/>
              </w:rPr>
            </w:pPr>
            <w:r>
              <w:rPr>
                <w:rFonts w:ascii="Arial" w:cs="Arial" w:eastAsia="Arial" w:hAnsi="Arial"/>
                <w:sz w:val="15"/>
                <w:szCs w:val="15"/>
                <w:color w:val="auto"/>
              </w:rPr>
              <w:t>Net proceeds from sales of businesses, property, plant and equipment and other assets</w:t>
            </w:r>
          </w:p>
        </w:tc>
        <w:tc>
          <w:tcPr>
            <w:tcW w:w="260" w:type="dxa"/>
            <w:vAlign w:val="bottom"/>
          </w:tcPr>
          <w:p>
            <w:pPr>
              <w:spacing w:after="0"/>
              <w:rPr>
                <w:sz w:val="23"/>
                <w:szCs w:val="23"/>
                <w:color w:val="auto"/>
              </w:rPr>
            </w:pPr>
          </w:p>
        </w:tc>
        <w:tc>
          <w:tcPr>
            <w:tcW w:w="940" w:type="dxa"/>
            <w:vAlign w:val="bottom"/>
          </w:tcPr>
          <w:p>
            <w:pPr>
              <w:jc w:val="right"/>
              <w:ind w:right="84"/>
              <w:spacing w:after="0"/>
              <w:rPr>
                <w:sz w:val="20"/>
                <w:szCs w:val="20"/>
                <w:color w:val="auto"/>
              </w:rPr>
            </w:pPr>
            <w:r>
              <w:rPr>
                <w:rFonts w:ascii="Arial" w:cs="Arial" w:eastAsia="Arial" w:hAnsi="Arial"/>
                <w:sz w:val="15"/>
                <w:szCs w:val="15"/>
                <w:b w:val="1"/>
                <w:bCs w:val="1"/>
                <w:color w:val="auto"/>
              </w:rPr>
              <w:t>69,192</w:t>
            </w:r>
          </w:p>
        </w:tc>
        <w:tc>
          <w:tcPr>
            <w:tcW w:w="320" w:type="dxa"/>
            <w:vAlign w:val="bottom"/>
          </w:tcPr>
          <w:p>
            <w:pPr>
              <w:spacing w:after="0"/>
              <w:rPr>
                <w:sz w:val="23"/>
                <w:szCs w:val="23"/>
                <w:color w:val="auto"/>
              </w:rPr>
            </w:pPr>
          </w:p>
        </w:tc>
        <w:tc>
          <w:tcPr>
            <w:tcW w:w="920" w:type="dxa"/>
            <w:vAlign w:val="bottom"/>
          </w:tcPr>
          <w:p>
            <w:pPr>
              <w:jc w:val="right"/>
              <w:ind w:right="84"/>
              <w:spacing w:after="0"/>
              <w:rPr>
                <w:sz w:val="20"/>
                <w:szCs w:val="20"/>
                <w:color w:val="auto"/>
              </w:rPr>
            </w:pPr>
            <w:r>
              <w:rPr>
                <w:rFonts w:ascii="Arial" w:cs="Arial" w:eastAsia="Arial" w:hAnsi="Arial"/>
                <w:sz w:val="15"/>
                <w:szCs w:val="15"/>
                <w:color w:val="auto"/>
              </w:rPr>
              <w:t>41,683</w:t>
            </w:r>
          </w:p>
        </w:tc>
        <w:tc>
          <w:tcPr>
            <w:tcW w:w="340" w:type="dxa"/>
            <w:vAlign w:val="bottom"/>
          </w:tcPr>
          <w:p>
            <w:pPr>
              <w:spacing w:after="0"/>
              <w:rPr>
                <w:sz w:val="23"/>
                <w:szCs w:val="23"/>
                <w:color w:val="auto"/>
              </w:rPr>
            </w:pPr>
          </w:p>
        </w:tc>
        <w:tc>
          <w:tcPr>
            <w:tcW w:w="860" w:type="dxa"/>
            <w:vAlign w:val="bottom"/>
          </w:tcPr>
          <w:p>
            <w:pPr>
              <w:jc w:val="right"/>
              <w:ind w:right="24"/>
              <w:spacing w:after="0"/>
              <w:rPr>
                <w:sz w:val="20"/>
                <w:szCs w:val="20"/>
                <w:color w:val="auto"/>
              </w:rPr>
            </w:pPr>
            <w:r>
              <w:rPr>
                <w:rFonts w:ascii="Arial" w:cs="Arial" w:eastAsia="Arial" w:hAnsi="Arial"/>
                <w:sz w:val="15"/>
                <w:szCs w:val="15"/>
                <w:color w:val="auto"/>
              </w:rPr>
              <w:t>644,342</w:t>
            </w:r>
          </w:p>
        </w:tc>
        <w:tc>
          <w:tcPr>
            <w:tcW w:w="0" w:type="dxa"/>
            <w:vAlign w:val="bottom"/>
          </w:tcPr>
          <w:p>
            <w:pPr>
              <w:spacing w:after="0"/>
              <w:rPr>
                <w:sz w:val="1"/>
                <w:szCs w:val="1"/>
                <w:color w:val="auto"/>
              </w:rPr>
            </w:pPr>
          </w:p>
        </w:tc>
      </w:tr>
      <w:tr>
        <w:trPr>
          <w:trHeight w:val="270"/>
        </w:trPr>
        <w:tc>
          <w:tcPr>
            <w:tcW w:w="7780" w:type="dxa"/>
            <w:vAlign w:val="bottom"/>
          </w:tcPr>
          <w:p>
            <w:pPr>
              <w:ind w:left="280"/>
              <w:spacing w:after="0"/>
              <w:rPr>
                <w:sz w:val="20"/>
                <w:szCs w:val="20"/>
                <w:color w:val="auto"/>
              </w:rPr>
            </w:pPr>
            <w:r>
              <w:rPr>
                <w:rFonts w:ascii="Arial" w:cs="Arial" w:eastAsia="Arial" w:hAnsi="Arial"/>
                <w:sz w:val="15"/>
                <w:szCs w:val="15"/>
                <w:color w:val="auto"/>
              </w:rPr>
              <w:t>Purchases of marketable equity securities</w:t>
            </w:r>
          </w:p>
        </w:tc>
        <w:tc>
          <w:tcPr>
            <w:tcW w:w="260" w:type="dxa"/>
            <w:vAlign w:val="bottom"/>
          </w:tcPr>
          <w:p>
            <w:pPr>
              <w:spacing w:after="0"/>
              <w:rPr>
                <w:sz w:val="23"/>
                <w:szCs w:val="23"/>
                <w:color w:val="auto"/>
              </w:rPr>
            </w:pPr>
          </w:p>
        </w:tc>
        <w:tc>
          <w:tcPr>
            <w:tcW w:w="940" w:type="dxa"/>
            <w:vAlign w:val="bottom"/>
          </w:tcPr>
          <w:p>
            <w:pPr>
              <w:jc w:val="right"/>
              <w:ind w:right="24"/>
              <w:spacing w:after="0"/>
              <w:rPr>
                <w:sz w:val="20"/>
                <w:szCs w:val="20"/>
                <w:color w:val="auto"/>
              </w:rPr>
            </w:pPr>
            <w:r>
              <w:rPr>
                <w:rFonts w:ascii="Arial" w:cs="Arial" w:eastAsia="Arial" w:hAnsi="Arial"/>
                <w:sz w:val="15"/>
                <w:szCs w:val="15"/>
                <w:b w:val="1"/>
                <w:bCs w:val="1"/>
                <w:color w:val="auto"/>
              </w:rPr>
              <w:t>(48,265)</w:t>
            </w:r>
          </w:p>
        </w:tc>
        <w:tc>
          <w:tcPr>
            <w:tcW w:w="320" w:type="dxa"/>
            <w:vAlign w:val="bottom"/>
          </w:tcPr>
          <w:p>
            <w:pPr>
              <w:spacing w:after="0"/>
              <w:rPr>
                <w:sz w:val="23"/>
                <w:szCs w:val="23"/>
                <w:color w:val="auto"/>
              </w:rPr>
            </w:pPr>
          </w:p>
        </w:tc>
        <w:tc>
          <w:tcPr>
            <w:tcW w:w="920" w:type="dxa"/>
            <w:vAlign w:val="bottom"/>
          </w:tcPr>
          <w:p>
            <w:pPr>
              <w:jc w:val="right"/>
              <w:ind w:right="24"/>
              <w:spacing w:after="0"/>
              <w:rPr>
                <w:sz w:val="20"/>
                <w:szCs w:val="20"/>
                <w:color w:val="auto"/>
              </w:rPr>
            </w:pPr>
            <w:r>
              <w:rPr>
                <w:rFonts w:ascii="Arial" w:cs="Arial" w:eastAsia="Arial" w:hAnsi="Arial"/>
                <w:sz w:val="15"/>
                <w:szCs w:val="15"/>
                <w:color w:val="auto"/>
              </w:rPr>
              <w:t>(145,807)</w:t>
            </w:r>
          </w:p>
        </w:tc>
        <w:tc>
          <w:tcPr>
            <w:tcW w:w="3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(49,998)</w:t>
            </w:r>
          </w:p>
        </w:tc>
        <w:tc>
          <w:tcPr>
            <w:tcW w:w="0" w:type="dxa"/>
            <w:vAlign w:val="bottom"/>
          </w:tcPr>
          <w:p>
            <w:pPr>
              <w:spacing w:after="0"/>
              <w:rPr>
                <w:sz w:val="1"/>
                <w:szCs w:val="1"/>
                <w:color w:val="auto"/>
              </w:rPr>
            </w:pPr>
          </w:p>
        </w:tc>
      </w:tr>
      <w:tr>
        <w:trPr>
          <w:trHeight w:val="270"/>
        </w:trPr>
        <w:tc>
          <w:tcPr>
            <w:tcW w:w="7780" w:type="dxa"/>
            <w:vAlign w:val="bottom"/>
          </w:tcPr>
          <w:p>
            <w:pPr>
              <w:ind w:left="280"/>
              <w:spacing w:after="0"/>
              <w:rPr>
                <w:sz w:val="20"/>
                <w:szCs w:val="20"/>
                <w:color w:val="auto"/>
              </w:rPr>
            </w:pPr>
            <w:r>
              <w:rPr>
                <w:rFonts w:ascii="Arial" w:cs="Arial" w:eastAsia="Arial" w:hAnsi="Arial"/>
                <w:sz w:val="15"/>
                <w:szCs w:val="15"/>
                <w:color w:val="auto"/>
              </w:rPr>
              <w:t>Investments in equity affiliates and cost method investments</w:t>
            </w:r>
          </w:p>
        </w:tc>
        <w:tc>
          <w:tcPr>
            <w:tcW w:w="260" w:type="dxa"/>
            <w:vAlign w:val="bottom"/>
          </w:tcPr>
          <w:p>
            <w:pPr>
              <w:spacing w:after="0"/>
              <w:rPr>
                <w:sz w:val="23"/>
                <w:szCs w:val="23"/>
                <w:color w:val="auto"/>
              </w:rPr>
            </w:pPr>
          </w:p>
        </w:tc>
        <w:tc>
          <w:tcPr>
            <w:tcW w:w="940" w:type="dxa"/>
            <w:vAlign w:val="bottom"/>
          </w:tcPr>
          <w:p>
            <w:pPr>
              <w:jc w:val="right"/>
              <w:ind w:right="24"/>
              <w:spacing w:after="0"/>
              <w:rPr>
                <w:sz w:val="20"/>
                <w:szCs w:val="20"/>
                <w:color w:val="auto"/>
              </w:rPr>
            </w:pPr>
            <w:r>
              <w:rPr>
                <w:rFonts w:ascii="Arial" w:cs="Arial" w:eastAsia="Arial" w:hAnsi="Arial"/>
                <w:sz w:val="15"/>
                <w:szCs w:val="15"/>
                <w:b w:val="1"/>
                <w:bCs w:val="1"/>
                <w:color w:val="auto"/>
              </w:rPr>
              <w:t>(6,273)</w:t>
            </w:r>
          </w:p>
        </w:tc>
        <w:tc>
          <w:tcPr>
            <w:tcW w:w="320" w:type="dxa"/>
            <w:vAlign w:val="bottom"/>
          </w:tcPr>
          <w:p>
            <w:pPr>
              <w:spacing w:after="0"/>
              <w:rPr>
                <w:sz w:val="23"/>
                <w:szCs w:val="23"/>
                <w:color w:val="auto"/>
              </w:rPr>
            </w:pPr>
          </w:p>
        </w:tc>
        <w:tc>
          <w:tcPr>
            <w:tcW w:w="920" w:type="dxa"/>
            <w:vAlign w:val="bottom"/>
          </w:tcPr>
          <w:p>
            <w:pPr>
              <w:jc w:val="right"/>
              <w:ind w:right="24"/>
              <w:spacing w:after="0"/>
              <w:rPr>
                <w:sz w:val="20"/>
                <w:szCs w:val="20"/>
                <w:color w:val="auto"/>
              </w:rPr>
            </w:pPr>
            <w:r>
              <w:rPr>
                <w:rFonts w:ascii="Arial" w:cs="Arial" w:eastAsia="Arial" w:hAnsi="Arial"/>
                <w:sz w:val="15"/>
                <w:szCs w:val="15"/>
                <w:color w:val="auto"/>
              </w:rPr>
              <w:t>(25,340)</w:t>
            </w:r>
          </w:p>
        </w:tc>
        <w:tc>
          <w:tcPr>
            <w:tcW w:w="3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(10,283)</w:t>
            </w:r>
          </w:p>
        </w:tc>
        <w:tc>
          <w:tcPr>
            <w:tcW w:w="0" w:type="dxa"/>
            <w:vAlign w:val="bottom"/>
          </w:tcPr>
          <w:p>
            <w:pPr>
              <w:spacing w:after="0"/>
              <w:rPr>
                <w:sz w:val="1"/>
                <w:szCs w:val="1"/>
                <w:color w:val="auto"/>
              </w:rPr>
            </w:pPr>
          </w:p>
        </w:tc>
      </w:tr>
      <w:tr>
        <w:trPr>
          <w:trHeight w:val="270"/>
        </w:trPr>
        <w:tc>
          <w:tcPr>
            <w:tcW w:w="7780" w:type="dxa"/>
            <w:vAlign w:val="bottom"/>
          </w:tcPr>
          <w:p>
            <w:pPr>
              <w:ind w:left="280"/>
              <w:spacing w:after="0"/>
              <w:rPr>
                <w:sz w:val="20"/>
                <w:szCs w:val="20"/>
                <w:color w:val="auto"/>
              </w:rPr>
            </w:pPr>
            <w:r>
              <w:rPr>
                <w:rFonts w:ascii="Arial" w:cs="Arial" w:eastAsia="Arial" w:hAnsi="Arial"/>
                <w:sz w:val="15"/>
                <w:szCs w:val="15"/>
                <w:color w:val="auto"/>
              </w:rPr>
              <w:t>Investments in commercial paper</w:t>
            </w:r>
          </w:p>
        </w:tc>
        <w:tc>
          <w:tcPr>
            <w:tcW w:w="260" w:type="dxa"/>
            <w:vAlign w:val="bottom"/>
          </w:tcPr>
          <w:p>
            <w:pPr>
              <w:spacing w:after="0"/>
              <w:rPr>
                <w:sz w:val="23"/>
                <w:szCs w:val="23"/>
                <w:color w:val="auto"/>
              </w:rPr>
            </w:pPr>
          </w:p>
        </w:tc>
        <w:tc>
          <w:tcPr>
            <w:tcW w:w="940" w:type="dxa"/>
            <w:vAlign w:val="bottom"/>
          </w:tcPr>
          <w:p>
            <w:pPr>
              <w:jc w:val="right"/>
              <w:ind w:right="84"/>
              <w:spacing w:after="0"/>
              <w:rPr>
                <w:sz w:val="20"/>
                <w:szCs w:val="20"/>
                <w:color w:val="auto"/>
              </w:rPr>
            </w:pPr>
            <w:r>
              <w:rPr>
                <w:rFonts w:ascii="Arial" w:cs="Arial" w:eastAsia="Arial" w:hAnsi="Arial"/>
                <w:sz w:val="15"/>
                <w:szCs w:val="15"/>
                <w:b w:val="1"/>
                <w:bCs w:val="1"/>
                <w:color w:val="auto"/>
              </w:rPr>
              <w:t>—</w:t>
            </w:r>
          </w:p>
        </w:tc>
        <w:tc>
          <w:tcPr>
            <w:tcW w:w="320" w:type="dxa"/>
            <w:vAlign w:val="bottom"/>
          </w:tcPr>
          <w:p>
            <w:pPr>
              <w:spacing w:after="0"/>
              <w:rPr>
                <w:sz w:val="23"/>
                <w:szCs w:val="23"/>
                <w:color w:val="auto"/>
              </w:rPr>
            </w:pPr>
          </w:p>
        </w:tc>
        <w:tc>
          <w:tcPr>
            <w:tcW w:w="920" w:type="dxa"/>
            <w:vAlign w:val="bottom"/>
          </w:tcPr>
          <w:p>
            <w:pPr>
              <w:jc w:val="right"/>
              <w:ind w:right="84"/>
              <w:spacing w:after="0"/>
              <w:rPr>
                <w:sz w:val="20"/>
                <w:szCs w:val="20"/>
                <w:color w:val="auto"/>
              </w:rPr>
            </w:pPr>
            <w:r>
              <w:rPr>
                <w:rFonts w:ascii="Arial" w:cs="Arial" w:eastAsia="Arial" w:hAnsi="Arial"/>
                <w:sz w:val="15"/>
                <w:szCs w:val="15"/>
                <w:color w:val="auto"/>
              </w:rPr>
              <w:t>—</w:t>
            </w:r>
          </w:p>
        </w:tc>
        <w:tc>
          <w:tcPr>
            <w:tcW w:w="3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(249,795)</w:t>
            </w:r>
          </w:p>
        </w:tc>
        <w:tc>
          <w:tcPr>
            <w:tcW w:w="0" w:type="dxa"/>
            <w:vAlign w:val="bottom"/>
          </w:tcPr>
          <w:p>
            <w:pPr>
              <w:spacing w:after="0"/>
              <w:rPr>
                <w:sz w:val="1"/>
                <w:szCs w:val="1"/>
                <w:color w:val="auto"/>
              </w:rPr>
            </w:pPr>
          </w:p>
        </w:tc>
      </w:tr>
      <w:tr>
        <w:trPr>
          <w:trHeight w:val="270"/>
        </w:trPr>
        <w:tc>
          <w:tcPr>
            <w:tcW w:w="7780" w:type="dxa"/>
            <w:vAlign w:val="bottom"/>
          </w:tcPr>
          <w:p>
            <w:pPr>
              <w:ind w:left="280"/>
              <w:spacing w:after="0"/>
              <w:rPr>
                <w:sz w:val="20"/>
                <w:szCs w:val="20"/>
                <w:color w:val="auto"/>
              </w:rPr>
            </w:pPr>
            <w:r>
              <w:rPr>
                <w:rFonts w:ascii="Arial" w:cs="Arial" w:eastAsia="Arial" w:hAnsi="Arial"/>
                <w:sz w:val="15"/>
                <w:szCs w:val="15"/>
                <w:color w:val="auto"/>
              </w:rPr>
              <w:t>Proceeds from maturities of commercial paper</w:t>
            </w:r>
          </w:p>
        </w:tc>
        <w:tc>
          <w:tcPr>
            <w:tcW w:w="260" w:type="dxa"/>
            <w:vAlign w:val="bottom"/>
          </w:tcPr>
          <w:p>
            <w:pPr>
              <w:spacing w:after="0"/>
              <w:rPr>
                <w:sz w:val="23"/>
                <w:szCs w:val="23"/>
                <w:color w:val="auto"/>
              </w:rPr>
            </w:pPr>
          </w:p>
        </w:tc>
        <w:tc>
          <w:tcPr>
            <w:tcW w:w="940" w:type="dxa"/>
            <w:vAlign w:val="bottom"/>
          </w:tcPr>
          <w:p>
            <w:pPr>
              <w:jc w:val="right"/>
              <w:ind w:right="84"/>
              <w:spacing w:after="0"/>
              <w:rPr>
                <w:sz w:val="20"/>
                <w:szCs w:val="20"/>
                <w:color w:val="auto"/>
              </w:rPr>
            </w:pPr>
            <w:r>
              <w:rPr>
                <w:rFonts w:ascii="Arial" w:cs="Arial" w:eastAsia="Arial" w:hAnsi="Arial"/>
                <w:sz w:val="15"/>
                <w:szCs w:val="15"/>
                <w:b w:val="1"/>
                <w:bCs w:val="1"/>
                <w:color w:val="auto"/>
              </w:rPr>
              <w:t>—</w:t>
            </w:r>
          </w:p>
        </w:tc>
        <w:tc>
          <w:tcPr>
            <w:tcW w:w="320" w:type="dxa"/>
            <w:vAlign w:val="bottom"/>
          </w:tcPr>
          <w:p>
            <w:pPr>
              <w:spacing w:after="0"/>
              <w:rPr>
                <w:sz w:val="23"/>
                <w:szCs w:val="23"/>
                <w:color w:val="auto"/>
              </w:rPr>
            </w:pPr>
          </w:p>
        </w:tc>
        <w:tc>
          <w:tcPr>
            <w:tcW w:w="920" w:type="dxa"/>
            <w:vAlign w:val="bottom"/>
          </w:tcPr>
          <w:p>
            <w:pPr>
              <w:jc w:val="right"/>
              <w:ind w:right="84"/>
              <w:spacing w:after="0"/>
              <w:rPr>
                <w:sz w:val="20"/>
                <w:szCs w:val="20"/>
                <w:color w:val="auto"/>
              </w:rPr>
            </w:pPr>
            <w:r>
              <w:rPr>
                <w:rFonts w:ascii="Arial" w:cs="Arial" w:eastAsia="Arial" w:hAnsi="Arial"/>
                <w:sz w:val="15"/>
                <w:szCs w:val="15"/>
                <w:color w:val="auto"/>
              </w:rPr>
              <w:t>—</w:t>
            </w:r>
          </w:p>
        </w:tc>
        <w:tc>
          <w:tcPr>
            <w:tcW w:w="340" w:type="dxa"/>
            <w:vAlign w:val="bottom"/>
          </w:tcPr>
          <w:p>
            <w:pPr>
              <w:spacing w:after="0"/>
              <w:rPr>
                <w:sz w:val="23"/>
                <w:szCs w:val="23"/>
                <w:color w:val="auto"/>
              </w:rPr>
            </w:pPr>
          </w:p>
        </w:tc>
        <w:tc>
          <w:tcPr>
            <w:tcW w:w="860" w:type="dxa"/>
            <w:vAlign w:val="bottom"/>
          </w:tcPr>
          <w:p>
            <w:pPr>
              <w:jc w:val="right"/>
              <w:ind w:right="24"/>
              <w:spacing w:after="0"/>
              <w:rPr>
                <w:sz w:val="20"/>
                <w:szCs w:val="20"/>
                <w:color w:val="auto"/>
              </w:rPr>
            </w:pPr>
            <w:r>
              <w:rPr>
                <w:rFonts w:ascii="Arial" w:cs="Arial" w:eastAsia="Arial" w:hAnsi="Arial"/>
                <w:sz w:val="15"/>
                <w:szCs w:val="15"/>
                <w:color w:val="auto"/>
              </w:rPr>
              <w:t>249,795</w:t>
            </w:r>
          </w:p>
        </w:tc>
        <w:tc>
          <w:tcPr>
            <w:tcW w:w="0" w:type="dxa"/>
            <w:vAlign w:val="bottom"/>
          </w:tcPr>
          <w:p>
            <w:pPr>
              <w:spacing w:after="0"/>
              <w:rPr>
                <w:sz w:val="1"/>
                <w:szCs w:val="1"/>
                <w:color w:val="auto"/>
              </w:rPr>
            </w:pPr>
          </w:p>
        </w:tc>
      </w:tr>
      <w:tr>
        <w:trPr>
          <w:trHeight w:val="270"/>
        </w:trPr>
        <w:tc>
          <w:tcPr>
            <w:tcW w:w="7780" w:type="dxa"/>
            <w:vAlign w:val="bottom"/>
          </w:tcPr>
          <w:p>
            <w:pPr>
              <w:ind w:left="280"/>
              <w:spacing w:after="0"/>
              <w:rPr>
                <w:sz w:val="20"/>
                <w:szCs w:val="20"/>
                <w:color w:val="auto"/>
              </w:rPr>
            </w:pPr>
            <w:r>
              <w:rPr>
                <w:rFonts w:ascii="Arial" w:cs="Arial" w:eastAsia="Arial" w:hAnsi="Arial"/>
                <w:sz w:val="15"/>
                <w:szCs w:val="15"/>
                <w:color w:val="auto"/>
              </w:rPr>
              <w:t>Net distribution from equity affiliate</w:t>
            </w:r>
          </w:p>
        </w:tc>
        <w:tc>
          <w:tcPr>
            <w:tcW w:w="260" w:type="dxa"/>
            <w:vAlign w:val="bottom"/>
          </w:tcPr>
          <w:p>
            <w:pPr>
              <w:spacing w:after="0"/>
              <w:rPr>
                <w:sz w:val="23"/>
                <w:szCs w:val="23"/>
                <w:color w:val="auto"/>
              </w:rPr>
            </w:pPr>
          </w:p>
        </w:tc>
        <w:tc>
          <w:tcPr>
            <w:tcW w:w="940" w:type="dxa"/>
            <w:vAlign w:val="bottom"/>
          </w:tcPr>
          <w:p>
            <w:pPr>
              <w:jc w:val="right"/>
              <w:ind w:right="84"/>
              <w:spacing w:after="0"/>
              <w:rPr>
                <w:sz w:val="20"/>
                <w:szCs w:val="20"/>
                <w:color w:val="auto"/>
              </w:rPr>
            </w:pPr>
            <w:r>
              <w:rPr>
                <w:rFonts w:ascii="Arial" w:cs="Arial" w:eastAsia="Arial" w:hAnsi="Arial"/>
                <w:sz w:val="15"/>
                <w:szCs w:val="15"/>
                <w:b w:val="1"/>
                <w:bCs w:val="1"/>
                <w:color w:val="auto"/>
              </w:rPr>
              <w:t>—</w:t>
            </w:r>
          </w:p>
        </w:tc>
        <w:tc>
          <w:tcPr>
            <w:tcW w:w="320" w:type="dxa"/>
            <w:vAlign w:val="bottom"/>
          </w:tcPr>
          <w:p>
            <w:pPr>
              <w:spacing w:after="0"/>
              <w:rPr>
                <w:sz w:val="23"/>
                <w:szCs w:val="23"/>
                <w:color w:val="auto"/>
              </w:rPr>
            </w:pPr>
          </w:p>
        </w:tc>
        <w:tc>
          <w:tcPr>
            <w:tcW w:w="920" w:type="dxa"/>
            <w:vAlign w:val="bottom"/>
          </w:tcPr>
          <w:p>
            <w:pPr>
              <w:jc w:val="right"/>
              <w:ind w:right="84"/>
              <w:spacing w:after="0"/>
              <w:rPr>
                <w:sz w:val="20"/>
                <w:szCs w:val="20"/>
                <w:color w:val="auto"/>
              </w:rPr>
            </w:pPr>
            <w:r>
              <w:rPr>
                <w:rFonts w:ascii="Arial" w:cs="Arial" w:eastAsia="Arial" w:hAnsi="Arial"/>
                <w:sz w:val="15"/>
                <w:szCs w:val="15"/>
                <w:color w:val="auto"/>
              </w:rPr>
              <w:t>—</w:t>
            </w:r>
          </w:p>
        </w:tc>
        <w:tc>
          <w:tcPr>
            <w:tcW w:w="340" w:type="dxa"/>
            <w:vAlign w:val="bottom"/>
          </w:tcPr>
          <w:p>
            <w:pPr>
              <w:spacing w:after="0"/>
              <w:rPr>
                <w:sz w:val="23"/>
                <w:szCs w:val="23"/>
                <w:color w:val="auto"/>
              </w:rPr>
            </w:pPr>
          </w:p>
        </w:tc>
        <w:tc>
          <w:tcPr>
            <w:tcW w:w="860" w:type="dxa"/>
            <w:vAlign w:val="bottom"/>
          </w:tcPr>
          <w:p>
            <w:pPr>
              <w:jc w:val="right"/>
              <w:ind w:right="24"/>
              <w:spacing w:after="0"/>
              <w:rPr>
                <w:sz w:val="20"/>
                <w:szCs w:val="20"/>
                <w:color w:val="auto"/>
              </w:rPr>
            </w:pPr>
            <w:r>
              <w:rPr>
                <w:rFonts w:ascii="Arial" w:cs="Arial" w:eastAsia="Arial" w:hAnsi="Arial"/>
                <w:sz w:val="15"/>
                <w:szCs w:val="15"/>
                <w:color w:val="auto"/>
              </w:rPr>
              <w:t>93,481</w:t>
            </w:r>
          </w:p>
        </w:tc>
        <w:tc>
          <w:tcPr>
            <w:tcW w:w="0" w:type="dxa"/>
            <w:vAlign w:val="bottom"/>
          </w:tcPr>
          <w:p>
            <w:pPr>
              <w:spacing w:after="0"/>
              <w:rPr>
                <w:sz w:val="1"/>
                <w:szCs w:val="1"/>
                <w:color w:val="auto"/>
              </w:rPr>
            </w:pPr>
          </w:p>
        </w:tc>
      </w:tr>
      <w:tr>
        <w:trPr>
          <w:trHeight w:val="270"/>
        </w:trPr>
        <w:tc>
          <w:tcPr>
            <w:tcW w:w="7780" w:type="dxa"/>
            <w:vAlign w:val="bottom"/>
          </w:tcPr>
          <w:p>
            <w:pPr>
              <w:ind w:left="280"/>
              <w:spacing w:after="0"/>
              <w:rPr>
                <w:sz w:val="20"/>
                <w:szCs w:val="20"/>
                <w:color w:val="auto"/>
              </w:rPr>
            </w:pPr>
            <w:r>
              <w:rPr>
                <w:rFonts w:ascii="Arial" w:cs="Arial" w:eastAsia="Arial" w:hAnsi="Arial"/>
                <w:sz w:val="15"/>
                <w:szCs w:val="15"/>
                <w:color w:val="auto"/>
              </w:rPr>
              <w:t>Disbursement of loan to affiliate</w:t>
            </w:r>
          </w:p>
        </w:tc>
        <w:tc>
          <w:tcPr>
            <w:tcW w:w="260" w:type="dxa"/>
            <w:vAlign w:val="bottom"/>
          </w:tcPr>
          <w:p>
            <w:pPr>
              <w:spacing w:after="0"/>
              <w:rPr>
                <w:sz w:val="23"/>
                <w:szCs w:val="23"/>
                <w:color w:val="auto"/>
              </w:rPr>
            </w:pPr>
          </w:p>
        </w:tc>
        <w:tc>
          <w:tcPr>
            <w:tcW w:w="940" w:type="dxa"/>
            <w:vAlign w:val="bottom"/>
          </w:tcPr>
          <w:p>
            <w:pPr>
              <w:jc w:val="right"/>
              <w:ind w:right="24"/>
              <w:spacing w:after="0"/>
              <w:rPr>
                <w:sz w:val="20"/>
                <w:szCs w:val="20"/>
                <w:color w:val="auto"/>
              </w:rPr>
            </w:pPr>
            <w:r>
              <w:rPr>
                <w:rFonts w:ascii="Arial" w:cs="Arial" w:eastAsia="Arial" w:hAnsi="Arial"/>
                <w:sz w:val="15"/>
                <w:szCs w:val="15"/>
                <w:b w:val="1"/>
                <w:bCs w:val="1"/>
                <w:color w:val="auto"/>
              </w:rPr>
              <w:t>(14,244)</w:t>
            </w:r>
          </w:p>
        </w:tc>
        <w:tc>
          <w:tcPr>
            <w:tcW w:w="320" w:type="dxa"/>
            <w:vAlign w:val="bottom"/>
          </w:tcPr>
          <w:p>
            <w:pPr>
              <w:spacing w:after="0"/>
              <w:rPr>
                <w:sz w:val="23"/>
                <w:szCs w:val="23"/>
                <w:color w:val="auto"/>
              </w:rPr>
            </w:pPr>
          </w:p>
        </w:tc>
        <w:tc>
          <w:tcPr>
            <w:tcW w:w="920" w:type="dxa"/>
            <w:vAlign w:val="bottom"/>
          </w:tcPr>
          <w:p>
            <w:pPr>
              <w:jc w:val="right"/>
              <w:ind w:right="84"/>
              <w:spacing w:after="0"/>
              <w:rPr>
                <w:sz w:val="20"/>
                <w:szCs w:val="20"/>
                <w:color w:val="auto"/>
              </w:rPr>
            </w:pPr>
            <w:r>
              <w:rPr>
                <w:rFonts w:ascii="Arial" w:cs="Arial" w:eastAsia="Arial" w:hAnsi="Arial"/>
                <w:sz w:val="15"/>
                <w:szCs w:val="15"/>
                <w:color w:val="auto"/>
              </w:rPr>
              <w:t>—</w:t>
            </w:r>
          </w:p>
        </w:tc>
        <w:tc>
          <w:tcPr>
            <w:tcW w:w="340" w:type="dxa"/>
            <w:vAlign w:val="bottom"/>
          </w:tcPr>
          <w:p>
            <w:pPr>
              <w:spacing w:after="0"/>
              <w:rPr>
                <w:sz w:val="23"/>
                <w:szCs w:val="23"/>
                <w:color w:val="auto"/>
              </w:rPr>
            </w:pPr>
          </w:p>
        </w:tc>
        <w:tc>
          <w:tcPr>
            <w:tcW w:w="86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68"/>
        </w:trPr>
        <w:tc>
          <w:tcPr>
            <w:tcW w:w="7780" w:type="dxa"/>
            <w:vAlign w:val="bottom"/>
          </w:tcPr>
          <w:p>
            <w:pPr>
              <w:ind w:left="280"/>
              <w:spacing w:after="0"/>
              <w:rPr>
                <w:sz w:val="20"/>
                <w:szCs w:val="20"/>
                <w:color w:val="auto"/>
              </w:rPr>
            </w:pPr>
            <w:r>
              <w:rPr>
                <w:rFonts w:ascii="Arial" w:cs="Arial" w:eastAsia="Arial" w:hAnsi="Arial"/>
                <w:sz w:val="15"/>
                <w:szCs w:val="15"/>
                <w:color w:val="auto"/>
              </w:rPr>
              <w:t>Other</w:t>
            </w:r>
          </w:p>
        </w:tc>
        <w:tc>
          <w:tcPr>
            <w:tcW w:w="26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b w:val="1"/>
                <w:bCs w:val="1"/>
                <w:color w:val="auto"/>
              </w:rPr>
              <w:t>—</w:t>
            </w:r>
          </w:p>
        </w:tc>
        <w:tc>
          <w:tcPr>
            <w:tcW w:w="32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color w:val="auto"/>
              </w:rPr>
              <w:t>73</w:t>
            </w:r>
          </w:p>
        </w:tc>
        <w:tc>
          <w:tcPr>
            <w:tcW w:w="34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(5,200)</w:t>
            </w:r>
          </w:p>
        </w:tc>
        <w:tc>
          <w:tcPr>
            <w:tcW w:w="0" w:type="dxa"/>
            <w:vAlign w:val="bottom"/>
          </w:tcPr>
          <w:p>
            <w:pPr>
              <w:spacing w:after="0"/>
              <w:rPr>
                <w:sz w:val="1"/>
                <w:szCs w:val="1"/>
                <w:color w:val="auto"/>
              </w:rPr>
            </w:pPr>
          </w:p>
        </w:tc>
      </w:tr>
      <w:tr>
        <w:trPr>
          <w:trHeight w:val="264"/>
        </w:trPr>
        <w:tc>
          <w:tcPr>
            <w:tcW w:w="7780" w:type="dxa"/>
            <w:vAlign w:val="bottom"/>
          </w:tcPr>
          <w:p>
            <w:pPr>
              <w:ind w:left="500"/>
              <w:spacing w:after="0"/>
              <w:rPr>
                <w:sz w:val="20"/>
                <w:szCs w:val="20"/>
                <w:color w:val="auto"/>
              </w:rPr>
            </w:pPr>
            <w:r>
              <w:rPr>
                <w:rFonts w:ascii="Arial" w:cs="Arial" w:eastAsia="Arial" w:hAnsi="Arial"/>
                <w:sz w:val="15"/>
                <w:szCs w:val="15"/>
                <w:color w:val="auto"/>
              </w:rPr>
              <w:t>Net Cash (Used in) Provided by Investing Activities</w:t>
            </w:r>
          </w:p>
        </w:tc>
        <w:tc>
          <w:tcPr>
            <w:tcW w:w="2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b w:val="1"/>
                <w:bCs w:val="1"/>
                <w:color w:val="auto"/>
              </w:rPr>
              <w:t>(311,286)</w:t>
            </w:r>
          </w:p>
        </w:tc>
        <w:tc>
          <w:tcPr>
            <w:tcW w:w="3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(425,570)</w:t>
            </w:r>
          </w:p>
        </w:tc>
        <w:tc>
          <w:tcPr>
            <w:tcW w:w="3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229,015</w:t>
            </w:r>
          </w:p>
        </w:tc>
        <w:tc>
          <w:tcPr>
            <w:tcW w:w="0" w:type="dxa"/>
            <w:vAlign w:val="bottom"/>
          </w:tcPr>
          <w:p>
            <w:pPr>
              <w:spacing w:after="0"/>
              <w:rPr>
                <w:sz w:val="1"/>
                <w:szCs w:val="1"/>
                <w:color w:val="auto"/>
              </w:rPr>
            </w:pPr>
          </w:p>
        </w:tc>
      </w:tr>
      <w:tr>
        <w:trPr>
          <w:trHeight w:val="266"/>
        </w:trPr>
        <w:tc>
          <w:tcPr>
            <w:tcW w:w="7780" w:type="dxa"/>
            <w:vAlign w:val="bottom"/>
          </w:tcPr>
          <w:p>
            <w:pPr>
              <w:ind w:left="40"/>
              <w:spacing w:after="0"/>
              <w:rPr>
                <w:sz w:val="20"/>
                <w:szCs w:val="20"/>
                <w:color w:val="auto"/>
              </w:rPr>
            </w:pPr>
            <w:r>
              <w:rPr>
                <w:rFonts w:ascii="Arial" w:cs="Arial" w:eastAsia="Arial" w:hAnsi="Arial"/>
                <w:sz w:val="15"/>
                <w:szCs w:val="15"/>
                <w:b w:val="1"/>
                <w:bCs w:val="1"/>
                <w:color w:val="auto"/>
              </w:rPr>
              <w:t>Cash Flows from Financing Activities</w:t>
            </w:r>
          </w:p>
        </w:tc>
        <w:tc>
          <w:tcPr>
            <w:tcW w:w="2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780" w:type="dxa"/>
            <w:vAlign w:val="bottom"/>
          </w:tcPr>
          <w:p>
            <w:pPr>
              <w:ind w:left="280"/>
              <w:spacing w:after="0"/>
              <w:rPr>
                <w:sz w:val="20"/>
                <w:szCs w:val="20"/>
                <w:color w:val="auto"/>
              </w:rPr>
            </w:pPr>
            <w:r>
              <w:rPr>
                <w:rFonts w:ascii="Arial" w:cs="Arial" w:eastAsia="Arial" w:hAnsi="Arial"/>
                <w:sz w:val="15"/>
                <w:szCs w:val="15"/>
                <w:color w:val="auto"/>
              </w:rPr>
              <w:t>Common shares repurchased, including the Berkshire Exchange transaction</w:t>
            </w:r>
          </w:p>
        </w:tc>
        <w:tc>
          <w:tcPr>
            <w:tcW w:w="260" w:type="dxa"/>
            <w:vAlign w:val="bottom"/>
          </w:tcPr>
          <w:p>
            <w:pPr>
              <w:spacing w:after="0"/>
              <w:rPr>
                <w:sz w:val="23"/>
                <w:szCs w:val="23"/>
                <w:color w:val="auto"/>
              </w:rPr>
            </w:pPr>
          </w:p>
        </w:tc>
        <w:tc>
          <w:tcPr>
            <w:tcW w:w="940" w:type="dxa"/>
            <w:vAlign w:val="bottom"/>
          </w:tcPr>
          <w:p>
            <w:pPr>
              <w:jc w:val="right"/>
              <w:ind w:right="24"/>
              <w:spacing w:after="0"/>
              <w:rPr>
                <w:sz w:val="20"/>
                <w:szCs w:val="20"/>
                <w:color w:val="auto"/>
              </w:rPr>
            </w:pPr>
            <w:r>
              <w:rPr>
                <w:rFonts w:ascii="Arial" w:cs="Arial" w:eastAsia="Arial" w:hAnsi="Arial"/>
                <w:sz w:val="15"/>
                <w:szCs w:val="15"/>
                <w:b w:val="1"/>
                <w:bCs w:val="1"/>
                <w:color w:val="auto"/>
              </w:rPr>
              <w:t>(108,948)</w:t>
            </w:r>
          </w:p>
        </w:tc>
        <w:tc>
          <w:tcPr>
            <w:tcW w:w="320" w:type="dxa"/>
            <w:vAlign w:val="bottom"/>
          </w:tcPr>
          <w:p>
            <w:pPr>
              <w:spacing w:after="0"/>
              <w:rPr>
                <w:sz w:val="23"/>
                <w:szCs w:val="23"/>
                <w:color w:val="auto"/>
              </w:rPr>
            </w:pPr>
          </w:p>
        </w:tc>
        <w:tc>
          <w:tcPr>
            <w:tcW w:w="920" w:type="dxa"/>
            <w:vAlign w:val="bottom"/>
          </w:tcPr>
          <w:p>
            <w:pPr>
              <w:jc w:val="right"/>
              <w:ind w:right="24"/>
              <w:spacing w:after="0"/>
              <w:rPr>
                <w:sz w:val="20"/>
                <w:szCs w:val="20"/>
                <w:color w:val="auto"/>
              </w:rPr>
            </w:pPr>
            <w:r>
              <w:rPr>
                <w:rFonts w:ascii="Arial" w:cs="Arial" w:eastAsia="Arial" w:hAnsi="Arial"/>
                <w:sz w:val="15"/>
                <w:szCs w:val="15"/>
                <w:color w:val="auto"/>
              </w:rPr>
              <w:t>(22,979)</w:t>
            </w:r>
          </w:p>
        </w:tc>
        <w:tc>
          <w:tcPr>
            <w:tcW w:w="3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(327,718)</w:t>
            </w:r>
          </w:p>
        </w:tc>
        <w:tc>
          <w:tcPr>
            <w:tcW w:w="0" w:type="dxa"/>
            <w:vAlign w:val="bottom"/>
          </w:tcPr>
          <w:p>
            <w:pPr>
              <w:spacing w:after="0"/>
              <w:rPr>
                <w:sz w:val="1"/>
                <w:szCs w:val="1"/>
                <w:color w:val="auto"/>
              </w:rPr>
            </w:pPr>
          </w:p>
        </w:tc>
      </w:tr>
      <w:tr>
        <w:trPr>
          <w:trHeight w:val="270"/>
        </w:trPr>
        <w:tc>
          <w:tcPr>
            <w:tcW w:w="7780" w:type="dxa"/>
            <w:vAlign w:val="bottom"/>
          </w:tcPr>
          <w:p>
            <w:pPr>
              <w:ind w:left="280"/>
              <w:spacing w:after="0"/>
              <w:rPr>
                <w:sz w:val="20"/>
                <w:szCs w:val="20"/>
                <w:color w:val="auto"/>
              </w:rPr>
            </w:pPr>
            <w:r>
              <w:rPr>
                <w:rFonts w:ascii="Arial" w:cs="Arial" w:eastAsia="Arial" w:hAnsi="Arial"/>
                <w:sz w:val="15"/>
                <w:szCs w:val="15"/>
                <w:color w:val="auto"/>
              </w:rPr>
              <w:t>Issuance of borrowings</w:t>
            </w:r>
          </w:p>
        </w:tc>
        <w:tc>
          <w:tcPr>
            <w:tcW w:w="260" w:type="dxa"/>
            <w:vAlign w:val="bottom"/>
          </w:tcPr>
          <w:p>
            <w:pPr>
              <w:spacing w:after="0"/>
              <w:rPr>
                <w:sz w:val="23"/>
                <w:szCs w:val="23"/>
                <w:color w:val="auto"/>
              </w:rPr>
            </w:pPr>
          </w:p>
        </w:tc>
        <w:tc>
          <w:tcPr>
            <w:tcW w:w="940" w:type="dxa"/>
            <w:vAlign w:val="bottom"/>
          </w:tcPr>
          <w:p>
            <w:pPr>
              <w:jc w:val="right"/>
              <w:ind w:right="84"/>
              <w:spacing w:after="0"/>
              <w:rPr>
                <w:sz w:val="20"/>
                <w:szCs w:val="20"/>
                <w:color w:val="auto"/>
              </w:rPr>
            </w:pPr>
            <w:r>
              <w:rPr>
                <w:rFonts w:ascii="Arial" w:cs="Arial" w:eastAsia="Arial" w:hAnsi="Arial"/>
                <w:sz w:val="15"/>
                <w:szCs w:val="15"/>
                <w:b w:val="1"/>
                <w:bCs w:val="1"/>
                <w:color w:val="auto"/>
              </w:rPr>
              <w:t>98,610</w:t>
            </w:r>
          </w:p>
        </w:tc>
        <w:tc>
          <w:tcPr>
            <w:tcW w:w="320" w:type="dxa"/>
            <w:vAlign w:val="bottom"/>
          </w:tcPr>
          <w:p>
            <w:pPr>
              <w:spacing w:after="0"/>
              <w:rPr>
                <w:sz w:val="23"/>
                <w:szCs w:val="23"/>
                <w:color w:val="auto"/>
              </w:rPr>
            </w:pPr>
          </w:p>
        </w:tc>
        <w:tc>
          <w:tcPr>
            <w:tcW w:w="920" w:type="dxa"/>
            <w:vAlign w:val="bottom"/>
          </w:tcPr>
          <w:p>
            <w:pPr>
              <w:jc w:val="right"/>
              <w:ind w:right="84"/>
              <w:spacing w:after="0"/>
              <w:rPr>
                <w:sz w:val="20"/>
                <w:szCs w:val="20"/>
                <w:color w:val="auto"/>
              </w:rPr>
            </w:pPr>
            <w:r>
              <w:rPr>
                <w:rFonts w:ascii="Arial" w:cs="Arial" w:eastAsia="Arial" w:hAnsi="Arial"/>
                <w:sz w:val="15"/>
                <w:szCs w:val="15"/>
                <w:color w:val="auto"/>
              </w:rPr>
              <w:t>550,000</w:t>
            </w:r>
          </w:p>
        </w:tc>
        <w:tc>
          <w:tcPr>
            <w:tcW w:w="340" w:type="dxa"/>
            <w:vAlign w:val="bottom"/>
          </w:tcPr>
          <w:p>
            <w:pPr>
              <w:spacing w:after="0"/>
              <w:rPr>
                <w:sz w:val="23"/>
                <w:szCs w:val="23"/>
                <w:color w:val="auto"/>
              </w:rPr>
            </w:pPr>
          </w:p>
        </w:tc>
        <w:tc>
          <w:tcPr>
            <w:tcW w:w="86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70"/>
        </w:trPr>
        <w:tc>
          <w:tcPr>
            <w:tcW w:w="7780" w:type="dxa"/>
            <w:vAlign w:val="bottom"/>
          </w:tcPr>
          <w:p>
            <w:pPr>
              <w:ind w:left="280"/>
              <w:spacing w:after="0"/>
              <w:rPr>
                <w:sz w:val="20"/>
                <w:szCs w:val="20"/>
                <w:color w:val="auto"/>
              </w:rPr>
            </w:pPr>
            <w:r>
              <w:rPr>
                <w:rFonts w:ascii="Arial" w:cs="Arial" w:eastAsia="Arial" w:hAnsi="Arial"/>
                <w:sz w:val="15"/>
                <w:szCs w:val="15"/>
                <w:color w:val="auto"/>
              </w:rPr>
              <w:t>Cash distributed to Cable ONE in spin-off</w:t>
            </w:r>
          </w:p>
        </w:tc>
        <w:tc>
          <w:tcPr>
            <w:tcW w:w="260" w:type="dxa"/>
            <w:vAlign w:val="bottom"/>
          </w:tcPr>
          <w:p>
            <w:pPr>
              <w:spacing w:after="0"/>
              <w:rPr>
                <w:sz w:val="23"/>
                <w:szCs w:val="23"/>
                <w:color w:val="auto"/>
              </w:rPr>
            </w:pPr>
          </w:p>
        </w:tc>
        <w:tc>
          <w:tcPr>
            <w:tcW w:w="940" w:type="dxa"/>
            <w:vAlign w:val="bottom"/>
          </w:tcPr>
          <w:p>
            <w:pPr>
              <w:jc w:val="right"/>
              <w:ind w:right="84"/>
              <w:spacing w:after="0"/>
              <w:rPr>
                <w:sz w:val="20"/>
                <w:szCs w:val="20"/>
                <w:color w:val="auto"/>
              </w:rPr>
            </w:pPr>
            <w:r>
              <w:rPr>
                <w:rFonts w:ascii="Arial" w:cs="Arial" w:eastAsia="Arial" w:hAnsi="Arial"/>
                <w:sz w:val="15"/>
                <w:szCs w:val="15"/>
                <w:b w:val="1"/>
                <w:bCs w:val="1"/>
                <w:color w:val="auto"/>
              </w:rPr>
              <w:t>—</w:t>
            </w:r>
          </w:p>
        </w:tc>
        <w:tc>
          <w:tcPr>
            <w:tcW w:w="320" w:type="dxa"/>
            <w:vAlign w:val="bottom"/>
          </w:tcPr>
          <w:p>
            <w:pPr>
              <w:spacing w:after="0"/>
              <w:rPr>
                <w:sz w:val="23"/>
                <w:szCs w:val="23"/>
                <w:color w:val="auto"/>
              </w:rPr>
            </w:pPr>
          </w:p>
        </w:tc>
        <w:tc>
          <w:tcPr>
            <w:tcW w:w="920" w:type="dxa"/>
            <w:vAlign w:val="bottom"/>
          </w:tcPr>
          <w:p>
            <w:pPr>
              <w:jc w:val="right"/>
              <w:ind w:right="24"/>
              <w:spacing w:after="0"/>
              <w:rPr>
                <w:sz w:val="20"/>
                <w:szCs w:val="20"/>
                <w:color w:val="auto"/>
              </w:rPr>
            </w:pPr>
            <w:r>
              <w:rPr>
                <w:rFonts w:ascii="Arial" w:cs="Arial" w:eastAsia="Arial" w:hAnsi="Arial"/>
                <w:sz w:val="15"/>
                <w:szCs w:val="15"/>
                <w:color w:val="auto"/>
              </w:rPr>
              <w:t>(94,115)</w:t>
            </w:r>
          </w:p>
        </w:tc>
        <w:tc>
          <w:tcPr>
            <w:tcW w:w="340" w:type="dxa"/>
            <w:vAlign w:val="bottom"/>
          </w:tcPr>
          <w:p>
            <w:pPr>
              <w:spacing w:after="0"/>
              <w:rPr>
                <w:sz w:val="23"/>
                <w:szCs w:val="23"/>
                <w:color w:val="auto"/>
              </w:rPr>
            </w:pPr>
          </w:p>
        </w:tc>
        <w:tc>
          <w:tcPr>
            <w:tcW w:w="86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70"/>
        </w:trPr>
        <w:tc>
          <w:tcPr>
            <w:tcW w:w="7780" w:type="dxa"/>
            <w:vAlign w:val="bottom"/>
          </w:tcPr>
          <w:p>
            <w:pPr>
              <w:ind w:left="280"/>
              <w:spacing w:after="0"/>
              <w:rPr>
                <w:sz w:val="20"/>
                <w:szCs w:val="20"/>
                <w:color w:val="auto"/>
              </w:rPr>
            </w:pPr>
            <w:r>
              <w:rPr>
                <w:rFonts w:ascii="Arial" w:cs="Arial" w:eastAsia="Arial" w:hAnsi="Arial"/>
                <w:sz w:val="15"/>
                <w:szCs w:val="15"/>
                <w:color w:val="auto"/>
              </w:rPr>
              <w:t>Dividends paid</w:t>
            </w:r>
          </w:p>
        </w:tc>
        <w:tc>
          <w:tcPr>
            <w:tcW w:w="260" w:type="dxa"/>
            <w:vAlign w:val="bottom"/>
          </w:tcPr>
          <w:p>
            <w:pPr>
              <w:spacing w:after="0"/>
              <w:rPr>
                <w:sz w:val="23"/>
                <w:szCs w:val="23"/>
                <w:color w:val="auto"/>
              </w:rPr>
            </w:pPr>
          </w:p>
        </w:tc>
        <w:tc>
          <w:tcPr>
            <w:tcW w:w="940" w:type="dxa"/>
            <w:vAlign w:val="bottom"/>
          </w:tcPr>
          <w:p>
            <w:pPr>
              <w:jc w:val="right"/>
              <w:ind w:right="24"/>
              <w:spacing w:after="0"/>
              <w:rPr>
                <w:sz w:val="20"/>
                <w:szCs w:val="20"/>
                <w:color w:val="auto"/>
              </w:rPr>
            </w:pPr>
            <w:r>
              <w:rPr>
                <w:rFonts w:ascii="Arial" w:cs="Arial" w:eastAsia="Arial" w:hAnsi="Arial"/>
                <w:sz w:val="15"/>
                <w:szCs w:val="15"/>
                <w:b w:val="1"/>
                <w:bCs w:val="1"/>
                <w:color w:val="auto"/>
              </w:rPr>
              <w:t>(27,325)</w:t>
            </w:r>
          </w:p>
        </w:tc>
        <w:tc>
          <w:tcPr>
            <w:tcW w:w="320" w:type="dxa"/>
            <w:vAlign w:val="bottom"/>
          </w:tcPr>
          <w:p>
            <w:pPr>
              <w:spacing w:after="0"/>
              <w:rPr>
                <w:sz w:val="23"/>
                <w:szCs w:val="23"/>
                <w:color w:val="auto"/>
              </w:rPr>
            </w:pPr>
          </w:p>
        </w:tc>
        <w:tc>
          <w:tcPr>
            <w:tcW w:w="920" w:type="dxa"/>
            <w:vAlign w:val="bottom"/>
          </w:tcPr>
          <w:p>
            <w:pPr>
              <w:jc w:val="right"/>
              <w:ind w:right="24"/>
              <w:spacing w:after="0"/>
              <w:rPr>
                <w:sz w:val="20"/>
                <w:szCs w:val="20"/>
                <w:color w:val="auto"/>
              </w:rPr>
            </w:pPr>
            <w:r>
              <w:rPr>
                <w:rFonts w:ascii="Arial" w:cs="Arial" w:eastAsia="Arial" w:hAnsi="Arial"/>
                <w:sz w:val="15"/>
                <w:szCs w:val="15"/>
                <w:color w:val="auto"/>
              </w:rPr>
              <w:t>(53,721)</w:t>
            </w:r>
          </w:p>
        </w:tc>
        <w:tc>
          <w:tcPr>
            <w:tcW w:w="3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(68,114)</w:t>
            </w:r>
          </w:p>
        </w:tc>
        <w:tc>
          <w:tcPr>
            <w:tcW w:w="0" w:type="dxa"/>
            <w:vAlign w:val="bottom"/>
          </w:tcPr>
          <w:p>
            <w:pPr>
              <w:spacing w:after="0"/>
              <w:rPr>
                <w:sz w:val="1"/>
                <w:szCs w:val="1"/>
                <w:color w:val="auto"/>
              </w:rPr>
            </w:pPr>
          </w:p>
        </w:tc>
      </w:tr>
      <w:tr>
        <w:trPr>
          <w:trHeight w:val="270"/>
        </w:trPr>
        <w:tc>
          <w:tcPr>
            <w:tcW w:w="7780" w:type="dxa"/>
            <w:vAlign w:val="bottom"/>
          </w:tcPr>
          <w:p>
            <w:pPr>
              <w:ind w:left="280"/>
              <w:spacing w:after="0"/>
              <w:rPr>
                <w:sz w:val="20"/>
                <w:szCs w:val="20"/>
                <w:color w:val="auto"/>
              </w:rPr>
            </w:pPr>
            <w:r>
              <w:rPr>
                <w:rFonts w:ascii="Arial" w:cs="Arial" w:eastAsia="Arial" w:hAnsi="Arial"/>
                <w:sz w:val="15"/>
                <w:szCs w:val="15"/>
                <w:color w:val="auto"/>
              </w:rPr>
              <w:t>Purchase of noncontrolling interest</w:t>
            </w:r>
          </w:p>
        </w:tc>
        <w:tc>
          <w:tcPr>
            <w:tcW w:w="260" w:type="dxa"/>
            <w:vAlign w:val="bottom"/>
          </w:tcPr>
          <w:p>
            <w:pPr>
              <w:spacing w:after="0"/>
              <w:rPr>
                <w:sz w:val="23"/>
                <w:szCs w:val="23"/>
                <w:color w:val="auto"/>
              </w:rPr>
            </w:pPr>
          </w:p>
        </w:tc>
        <w:tc>
          <w:tcPr>
            <w:tcW w:w="940" w:type="dxa"/>
            <w:vAlign w:val="bottom"/>
          </w:tcPr>
          <w:p>
            <w:pPr>
              <w:jc w:val="right"/>
              <w:ind w:right="24"/>
              <w:spacing w:after="0"/>
              <w:rPr>
                <w:sz w:val="20"/>
                <w:szCs w:val="20"/>
                <w:color w:val="auto"/>
              </w:rPr>
            </w:pPr>
            <w:r>
              <w:rPr>
                <w:rFonts w:ascii="Arial" w:cs="Arial" w:eastAsia="Arial" w:hAnsi="Arial"/>
                <w:sz w:val="15"/>
                <w:szCs w:val="15"/>
                <w:b w:val="1"/>
                <w:bCs w:val="1"/>
                <w:color w:val="auto"/>
              </w:rPr>
              <w:t>(21,000)</w:t>
            </w:r>
          </w:p>
        </w:tc>
        <w:tc>
          <w:tcPr>
            <w:tcW w:w="320" w:type="dxa"/>
            <w:vAlign w:val="bottom"/>
          </w:tcPr>
          <w:p>
            <w:pPr>
              <w:spacing w:after="0"/>
              <w:rPr>
                <w:sz w:val="23"/>
                <w:szCs w:val="23"/>
                <w:color w:val="auto"/>
              </w:rPr>
            </w:pPr>
          </w:p>
        </w:tc>
        <w:tc>
          <w:tcPr>
            <w:tcW w:w="920" w:type="dxa"/>
            <w:vAlign w:val="bottom"/>
          </w:tcPr>
          <w:p>
            <w:pPr>
              <w:jc w:val="right"/>
              <w:ind w:right="84"/>
              <w:spacing w:after="0"/>
              <w:rPr>
                <w:sz w:val="20"/>
                <w:szCs w:val="20"/>
                <w:color w:val="auto"/>
              </w:rPr>
            </w:pPr>
            <w:r>
              <w:rPr>
                <w:rFonts w:ascii="Arial" w:cs="Arial" w:eastAsia="Arial" w:hAnsi="Arial"/>
                <w:sz w:val="15"/>
                <w:szCs w:val="15"/>
                <w:color w:val="auto"/>
              </w:rPr>
              <w:t>—</w:t>
            </w:r>
          </w:p>
        </w:tc>
        <w:tc>
          <w:tcPr>
            <w:tcW w:w="340" w:type="dxa"/>
            <w:vAlign w:val="bottom"/>
          </w:tcPr>
          <w:p>
            <w:pPr>
              <w:spacing w:after="0"/>
              <w:rPr>
                <w:sz w:val="23"/>
                <w:szCs w:val="23"/>
                <w:color w:val="auto"/>
              </w:rPr>
            </w:pPr>
          </w:p>
        </w:tc>
        <w:tc>
          <w:tcPr>
            <w:tcW w:w="86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70"/>
        </w:trPr>
        <w:tc>
          <w:tcPr>
            <w:tcW w:w="7780" w:type="dxa"/>
            <w:vAlign w:val="bottom"/>
          </w:tcPr>
          <w:p>
            <w:pPr>
              <w:ind w:left="280"/>
              <w:spacing w:after="0"/>
              <w:rPr>
                <w:sz w:val="20"/>
                <w:szCs w:val="20"/>
                <w:color w:val="auto"/>
              </w:rPr>
            </w:pPr>
            <w:r>
              <w:rPr>
                <w:rFonts w:ascii="Arial" w:cs="Arial" w:eastAsia="Arial" w:hAnsi="Arial"/>
                <w:sz w:val="15"/>
                <w:szCs w:val="15"/>
                <w:color w:val="auto"/>
              </w:rPr>
              <w:t>Repayments of borrowings</w:t>
            </w:r>
          </w:p>
        </w:tc>
        <w:tc>
          <w:tcPr>
            <w:tcW w:w="260" w:type="dxa"/>
            <w:vAlign w:val="bottom"/>
          </w:tcPr>
          <w:p>
            <w:pPr>
              <w:spacing w:after="0"/>
              <w:rPr>
                <w:sz w:val="23"/>
                <w:szCs w:val="23"/>
                <w:color w:val="auto"/>
              </w:rPr>
            </w:pPr>
          </w:p>
        </w:tc>
        <w:tc>
          <w:tcPr>
            <w:tcW w:w="940" w:type="dxa"/>
            <w:vAlign w:val="bottom"/>
          </w:tcPr>
          <w:p>
            <w:pPr>
              <w:jc w:val="right"/>
              <w:ind w:right="84"/>
              <w:spacing w:after="0"/>
              <w:rPr>
                <w:sz w:val="20"/>
                <w:szCs w:val="20"/>
                <w:color w:val="auto"/>
              </w:rPr>
            </w:pPr>
            <w:r>
              <w:rPr>
                <w:rFonts w:ascii="Arial" w:cs="Arial" w:eastAsia="Arial" w:hAnsi="Arial"/>
                <w:sz w:val="15"/>
                <w:szCs w:val="15"/>
                <w:b w:val="1"/>
                <w:bCs w:val="1"/>
                <w:color w:val="auto"/>
              </w:rPr>
              <w:t>—</w:t>
            </w:r>
          </w:p>
        </w:tc>
        <w:tc>
          <w:tcPr>
            <w:tcW w:w="320" w:type="dxa"/>
            <w:vAlign w:val="bottom"/>
          </w:tcPr>
          <w:p>
            <w:pPr>
              <w:spacing w:after="0"/>
              <w:rPr>
                <w:sz w:val="23"/>
                <w:szCs w:val="23"/>
                <w:color w:val="auto"/>
              </w:rPr>
            </w:pPr>
          </w:p>
        </w:tc>
        <w:tc>
          <w:tcPr>
            <w:tcW w:w="920" w:type="dxa"/>
            <w:vAlign w:val="bottom"/>
          </w:tcPr>
          <w:p>
            <w:pPr>
              <w:jc w:val="right"/>
              <w:ind w:right="24"/>
              <w:spacing w:after="0"/>
              <w:rPr>
                <w:sz w:val="20"/>
                <w:szCs w:val="20"/>
                <w:color w:val="auto"/>
              </w:rPr>
            </w:pPr>
            <w:r>
              <w:rPr>
                <w:rFonts w:ascii="Arial" w:cs="Arial" w:eastAsia="Arial" w:hAnsi="Arial"/>
                <w:sz w:val="15"/>
                <w:szCs w:val="15"/>
                <w:color w:val="auto"/>
              </w:rPr>
              <w:t>(44,815)</w:t>
            </w:r>
          </w:p>
        </w:tc>
        <w:tc>
          <w:tcPr>
            <w:tcW w:w="3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(1,538)</w:t>
            </w:r>
          </w:p>
        </w:tc>
        <w:tc>
          <w:tcPr>
            <w:tcW w:w="0" w:type="dxa"/>
            <w:vAlign w:val="bottom"/>
          </w:tcPr>
          <w:p>
            <w:pPr>
              <w:spacing w:after="0"/>
              <w:rPr>
                <w:sz w:val="1"/>
                <w:szCs w:val="1"/>
                <w:color w:val="auto"/>
              </w:rPr>
            </w:pPr>
          </w:p>
        </w:tc>
      </w:tr>
      <w:tr>
        <w:trPr>
          <w:trHeight w:val="270"/>
        </w:trPr>
        <w:tc>
          <w:tcPr>
            <w:tcW w:w="7780" w:type="dxa"/>
            <w:vAlign w:val="bottom"/>
          </w:tcPr>
          <w:p>
            <w:pPr>
              <w:ind w:left="280"/>
              <w:spacing w:after="0"/>
              <w:rPr>
                <w:sz w:val="20"/>
                <w:szCs w:val="20"/>
                <w:color w:val="auto"/>
              </w:rPr>
            </w:pPr>
            <w:r>
              <w:rPr>
                <w:rFonts w:ascii="Arial" w:cs="Arial" w:eastAsia="Arial" w:hAnsi="Arial"/>
                <w:sz w:val="15"/>
                <w:szCs w:val="15"/>
                <w:color w:val="auto"/>
              </w:rPr>
              <w:t>Proceeds from exercise of stock options</w:t>
            </w:r>
          </w:p>
        </w:tc>
        <w:tc>
          <w:tcPr>
            <w:tcW w:w="260" w:type="dxa"/>
            <w:vAlign w:val="bottom"/>
          </w:tcPr>
          <w:p>
            <w:pPr>
              <w:spacing w:after="0"/>
              <w:rPr>
                <w:sz w:val="23"/>
                <w:szCs w:val="23"/>
                <w:color w:val="auto"/>
              </w:rPr>
            </w:pPr>
          </w:p>
        </w:tc>
        <w:tc>
          <w:tcPr>
            <w:tcW w:w="940" w:type="dxa"/>
            <w:vAlign w:val="bottom"/>
          </w:tcPr>
          <w:p>
            <w:pPr>
              <w:jc w:val="right"/>
              <w:ind w:right="84"/>
              <w:spacing w:after="0"/>
              <w:rPr>
                <w:sz w:val="20"/>
                <w:szCs w:val="20"/>
                <w:color w:val="auto"/>
              </w:rPr>
            </w:pPr>
            <w:r>
              <w:rPr>
                <w:rFonts w:ascii="Arial" w:cs="Arial" w:eastAsia="Arial" w:hAnsi="Arial"/>
                <w:sz w:val="15"/>
                <w:szCs w:val="15"/>
                <w:b w:val="1"/>
                <w:bCs w:val="1"/>
                <w:color w:val="auto"/>
              </w:rPr>
              <w:t>1,247</w:t>
            </w:r>
          </w:p>
        </w:tc>
        <w:tc>
          <w:tcPr>
            <w:tcW w:w="320" w:type="dxa"/>
            <w:vAlign w:val="bottom"/>
          </w:tcPr>
          <w:p>
            <w:pPr>
              <w:spacing w:after="0"/>
              <w:rPr>
                <w:sz w:val="23"/>
                <w:szCs w:val="23"/>
                <w:color w:val="auto"/>
              </w:rPr>
            </w:pPr>
          </w:p>
        </w:tc>
        <w:tc>
          <w:tcPr>
            <w:tcW w:w="920" w:type="dxa"/>
            <w:vAlign w:val="bottom"/>
          </w:tcPr>
          <w:p>
            <w:pPr>
              <w:jc w:val="right"/>
              <w:ind w:right="84"/>
              <w:spacing w:after="0"/>
              <w:rPr>
                <w:sz w:val="20"/>
                <w:szCs w:val="20"/>
                <w:color w:val="auto"/>
              </w:rPr>
            </w:pPr>
            <w:r>
              <w:rPr>
                <w:rFonts w:ascii="Arial" w:cs="Arial" w:eastAsia="Arial" w:hAnsi="Arial"/>
                <w:sz w:val="15"/>
                <w:szCs w:val="15"/>
                <w:color w:val="auto"/>
              </w:rPr>
              <w:t>15,312</w:t>
            </w:r>
          </w:p>
        </w:tc>
        <w:tc>
          <w:tcPr>
            <w:tcW w:w="340" w:type="dxa"/>
            <w:vAlign w:val="bottom"/>
          </w:tcPr>
          <w:p>
            <w:pPr>
              <w:spacing w:after="0"/>
              <w:rPr>
                <w:sz w:val="23"/>
                <w:szCs w:val="23"/>
                <w:color w:val="auto"/>
              </w:rPr>
            </w:pPr>
          </w:p>
        </w:tc>
        <w:tc>
          <w:tcPr>
            <w:tcW w:w="860" w:type="dxa"/>
            <w:vAlign w:val="bottom"/>
          </w:tcPr>
          <w:p>
            <w:pPr>
              <w:jc w:val="right"/>
              <w:ind w:right="24"/>
              <w:spacing w:after="0"/>
              <w:rPr>
                <w:sz w:val="20"/>
                <w:szCs w:val="20"/>
                <w:color w:val="auto"/>
              </w:rPr>
            </w:pPr>
            <w:r>
              <w:rPr>
                <w:rFonts w:ascii="Arial" w:cs="Arial" w:eastAsia="Arial" w:hAnsi="Arial"/>
                <w:sz w:val="15"/>
                <w:szCs w:val="15"/>
                <w:color w:val="auto"/>
              </w:rPr>
              <w:t>7,462</w:t>
            </w:r>
          </w:p>
        </w:tc>
        <w:tc>
          <w:tcPr>
            <w:tcW w:w="0" w:type="dxa"/>
            <w:vAlign w:val="bottom"/>
          </w:tcPr>
          <w:p>
            <w:pPr>
              <w:spacing w:after="0"/>
              <w:rPr>
                <w:sz w:val="1"/>
                <w:szCs w:val="1"/>
                <w:color w:val="auto"/>
              </w:rPr>
            </w:pPr>
          </w:p>
        </w:tc>
      </w:tr>
      <w:tr>
        <w:trPr>
          <w:trHeight w:val="270"/>
        </w:trPr>
        <w:tc>
          <w:tcPr>
            <w:tcW w:w="7780" w:type="dxa"/>
            <w:vAlign w:val="bottom"/>
          </w:tcPr>
          <w:p>
            <w:pPr>
              <w:ind w:left="280"/>
              <w:spacing w:after="0"/>
              <w:rPr>
                <w:sz w:val="20"/>
                <w:szCs w:val="20"/>
                <w:color w:val="auto"/>
              </w:rPr>
            </w:pPr>
            <w:r>
              <w:rPr>
                <w:rFonts w:ascii="Arial" w:cs="Arial" w:eastAsia="Arial" w:hAnsi="Arial"/>
                <w:sz w:val="15"/>
                <w:szCs w:val="15"/>
                <w:color w:val="auto"/>
              </w:rPr>
              <w:t>Excess tax benefit on share-based payment awards</w:t>
            </w:r>
          </w:p>
        </w:tc>
        <w:tc>
          <w:tcPr>
            <w:tcW w:w="260" w:type="dxa"/>
            <w:vAlign w:val="bottom"/>
          </w:tcPr>
          <w:p>
            <w:pPr>
              <w:spacing w:after="0"/>
              <w:rPr>
                <w:sz w:val="23"/>
                <w:szCs w:val="23"/>
                <w:color w:val="auto"/>
              </w:rPr>
            </w:pPr>
          </w:p>
        </w:tc>
        <w:tc>
          <w:tcPr>
            <w:tcW w:w="940" w:type="dxa"/>
            <w:vAlign w:val="bottom"/>
          </w:tcPr>
          <w:p>
            <w:pPr>
              <w:jc w:val="right"/>
              <w:ind w:right="84"/>
              <w:spacing w:after="0"/>
              <w:rPr>
                <w:sz w:val="20"/>
                <w:szCs w:val="20"/>
                <w:color w:val="auto"/>
              </w:rPr>
            </w:pPr>
            <w:r>
              <w:rPr>
                <w:rFonts w:ascii="Arial" w:cs="Arial" w:eastAsia="Arial" w:hAnsi="Arial"/>
                <w:sz w:val="15"/>
                <w:szCs w:val="15"/>
                <w:b w:val="1"/>
                <w:bCs w:val="1"/>
                <w:color w:val="auto"/>
              </w:rPr>
              <w:t>558</w:t>
            </w:r>
          </w:p>
        </w:tc>
        <w:tc>
          <w:tcPr>
            <w:tcW w:w="320" w:type="dxa"/>
            <w:vAlign w:val="bottom"/>
          </w:tcPr>
          <w:p>
            <w:pPr>
              <w:spacing w:after="0"/>
              <w:rPr>
                <w:sz w:val="23"/>
                <w:szCs w:val="23"/>
                <w:color w:val="auto"/>
              </w:rPr>
            </w:pPr>
          </w:p>
        </w:tc>
        <w:tc>
          <w:tcPr>
            <w:tcW w:w="920" w:type="dxa"/>
            <w:vAlign w:val="bottom"/>
          </w:tcPr>
          <w:p>
            <w:pPr>
              <w:jc w:val="right"/>
              <w:ind w:right="84"/>
              <w:spacing w:after="0"/>
              <w:rPr>
                <w:sz w:val="20"/>
                <w:szCs w:val="20"/>
                <w:color w:val="auto"/>
              </w:rPr>
            </w:pPr>
            <w:r>
              <w:rPr>
                <w:rFonts w:ascii="Arial" w:cs="Arial" w:eastAsia="Arial" w:hAnsi="Arial"/>
                <w:sz w:val="15"/>
                <w:szCs w:val="15"/>
                <w:color w:val="auto"/>
              </w:rPr>
              <w:t>11,828</w:t>
            </w:r>
          </w:p>
        </w:tc>
        <w:tc>
          <w:tcPr>
            <w:tcW w:w="340" w:type="dxa"/>
            <w:vAlign w:val="bottom"/>
          </w:tcPr>
          <w:p>
            <w:pPr>
              <w:spacing w:after="0"/>
              <w:rPr>
                <w:sz w:val="23"/>
                <w:szCs w:val="23"/>
                <w:color w:val="auto"/>
              </w:rPr>
            </w:pPr>
          </w:p>
        </w:tc>
        <w:tc>
          <w:tcPr>
            <w:tcW w:w="860" w:type="dxa"/>
            <w:vAlign w:val="bottom"/>
          </w:tcPr>
          <w:p>
            <w:pPr>
              <w:jc w:val="right"/>
              <w:ind w:right="24"/>
              <w:spacing w:after="0"/>
              <w:rPr>
                <w:sz w:val="20"/>
                <w:szCs w:val="20"/>
                <w:color w:val="auto"/>
              </w:rPr>
            </w:pPr>
            <w:r>
              <w:rPr>
                <w:rFonts w:ascii="Arial" w:cs="Arial" w:eastAsia="Arial" w:hAnsi="Arial"/>
                <w:sz w:val="15"/>
                <w:szCs w:val="15"/>
                <w:color w:val="auto"/>
              </w:rPr>
              <w:t>1,901</w:t>
            </w:r>
          </w:p>
        </w:tc>
        <w:tc>
          <w:tcPr>
            <w:tcW w:w="0" w:type="dxa"/>
            <w:vAlign w:val="bottom"/>
          </w:tcPr>
          <w:p>
            <w:pPr>
              <w:spacing w:after="0"/>
              <w:rPr>
                <w:sz w:val="1"/>
                <w:szCs w:val="1"/>
                <w:color w:val="auto"/>
              </w:rPr>
            </w:pPr>
          </w:p>
        </w:tc>
      </w:tr>
      <w:tr>
        <w:trPr>
          <w:trHeight w:val="270"/>
        </w:trPr>
        <w:tc>
          <w:tcPr>
            <w:tcW w:w="7780" w:type="dxa"/>
            <w:vAlign w:val="bottom"/>
          </w:tcPr>
          <w:p>
            <w:pPr>
              <w:ind w:left="280"/>
              <w:spacing w:after="0"/>
              <w:rPr>
                <w:sz w:val="20"/>
                <w:szCs w:val="20"/>
                <w:color w:val="auto"/>
              </w:rPr>
            </w:pPr>
            <w:r>
              <w:rPr>
                <w:rFonts w:ascii="Arial" w:cs="Arial" w:eastAsia="Arial" w:hAnsi="Arial"/>
                <w:sz w:val="15"/>
                <w:szCs w:val="15"/>
                <w:color w:val="auto"/>
              </w:rPr>
              <w:t>Redemption of redeemable preferred stock</w:t>
            </w:r>
          </w:p>
        </w:tc>
        <w:tc>
          <w:tcPr>
            <w:tcW w:w="260" w:type="dxa"/>
            <w:vAlign w:val="bottom"/>
          </w:tcPr>
          <w:p>
            <w:pPr>
              <w:spacing w:after="0"/>
              <w:rPr>
                <w:sz w:val="23"/>
                <w:szCs w:val="23"/>
                <w:color w:val="auto"/>
              </w:rPr>
            </w:pPr>
          </w:p>
        </w:tc>
        <w:tc>
          <w:tcPr>
            <w:tcW w:w="940" w:type="dxa"/>
            <w:vAlign w:val="bottom"/>
          </w:tcPr>
          <w:p>
            <w:pPr>
              <w:jc w:val="right"/>
              <w:ind w:right="84"/>
              <w:spacing w:after="0"/>
              <w:rPr>
                <w:sz w:val="20"/>
                <w:szCs w:val="20"/>
                <w:color w:val="auto"/>
              </w:rPr>
            </w:pPr>
            <w:r>
              <w:rPr>
                <w:rFonts w:ascii="Arial" w:cs="Arial" w:eastAsia="Arial" w:hAnsi="Arial"/>
                <w:sz w:val="15"/>
                <w:szCs w:val="15"/>
                <w:b w:val="1"/>
                <w:bCs w:val="1"/>
                <w:color w:val="auto"/>
              </w:rPr>
              <w:t>—</w:t>
            </w:r>
          </w:p>
        </w:tc>
        <w:tc>
          <w:tcPr>
            <w:tcW w:w="320" w:type="dxa"/>
            <w:vAlign w:val="bottom"/>
          </w:tcPr>
          <w:p>
            <w:pPr>
              <w:spacing w:after="0"/>
              <w:rPr>
                <w:sz w:val="23"/>
                <w:szCs w:val="23"/>
                <w:color w:val="auto"/>
              </w:rPr>
            </w:pPr>
          </w:p>
        </w:tc>
        <w:tc>
          <w:tcPr>
            <w:tcW w:w="920" w:type="dxa"/>
            <w:vAlign w:val="bottom"/>
          </w:tcPr>
          <w:p>
            <w:pPr>
              <w:jc w:val="right"/>
              <w:ind w:right="24"/>
              <w:spacing w:after="0"/>
              <w:rPr>
                <w:sz w:val="20"/>
                <w:szCs w:val="20"/>
                <w:color w:val="auto"/>
              </w:rPr>
            </w:pPr>
            <w:r>
              <w:rPr>
                <w:rFonts w:ascii="Arial" w:cs="Arial" w:eastAsia="Arial" w:hAnsi="Arial"/>
                <w:sz w:val="15"/>
                <w:szCs w:val="15"/>
                <w:color w:val="auto"/>
              </w:rPr>
              <w:t>(10,510)</w:t>
            </w:r>
          </w:p>
        </w:tc>
        <w:tc>
          <w:tcPr>
            <w:tcW w:w="340" w:type="dxa"/>
            <w:vAlign w:val="bottom"/>
          </w:tcPr>
          <w:p>
            <w:pPr>
              <w:spacing w:after="0"/>
              <w:rPr>
                <w:sz w:val="23"/>
                <w:szCs w:val="23"/>
                <w:color w:val="auto"/>
              </w:rPr>
            </w:pPr>
          </w:p>
        </w:tc>
        <w:tc>
          <w:tcPr>
            <w:tcW w:w="86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70"/>
        </w:trPr>
        <w:tc>
          <w:tcPr>
            <w:tcW w:w="7780" w:type="dxa"/>
            <w:vAlign w:val="bottom"/>
          </w:tcPr>
          <w:p>
            <w:pPr>
              <w:ind w:left="280"/>
              <w:spacing w:after="0"/>
              <w:rPr>
                <w:sz w:val="20"/>
                <w:szCs w:val="20"/>
                <w:color w:val="auto"/>
              </w:rPr>
            </w:pPr>
            <w:r>
              <w:rPr>
                <w:rFonts w:ascii="Arial" w:cs="Arial" w:eastAsia="Arial" w:hAnsi="Arial"/>
                <w:sz w:val="15"/>
                <w:szCs w:val="15"/>
                <w:color w:val="auto"/>
              </w:rPr>
              <w:t>Payments of financing costs</w:t>
            </w:r>
          </w:p>
        </w:tc>
        <w:tc>
          <w:tcPr>
            <w:tcW w:w="260" w:type="dxa"/>
            <w:vAlign w:val="bottom"/>
          </w:tcPr>
          <w:p>
            <w:pPr>
              <w:spacing w:after="0"/>
              <w:rPr>
                <w:sz w:val="23"/>
                <w:szCs w:val="23"/>
                <w:color w:val="auto"/>
              </w:rPr>
            </w:pPr>
          </w:p>
        </w:tc>
        <w:tc>
          <w:tcPr>
            <w:tcW w:w="940" w:type="dxa"/>
            <w:vAlign w:val="bottom"/>
          </w:tcPr>
          <w:p>
            <w:pPr>
              <w:jc w:val="right"/>
              <w:ind w:right="24"/>
              <w:spacing w:after="0"/>
              <w:rPr>
                <w:sz w:val="20"/>
                <w:szCs w:val="20"/>
                <w:color w:val="auto"/>
              </w:rPr>
            </w:pPr>
            <w:r>
              <w:rPr>
                <w:rFonts w:ascii="Arial" w:cs="Arial" w:eastAsia="Arial" w:hAnsi="Arial"/>
                <w:sz w:val="15"/>
                <w:szCs w:val="15"/>
                <w:b w:val="1"/>
                <w:bCs w:val="1"/>
                <w:color w:val="auto"/>
              </w:rPr>
              <w:t>(648)</w:t>
            </w:r>
          </w:p>
        </w:tc>
        <w:tc>
          <w:tcPr>
            <w:tcW w:w="320" w:type="dxa"/>
            <w:vAlign w:val="bottom"/>
          </w:tcPr>
          <w:p>
            <w:pPr>
              <w:spacing w:after="0"/>
              <w:rPr>
                <w:sz w:val="23"/>
                <w:szCs w:val="23"/>
                <w:color w:val="auto"/>
              </w:rPr>
            </w:pPr>
          </w:p>
        </w:tc>
        <w:tc>
          <w:tcPr>
            <w:tcW w:w="920" w:type="dxa"/>
            <w:vAlign w:val="bottom"/>
          </w:tcPr>
          <w:p>
            <w:pPr>
              <w:jc w:val="right"/>
              <w:ind w:right="24"/>
              <w:spacing w:after="0"/>
              <w:rPr>
                <w:sz w:val="20"/>
                <w:szCs w:val="20"/>
                <w:color w:val="auto"/>
              </w:rPr>
            </w:pPr>
            <w:r>
              <w:rPr>
                <w:rFonts w:ascii="Arial" w:cs="Arial" w:eastAsia="Arial" w:hAnsi="Arial"/>
                <w:sz w:val="15"/>
                <w:szCs w:val="15"/>
                <w:color w:val="auto"/>
              </w:rPr>
              <w:t>(9,944)</w:t>
            </w:r>
          </w:p>
        </w:tc>
        <w:tc>
          <w:tcPr>
            <w:tcW w:w="340" w:type="dxa"/>
            <w:vAlign w:val="bottom"/>
          </w:tcPr>
          <w:p>
            <w:pPr>
              <w:spacing w:after="0"/>
              <w:rPr>
                <w:sz w:val="23"/>
                <w:szCs w:val="23"/>
                <w:color w:val="auto"/>
              </w:rPr>
            </w:pPr>
          </w:p>
        </w:tc>
        <w:tc>
          <w:tcPr>
            <w:tcW w:w="86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68"/>
        </w:trPr>
        <w:tc>
          <w:tcPr>
            <w:tcW w:w="7780" w:type="dxa"/>
            <w:vAlign w:val="bottom"/>
          </w:tcPr>
          <w:p>
            <w:pPr>
              <w:ind w:left="280"/>
              <w:spacing w:after="0"/>
              <w:rPr>
                <w:sz w:val="20"/>
                <w:szCs w:val="20"/>
                <w:color w:val="auto"/>
              </w:rPr>
            </w:pPr>
            <w:r>
              <w:rPr>
                <w:rFonts w:ascii="Arial" w:cs="Arial" w:eastAsia="Arial" w:hAnsi="Arial"/>
                <w:sz w:val="15"/>
                <w:szCs w:val="15"/>
                <w:color w:val="auto"/>
              </w:rPr>
              <w:t>Other</w:t>
            </w:r>
          </w:p>
        </w:tc>
        <w:tc>
          <w:tcPr>
            <w:tcW w:w="26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b w:val="1"/>
                <w:bCs w:val="1"/>
                <w:color w:val="auto"/>
              </w:rPr>
              <w:t>14,429</w:t>
            </w:r>
          </w:p>
        </w:tc>
        <w:tc>
          <w:tcPr>
            <w:tcW w:w="32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color w:val="auto"/>
              </w:rPr>
              <w:t>1,095</w:t>
            </w:r>
          </w:p>
        </w:tc>
        <w:tc>
          <w:tcPr>
            <w:tcW w:w="34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(609)</w:t>
            </w:r>
          </w:p>
        </w:tc>
        <w:tc>
          <w:tcPr>
            <w:tcW w:w="0" w:type="dxa"/>
            <w:vAlign w:val="bottom"/>
          </w:tcPr>
          <w:p>
            <w:pPr>
              <w:spacing w:after="0"/>
              <w:rPr>
                <w:sz w:val="1"/>
                <w:szCs w:val="1"/>
                <w:color w:val="auto"/>
              </w:rPr>
            </w:pPr>
          </w:p>
        </w:tc>
      </w:tr>
      <w:tr>
        <w:trPr>
          <w:trHeight w:val="264"/>
        </w:trPr>
        <w:tc>
          <w:tcPr>
            <w:tcW w:w="7780" w:type="dxa"/>
            <w:vAlign w:val="bottom"/>
          </w:tcPr>
          <w:p>
            <w:pPr>
              <w:ind w:left="500"/>
              <w:spacing w:after="0"/>
              <w:rPr>
                <w:sz w:val="20"/>
                <w:szCs w:val="20"/>
                <w:color w:val="auto"/>
              </w:rPr>
            </w:pPr>
            <w:r>
              <w:rPr>
                <w:rFonts w:ascii="Arial" w:cs="Arial" w:eastAsia="Arial" w:hAnsi="Arial"/>
                <w:sz w:val="15"/>
                <w:szCs w:val="15"/>
                <w:color w:val="auto"/>
              </w:rPr>
              <w:t>Net Cash (Used in) Provided by Financing Activities</w:t>
            </w:r>
          </w:p>
        </w:tc>
        <w:tc>
          <w:tcPr>
            <w:tcW w:w="2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b w:val="1"/>
                <w:bCs w:val="1"/>
                <w:color w:val="auto"/>
              </w:rPr>
              <w:t>(43,077)</w:t>
            </w:r>
          </w:p>
        </w:tc>
        <w:tc>
          <w:tcPr>
            <w:tcW w:w="3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color w:val="auto"/>
              </w:rPr>
              <w:t>342,151</w:t>
            </w:r>
          </w:p>
        </w:tc>
        <w:tc>
          <w:tcPr>
            <w:tcW w:w="3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(388,616)</w:t>
            </w:r>
          </w:p>
        </w:tc>
        <w:tc>
          <w:tcPr>
            <w:tcW w:w="0" w:type="dxa"/>
            <w:vAlign w:val="bottom"/>
          </w:tcPr>
          <w:p>
            <w:pPr>
              <w:spacing w:after="0"/>
              <w:rPr>
                <w:sz w:val="1"/>
                <w:szCs w:val="1"/>
                <w:color w:val="auto"/>
              </w:rPr>
            </w:pPr>
          </w:p>
        </w:tc>
      </w:tr>
      <w:tr>
        <w:trPr>
          <w:trHeight w:val="264"/>
        </w:trPr>
        <w:tc>
          <w:tcPr>
            <w:tcW w:w="7780" w:type="dxa"/>
            <w:vAlign w:val="bottom"/>
          </w:tcPr>
          <w:p>
            <w:pPr>
              <w:ind w:left="40"/>
              <w:spacing w:after="0"/>
              <w:rPr>
                <w:sz w:val="20"/>
                <w:szCs w:val="20"/>
                <w:color w:val="auto"/>
              </w:rPr>
            </w:pPr>
            <w:r>
              <w:rPr>
                <w:rFonts w:ascii="Arial" w:cs="Arial" w:eastAsia="Arial" w:hAnsi="Arial"/>
                <w:sz w:val="15"/>
                <w:szCs w:val="15"/>
                <w:b w:val="1"/>
                <w:bCs w:val="1"/>
                <w:color w:val="auto"/>
              </w:rPr>
              <w:t>Effect of Currency Exchange Rate Change</w:t>
            </w:r>
          </w:p>
        </w:tc>
        <w:tc>
          <w:tcPr>
            <w:tcW w:w="2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b w:val="1"/>
                <w:bCs w:val="1"/>
                <w:color w:val="auto"/>
              </w:rPr>
              <w:t>(11,029)</w:t>
            </w:r>
          </w:p>
        </w:tc>
        <w:tc>
          <w:tcPr>
            <w:tcW w:w="3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(11,164)</w:t>
            </w:r>
          </w:p>
        </w:tc>
        <w:tc>
          <w:tcPr>
            <w:tcW w:w="3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(8,502)</w:t>
            </w:r>
          </w:p>
        </w:tc>
        <w:tc>
          <w:tcPr>
            <w:tcW w:w="0" w:type="dxa"/>
            <w:vAlign w:val="bottom"/>
          </w:tcPr>
          <w:p>
            <w:pPr>
              <w:spacing w:after="0"/>
              <w:rPr>
                <w:sz w:val="1"/>
                <w:szCs w:val="1"/>
                <w:color w:val="auto"/>
              </w:rPr>
            </w:pPr>
          </w:p>
        </w:tc>
      </w:tr>
      <w:tr>
        <w:trPr>
          <w:trHeight w:val="266"/>
        </w:trPr>
        <w:tc>
          <w:tcPr>
            <w:tcW w:w="7780" w:type="dxa"/>
            <w:vAlign w:val="bottom"/>
          </w:tcPr>
          <w:p>
            <w:pPr>
              <w:ind w:left="40"/>
              <w:spacing w:after="0"/>
              <w:rPr>
                <w:sz w:val="20"/>
                <w:szCs w:val="20"/>
                <w:color w:val="auto"/>
              </w:rPr>
            </w:pPr>
            <w:r>
              <w:rPr>
                <w:rFonts w:ascii="Arial" w:cs="Arial" w:eastAsia="Arial" w:hAnsi="Arial"/>
                <w:sz w:val="15"/>
                <w:szCs w:val="15"/>
                <w:b w:val="1"/>
                <w:bCs w:val="1"/>
                <w:color w:val="auto"/>
              </w:rPr>
              <w:t>Net (Decrease) Increase in Cash and Cash Equivalents and Restricted Cash</w:t>
            </w:r>
          </w:p>
        </w:tc>
        <w:tc>
          <w:tcPr>
            <w:tcW w:w="260" w:type="dxa"/>
            <w:vAlign w:val="bottom"/>
          </w:tcPr>
          <w:p>
            <w:pPr>
              <w:spacing w:after="0"/>
              <w:rPr>
                <w:sz w:val="23"/>
                <w:szCs w:val="23"/>
                <w:color w:val="auto"/>
              </w:rPr>
            </w:pPr>
          </w:p>
        </w:tc>
        <w:tc>
          <w:tcPr>
            <w:tcW w:w="940" w:type="dxa"/>
            <w:vAlign w:val="bottom"/>
          </w:tcPr>
          <w:p>
            <w:pPr>
              <w:jc w:val="right"/>
              <w:ind w:right="24"/>
              <w:spacing w:after="0"/>
              <w:rPr>
                <w:sz w:val="20"/>
                <w:szCs w:val="20"/>
                <w:color w:val="auto"/>
              </w:rPr>
            </w:pPr>
            <w:r>
              <w:rPr>
                <w:rFonts w:ascii="Arial" w:cs="Arial" w:eastAsia="Arial" w:hAnsi="Arial"/>
                <w:sz w:val="15"/>
                <w:szCs w:val="15"/>
                <w:b w:val="1"/>
                <w:bCs w:val="1"/>
                <w:color w:val="auto"/>
              </w:rPr>
              <w:t>(104,136)</w:t>
            </w:r>
          </w:p>
        </w:tc>
        <w:tc>
          <w:tcPr>
            <w:tcW w:w="320" w:type="dxa"/>
            <w:vAlign w:val="bottom"/>
          </w:tcPr>
          <w:p>
            <w:pPr>
              <w:spacing w:after="0"/>
              <w:rPr>
                <w:sz w:val="23"/>
                <w:szCs w:val="23"/>
                <w:color w:val="auto"/>
              </w:rPr>
            </w:pPr>
          </w:p>
        </w:tc>
        <w:tc>
          <w:tcPr>
            <w:tcW w:w="920" w:type="dxa"/>
            <w:vAlign w:val="bottom"/>
          </w:tcPr>
          <w:p>
            <w:pPr>
              <w:jc w:val="right"/>
              <w:ind w:right="24"/>
              <w:spacing w:after="0"/>
              <w:rPr>
                <w:sz w:val="20"/>
                <w:szCs w:val="20"/>
                <w:color w:val="auto"/>
              </w:rPr>
            </w:pPr>
            <w:r>
              <w:rPr>
                <w:rFonts w:ascii="Arial" w:cs="Arial" w:eastAsia="Arial" w:hAnsi="Arial"/>
                <w:sz w:val="15"/>
                <w:szCs w:val="15"/>
                <w:color w:val="auto"/>
              </w:rPr>
              <w:t>(23,932)</w:t>
            </w:r>
          </w:p>
        </w:tc>
        <w:tc>
          <w:tcPr>
            <w:tcW w:w="340" w:type="dxa"/>
            <w:vAlign w:val="bottom"/>
          </w:tcPr>
          <w:p>
            <w:pPr>
              <w:spacing w:after="0"/>
              <w:rPr>
                <w:sz w:val="23"/>
                <w:szCs w:val="23"/>
                <w:color w:val="auto"/>
              </w:rPr>
            </w:pPr>
          </w:p>
        </w:tc>
        <w:tc>
          <w:tcPr>
            <w:tcW w:w="860" w:type="dxa"/>
            <w:vAlign w:val="bottom"/>
          </w:tcPr>
          <w:p>
            <w:pPr>
              <w:jc w:val="right"/>
              <w:ind w:right="24"/>
              <w:spacing w:after="0"/>
              <w:rPr>
                <w:sz w:val="20"/>
                <w:szCs w:val="20"/>
                <w:color w:val="auto"/>
              </w:rPr>
            </w:pPr>
            <w:r>
              <w:rPr>
                <w:rFonts w:ascii="Arial" w:cs="Arial" w:eastAsia="Arial" w:hAnsi="Arial"/>
                <w:sz w:val="15"/>
                <w:szCs w:val="15"/>
                <w:color w:val="auto"/>
              </w:rPr>
              <w:t>145,396</w:t>
            </w:r>
          </w:p>
        </w:tc>
        <w:tc>
          <w:tcPr>
            <w:tcW w:w="0" w:type="dxa"/>
            <w:vAlign w:val="bottom"/>
          </w:tcPr>
          <w:p>
            <w:pPr>
              <w:spacing w:after="0"/>
              <w:rPr>
                <w:sz w:val="1"/>
                <w:szCs w:val="1"/>
                <w:color w:val="auto"/>
              </w:rPr>
            </w:pPr>
          </w:p>
        </w:tc>
      </w:tr>
      <w:tr>
        <w:trPr>
          <w:trHeight w:val="268"/>
        </w:trPr>
        <w:tc>
          <w:tcPr>
            <w:tcW w:w="7780" w:type="dxa"/>
            <w:vAlign w:val="bottom"/>
          </w:tcPr>
          <w:p>
            <w:pPr>
              <w:ind w:left="40"/>
              <w:spacing w:after="0"/>
              <w:rPr>
                <w:sz w:val="20"/>
                <w:szCs w:val="20"/>
                <w:color w:val="auto"/>
              </w:rPr>
            </w:pPr>
            <w:r>
              <w:rPr>
                <w:rFonts w:ascii="Arial" w:cs="Arial" w:eastAsia="Arial" w:hAnsi="Arial"/>
                <w:sz w:val="15"/>
                <w:szCs w:val="15"/>
                <w:b w:val="1"/>
                <w:bCs w:val="1"/>
                <w:color w:val="auto"/>
              </w:rPr>
              <w:t>Cash and Cash Equivalents and Restricted Cash at Beginning of Year</w:t>
            </w:r>
          </w:p>
        </w:tc>
        <w:tc>
          <w:tcPr>
            <w:tcW w:w="26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b w:val="1"/>
                <w:bCs w:val="1"/>
                <w:color w:val="auto"/>
              </w:rPr>
              <w:t>774,952</w:t>
            </w:r>
          </w:p>
        </w:tc>
        <w:tc>
          <w:tcPr>
            <w:tcW w:w="32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color w:val="auto"/>
              </w:rPr>
              <w:t>798,884</w:t>
            </w:r>
          </w:p>
        </w:tc>
        <w:tc>
          <w:tcPr>
            <w:tcW w:w="34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653,488</w:t>
            </w:r>
          </w:p>
        </w:tc>
        <w:tc>
          <w:tcPr>
            <w:tcW w:w="0" w:type="dxa"/>
            <w:vAlign w:val="bottom"/>
          </w:tcPr>
          <w:p>
            <w:pPr>
              <w:spacing w:after="0"/>
              <w:rPr>
                <w:sz w:val="1"/>
                <w:szCs w:val="1"/>
                <w:color w:val="auto"/>
              </w:rPr>
            </w:pPr>
          </w:p>
        </w:tc>
      </w:tr>
      <w:tr>
        <w:trPr>
          <w:trHeight w:val="264"/>
        </w:trPr>
        <w:tc>
          <w:tcPr>
            <w:tcW w:w="7780" w:type="dxa"/>
            <w:vAlign w:val="bottom"/>
          </w:tcPr>
          <w:p>
            <w:pPr>
              <w:ind w:left="40"/>
              <w:spacing w:after="0"/>
              <w:rPr>
                <w:sz w:val="20"/>
                <w:szCs w:val="20"/>
                <w:color w:val="auto"/>
              </w:rPr>
            </w:pPr>
            <w:r>
              <w:rPr>
                <w:rFonts w:ascii="Arial" w:cs="Arial" w:eastAsia="Arial" w:hAnsi="Arial"/>
                <w:sz w:val="15"/>
                <w:szCs w:val="15"/>
                <w:b w:val="1"/>
                <w:bCs w:val="1"/>
                <w:color w:val="auto"/>
              </w:rPr>
              <w:t>Cash and Cash Equivalents and Restricted Cash at End of Year</w:t>
            </w:r>
          </w:p>
        </w:tc>
        <w:tc>
          <w:tcPr>
            <w:tcW w:w="26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b w:val="1"/>
                <w:bCs w:val="1"/>
                <w:color w:val="auto"/>
                <w:w w:val="95"/>
              </w:rPr>
              <w:t>$</w:t>
            </w:r>
          </w:p>
        </w:tc>
        <w:tc>
          <w:tcPr>
            <w:tcW w:w="94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b w:val="1"/>
                <w:bCs w:val="1"/>
                <w:color w:val="auto"/>
              </w:rPr>
              <w:t>670,816</w:t>
            </w:r>
          </w:p>
        </w:tc>
        <w:tc>
          <w:tcPr>
            <w:tcW w:w="32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rPr>
              <w:t>$</w:t>
            </w:r>
          </w:p>
        </w:tc>
        <w:tc>
          <w:tcPr>
            <w:tcW w:w="92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color w:val="auto"/>
              </w:rPr>
              <w:t>774,952</w:t>
            </w:r>
          </w:p>
        </w:tc>
        <w:tc>
          <w:tcPr>
            <w:tcW w:w="34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color w:val="auto"/>
              </w:rPr>
              <w:t>$</w:t>
            </w:r>
          </w:p>
        </w:tc>
        <w:tc>
          <w:tcPr>
            <w:tcW w:w="86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798,884</w:t>
            </w:r>
          </w:p>
        </w:tc>
        <w:tc>
          <w:tcPr>
            <w:tcW w:w="0" w:type="dxa"/>
            <w:vAlign w:val="bottom"/>
          </w:tcPr>
          <w:p>
            <w:pPr>
              <w:spacing w:after="0"/>
              <w:rPr>
                <w:sz w:val="1"/>
                <w:szCs w:val="1"/>
                <w:color w:val="auto"/>
              </w:rPr>
            </w:pPr>
          </w:p>
        </w:tc>
      </w:tr>
      <w:tr>
        <w:trPr>
          <w:trHeight w:val="20"/>
        </w:trPr>
        <w:tc>
          <w:tcPr>
            <w:tcW w:w="7780" w:type="dxa"/>
            <w:vAlign w:val="bottom"/>
            <w:vMerge w:val="restart"/>
          </w:tcPr>
          <w:p>
            <w:pPr>
              <w:ind w:left="40"/>
              <w:spacing w:after="0"/>
              <w:rPr>
                <w:sz w:val="20"/>
                <w:szCs w:val="20"/>
                <w:color w:val="auto"/>
              </w:rPr>
            </w:pPr>
            <w:r>
              <w:rPr>
                <w:rFonts w:ascii="Arial" w:cs="Arial" w:eastAsia="Arial" w:hAnsi="Arial"/>
                <w:sz w:val="15"/>
                <w:szCs w:val="15"/>
                <w:b w:val="1"/>
                <w:bCs w:val="1"/>
                <w:color w:val="auto"/>
              </w:rPr>
              <w:t>Supplemental Cash Flow Information</w:t>
            </w: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3"/>
        </w:trPr>
        <w:tc>
          <w:tcPr>
            <w:tcW w:w="7780" w:type="dxa"/>
            <w:vAlign w:val="bottom"/>
            <w:vMerge w:val="continue"/>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ectPr>
          <w:pgSz w:w="11900" w:h="16886" w:orient="portrait"/>
          <w:cols w:equalWidth="0" w:num="1">
            <w:col w:w="11420"/>
          </w:cols>
          <w:pgMar w:left="240" w:top="736" w:right="239" w:bottom="0" w:gutter="0" w:footer="0" w:header="0"/>
        </w:sectPr>
      </w:pPr>
    </w:p>
    <w:bookmarkStart w:id="68" w:name="page69"/>
    <w:bookmarkEnd w:id="68"/>
    <w:p>
      <w:pPr>
        <w:spacing w:after="0" w:line="1" w:lineRule="exact"/>
        <w:rPr>
          <w:sz w:val="20"/>
          <w:szCs w:val="20"/>
          <w:color w:val="auto"/>
        </w:rPr>
      </w:pPr>
    </w:p>
    <w:tbl>
      <w:tblPr>
        <w:tblLayout w:type="fixed"/>
        <w:tblInd w:w="280" w:type="dxa"/>
        <w:tblCellMar>
          <w:top w:w="0" w:type="dxa"/>
          <w:left w:w="0" w:type="dxa"/>
          <w:bottom w:w="0" w:type="dxa"/>
          <w:right w:w="0" w:type="dxa"/>
        </w:tblCellMar>
      </w:tblPr>
      <w:tr>
        <w:trPr>
          <w:trHeight w:val="205"/>
        </w:trPr>
        <w:tc>
          <w:tcPr>
            <w:tcW w:w="4760" w:type="dxa"/>
            <w:vAlign w:val="bottom"/>
          </w:tcPr>
          <w:p>
            <w:pPr>
              <w:spacing w:after="0"/>
              <w:rPr>
                <w:sz w:val="20"/>
                <w:szCs w:val="20"/>
                <w:color w:val="auto"/>
              </w:rPr>
            </w:pPr>
            <w:r>
              <w:rPr>
                <w:rFonts w:ascii="Arial" w:cs="Arial" w:eastAsia="Arial" w:hAnsi="Arial"/>
                <w:sz w:val="15"/>
                <w:szCs w:val="15"/>
                <w:color w:val="auto"/>
              </w:rPr>
              <w:t>Cash paid during the year for:</w:t>
            </w:r>
          </w:p>
        </w:tc>
        <w:tc>
          <w:tcPr>
            <w:tcW w:w="30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332"/>
        </w:trPr>
        <w:tc>
          <w:tcPr>
            <w:tcW w:w="4760" w:type="dxa"/>
            <w:vAlign w:val="bottom"/>
          </w:tcPr>
          <w:p>
            <w:pPr>
              <w:ind w:left="220"/>
              <w:spacing w:after="0"/>
              <w:rPr>
                <w:sz w:val="20"/>
                <w:szCs w:val="20"/>
                <w:color w:val="auto"/>
              </w:rPr>
            </w:pPr>
            <w:r>
              <w:rPr>
                <w:rFonts w:ascii="Arial" w:cs="Arial" w:eastAsia="Arial" w:hAnsi="Arial"/>
                <w:sz w:val="15"/>
                <w:szCs w:val="15"/>
                <w:color w:val="auto"/>
              </w:rPr>
              <w:t>Income taxes</w:t>
            </w:r>
          </w:p>
        </w:tc>
        <w:tc>
          <w:tcPr>
            <w:tcW w:w="3080" w:type="dxa"/>
            <w:vAlign w:val="bottom"/>
          </w:tcPr>
          <w:p>
            <w:pPr>
              <w:jc w:val="right"/>
              <w:ind w:right="163"/>
              <w:spacing w:after="0"/>
              <w:rPr>
                <w:sz w:val="20"/>
                <w:szCs w:val="20"/>
                <w:color w:val="auto"/>
              </w:rPr>
            </w:pPr>
            <w:r>
              <w:rPr>
                <w:rFonts w:ascii="Arial" w:cs="Arial" w:eastAsia="Arial" w:hAnsi="Arial"/>
                <w:sz w:val="15"/>
                <w:szCs w:val="15"/>
                <w:b w:val="1"/>
                <w:bCs w:val="1"/>
                <w:color w:val="auto"/>
              </w:rPr>
              <w:t>$</w:t>
            </w:r>
          </w:p>
        </w:tc>
        <w:tc>
          <w:tcPr>
            <w:tcW w:w="820" w:type="dxa"/>
            <w:vAlign w:val="bottom"/>
          </w:tcPr>
          <w:p>
            <w:pPr>
              <w:jc w:val="right"/>
              <w:ind w:right="43"/>
              <w:spacing w:after="0"/>
              <w:rPr>
                <w:sz w:val="20"/>
                <w:szCs w:val="20"/>
                <w:color w:val="auto"/>
              </w:rPr>
            </w:pPr>
            <w:r>
              <w:rPr>
                <w:rFonts w:ascii="Arial" w:cs="Arial" w:eastAsia="Arial" w:hAnsi="Arial"/>
                <w:sz w:val="15"/>
                <w:szCs w:val="15"/>
                <w:b w:val="1"/>
                <w:bCs w:val="1"/>
                <w:color w:val="auto"/>
              </w:rPr>
              <w:t>65,000</w:t>
            </w:r>
          </w:p>
        </w:tc>
        <w:tc>
          <w:tcPr>
            <w:tcW w:w="400" w:type="dxa"/>
            <w:vAlign w:val="bottom"/>
          </w:tcPr>
          <w:p>
            <w:pPr>
              <w:jc w:val="right"/>
              <w:ind w:right="103"/>
              <w:spacing w:after="0"/>
              <w:rPr>
                <w:sz w:val="20"/>
                <w:szCs w:val="20"/>
                <w:color w:val="auto"/>
              </w:rPr>
            </w:pPr>
            <w:r>
              <w:rPr>
                <w:rFonts w:ascii="Arial" w:cs="Arial" w:eastAsia="Arial" w:hAnsi="Arial"/>
                <w:sz w:val="15"/>
                <w:szCs w:val="15"/>
                <w:color w:val="auto"/>
              </w:rPr>
              <w:t>$</w:t>
            </w:r>
          </w:p>
        </w:tc>
        <w:tc>
          <w:tcPr>
            <w:tcW w:w="860" w:type="dxa"/>
            <w:vAlign w:val="bottom"/>
          </w:tcPr>
          <w:p>
            <w:pPr>
              <w:jc w:val="right"/>
              <w:ind w:right="63"/>
              <w:spacing w:after="0"/>
              <w:rPr>
                <w:sz w:val="20"/>
                <w:szCs w:val="20"/>
                <w:color w:val="auto"/>
              </w:rPr>
            </w:pPr>
            <w:r>
              <w:rPr>
                <w:rFonts w:ascii="Arial" w:cs="Arial" w:eastAsia="Arial" w:hAnsi="Arial"/>
                <w:sz w:val="15"/>
                <w:szCs w:val="15"/>
                <w:color w:val="auto"/>
              </w:rPr>
              <w:t>209,000</w:t>
            </w:r>
          </w:p>
        </w:tc>
        <w:tc>
          <w:tcPr>
            <w:tcW w:w="380" w:type="dxa"/>
            <w:vAlign w:val="bottom"/>
          </w:tcPr>
          <w:p>
            <w:pPr>
              <w:jc w:val="right"/>
              <w:ind w:right="103"/>
              <w:spacing w:after="0"/>
              <w:rPr>
                <w:sz w:val="20"/>
                <w:szCs w:val="20"/>
                <w:color w:val="auto"/>
              </w:rPr>
            </w:pPr>
            <w:r>
              <w:rPr>
                <w:rFonts w:ascii="Arial" w:cs="Arial" w:eastAsia="Arial" w:hAnsi="Arial"/>
                <w:sz w:val="15"/>
                <w:szCs w:val="15"/>
                <w:color w:val="auto"/>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188,000</w:t>
            </w:r>
          </w:p>
        </w:tc>
      </w:tr>
      <w:tr>
        <w:trPr>
          <w:trHeight w:val="270"/>
        </w:trPr>
        <w:tc>
          <w:tcPr>
            <w:tcW w:w="4760" w:type="dxa"/>
            <w:vAlign w:val="bottom"/>
          </w:tcPr>
          <w:p>
            <w:pPr>
              <w:ind w:left="220"/>
              <w:spacing w:after="0"/>
              <w:rPr>
                <w:sz w:val="20"/>
                <w:szCs w:val="20"/>
                <w:color w:val="auto"/>
              </w:rPr>
            </w:pPr>
            <w:r>
              <w:rPr>
                <w:rFonts w:ascii="Arial" w:cs="Arial" w:eastAsia="Arial" w:hAnsi="Arial"/>
                <w:sz w:val="15"/>
                <w:szCs w:val="15"/>
                <w:color w:val="auto"/>
              </w:rPr>
              <w:t>Interest</w:t>
            </w:r>
          </w:p>
        </w:tc>
        <w:tc>
          <w:tcPr>
            <w:tcW w:w="3080" w:type="dxa"/>
            <w:vAlign w:val="bottom"/>
          </w:tcPr>
          <w:p>
            <w:pPr>
              <w:jc w:val="right"/>
              <w:ind w:right="163"/>
              <w:spacing w:after="0"/>
              <w:rPr>
                <w:sz w:val="20"/>
                <w:szCs w:val="20"/>
                <w:color w:val="auto"/>
              </w:rPr>
            </w:pPr>
            <w:r>
              <w:rPr>
                <w:rFonts w:ascii="Arial" w:cs="Arial" w:eastAsia="Arial" w:hAnsi="Arial"/>
                <w:sz w:val="15"/>
                <w:szCs w:val="15"/>
                <w:b w:val="1"/>
                <w:bCs w:val="1"/>
                <w:color w:val="auto"/>
              </w:rPr>
              <w:t>$</w:t>
            </w:r>
          </w:p>
        </w:tc>
        <w:tc>
          <w:tcPr>
            <w:tcW w:w="820" w:type="dxa"/>
            <w:vAlign w:val="bottom"/>
          </w:tcPr>
          <w:p>
            <w:pPr>
              <w:jc w:val="right"/>
              <w:ind w:right="43"/>
              <w:spacing w:after="0"/>
              <w:rPr>
                <w:sz w:val="20"/>
                <w:szCs w:val="20"/>
                <w:color w:val="auto"/>
              </w:rPr>
            </w:pPr>
            <w:r>
              <w:rPr>
                <w:rFonts w:ascii="Arial" w:cs="Arial" w:eastAsia="Arial" w:hAnsi="Arial"/>
                <w:sz w:val="15"/>
                <w:szCs w:val="15"/>
                <w:b w:val="1"/>
                <w:bCs w:val="1"/>
                <w:color w:val="auto"/>
              </w:rPr>
              <w:t>30,000</w:t>
            </w:r>
          </w:p>
        </w:tc>
        <w:tc>
          <w:tcPr>
            <w:tcW w:w="400" w:type="dxa"/>
            <w:vAlign w:val="bottom"/>
          </w:tcPr>
          <w:p>
            <w:pPr>
              <w:jc w:val="right"/>
              <w:ind w:right="103"/>
              <w:spacing w:after="0"/>
              <w:rPr>
                <w:sz w:val="20"/>
                <w:szCs w:val="20"/>
                <w:color w:val="auto"/>
              </w:rPr>
            </w:pPr>
            <w:r>
              <w:rPr>
                <w:rFonts w:ascii="Arial" w:cs="Arial" w:eastAsia="Arial" w:hAnsi="Arial"/>
                <w:sz w:val="15"/>
                <w:szCs w:val="15"/>
                <w:color w:val="auto"/>
              </w:rPr>
              <w:t>$</w:t>
            </w:r>
          </w:p>
        </w:tc>
        <w:tc>
          <w:tcPr>
            <w:tcW w:w="860" w:type="dxa"/>
            <w:vAlign w:val="bottom"/>
          </w:tcPr>
          <w:p>
            <w:pPr>
              <w:jc w:val="right"/>
              <w:ind w:right="63"/>
              <w:spacing w:after="0"/>
              <w:rPr>
                <w:sz w:val="20"/>
                <w:szCs w:val="20"/>
                <w:color w:val="auto"/>
              </w:rPr>
            </w:pPr>
            <w:r>
              <w:rPr>
                <w:rFonts w:ascii="Arial" w:cs="Arial" w:eastAsia="Arial" w:hAnsi="Arial"/>
                <w:sz w:val="15"/>
                <w:szCs w:val="15"/>
                <w:color w:val="auto"/>
              </w:rPr>
              <w:t>33,000</w:t>
            </w:r>
          </w:p>
        </w:tc>
        <w:tc>
          <w:tcPr>
            <w:tcW w:w="380" w:type="dxa"/>
            <w:vAlign w:val="bottom"/>
          </w:tcPr>
          <w:p>
            <w:pPr>
              <w:jc w:val="right"/>
              <w:ind w:right="103"/>
              <w:spacing w:after="0"/>
              <w:rPr>
                <w:sz w:val="20"/>
                <w:szCs w:val="20"/>
                <w:color w:val="auto"/>
              </w:rPr>
            </w:pPr>
            <w:r>
              <w:rPr>
                <w:rFonts w:ascii="Arial" w:cs="Arial" w:eastAsia="Arial" w:hAnsi="Arial"/>
                <w:sz w:val="15"/>
                <w:szCs w:val="15"/>
                <w:color w:val="auto"/>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35,000</w:t>
            </w:r>
          </w:p>
        </w:tc>
      </w:tr>
    </w:tbl>
    <w:p>
      <w:pPr>
        <w:spacing w:after="0" w:line="93"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Consolidated Financial Statements.</w:t>
      </w:r>
    </w:p>
    <w:p>
      <w:pPr>
        <w:spacing w:after="0" w:line="34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320"/>
          </w:cols>
          <w:pgMar w:left="240" w:top="118" w:right="339" w:bottom="1440" w:gutter="0" w:footer="0" w:header="0"/>
        </w:sectPr>
      </w:pPr>
    </w:p>
    <w:bookmarkStart w:id="69" w:name="page70"/>
    <w:bookmarkEnd w:id="69"/>
    <w:p>
      <w:pPr>
        <w:jc w:val="center"/>
        <w:spacing w:after="0"/>
        <w:rPr>
          <w:sz w:val="20"/>
          <w:szCs w:val="20"/>
          <w:color w:val="auto"/>
        </w:rPr>
      </w:pPr>
      <w:r>
        <w:rPr>
          <w:rFonts w:ascii="Arial" w:cs="Arial" w:eastAsia="Arial" w:hAnsi="Arial"/>
          <w:sz w:val="18"/>
          <w:szCs w:val="18"/>
          <w:b w:val="1"/>
          <w:bCs w:val="1"/>
          <w:color w:val="auto"/>
        </w:rPr>
        <w:t>GRAHAM HOLDINGS COMPANY</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COMMON STOCKHOLDERS’ EQUITY</w:t>
      </w:r>
    </w:p>
    <w:p>
      <w:pPr>
        <w:spacing w:after="0" w:line="150" w:lineRule="exact"/>
        <w:rPr>
          <w:sz w:val="20"/>
          <w:szCs w:val="20"/>
          <w:color w:val="auto"/>
        </w:rPr>
      </w:pPr>
    </w:p>
    <w:tbl>
      <w:tblPr>
        <w:tblLayout w:type="fixed"/>
        <w:tblInd w:w="40" w:type="dxa"/>
        <w:tblCellMar>
          <w:top w:w="0" w:type="dxa"/>
          <w:left w:w="0" w:type="dxa"/>
          <w:bottom w:w="0" w:type="dxa"/>
          <w:right w:w="0" w:type="dxa"/>
        </w:tblCellMar>
      </w:tblPr>
      <w:tr>
        <w:trPr>
          <w:trHeight w:val="126"/>
        </w:trPr>
        <w:tc>
          <w:tcPr>
            <w:tcW w:w="202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100" w:type="dxa"/>
            <w:vAlign w:val="bottom"/>
          </w:tcPr>
          <w:p>
            <w:pPr>
              <w:jc w:val="center"/>
              <w:spacing w:after="0"/>
              <w:rPr>
                <w:sz w:val="20"/>
                <w:szCs w:val="20"/>
                <w:color w:val="auto"/>
              </w:rPr>
            </w:pPr>
            <w:r>
              <w:rPr>
                <w:rFonts w:ascii="Arial" w:cs="Arial" w:eastAsia="Arial" w:hAnsi="Arial"/>
                <w:sz w:val="11"/>
                <w:szCs w:val="11"/>
                <w:b w:val="1"/>
                <w:bCs w:val="1"/>
                <w:color w:val="auto"/>
                <w:w w:val="98"/>
              </w:rPr>
              <w:t>Accumulated</w:t>
            </w:r>
          </w:p>
        </w:tc>
        <w:tc>
          <w:tcPr>
            <w:tcW w:w="7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960" w:type="dxa"/>
            <w:vAlign w:val="bottom"/>
          </w:tcPr>
          <w:p>
            <w:pPr>
              <w:spacing w:after="0"/>
              <w:rPr>
                <w:sz w:val="10"/>
                <w:szCs w:val="10"/>
                <w:color w:val="auto"/>
              </w:rPr>
            </w:pPr>
          </w:p>
        </w:tc>
      </w:tr>
      <w:tr>
        <w:trPr>
          <w:trHeight w:val="122"/>
        </w:trPr>
        <w:tc>
          <w:tcPr>
            <w:tcW w:w="2020" w:type="dxa"/>
            <w:vAlign w:val="bottom"/>
          </w:tcPr>
          <w:p>
            <w:pPr>
              <w:spacing w:after="0"/>
              <w:rPr>
                <w:sz w:val="10"/>
                <w:szCs w:val="10"/>
                <w:color w:val="auto"/>
              </w:rPr>
            </w:pPr>
          </w:p>
        </w:tc>
        <w:tc>
          <w:tcPr>
            <w:tcW w:w="1960" w:type="dxa"/>
            <w:vAlign w:val="bottom"/>
          </w:tcPr>
          <w:p>
            <w:pPr>
              <w:jc w:val="center"/>
              <w:ind w:left="1106"/>
              <w:spacing w:after="0" w:line="122" w:lineRule="exact"/>
              <w:rPr>
                <w:sz w:val="20"/>
                <w:szCs w:val="20"/>
                <w:color w:val="auto"/>
              </w:rPr>
            </w:pPr>
            <w:r>
              <w:rPr>
                <w:rFonts w:ascii="Arial" w:cs="Arial" w:eastAsia="Arial" w:hAnsi="Arial"/>
                <w:sz w:val="11"/>
                <w:szCs w:val="11"/>
                <w:b w:val="1"/>
                <w:bCs w:val="1"/>
                <w:color w:val="auto"/>
                <w:w w:val="99"/>
              </w:rPr>
              <w:t>Class A</w:t>
            </w:r>
          </w:p>
        </w:tc>
        <w:tc>
          <w:tcPr>
            <w:tcW w:w="82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9"/>
              </w:rPr>
              <w:t>Class B</w:t>
            </w:r>
          </w:p>
        </w:tc>
        <w:tc>
          <w:tcPr>
            <w:tcW w:w="840" w:type="dxa"/>
            <w:vAlign w:val="bottom"/>
          </w:tcPr>
          <w:p>
            <w:pPr>
              <w:ind w:left="180"/>
              <w:spacing w:after="0" w:line="122" w:lineRule="exact"/>
              <w:rPr>
                <w:sz w:val="20"/>
                <w:szCs w:val="20"/>
                <w:color w:val="auto"/>
              </w:rPr>
            </w:pPr>
            <w:r>
              <w:rPr>
                <w:rFonts w:ascii="Arial" w:cs="Arial" w:eastAsia="Arial" w:hAnsi="Arial"/>
                <w:sz w:val="11"/>
                <w:szCs w:val="11"/>
                <w:b w:val="1"/>
                <w:bCs w:val="1"/>
                <w:color w:val="auto"/>
              </w:rPr>
              <w:t>Capital in</w:t>
            </w:r>
          </w:p>
        </w:tc>
        <w:tc>
          <w:tcPr>
            <w:tcW w:w="780" w:type="dxa"/>
            <w:vAlign w:val="bottom"/>
          </w:tcPr>
          <w:p>
            <w:pPr>
              <w:spacing w:after="0"/>
              <w:rPr>
                <w:sz w:val="10"/>
                <w:szCs w:val="10"/>
                <w:color w:val="auto"/>
              </w:rPr>
            </w:pPr>
          </w:p>
        </w:tc>
        <w:tc>
          <w:tcPr>
            <w:tcW w:w="110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5"/>
              </w:rPr>
              <w:t>Other</w:t>
            </w:r>
          </w:p>
        </w:tc>
        <w:tc>
          <w:tcPr>
            <w:tcW w:w="7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960" w:type="dxa"/>
            <w:vAlign w:val="bottom"/>
          </w:tcPr>
          <w:p>
            <w:pPr>
              <w:jc w:val="center"/>
              <w:ind w:left="146"/>
              <w:spacing w:after="0" w:line="122" w:lineRule="exact"/>
              <w:rPr>
                <w:sz w:val="20"/>
                <w:szCs w:val="20"/>
                <w:color w:val="auto"/>
              </w:rPr>
            </w:pPr>
            <w:r>
              <w:rPr>
                <w:rFonts w:ascii="Arial" w:cs="Arial" w:eastAsia="Arial" w:hAnsi="Arial"/>
                <w:sz w:val="11"/>
                <w:szCs w:val="11"/>
                <w:b w:val="1"/>
                <w:bCs w:val="1"/>
                <w:color w:val="auto"/>
                <w:w w:val="98"/>
              </w:rPr>
              <w:t>Redeemable</w:t>
            </w:r>
          </w:p>
        </w:tc>
      </w:tr>
      <w:tr>
        <w:trPr>
          <w:trHeight w:val="122"/>
        </w:trPr>
        <w:tc>
          <w:tcPr>
            <w:tcW w:w="2020" w:type="dxa"/>
            <w:vAlign w:val="bottom"/>
          </w:tcPr>
          <w:p>
            <w:pPr>
              <w:spacing w:after="0"/>
              <w:rPr>
                <w:sz w:val="10"/>
                <w:szCs w:val="10"/>
                <w:color w:val="auto"/>
              </w:rPr>
            </w:pPr>
          </w:p>
        </w:tc>
        <w:tc>
          <w:tcPr>
            <w:tcW w:w="1960" w:type="dxa"/>
            <w:vAlign w:val="bottom"/>
          </w:tcPr>
          <w:p>
            <w:pPr>
              <w:jc w:val="center"/>
              <w:ind w:left="1106"/>
              <w:spacing w:after="0" w:line="122" w:lineRule="exact"/>
              <w:rPr>
                <w:sz w:val="20"/>
                <w:szCs w:val="20"/>
                <w:color w:val="auto"/>
              </w:rPr>
            </w:pPr>
            <w:r>
              <w:rPr>
                <w:rFonts w:ascii="Arial" w:cs="Arial" w:eastAsia="Arial" w:hAnsi="Arial"/>
                <w:sz w:val="11"/>
                <w:szCs w:val="11"/>
                <w:b w:val="1"/>
                <w:bCs w:val="1"/>
                <w:color w:val="auto"/>
              </w:rPr>
              <w:t>Common</w:t>
            </w:r>
          </w:p>
        </w:tc>
        <w:tc>
          <w:tcPr>
            <w:tcW w:w="82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6"/>
              </w:rPr>
              <w:t>Common</w:t>
            </w:r>
          </w:p>
        </w:tc>
        <w:tc>
          <w:tcPr>
            <w:tcW w:w="840" w:type="dxa"/>
            <w:vAlign w:val="bottom"/>
          </w:tcPr>
          <w:p>
            <w:pPr>
              <w:ind w:left="160"/>
              <w:spacing w:after="0" w:line="122" w:lineRule="exact"/>
              <w:rPr>
                <w:sz w:val="20"/>
                <w:szCs w:val="20"/>
                <w:color w:val="auto"/>
              </w:rPr>
            </w:pPr>
            <w:r>
              <w:rPr>
                <w:rFonts w:ascii="Arial" w:cs="Arial" w:eastAsia="Arial" w:hAnsi="Arial"/>
                <w:sz w:val="11"/>
                <w:szCs w:val="11"/>
                <w:b w:val="1"/>
                <w:bCs w:val="1"/>
                <w:color w:val="auto"/>
              </w:rPr>
              <w:t>Excess of</w:t>
            </w:r>
          </w:p>
        </w:tc>
        <w:tc>
          <w:tcPr>
            <w:tcW w:w="780" w:type="dxa"/>
            <w:vAlign w:val="bottom"/>
          </w:tcPr>
          <w:p>
            <w:pPr>
              <w:ind w:left="180"/>
              <w:spacing w:after="0" w:line="122" w:lineRule="exact"/>
              <w:rPr>
                <w:sz w:val="20"/>
                <w:szCs w:val="20"/>
                <w:color w:val="auto"/>
              </w:rPr>
            </w:pPr>
            <w:r>
              <w:rPr>
                <w:rFonts w:ascii="Arial" w:cs="Arial" w:eastAsia="Arial" w:hAnsi="Arial"/>
                <w:sz w:val="11"/>
                <w:szCs w:val="11"/>
                <w:b w:val="1"/>
                <w:bCs w:val="1"/>
                <w:color w:val="auto"/>
              </w:rPr>
              <w:t>Retained</w:t>
            </w:r>
          </w:p>
        </w:tc>
        <w:tc>
          <w:tcPr>
            <w:tcW w:w="110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6"/>
              </w:rPr>
              <w:t>Comprehensive</w:t>
            </w:r>
          </w:p>
        </w:tc>
        <w:tc>
          <w:tcPr>
            <w:tcW w:w="78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8"/>
              </w:rPr>
              <w:t>Treasury</w:t>
            </w:r>
          </w:p>
        </w:tc>
        <w:tc>
          <w:tcPr>
            <w:tcW w:w="108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7"/>
              </w:rPr>
              <w:t>Noncontrolling</w:t>
            </w:r>
          </w:p>
        </w:tc>
        <w:tc>
          <w:tcPr>
            <w:tcW w:w="920" w:type="dxa"/>
            <w:vAlign w:val="bottom"/>
          </w:tcPr>
          <w:p>
            <w:pPr>
              <w:spacing w:after="0"/>
              <w:rPr>
                <w:sz w:val="10"/>
                <w:szCs w:val="10"/>
                <w:color w:val="auto"/>
              </w:rPr>
            </w:pPr>
          </w:p>
        </w:tc>
        <w:tc>
          <w:tcPr>
            <w:tcW w:w="960" w:type="dxa"/>
            <w:vAlign w:val="bottom"/>
          </w:tcPr>
          <w:p>
            <w:pPr>
              <w:jc w:val="center"/>
              <w:ind w:left="126"/>
              <w:spacing w:after="0" w:line="122" w:lineRule="exact"/>
              <w:rPr>
                <w:sz w:val="20"/>
                <w:szCs w:val="20"/>
                <w:color w:val="auto"/>
              </w:rPr>
            </w:pPr>
            <w:r>
              <w:rPr>
                <w:rFonts w:ascii="Arial" w:cs="Arial" w:eastAsia="Arial" w:hAnsi="Arial"/>
                <w:sz w:val="11"/>
                <w:szCs w:val="11"/>
                <w:b w:val="1"/>
                <w:bCs w:val="1"/>
                <w:color w:val="auto"/>
                <w:w w:val="99"/>
              </w:rPr>
              <w:t>Noncontrolling</w:t>
            </w:r>
          </w:p>
        </w:tc>
      </w:tr>
      <w:tr>
        <w:trPr>
          <w:trHeight w:val="152"/>
        </w:trPr>
        <w:tc>
          <w:tcPr>
            <w:tcW w:w="2020" w:type="dxa"/>
            <w:vAlign w:val="bottom"/>
          </w:tcPr>
          <w:p>
            <w:pPr>
              <w:spacing w:after="0"/>
              <w:rPr>
                <w:sz w:val="20"/>
                <w:szCs w:val="20"/>
                <w:color w:val="auto"/>
              </w:rPr>
            </w:pPr>
            <w:r>
              <w:rPr>
                <w:rFonts w:ascii="Arial" w:cs="Arial" w:eastAsia="Arial" w:hAnsi="Arial"/>
                <w:sz w:val="11"/>
                <w:szCs w:val="11"/>
                <w:color w:val="auto"/>
              </w:rPr>
              <w:t>(in thousands)</w:t>
            </w:r>
          </w:p>
        </w:tc>
        <w:tc>
          <w:tcPr>
            <w:tcW w:w="1960" w:type="dxa"/>
            <w:vAlign w:val="bottom"/>
          </w:tcPr>
          <w:p>
            <w:pPr>
              <w:jc w:val="center"/>
              <w:ind w:left="1106"/>
              <w:spacing w:after="0"/>
              <w:rPr>
                <w:sz w:val="20"/>
                <w:szCs w:val="20"/>
                <w:color w:val="auto"/>
              </w:rPr>
            </w:pPr>
            <w:r>
              <w:rPr>
                <w:rFonts w:ascii="Arial" w:cs="Arial" w:eastAsia="Arial" w:hAnsi="Arial"/>
                <w:sz w:val="11"/>
                <w:szCs w:val="11"/>
                <w:b w:val="1"/>
                <w:bCs w:val="1"/>
                <w:color w:val="auto"/>
                <w:w w:val="93"/>
              </w:rPr>
              <w:t>Stock</w:t>
            </w:r>
          </w:p>
        </w:tc>
        <w:tc>
          <w:tcPr>
            <w:tcW w:w="820" w:type="dxa"/>
            <w:vAlign w:val="bottom"/>
          </w:tcPr>
          <w:p>
            <w:pPr>
              <w:jc w:val="center"/>
              <w:spacing w:after="0"/>
              <w:rPr>
                <w:sz w:val="20"/>
                <w:szCs w:val="20"/>
                <w:color w:val="auto"/>
              </w:rPr>
            </w:pPr>
            <w:r>
              <w:rPr>
                <w:rFonts w:ascii="Arial" w:cs="Arial" w:eastAsia="Arial" w:hAnsi="Arial"/>
                <w:sz w:val="11"/>
                <w:szCs w:val="11"/>
                <w:b w:val="1"/>
                <w:bCs w:val="1"/>
                <w:color w:val="auto"/>
                <w:w w:val="99"/>
              </w:rPr>
              <w:t>Stock</w:t>
            </w:r>
          </w:p>
        </w:tc>
        <w:tc>
          <w:tcPr>
            <w:tcW w:w="840" w:type="dxa"/>
            <w:vAlign w:val="bottom"/>
          </w:tcPr>
          <w:p>
            <w:pPr>
              <w:ind w:left="180"/>
              <w:spacing w:after="0"/>
              <w:rPr>
                <w:sz w:val="20"/>
                <w:szCs w:val="20"/>
                <w:color w:val="auto"/>
              </w:rPr>
            </w:pPr>
            <w:r>
              <w:rPr>
                <w:rFonts w:ascii="Arial" w:cs="Arial" w:eastAsia="Arial" w:hAnsi="Arial"/>
                <w:sz w:val="11"/>
                <w:szCs w:val="11"/>
                <w:b w:val="1"/>
                <w:bCs w:val="1"/>
                <w:color w:val="auto"/>
              </w:rPr>
              <w:t>Par Value</w:t>
            </w:r>
          </w:p>
        </w:tc>
        <w:tc>
          <w:tcPr>
            <w:tcW w:w="780" w:type="dxa"/>
            <w:vAlign w:val="bottom"/>
          </w:tcPr>
          <w:p>
            <w:pPr>
              <w:ind w:left="160"/>
              <w:spacing w:after="0"/>
              <w:rPr>
                <w:sz w:val="20"/>
                <w:szCs w:val="20"/>
                <w:color w:val="auto"/>
              </w:rPr>
            </w:pPr>
            <w:r>
              <w:rPr>
                <w:rFonts w:ascii="Arial" w:cs="Arial" w:eastAsia="Arial" w:hAnsi="Arial"/>
                <w:sz w:val="11"/>
                <w:szCs w:val="11"/>
                <w:b w:val="1"/>
                <w:bCs w:val="1"/>
                <w:color w:val="auto"/>
              </w:rPr>
              <w:t>Earnings</w:t>
            </w:r>
          </w:p>
        </w:tc>
        <w:tc>
          <w:tcPr>
            <w:tcW w:w="1100" w:type="dxa"/>
            <w:vAlign w:val="bottom"/>
          </w:tcPr>
          <w:p>
            <w:pPr>
              <w:jc w:val="center"/>
              <w:spacing w:after="0"/>
              <w:rPr>
                <w:sz w:val="20"/>
                <w:szCs w:val="20"/>
                <w:color w:val="auto"/>
              </w:rPr>
            </w:pPr>
            <w:r>
              <w:rPr>
                <w:rFonts w:ascii="Arial" w:cs="Arial" w:eastAsia="Arial" w:hAnsi="Arial"/>
                <w:sz w:val="11"/>
                <w:szCs w:val="11"/>
                <w:b w:val="1"/>
                <w:bCs w:val="1"/>
                <w:color w:val="auto"/>
                <w:w w:val="98"/>
              </w:rPr>
              <w:t>Income</w:t>
            </w:r>
          </w:p>
        </w:tc>
        <w:tc>
          <w:tcPr>
            <w:tcW w:w="780" w:type="dxa"/>
            <w:vAlign w:val="bottom"/>
          </w:tcPr>
          <w:p>
            <w:pPr>
              <w:jc w:val="center"/>
              <w:spacing w:after="0"/>
              <w:rPr>
                <w:sz w:val="20"/>
                <w:szCs w:val="20"/>
                <w:color w:val="auto"/>
              </w:rPr>
            </w:pPr>
            <w:r>
              <w:rPr>
                <w:rFonts w:ascii="Arial" w:cs="Arial" w:eastAsia="Arial" w:hAnsi="Arial"/>
                <w:sz w:val="11"/>
                <w:szCs w:val="11"/>
                <w:b w:val="1"/>
                <w:bCs w:val="1"/>
                <w:color w:val="auto"/>
                <w:w w:val="99"/>
              </w:rPr>
              <w:t>Stock</w:t>
            </w:r>
          </w:p>
        </w:tc>
        <w:tc>
          <w:tcPr>
            <w:tcW w:w="1080" w:type="dxa"/>
            <w:vAlign w:val="bottom"/>
          </w:tcPr>
          <w:p>
            <w:pPr>
              <w:jc w:val="center"/>
              <w:spacing w:after="0"/>
              <w:rPr>
                <w:sz w:val="20"/>
                <w:szCs w:val="20"/>
                <w:color w:val="auto"/>
              </w:rPr>
            </w:pPr>
            <w:r>
              <w:rPr>
                <w:rFonts w:ascii="Arial" w:cs="Arial" w:eastAsia="Arial" w:hAnsi="Arial"/>
                <w:sz w:val="11"/>
                <w:szCs w:val="11"/>
                <w:b w:val="1"/>
                <w:bCs w:val="1"/>
                <w:color w:val="auto"/>
              </w:rPr>
              <w:t>Interest</w:t>
            </w:r>
          </w:p>
        </w:tc>
        <w:tc>
          <w:tcPr>
            <w:tcW w:w="920" w:type="dxa"/>
            <w:vAlign w:val="bottom"/>
          </w:tcPr>
          <w:p>
            <w:pPr>
              <w:ind w:left="120"/>
              <w:spacing w:after="0"/>
              <w:rPr>
                <w:sz w:val="20"/>
                <w:szCs w:val="20"/>
                <w:color w:val="auto"/>
              </w:rPr>
            </w:pPr>
            <w:r>
              <w:rPr>
                <w:rFonts w:ascii="Arial" w:cs="Arial" w:eastAsia="Arial" w:hAnsi="Arial"/>
                <w:sz w:val="11"/>
                <w:szCs w:val="11"/>
                <w:b w:val="1"/>
                <w:bCs w:val="1"/>
                <w:color w:val="auto"/>
              </w:rPr>
              <w:t>Total Equity</w:t>
            </w:r>
          </w:p>
        </w:tc>
        <w:tc>
          <w:tcPr>
            <w:tcW w:w="960" w:type="dxa"/>
            <w:vAlign w:val="bottom"/>
          </w:tcPr>
          <w:p>
            <w:pPr>
              <w:jc w:val="center"/>
              <w:ind w:left="126"/>
              <w:spacing w:after="0"/>
              <w:rPr>
                <w:sz w:val="20"/>
                <w:szCs w:val="20"/>
                <w:color w:val="auto"/>
              </w:rPr>
            </w:pPr>
            <w:r>
              <w:rPr>
                <w:rFonts w:ascii="Arial" w:cs="Arial" w:eastAsia="Arial" w:hAnsi="Arial"/>
                <w:sz w:val="11"/>
                <w:szCs w:val="11"/>
                <w:b w:val="1"/>
                <w:bCs w:val="1"/>
                <w:color w:val="auto"/>
                <w:w w:val="95"/>
              </w:rPr>
              <w:t>Interest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36" w:right="239" w:bottom="795" w:gutter="0" w:footer="0" w:header="0"/>
        </w:sectPr>
      </w:pPr>
    </w:p>
    <w:p>
      <w:pPr>
        <w:spacing w:after="0" w:line="3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As of December 31, 2013</w:t>
      </w:r>
    </w:p>
    <w:p>
      <w:pPr>
        <w:spacing w:after="0" w:line="111" w:lineRule="exact"/>
        <w:rPr>
          <w:sz w:val="20"/>
          <w:szCs w:val="20"/>
          <w:color w:val="auto"/>
        </w:rPr>
      </w:pPr>
    </w:p>
    <w:p>
      <w:pPr>
        <w:ind w:left="40"/>
        <w:spacing w:after="0"/>
        <w:rPr>
          <w:sz w:val="20"/>
          <w:szCs w:val="20"/>
          <w:color w:val="auto"/>
        </w:rPr>
      </w:pPr>
      <w:r>
        <w:rPr>
          <w:rFonts w:ascii="Arial" w:cs="Arial" w:eastAsia="Arial" w:hAnsi="Arial"/>
          <w:sz w:val="14"/>
          <w:szCs w:val="14"/>
          <w:color w:val="auto"/>
        </w:rPr>
        <w:t>Net income for the year</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Acquisition of redeemable noncontrolling interest</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Net income attributable to noncontrolling interests</w:t>
      </w:r>
    </w:p>
    <w:p>
      <w:pPr>
        <w:spacing w:after="0" w:line="109" w:lineRule="exact"/>
        <w:rPr>
          <w:sz w:val="20"/>
          <w:szCs w:val="20"/>
          <w:color w:val="auto"/>
        </w:rPr>
      </w:pPr>
    </w:p>
    <w:p>
      <w:pPr>
        <w:ind w:left="200" w:right="140" w:hanging="161"/>
        <w:spacing w:after="0" w:line="250" w:lineRule="auto"/>
        <w:rPr>
          <w:sz w:val="20"/>
          <w:szCs w:val="20"/>
          <w:color w:val="auto"/>
        </w:rPr>
      </w:pPr>
      <w:r>
        <w:rPr>
          <w:rFonts w:ascii="Arial" w:cs="Arial" w:eastAsia="Arial" w:hAnsi="Arial"/>
          <w:sz w:val="14"/>
          <w:szCs w:val="14"/>
          <w:color w:val="auto"/>
        </w:rPr>
        <w:t>Net loss attributable to redeemable noncontrolling interests</w:t>
      </w:r>
    </w:p>
    <w:p>
      <w:pPr>
        <w:spacing w:after="0" w:line="16" w:lineRule="exact"/>
        <w:rPr>
          <w:sz w:val="20"/>
          <w:szCs w:val="20"/>
          <w:color w:val="auto"/>
        </w:rPr>
      </w:pPr>
    </w:p>
    <w:p>
      <w:pPr>
        <w:ind w:left="40"/>
        <w:spacing w:after="0"/>
        <w:rPr>
          <w:sz w:val="20"/>
          <w:szCs w:val="20"/>
          <w:color w:val="auto"/>
        </w:rPr>
      </w:pPr>
      <w:r>
        <w:rPr>
          <w:rFonts w:ascii="Arial" w:cs="Arial" w:eastAsia="Arial" w:hAnsi="Arial"/>
          <w:sz w:val="14"/>
          <w:szCs w:val="14"/>
          <w:color w:val="auto"/>
        </w:rPr>
        <w:t>Distribution to noncontrolling interests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Dividends paid on common stock</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Dividends paid on redeemable preferred stock</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Repurchase of Class B common stock</w:t>
      </w:r>
    </w:p>
    <w:p>
      <w:pPr>
        <w:spacing w:after="0" w:line="109" w:lineRule="exact"/>
        <w:rPr>
          <w:sz w:val="20"/>
          <w:szCs w:val="20"/>
          <w:color w:val="auto"/>
        </w:rPr>
      </w:pPr>
    </w:p>
    <w:p>
      <w:pPr>
        <w:ind w:left="200" w:hanging="161"/>
        <w:spacing w:after="0" w:line="250" w:lineRule="auto"/>
        <w:rPr>
          <w:sz w:val="20"/>
          <w:szCs w:val="20"/>
          <w:color w:val="auto"/>
        </w:rPr>
      </w:pPr>
      <w:r>
        <w:rPr>
          <w:rFonts w:ascii="Arial" w:cs="Arial" w:eastAsia="Arial" w:hAnsi="Arial"/>
          <w:sz w:val="14"/>
          <w:szCs w:val="14"/>
          <w:color w:val="auto"/>
        </w:rPr>
        <w:t>Issuance of Class B common stock, net of restricted stock award forfeitures</w:t>
      </w:r>
    </w:p>
    <w:p>
      <w:pPr>
        <w:spacing w:after="0" w:line="16" w:lineRule="exact"/>
        <w:rPr>
          <w:sz w:val="20"/>
          <w:szCs w:val="20"/>
          <w:color w:val="auto"/>
        </w:rPr>
      </w:pPr>
    </w:p>
    <w:p>
      <w:pPr>
        <w:ind w:left="200" w:right="100" w:hanging="161"/>
        <w:spacing w:after="0" w:line="250" w:lineRule="auto"/>
        <w:rPr>
          <w:sz w:val="20"/>
          <w:szCs w:val="20"/>
          <w:color w:val="auto"/>
        </w:rPr>
      </w:pPr>
      <w:r>
        <w:rPr>
          <w:rFonts w:ascii="Arial" w:cs="Arial" w:eastAsia="Arial" w:hAnsi="Arial"/>
          <w:sz w:val="14"/>
          <w:szCs w:val="14"/>
          <w:color w:val="auto"/>
        </w:rPr>
        <w:t>Amortization of unearned stock compensation and stock option expense</w:t>
      </w:r>
    </w:p>
    <w:p>
      <w:pPr>
        <w:spacing w:after="0" w:line="16" w:lineRule="exact"/>
        <w:rPr>
          <w:sz w:val="20"/>
          <w:szCs w:val="20"/>
          <w:color w:val="auto"/>
        </w:rPr>
      </w:pPr>
    </w:p>
    <w:p>
      <w:pPr>
        <w:ind w:left="40"/>
        <w:spacing w:after="0"/>
        <w:rPr>
          <w:sz w:val="20"/>
          <w:szCs w:val="20"/>
          <w:color w:val="auto"/>
        </w:rPr>
      </w:pPr>
      <w:r>
        <w:rPr>
          <w:rFonts w:ascii="Arial" w:cs="Arial" w:eastAsia="Arial" w:hAnsi="Arial"/>
          <w:sz w:val="14"/>
          <w:szCs w:val="14"/>
          <w:color w:val="auto"/>
        </w:rPr>
        <w:t>Other comprehensive loss, net of income taxes</w:t>
      </w:r>
    </w:p>
    <w:p>
      <w:pPr>
        <w:spacing w:after="0" w:line="109" w:lineRule="exact"/>
        <w:rPr>
          <w:sz w:val="20"/>
          <w:szCs w:val="20"/>
          <w:color w:val="auto"/>
        </w:rPr>
      </w:pPr>
    </w:p>
    <w:p>
      <w:pPr>
        <w:ind w:left="200" w:right="200" w:hanging="161"/>
        <w:spacing w:after="0" w:line="250" w:lineRule="auto"/>
        <w:rPr>
          <w:sz w:val="20"/>
          <w:szCs w:val="20"/>
          <w:color w:val="auto"/>
        </w:rPr>
      </w:pPr>
      <w:r>
        <w:rPr>
          <w:rFonts w:ascii="Arial" w:cs="Arial" w:eastAsia="Arial" w:hAnsi="Arial"/>
          <w:sz w:val="14"/>
          <w:szCs w:val="14"/>
          <w:color w:val="auto"/>
        </w:rPr>
        <w:t>Conversion of Class A common stock to Class B common stock</w:t>
      </w:r>
    </w:p>
    <w:p>
      <w:pPr>
        <w:spacing w:after="0" w:line="16" w:lineRule="exact"/>
        <w:rPr>
          <w:sz w:val="20"/>
          <w:szCs w:val="20"/>
          <w:color w:val="auto"/>
        </w:rPr>
      </w:pPr>
    </w:p>
    <w:p>
      <w:pPr>
        <w:ind w:left="40"/>
        <w:spacing w:after="0"/>
        <w:rPr>
          <w:sz w:val="20"/>
          <w:szCs w:val="20"/>
          <w:color w:val="auto"/>
        </w:rPr>
      </w:pPr>
      <w:r>
        <w:rPr>
          <w:rFonts w:ascii="Arial" w:cs="Arial" w:eastAsia="Arial" w:hAnsi="Arial"/>
          <w:sz w:val="14"/>
          <w:szCs w:val="14"/>
          <w:color w:val="auto"/>
        </w:rPr>
        <w:t>Taxes arising from employee stock plans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Other</w:t>
      </w:r>
    </w:p>
    <w:p>
      <w:pPr>
        <w:spacing w:after="0" w:line="107"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As of December 31, 2014</w:t>
      </w:r>
    </w:p>
    <w:p>
      <w:pPr>
        <w:spacing w:after="0" w:line="125" w:lineRule="exact"/>
        <w:rPr>
          <w:sz w:val="20"/>
          <w:szCs w:val="20"/>
          <w:color w:val="auto"/>
        </w:rPr>
      </w:pPr>
    </w:p>
    <w:p>
      <w:pPr>
        <w:ind w:left="40"/>
        <w:spacing w:after="0"/>
        <w:rPr>
          <w:sz w:val="20"/>
          <w:szCs w:val="20"/>
          <w:color w:val="auto"/>
        </w:rPr>
      </w:pPr>
      <w:r>
        <w:rPr>
          <w:rFonts w:ascii="Arial" w:cs="Arial" w:eastAsia="Arial" w:hAnsi="Arial"/>
          <w:sz w:val="14"/>
          <w:szCs w:val="14"/>
          <w:color w:val="auto"/>
        </w:rPr>
        <w:t>Net loss for the year</w:t>
      </w:r>
    </w:p>
    <w:p>
      <w:pPr>
        <w:spacing w:after="0" w:line="123" w:lineRule="exact"/>
        <w:rPr>
          <w:sz w:val="20"/>
          <w:szCs w:val="20"/>
          <w:color w:val="auto"/>
        </w:rPr>
      </w:pPr>
    </w:p>
    <w:p>
      <w:pPr>
        <w:ind w:left="200" w:right="320" w:hanging="161"/>
        <w:spacing w:after="0" w:line="250" w:lineRule="auto"/>
        <w:rPr>
          <w:sz w:val="20"/>
          <w:szCs w:val="20"/>
          <w:color w:val="auto"/>
        </w:rPr>
      </w:pPr>
      <w:r>
        <w:rPr>
          <w:rFonts w:ascii="Arial" w:cs="Arial" w:eastAsia="Arial" w:hAnsi="Arial"/>
          <w:sz w:val="14"/>
          <w:szCs w:val="14"/>
          <w:color w:val="auto"/>
        </w:rPr>
        <w:t>Contribution of noncontrolling interest to a joint venture</w:t>
      </w:r>
    </w:p>
    <w:p>
      <w:pPr>
        <w:spacing w:after="0" w:line="16" w:lineRule="exact"/>
        <w:rPr>
          <w:sz w:val="20"/>
          <w:szCs w:val="20"/>
          <w:color w:val="auto"/>
        </w:rPr>
      </w:pPr>
    </w:p>
    <w:p>
      <w:pPr>
        <w:ind w:left="200" w:right="820" w:hanging="161"/>
        <w:spacing w:after="0" w:line="305" w:lineRule="auto"/>
        <w:rPr>
          <w:sz w:val="20"/>
          <w:szCs w:val="20"/>
          <w:color w:val="auto"/>
        </w:rPr>
      </w:pPr>
      <w:r>
        <w:rPr>
          <w:rFonts w:ascii="Arial" w:cs="Arial" w:eastAsia="Arial" w:hAnsi="Arial"/>
          <w:sz w:val="12"/>
          <w:szCs w:val="12"/>
          <w:color w:val="auto"/>
        </w:rPr>
        <w:t>Net income attributable to redeemable noncontrolling interests</w:t>
      </w:r>
    </w:p>
    <w:p>
      <w:pPr>
        <w:ind w:left="200" w:right="520" w:hanging="161"/>
        <w:spacing w:after="0" w:line="250" w:lineRule="auto"/>
        <w:rPr>
          <w:sz w:val="20"/>
          <w:szCs w:val="20"/>
          <w:color w:val="auto"/>
        </w:rPr>
      </w:pPr>
      <w:r>
        <w:rPr>
          <w:rFonts w:ascii="Arial" w:cs="Arial" w:eastAsia="Arial" w:hAnsi="Arial"/>
          <w:sz w:val="14"/>
          <w:szCs w:val="14"/>
          <w:color w:val="auto"/>
        </w:rPr>
        <w:t>Change in redemption value of redeemable noncontrolling interests</w:t>
      </w:r>
    </w:p>
    <w:p>
      <w:pPr>
        <w:spacing w:after="0" w:line="16" w:lineRule="exact"/>
        <w:rPr>
          <w:sz w:val="20"/>
          <w:szCs w:val="20"/>
          <w:color w:val="auto"/>
        </w:rPr>
      </w:pPr>
    </w:p>
    <w:p>
      <w:pPr>
        <w:ind w:left="40"/>
        <w:spacing w:after="0"/>
        <w:rPr>
          <w:sz w:val="20"/>
          <w:szCs w:val="20"/>
          <w:color w:val="auto"/>
        </w:rPr>
      </w:pPr>
      <w:r>
        <w:rPr>
          <w:rFonts w:ascii="Arial" w:cs="Arial" w:eastAsia="Arial" w:hAnsi="Arial"/>
          <w:sz w:val="14"/>
          <w:szCs w:val="14"/>
          <w:color w:val="auto"/>
        </w:rPr>
        <w:t>Dividends paid on common stock</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Dividends paid on redeemable preferred stock</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Repurchase of Class B common stock</w:t>
      </w:r>
    </w:p>
    <w:p>
      <w:pPr>
        <w:spacing w:after="0" w:line="109" w:lineRule="exact"/>
        <w:rPr>
          <w:sz w:val="20"/>
          <w:szCs w:val="20"/>
          <w:color w:val="auto"/>
        </w:rPr>
      </w:pPr>
    </w:p>
    <w:p>
      <w:pPr>
        <w:ind w:left="200" w:hanging="161"/>
        <w:spacing w:after="0" w:line="250" w:lineRule="auto"/>
        <w:rPr>
          <w:sz w:val="20"/>
          <w:szCs w:val="20"/>
          <w:color w:val="auto"/>
        </w:rPr>
      </w:pPr>
      <w:r>
        <w:rPr>
          <w:rFonts w:ascii="Arial" w:cs="Arial" w:eastAsia="Arial" w:hAnsi="Arial"/>
          <w:sz w:val="14"/>
          <w:szCs w:val="14"/>
          <w:color w:val="auto"/>
        </w:rPr>
        <w:t>Issuance of Class B common stock, net of restricted stock award forfeitures</w:t>
      </w:r>
    </w:p>
    <w:p>
      <w:pPr>
        <w:spacing w:after="0" w:line="16" w:lineRule="exact"/>
        <w:rPr>
          <w:sz w:val="20"/>
          <w:szCs w:val="20"/>
          <w:color w:val="auto"/>
        </w:rPr>
      </w:pPr>
    </w:p>
    <w:p>
      <w:pPr>
        <w:ind w:left="200" w:right="100" w:hanging="161"/>
        <w:spacing w:after="0" w:line="250" w:lineRule="auto"/>
        <w:rPr>
          <w:sz w:val="20"/>
          <w:szCs w:val="20"/>
          <w:color w:val="auto"/>
        </w:rPr>
      </w:pPr>
      <w:r>
        <w:rPr>
          <w:rFonts w:ascii="Arial" w:cs="Arial" w:eastAsia="Arial" w:hAnsi="Arial"/>
          <w:sz w:val="14"/>
          <w:szCs w:val="14"/>
          <w:color w:val="auto"/>
        </w:rPr>
        <w:t>Amortization of unearned stock compensation and stock option expense</w:t>
      </w:r>
    </w:p>
    <w:p>
      <w:pPr>
        <w:spacing w:after="0" w:line="16" w:lineRule="exact"/>
        <w:rPr>
          <w:sz w:val="20"/>
          <w:szCs w:val="20"/>
          <w:color w:val="auto"/>
        </w:rPr>
      </w:pPr>
    </w:p>
    <w:p>
      <w:pPr>
        <w:ind w:left="40"/>
        <w:spacing w:after="0"/>
        <w:rPr>
          <w:sz w:val="20"/>
          <w:szCs w:val="20"/>
          <w:color w:val="auto"/>
        </w:rPr>
      </w:pPr>
      <w:r>
        <w:rPr>
          <w:rFonts w:ascii="Arial" w:cs="Arial" w:eastAsia="Arial" w:hAnsi="Arial"/>
          <w:sz w:val="14"/>
          <w:szCs w:val="14"/>
          <w:color w:val="auto"/>
        </w:rPr>
        <w:t>Other comprehensive loss, net of income taxes</w:t>
      </w:r>
    </w:p>
    <w:p>
      <w:pPr>
        <w:spacing w:after="0" w:line="109" w:lineRule="exact"/>
        <w:rPr>
          <w:sz w:val="20"/>
          <w:szCs w:val="20"/>
          <w:color w:val="auto"/>
        </w:rPr>
      </w:pPr>
    </w:p>
    <w:p>
      <w:pPr>
        <w:ind w:left="200" w:right="200" w:hanging="161"/>
        <w:spacing w:after="0" w:line="250" w:lineRule="auto"/>
        <w:rPr>
          <w:sz w:val="20"/>
          <w:szCs w:val="20"/>
          <w:color w:val="auto"/>
        </w:rPr>
      </w:pPr>
      <w:r>
        <w:rPr>
          <w:rFonts w:ascii="Arial" w:cs="Arial" w:eastAsia="Arial" w:hAnsi="Arial"/>
          <w:sz w:val="14"/>
          <w:szCs w:val="14"/>
          <w:color w:val="auto"/>
        </w:rPr>
        <w:t>Conversion of Class A common stock to Class B common stock</w:t>
      </w:r>
    </w:p>
    <w:p>
      <w:pPr>
        <w:spacing w:after="0" w:line="16" w:lineRule="exact"/>
        <w:rPr>
          <w:sz w:val="20"/>
          <w:szCs w:val="20"/>
          <w:color w:val="auto"/>
        </w:rPr>
      </w:pPr>
    </w:p>
    <w:p>
      <w:pPr>
        <w:ind w:left="40"/>
        <w:spacing w:after="0"/>
        <w:rPr>
          <w:sz w:val="20"/>
          <w:szCs w:val="20"/>
          <w:color w:val="auto"/>
        </w:rPr>
      </w:pPr>
      <w:r>
        <w:rPr>
          <w:rFonts w:ascii="Arial" w:cs="Arial" w:eastAsia="Arial" w:hAnsi="Arial"/>
          <w:sz w:val="14"/>
          <w:szCs w:val="14"/>
          <w:color w:val="auto"/>
        </w:rPr>
        <w:t>Spin-Off of Cable ONE</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Taxes arising from employee stock plans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Other</w:t>
      </w:r>
    </w:p>
    <w:p>
      <w:pPr>
        <w:spacing w:after="0" w:line="107"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As of December 31, 2015</w:t>
      </w:r>
    </w:p>
    <w:p>
      <w:pPr>
        <w:spacing w:after="0" w:line="123"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Net income for the year</w:t>
      </w:r>
    </w:p>
    <w:p>
      <w:pPr>
        <w:spacing w:after="0" w:line="123" w:lineRule="exact"/>
        <w:rPr>
          <w:sz w:val="20"/>
          <w:szCs w:val="20"/>
          <w:color w:val="auto"/>
        </w:rPr>
      </w:pPr>
    </w:p>
    <w:p>
      <w:pPr>
        <w:ind w:left="200" w:right="660" w:hanging="161"/>
        <w:spacing w:after="0" w:line="305" w:lineRule="auto"/>
        <w:rPr>
          <w:sz w:val="20"/>
          <w:szCs w:val="20"/>
          <w:color w:val="auto"/>
        </w:rPr>
      </w:pPr>
      <w:r>
        <w:rPr>
          <w:rFonts w:ascii="Arial" w:cs="Arial" w:eastAsia="Arial" w:hAnsi="Arial"/>
          <w:sz w:val="12"/>
          <w:szCs w:val="12"/>
          <w:b w:val="1"/>
          <w:bCs w:val="1"/>
          <w:color w:val="auto"/>
        </w:rPr>
        <w:t>Net income attributable to redeemable noncontrolling interests</w:t>
      </w:r>
    </w:p>
    <w:p>
      <w:pPr>
        <w:ind w:left="200" w:right="340" w:hanging="161"/>
        <w:spacing w:after="0" w:line="261" w:lineRule="auto"/>
        <w:rPr>
          <w:sz w:val="20"/>
          <w:szCs w:val="20"/>
          <w:color w:val="auto"/>
        </w:rPr>
      </w:pPr>
      <w:r>
        <w:rPr>
          <w:rFonts w:ascii="Arial" w:cs="Arial" w:eastAsia="Arial" w:hAnsi="Arial"/>
          <w:sz w:val="14"/>
          <w:szCs w:val="14"/>
          <w:b w:val="1"/>
          <w:bCs w:val="1"/>
          <w:color w:val="auto"/>
        </w:rPr>
        <w:t>Change in redemption value of redeemable noncontrolling interests</w:t>
      </w:r>
    </w:p>
    <w:p>
      <w:pPr>
        <w:spacing w:after="0" w:line="1" w:lineRule="exact"/>
        <w:rPr>
          <w:sz w:val="20"/>
          <w:szCs w:val="20"/>
          <w:color w:val="auto"/>
        </w:rPr>
      </w:pPr>
    </w:p>
    <w:p>
      <w:pPr>
        <w:ind w:left="40" w:right="640"/>
        <w:spacing w:after="0" w:line="469" w:lineRule="auto"/>
        <w:rPr>
          <w:sz w:val="20"/>
          <w:szCs w:val="20"/>
          <w:color w:val="auto"/>
        </w:rPr>
      </w:pPr>
      <w:r>
        <w:rPr>
          <w:rFonts w:ascii="Arial" w:cs="Arial" w:eastAsia="Arial" w:hAnsi="Arial"/>
          <w:sz w:val="12"/>
          <w:szCs w:val="12"/>
          <w:b w:val="1"/>
          <w:bCs w:val="1"/>
          <w:color w:val="auto"/>
        </w:rPr>
        <w:t>Dividends paid on common stock Repurchase of Class B common stock</w:t>
      </w:r>
    </w:p>
    <w:p>
      <w:pPr>
        <w:spacing w:after="0" w:line="1" w:lineRule="exact"/>
        <w:rPr>
          <w:sz w:val="20"/>
          <w:szCs w:val="20"/>
          <w:color w:val="auto"/>
        </w:rPr>
      </w:pPr>
    </w:p>
    <w:p>
      <w:pPr>
        <w:ind w:left="200" w:right="400" w:hanging="161"/>
        <w:spacing w:after="0" w:line="261" w:lineRule="auto"/>
        <w:rPr>
          <w:sz w:val="20"/>
          <w:szCs w:val="20"/>
          <w:color w:val="auto"/>
        </w:rPr>
      </w:pPr>
      <w:r>
        <w:rPr>
          <w:rFonts w:ascii="Arial" w:cs="Arial" w:eastAsia="Arial" w:hAnsi="Arial"/>
          <w:sz w:val="14"/>
          <w:szCs w:val="14"/>
          <w:b w:val="1"/>
          <w:bCs w:val="1"/>
          <w:color w:val="auto"/>
        </w:rPr>
        <w:t>Issuance of Class B common stock, net of restricted stock award forfeitures</w:t>
      </w:r>
    </w:p>
    <w:p>
      <w:pPr>
        <w:spacing w:after="0" w:line="1" w:lineRule="exact"/>
        <w:rPr>
          <w:sz w:val="20"/>
          <w:szCs w:val="20"/>
          <w:color w:val="auto"/>
        </w:rPr>
      </w:pPr>
    </w:p>
    <w:p>
      <w:pPr>
        <w:ind w:left="200" w:right="120" w:hanging="161"/>
        <w:spacing w:after="0" w:line="261" w:lineRule="auto"/>
        <w:rPr>
          <w:sz w:val="20"/>
          <w:szCs w:val="20"/>
          <w:color w:val="auto"/>
        </w:rPr>
      </w:pPr>
      <w:r>
        <w:rPr>
          <w:rFonts w:ascii="Arial" w:cs="Arial" w:eastAsia="Arial" w:hAnsi="Arial"/>
          <w:sz w:val="14"/>
          <w:szCs w:val="14"/>
          <w:b w:val="1"/>
          <w:bCs w:val="1"/>
          <w:color w:val="auto"/>
        </w:rPr>
        <w:t>Amortization of unearned stock compensation and stock option expense</w:t>
      </w:r>
    </w:p>
    <w:p>
      <w:pPr>
        <w:spacing w:after="0" w:line="1" w:lineRule="exact"/>
        <w:rPr>
          <w:sz w:val="20"/>
          <w:szCs w:val="20"/>
          <w:color w:val="auto"/>
        </w:rPr>
      </w:pPr>
    </w:p>
    <w:p>
      <w:pPr>
        <w:ind w:left="40"/>
        <w:spacing w:after="0" w:line="492" w:lineRule="auto"/>
        <w:rPr>
          <w:sz w:val="20"/>
          <w:szCs w:val="20"/>
          <w:color w:val="auto"/>
        </w:rPr>
      </w:pPr>
      <w:r>
        <w:rPr>
          <w:rFonts w:ascii="Arial" w:cs="Arial" w:eastAsia="Arial" w:hAnsi="Arial"/>
          <w:sz w:val="12"/>
          <w:szCs w:val="12"/>
          <w:b w:val="1"/>
          <w:bCs w:val="1"/>
          <w:color w:val="auto"/>
        </w:rPr>
        <w:t>Other comprehensive loss, net of income taxes Taxes arising from employee stock plans Purchase of redeemable noncontrolling interest Exchange of redeemable noncontrolling interest As of December 31, 2016</w:t>
      </w:r>
    </w:p>
    <w:p>
      <w:pPr>
        <w:spacing w:after="0" w:line="20" w:lineRule="exact"/>
        <w:rPr>
          <w:sz w:val="20"/>
          <w:szCs w:val="20"/>
          <w:color w:val="auto"/>
        </w:rPr>
      </w:pPr>
      <w:r>
        <w:rPr>
          <w:sz w:val="20"/>
          <w:szCs w:val="20"/>
          <w:color w:val="auto"/>
        </w:rPr>
        <w:br w:type="column"/>
      </w:r>
    </w:p>
    <w:p>
      <w:pPr>
        <w:spacing w:after="0" w:line="8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0"/>
        </w:trPr>
        <w:tc>
          <w:tcPr>
            <w:tcW w:w="24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560" w:type="dxa"/>
            <w:vAlign w:val="bottom"/>
          </w:tcPr>
          <w:p>
            <w:pPr>
              <w:jc w:val="right"/>
              <w:ind w:right="12"/>
              <w:spacing w:after="0"/>
              <w:rPr>
                <w:sz w:val="20"/>
                <w:szCs w:val="20"/>
                <w:color w:val="auto"/>
              </w:rPr>
            </w:pPr>
            <w:r>
              <w:rPr>
                <w:rFonts w:ascii="Arial" w:cs="Arial" w:eastAsia="Arial" w:hAnsi="Arial"/>
                <w:sz w:val="14"/>
                <w:szCs w:val="14"/>
                <w:color w:val="auto"/>
              </w:rPr>
              <w:t>1,169</w:t>
            </w:r>
          </w:p>
        </w:tc>
        <w:tc>
          <w:tcPr>
            <w:tcW w:w="22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18,831</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12"/>
              <w:spacing w:after="0"/>
              <w:rPr>
                <w:sz w:val="20"/>
                <w:szCs w:val="20"/>
                <w:color w:val="auto"/>
              </w:rPr>
            </w:pPr>
            <w:r>
              <w:rPr>
                <w:rFonts w:ascii="Arial" w:cs="Arial" w:eastAsia="Arial" w:hAnsi="Arial"/>
                <w:sz w:val="14"/>
                <w:szCs w:val="14"/>
                <w:color w:val="auto"/>
              </w:rPr>
              <w:t>288,129</w:t>
            </w:r>
          </w:p>
        </w:tc>
        <w:tc>
          <w:tcPr>
            <w:tcW w:w="840" w:type="dxa"/>
            <w:vAlign w:val="bottom"/>
          </w:tcPr>
          <w:p>
            <w:pPr>
              <w:jc w:val="right"/>
              <w:ind w:right="32"/>
              <w:spacing w:after="0"/>
              <w:rPr>
                <w:sz w:val="20"/>
                <w:szCs w:val="20"/>
                <w:color w:val="auto"/>
              </w:rPr>
            </w:pPr>
            <w:r>
              <w:rPr>
                <w:rFonts w:ascii="Arial" w:cs="Arial" w:eastAsia="Arial" w:hAnsi="Arial"/>
                <w:sz w:val="14"/>
                <w:szCs w:val="14"/>
                <w:color w:val="auto"/>
              </w:rPr>
              <w:t>$4,782,777</w:t>
            </w:r>
          </w:p>
        </w:tc>
        <w:tc>
          <w:tcPr>
            <w:tcW w:w="24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12"/>
              <w:spacing w:after="0"/>
              <w:rPr>
                <w:sz w:val="20"/>
                <w:szCs w:val="20"/>
                <w:color w:val="auto"/>
              </w:rPr>
            </w:pPr>
            <w:r>
              <w:rPr>
                <w:rFonts w:ascii="Arial" w:cs="Arial" w:eastAsia="Arial" w:hAnsi="Arial"/>
                <w:sz w:val="14"/>
                <w:szCs w:val="14"/>
                <w:color w:val="auto"/>
              </w:rPr>
              <w:t>699,494</w:t>
            </w:r>
          </w:p>
        </w:tc>
        <w:tc>
          <w:tcPr>
            <w:tcW w:w="900" w:type="dxa"/>
            <w:vAlign w:val="bottom"/>
          </w:tcPr>
          <w:p>
            <w:pPr>
              <w:jc w:val="right"/>
              <w:spacing w:after="0"/>
              <w:rPr>
                <w:sz w:val="20"/>
                <w:szCs w:val="20"/>
                <w:color w:val="auto"/>
              </w:rPr>
            </w:pPr>
            <w:r>
              <w:rPr>
                <w:rFonts w:ascii="Arial" w:cs="Arial" w:eastAsia="Arial" w:hAnsi="Arial"/>
                <w:sz w:val="14"/>
                <w:szCs w:val="14"/>
                <w:color w:val="auto"/>
              </w:rPr>
              <w:t>$ (2,490,333)</w:t>
            </w:r>
          </w:p>
        </w:tc>
        <w:tc>
          <w:tcPr>
            <w:tcW w:w="380" w:type="dxa"/>
            <w:vAlign w:val="bottom"/>
          </w:tcPr>
          <w:p>
            <w:pPr>
              <w:jc w:val="right"/>
              <w:ind w:right="192"/>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12"/>
              <w:spacing w:after="0"/>
              <w:rPr>
                <w:sz w:val="20"/>
                <w:szCs w:val="20"/>
                <w:color w:val="auto"/>
              </w:rPr>
            </w:pPr>
            <w:r>
              <w:rPr>
                <w:rFonts w:ascii="Arial" w:cs="Arial" w:eastAsia="Arial" w:hAnsi="Arial"/>
                <w:sz w:val="14"/>
                <w:szCs w:val="14"/>
                <w:color w:val="auto"/>
              </w:rPr>
              <w:t>221</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72"/>
              <w:spacing w:after="0"/>
              <w:rPr>
                <w:sz w:val="20"/>
                <w:szCs w:val="20"/>
                <w:color w:val="auto"/>
              </w:rPr>
            </w:pPr>
            <w:r>
              <w:rPr>
                <w:rFonts w:ascii="Arial" w:cs="Arial" w:eastAsia="Arial" w:hAnsi="Arial"/>
                <w:sz w:val="14"/>
                <w:szCs w:val="14"/>
                <w:color w:val="auto"/>
              </w:rPr>
              <w:t>3,300,288</w:t>
            </w:r>
          </w:p>
        </w:tc>
        <w:tc>
          <w:tcPr>
            <w:tcW w:w="340" w:type="dxa"/>
            <w:vAlign w:val="bottom"/>
          </w:tcPr>
          <w:p>
            <w:pPr>
              <w:jc w:val="right"/>
              <w:ind w:right="112"/>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32"/>
              <w:spacing w:after="0"/>
              <w:rPr>
                <w:sz w:val="20"/>
                <w:szCs w:val="20"/>
                <w:color w:val="auto"/>
              </w:rPr>
            </w:pPr>
            <w:r>
              <w:rPr>
                <w:rFonts w:ascii="Arial" w:cs="Arial" w:eastAsia="Arial" w:hAnsi="Arial"/>
                <w:sz w:val="14"/>
                <w:szCs w:val="14"/>
                <w:color w:val="auto"/>
              </w:rPr>
              <w:t>5,896</w:t>
            </w:r>
          </w:p>
        </w:tc>
      </w:tr>
      <w:tr>
        <w:trPr>
          <w:trHeight w:val="270"/>
        </w:trPr>
        <w:tc>
          <w:tcPr>
            <w:tcW w:w="2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840" w:type="dxa"/>
            <w:vAlign w:val="bottom"/>
          </w:tcPr>
          <w:p>
            <w:pPr>
              <w:jc w:val="right"/>
              <w:ind w:right="32"/>
              <w:spacing w:after="0"/>
              <w:rPr>
                <w:sz w:val="20"/>
                <w:szCs w:val="20"/>
                <w:color w:val="auto"/>
              </w:rPr>
            </w:pPr>
            <w:r>
              <w:rPr>
                <w:rFonts w:ascii="Arial" w:cs="Arial" w:eastAsia="Arial" w:hAnsi="Arial"/>
                <w:sz w:val="14"/>
                <w:szCs w:val="14"/>
                <w:color w:val="auto"/>
              </w:rPr>
              <w:t>1,293,260</w:t>
            </w:r>
          </w:p>
        </w:tc>
        <w:tc>
          <w:tcPr>
            <w:tcW w:w="2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20" w:type="dxa"/>
            <w:vAlign w:val="bottom"/>
          </w:tcPr>
          <w:p>
            <w:pPr>
              <w:jc w:val="right"/>
              <w:ind w:right="72"/>
              <w:spacing w:after="0"/>
              <w:rPr>
                <w:sz w:val="20"/>
                <w:szCs w:val="20"/>
                <w:color w:val="auto"/>
              </w:rPr>
            </w:pPr>
            <w:r>
              <w:rPr>
                <w:rFonts w:ascii="Arial" w:cs="Arial" w:eastAsia="Arial" w:hAnsi="Arial"/>
                <w:sz w:val="14"/>
                <w:szCs w:val="14"/>
                <w:color w:val="auto"/>
              </w:rPr>
              <w:t>1,293,260</w:t>
            </w:r>
          </w:p>
        </w:tc>
        <w:tc>
          <w:tcPr>
            <w:tcW w:w="340" w:type="dxa"/>
            <w:vAlign w:val="bottom"/>
          </w:tcPr>
          <w:p>
            <w:pPr>
              <w:spacing w:after="0"/>
              <w:rPr>
                <w:sz w:val="23"/>
                <w:szCs w:val="23"/>
                <w:color w:val="auto"/>
              </w:rPr>
            </w:pPr>
          </w:p>
        </w:tc>
        <w:tc>
          <w:tcPr>
            <w:tcW w:w="740" w:type="dxa"/>
            <w:vAlign w:val="bottom"/>
          </w:tcPr>
          <w:p>
            <w:pPr>
              <w:spacing w:after="0"/>
              <w:rPr>
                <w:sz w:val="23"/>
                <w:szCs w:val="23"/>
                <w:color w:val="auto"/>
              </w:rPr>
            </w:pPr>
          </w:p>
        </w:tc>
      </w:tr>
      <w:tr>
        <w:trPr>
          <w:trHeight w:val="270"/>
        </w:trPr>
        <w:tc>
          <w:tcPr>
            <w:tcW w:w="2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2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3"/>
                <w:szCs w:val="23"/>
                <w:color w:val="auto"/>
              </w:rPr>
            </w:pPr>
          </w:p>
        </w:tc>
        <w:tc>
          <w:tcPr>
            <w:tcW w:w="740" w:type="dxa"/>
            <w:vAlign w:val="bottom"/>
          </w:tcPr>
          <w:p>
            <w:pPr>
              <w:jc w:val="right"/>
              <w:ind w:right="32"/>
              <w:spacing w:after="0"/>
              <w:rPr>
                <w:sz w:val="20"/>
                <w:szCs w:val="20"/>
                <w:color w:val="auto"/>
              </w:rPr>
            </w:pPr>
            <w:r>
              <w:rPr>
                <w:rFonts w:ascii="Arial" w:cs="Arial" w:eastAsia="Arial" w:hAnsi="Arial"/>
                <w:sz w:val="14"/>
                <w:szCs w:val="14"/>
                <w:color w:val="auto"/>
              </w:rPr>
              <w:t>17,108</w:t>
            </w:r>
          </w:p>
        </w:tc>
      </w:tr>
      <w:tr>
        <w:trPr>
          <w:trHeight w:val="270"/>
        </w:trPr>
        <w:tc>
          <w:tcPr>
            <w:tcW w:w="2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(497)</w:t>
            </w:r>
          </w:p>
        </w:tc>
        <w:tc>
          <w:tcPr>
            <w:tcW w:w="2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20" w:type="dxa"/>
            <w:vAlign w:val="bottom"/>
          </w:tcPr>
          <w:p>
            <w:pPr>
              <w:jc w:val="right"/>
              <w:ind w:right="12"/>
              <w:spacing w:after="0"/>
              <w:rPr>
                <w:sz w:val="20"/>
                <w:szCs w:val="20"/>
                <w:color w:val="auto"/>
              </w:rPr>
            </w:pPr>
            <w:r>
              <w:rPr>
                <w:rFonts w:ascii="Arial" w:cs="Arial" w:eastAsia="Arial" w:hAnsi="Arial"/>
                <w:sz w:val="14"/>
                <w:szCs w:val="14"/>
                <w:color w:val="auto"/>
              </w:rPr>
              <w:t>497</w:t>
            </w:r>
          </w:p>
        </w:tc>
        <w:tc>
          <w:tcPr>
            <w:tcW w:w="140" w:type="dxa"/>
            <w:vAlign w:val="bottom"/>
          </w:tcPr>
          <w:p>
            <w:pPr>
              <w:spacing w:after="0"/>
              <w:rPr>
                <w:sz w:val="23"/>
                <w:szCs w:val="23"/>
                <w:color w:val="auto"/>
              </w:rPr>
            </w:pPr>
          </w:p>
        </w:tc>
        <w:tc>
          <w:tcPr>
            <w:tcW w:w="82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3"/>
                <w:szCs w:val="23"/>
                <w:color w:val="auto"/>
              </w:rPr>
            </w:pPr>
          </w:p>
        </w:tc>
        <w:tc>
          <w:tcPr>
            <w:tcW w:w="740" w:type="dxa"/>
            <w:vAlign w:val="bottom"/>
          </w:tcPr>
          <w:p>
            <w:pPr>
              <w:spacing w:after="0"/>
              <w:rPr>
                <w:sz w:val="23"/>
                <w:szCs w:val="23"/>
                <w:color w:val="auto"/>
              </w:rPr>
            </w:pPr>
          </w:p>
        </w:tc>
      </w:tr>
      <w:tr>
        <w:trPr>
          <w:trHeight w:val="351"/>
        </w:trPr>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40" w:type="dxa"/>
            <w:vAlign w:val="bottom"/>
          </w:tcPr>
          <w:p>
            <w:pPr>
              <w:jc w:val="right"/>
              <w:ind w:right="32"/>
              <w:spacing w:after="0"/>
              <w:rPr>
                <w:sz w:val="20"/>
                <w:szCs w:val="20"/>
                <w:color w:val="auto"/>
              </w:rPr>
            </w:pPr>
            <w:r>
              <w:rPr>
                <w:rFonts w:ascii="Arial" w:cs="Arial" w:eastAsia="Arial" w:hAnsi="Arial"/>
                <w:sz w:val="14"/>
                <w:szCs w:val="14"/>
                <w:color w:val="auto"/>
              </w:rPr>
              <w:t>1,080</w:t>
            </w: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jc w:val="right"/>
              <w:ind w:right="72"/>
              <w:spacing w:after="0"/>
              <w:rPr>
                <w:sz w:val="20"/>
                <w:szCs w:val="20"/>
                <w:color w:val="auto"/>
              </w:rPr>
            </w:pPr>
            <w:r>
              <w:rPr>
                <w:rFonts w:ascii="Arial" w:cs="Arial" w:eastAsia="Arial" w:hAnsi="Arial"/>
                <w:sz w:val="14"/>
                <w:szCs w:val="14"/>
                <w:color w:val="auto"/>
              </w:rPr>
              <w:t>1,080</w:t>
            </w:r>
          </w:p>
        </w:tc>
        <w:tc>
          <w:tcPr>
            <w:tcW w:w="3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(1,080)</w:t>
            </w:r>
          </w:p>
        </w:tc>
      </w:tr>
      <w:tr>
        <w:trPr>
          <w:trHeight w:val="270"/>
        </w:trPr>
        <w:tc>
          <w:tcPr>
            <w:tcW w:w="2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(242)</w:t>
            </w:r>
          </w:p>
        </w:tc>
        <w:tc>
          <w:tcPr>
            <w:tcW w:w="140" w:type="dxa"/>
            <w:vAlign w:val="bottom"/>
          </w:tcPr>
          <w:p>
            <w:pPr>
              <w:spacing w:after="0"/>
              <w:rPr>
                <w:sz w:val="23"/>
                <w:szCs w:val="23"/>
                <w:color w:val="auto"/>
              </w:rPr>
            </w:pPr>
          </w:p>
        </w:tc>
        <w:tc>
          <w:tcPr>
            <w:tcW w:w="820" w:type="dxa"/>
            <w:vAlign w:val="bottom"/>
          </w:tcPr>
          <w:p>
            <w:pPr>
              <w:jc w:val="right"/>
              <w:ind w:right="32"/>
              <w:spacing w:after="0"/>
              <w:rPr>
                <w:sz w:val="20"/>
                <w:szCs w:val="20"/>
                <w:color w:val="auto"/>
              </w:rPr>
            </w:pPr>
            <w:r>
              <w:rPr>
                <w:rFonts w:ascii="Arial" w:cs="Arial" w:eastAsia="Arial" w:hAnsi="Arial"/>
                <w:sz w:val="14"/>
                <w:szCs w:val="14"/>
                <w:color w:val="auto"/>
              </w:rPr>
              <w:t>(242)</w:t>
            </w:r>
          </w:p>
        </w:tc>
        <w:tc>
          <w:tcPr>
            <w:tcW w:w="340" w:type="dxa"/>
            <w:vAlign w:val="bottom"/>
          </w:tcPr>
          <w:p>
            <w:pPr>
              <w:spacing w:after="0"/>
              <w:rPr>
                <w:sz w:val="23"/>
                <w:szCs w:val="23"/>
                <w:color w:val="auto"/>
              </w:rPr>
            </w:pPr>
          </w:p>
        </w:tc>
        <w:tc>
          <w:tcPr>
            <w:tcW w:w="740" w:type="dxa"/>
            <w:vAlign w:val="bottom"/>
          </w:tcPr>
          <w:p>
            <w:pPr>
              <w:spacing w:after="0"/>
              <w:rPr>
                <w:sz w:val="23"/>
                <w:szCs w:val="23"/>
                <w:color w:val="auto"/>
              </w:rPr>
            </w:pPr>
          </w:p>
        </w:tc>
      </w:tr>
      <w:tr>
        <w:trPr>
          <w:trHeight w:val="270"/>
        </w:trPr>
        <w:tc>
          <w:tcPr>
            <w:tcW w:w="2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(67,267)</w:t>
            </w:r>
          </w:p>
        </w:tc>
        <w:tc>
          <w:tcPr>
            <w:tcW w:w="2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20" w:type="dxa"/>
            <w:vAlign w:val="bottom"/>
          </w:tcPr>
          <w:p>
            <w:pPr>
              <w:jc w:val="right"/>
              <w:ind w:right="32"/>
              <w:spacing w:after="0"/>
              <w:rPr>
                <w:sz w:val="20"/>
                <w:szCs w:val="20"/>
                <w:color w:val="auto"/>
              </w:rPr>
            </w:pPr>
            <w:r>
              <w:rPr>
                <w:rFonts w:ascii="Arial" w:cs="Arial" w:eastAsia="Arial" w:hAnsi="Arial"/>
                <w:sz w:val="14"/>
                <w:szCs w:val="14"/>
                <w:color w:val="auto"/>
              </w:rPr>
              <w:t>(67,267)</w:t>
            </w:r>
          </w:p>
        </w:tc>
        <w:tc>
          <w:tcPr>
            <w:tcW w:w="340" w:type="dxa"/>
            <w:vAlign w:val="bottom"/>
          </w:tcPr>
          <w:p>
            <w:pPr>
              <w:spacing w:after="0"/>
              <w:rPr>
                <w:sz w:val="23"/>
                <w:szCs w:val="23"/>
                <w:color w:val="auto"/>
              </w:rPr>
            </w:pPr>
          </w:p>
        </w:tc>
        <w:tc>
          <w:tcPr>
            <w:tcW w:w="740" w:type="dxa"/>
            <w:vAlign w:val="bottom"/>
          </w:tcPr>
          <w:p>
            <w:pPr>
              <w:spacing w:after="0"/>
              <w:rPr>
                <w:sz w:val="23"/>
                <w:szCs w:val="23"/>
                <w:color w:val="auto"/>
              </w:rPr>
            </w:pPr>
          </w:p>
        </w:tc>
      </w:tr>
      <w:tr>
        <w:trPr>
          <w:trHeight w:val="270"/>
        </w:trPr>
        <w:tc>
          <w:tcPr>
            <w:tcW w:w="2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(847)</w:t>
            </w:r>
          </w:p>
        </w:tc>
        <w:tc>
          <w:tcPr>
            <w:tcW w:w="2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20" w:type="dxa"/>
            <w:vAlign w:val="bottom"/>
          </w:tcPr>
          <w:p>
            <w:pPr>
              <w:jc w:val="right"/>
              <w:ind w:right="32"/>
              <w:spacing w:after="0"/>
              <w:rPr>
                <w:sz w:val="20"/>
                <w:szCs w:val="20"/>
                <w:color w:val="auto"/>
              </w:rPr>
            </w:pPr>
            <w:r>
              <w:rPr>
                <w:rFonts w:ascii="Arial" w:cs="Arial" w:eastAsia="Arial" w:hAnsi="Arial"/>
                <w:sz w:val="14"/>
                <w:szCs w:val="14"/>
                <w:color w:val="auto"/>
              </w:rPr>
              <w:t>(847)</w:t>
            </w:r>
          </w:p>
        </w:tc>
        <w:tc>
          <w:tcPr>
            <w:tcW w:w="340" w:type="dxa"/>
            <w:vAlign w:val="bottom"/>
          </w:tcPr>
          <w:p>
            <w:pPr>
              <w:spacing w:after="0"/>
              <w:rPr>
                <w:sz w:val="23"/>
                <w:szCs w:val="23"/>
                <w:color w:val="auto"/>
              </w:rPr>
            </w:pPr>
          </w:p>
        </w:tc>
        <w:tc>
          <w:tcPr>
            <w:tcW w:w="740" w:type="dxa"/>
            <w:vAlign w:val="bottom"/>
          </w:tcPr>
          <w:p>
            <w:pPr>
              <w:spacing w:after="0"/>
              <w:rPr>
                <w:sz w:val="23"/>
                <w:szCs w:val="23"/>
                <w:color w:val="auto"/>
              </w:rPr>
            </w:pPr>
          </w:p>
        </w:tc>
      </w:tr>
      <w:tr>
        <w:trPr>
          <w:trHeight w:val="270"/>
        </w:trPr>
        <w:tc>
          <w:tcPr>
            <w:tcW w:w="2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(1,165,427)</w:t>
            </w:r>
          </w:p>
        </w:tc>
        <w:tc>
          <w:tcPr>
            <w:tcW w:w="3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20" w:type="dxa"/>
            <w:vAlign w:val="bottom"/>
          </w:tcPr>
          <w:p>
            <w:pPr>
              <w:jc w:val="right"/>
              <w:ind w:right="32"/>
              <w:spacing w:after="0"/>
              <w:rPr>
                <w:sz w:val="20"/>
                <w:szCs w:val="20"/>
                <w:color w:val="auto"/>
              </w:rPr>
            </w:pPr>
            <w:r>
              <w:rPr>
                <w:rFonts w:ascii="Arial" w:cs="Arial" w:eastAsia="Arial" w:hAnsi="Arial"/>
                <w:sz w:val="14"/>
                <w:szCs w:val="14"/>
                <w:color w:val="auto"/>
                <w:w w:val="97"/>
              </w:rPr>
              <w:t>(1,165,427)</w:t>
            </w:r>
          </w:p>
        </w:tc>
        <w:tc>
          <w:tcPr>
            <w:tcW w:w="340" w:type="dxa"/>
            <w:vAlign w:val="bottom"/>
          </w:tcPr>
          <w:p>
            <w:pPr>
              <w:spacing w:after="0"/>
              <w:rPr>
                <w:sz w:val="23"/>
                <w:szCs w:val="23"/>
                <w:color w:val="auto"/>
              </w:rPr>
            </w:pPr>
          </w:p>
        </w:tc>
        <w:tc>
          <w:tcPr>
            <w:tcW w:w="740" w:type="dxa"/>
            <w:vAlign w:val="bottom"/>
          </w:tcPr>
          <w:p>
            <w:pPr>
              <w:spacing w:after="0"/>
              <w:rPr>
                <w:sz w:val="23"/>
                <w:szCs w:val="23"/>
                <w:color w:val="auto"/>
              </w:rPr>
            </w:pPr>
          </w:p>
        </w:tc>
      </w:tr>
      <w:tr>
        <w:trPr>
          <w:trHeight w:val="351"/>
        </w:trPr>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(3,186)</w:t>
            </w: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00" w:type="dxa"/>
            <w:vAlign w:val="bottom"/>
          </w:tcPr>
          <w:p>
            <w:pPr>
              <w:jc w:val="right"/>
              <w:ind w:right="32"/>
              <w:spacing w:after="0"/>
              <w:rPr>
                <w:sz w:val="20"/>
                <w:szCs w:val="20"/>
                <w:color w:val="auto"/>
              </w:rPr>
            </w:pPr>
            <w:r>
              <w:rPr>
                <w:rFonts w:ascii="Arial" w:cs="Arial" w:eastAsia="Arial" w:hAnsi="Arial"/>
                <w:sz w:val="14"/>
                <w:szCs w:val="14"/>
                <w:color w:val="auto"/>
              </w:rPr>
              <w:t>10,284</w:t>
            </w: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jc w:val="right"/>
              <w:ind w:right="72"/>
              <w:spacing w:after="0"/>
              <w:rPr>
                <w:sz w:val="20"/>
                <w:szCs w:val="20"/>
                <w:color w:val="auto"/>
              </w:rPr>
            </w:pPr>
            <w:r>
              <w:rPr>
                <w:rFonts w:ascii="Arial" w:cs="Arial" w:eastAsia="Arial" w:hAnsi="Arial"/>
                <w:sz w:val="14"/>
                <w:szCs w:val="14"/>
                <w:color w:val="auto"/>
              </w:rPr>
              <w:t>7,098</w:t>
            </w: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351"/>
        </w:trPr>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jc w:val="right"/>
              <w:ind w:right="12"/>
              <w:spacing w:after="0"/>
              <w:rPr>
                <w:sz w:val="20"/>
                <w:szCs w:val="20"/>
                <w:color w:val="auto"/>
              </w:rPr>
            </w:pPr>
            <w:r>
              <w:rPr>
                <w:rFonts w:ascii="Arial" w:cs="Arial" w:eastAsia="Arial" w:hAnsi="Arial"/>
                <w:sz w:val="14"/>
                <w:szCs w:val="14"/>
                <w:color w:val="auto"/>
              </w:rPr>
              <w:t>18,291</w:t>
            </w: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jc w:val="right"/>
              <w:ind w:right="72"/>
              <w:spacing w:after="0"/>
              <w:rPr>
                <w:sz w:val="20"/>
                <w:szCs w:val="20"/>
                <w:color w:val="auto"/>
              </w:rPr>
            </w:pPr>
            <w:r>
              <w:rPr>
                <w:rFonts w:ascii="Arial" w:cs="Arial" w:eastAsia="Arial" w:hAnsi="Arial"/>
                <w:sz w:val="14"/>
                <w:szCs w:val="14"/>
                <w:color w:val="auto"/>
              </w:rPr>
              <w:t>18,291</w:t>
            </w: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70"/>
        </w:trPr>
        <w:tc>
          <w:tcPr>
            <w:tcW w:w="2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(246,014)</w:t>
            </w:r>
          </w:p>
        </w:tc>
        <w:tc>
          <w:tcPr>
            <w:tcW w:w="9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20" w:type="dxa"/>
            <w:vAlign w:val="bottom"/>
          </w:tcPr>
          <w:p>
            <w:pPr>
              <w:jc w:val="right"/>
              <w:ind w:right="32"/>
              <w:spacing w:after="0"/>
              <w:rPr>
                <w:sz w:val="20"/>
                <w:szCs w:val="20"/>
                <w:color w:val="auto"/>
              </w:rPr>
            </w:pPr>
            <w:r>
              <w:rPr>
                <w:rFonts w:ascii="Arial" w:cs="Arial" w:eastAsia="Arial" w:hAnsi="Arial"/>
                <w:sz w:val="14"/>
                <w:szCs w:val="14"/>
                <w:color w:val="auto"/>
              </w:rPr>
              <w:t>(246,014)</w:t>
            </w:r>
          </w:p>
        </w:tc>
        <w:tc>
          <w:tcPr>
            <w:tcW w:w="340" w:type="dxa"/>
            <w:vAlign w:val="bottom"/>
          </w:tcPr>
          <w:p>
            <w:pPr>
              <w:spacing w:after="0"/>
              <w:rPr>
                <w:sz w:val="23"/>
                <w:szCs w:val="23"/>
                <w:color w:val="auto"/>
              </w:rPr>
            </w:pPr>
          </w:p>
        </w:tc>
        <w:tc>
          <w:tcPr>
            <w:tcW w:w="740" w:type="dxa"/>
            <w:vAlign w:val="bottom"/>
          </w:tcPr>
          <w:p>
            <w:pPr>
              <w:spacing w:after="0"/>
              <w:rPr>
                <w:sz w:val="23"/>
                <w:szCs w:val="23"/>
                <w:color w:val="auto"/>
              </w:rPr>
            </w:pPr>
          </w:p>
        </w:tc>
      </w:tr>
      <w:tr>
        <w:trPr>
          <w:trHeight w:val="351"/>
        </w:trPr>
        <w:tc>
          <w:tcPr>
            <w:tcW w:w="24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(194)</w:t>
            </w:r>
          </w:p>
        </w:tc>
        <w:tc>
          <w:tcPr>
            <w:tcW w:w="22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194</w:t>
            </w: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70"/>
        </w:trPr>
        <w:tc>
          <w:tcPr>
            <w:tcW w:w="2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20" w:type="dxa"/>
            <w:vAlign w:val="bottom"/>
          </w:tcPr>
          <w:p>
            <w:pPr>
              <w:jc w:val="right"/>
              <w:ind w:right="12"/>
              <w:spacing w:after="0"/>
              <w:rPr>
                <w:sz w:val="20"/>
                <w:szCs w:val="20"/>
                <w:color w:val="auto"/>
              </w:rPr>
            </w:pPr>
            <w:r>
              <w:rPr>
                <w:rFonts w:ascii="Arial" w:cs="Arial" w:eastAsia="Arial" w:hAnsi="Arial"/>
                <w:sz w:val="14"/>
                <w:szCs w:val="14"/>
                <w:color w:val="auto"/>
              </w:rPr>
              <w:t>555</w:t>
            </w:r>
          </w:p>
        </w:tc>
        <w:tc>
          <w:tcPr>
            <w:tcW w:w="8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20" w:type="dxa"/>
            <w:vAlign w:val="bottom"/>
          </w:tcPr>
          <w:p>
            <w:pPr>
              <w:jc w:val="right"/>
              <w:ind w:right="72"/>
              <w:spacing w:after="0"/>
              <w:rPr>
                <w:sz w:val="20"/>
                <w:szCs w:val="20"/>
                <w:color w:val="auto"/>
              </w:rPr>
            </w:pPr>
            <w:r>
              <w:rPr>
                <w:rFonts w:ascii="Arial" w:cs="Arial" w:eastAsia="Arial" w:hAnsi="Arial"/>
                <w:sz w:val="14"/>
                <w:szCs w:val="14"/>
                <w:color w:val="auto"/>
              </w:rPr>
              <w:t>555</w:t>
            </w:r>
          </w:p>
        </w:tc>
        <w:tc>
          <w:tcPr>
            <w:tcW w:w="340" w:type="dxa"/>
            <w:vAlign w:val="bottom"/>
          </w:tcPr>
          <w:p>
            <w:pPr>
              <w:spacing w:after="0"/>
              <w:rPr>
                <w:sz w:val="23"/>
                <w:szCs w:val="23"/>
                <w:color w:val="auto"/>
              </w:rPr>
            </w:pPr>
          </w:p>
        </w:tc>
        <w:tc>
          <w:tcPr>
            <w:tcW w:w="740" w:type="dxa"/>
            <w:vAlign w:val="bottom"/>
          </w:tcPr>
          <w:p>
            <w:pPr>
              <w:spacing w:after="0"/>
              <w:rPr>
                <w:sz w:val="23"/>
                <w:szCs w:val="23"/>
                <w:color w:val="auto"/>
              </w:rPr>
            </w:pPr>
          </w:p>
        </w:tc>
      </w:tr>
      <w:tr>
        <w:trPr>
          <w:trHeight w:val="276"/>
        </w:trPr>
        <w:tc>
          <w:tcPr>
            <w:tcW w:w="2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w:t>
            </w:r>
          </w:p>
        </w:tc>
      </w:tr>
      <w:tr>
        <w:trPr>
          <w:trHeight w:val="264"/>
        </w:trPr>
        <w:tc>
          <w:tcPr>
            <w:tcW w:w="24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975</w:t>
            </w:r>
          </w:p>
        </w:tc>
        <w:tc>
          <w:tcPr>
            <w:tcW w:w="22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19,025</w:t>
            </w:r>
          </w:p>
        </w:tc>
        <w:tc>
          <w:tcPr>
            <w:tcW w:w="22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303,789</w:t>
            </w:r>
          </w:p>
        </w:tc>
        <w:tc>
          <w:tcPr>
            <w:tcW w:w="84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6,008,506</w:t>
            </w:r>
          </w:p>
        </w:tc>
        <w:tc>
          <w:tcPr>
            <w:tcW w:w="2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453,480</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(3,645,476)</w:t>
            </w:r>
          </w:p>
        </w:tc>
        <w:tc>
          <w:tcPr>
            <w:tcW w:w="38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476</w:t>
            </w:r>
          </w:p>
        </w:tc>
        <w:tc>
          <w:tcPr>
            <w:tcW w:w="1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color w:val="auto"/>
              </w:rPr>
              <w:t>3,140,775</w:t>
            </w:r>
          </w:p>
        </w:tc>
        <w:tc>
          <w:tcPr>
            <w:tcW w:w="34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21,904</w:t>
            </w:r>
          </w:p>
        </w:tc>
      </w:tr>
      <w:tr>
        <w:trPr>
          <w:trHeight w:val="258"/>
        </w:trPr>
        <w:tc>
          <w:tcPr>
            <w:tcW w:w="2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(99,220)</w:t>
            </w:r>
          </w:p>
        </w:tc>
        <w:tc>
          <w:tcPr>
            <w:tcW w:w="2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20" w:type="dxa"/>
            <w:vAlign w:val="bottom"/>
          </w:tcPr>
          <w:p>
            <w:pPr>
              <w:jc w:val="right"/>
              <w:ind w:right="32"/>
              <w:spacing w:after="0"/>
              <w:rPr>
                <w:sz w:val="20"/>
                <w:szCs w:val="20"/>
                <w:color w:val="auto"/>
              </w:rPr>
            </w:pPr>
            <w:r>
              <w:rPr>
                <w:rFonts w:ascii="Arial" w:cs="Arial" w:eastAsia="Arial" w:hAnsi="Arial"/>
                <w:sz w:val="14"/>
                <w:szCs w:val="14"/>
                <w:color w:val="auto"/>
              </w:rPr>
              <w:t>(99,220)</w:t>
            </w:r>
          </w:p>
        </w:tc>
        <w:tc>
          <w:tcPr>
            <w:tcW w:w="340" w:type="dxa"/>
            <w:vAlign w:val="bottom"/>
          </w:tcPr>
          <w:p>
            <w:pPr>
              <w:spacing w:after="0"/>
              <w:rPr>
                <w:sz w:val="22"/>
                <w:szCs w:val="22"/>
                <w:color w:val="auto"/>
              </w:rPr>
            </w:pPr>
          </w:p>
        </w:tc>
        <w:tc>
          <w:tcPr>
            <w:tcW w:w="740" w:type="dxa"/>
            <w:vAlign w:val="bottom"/>
          </w:tcPr>
          <w:p>
            <w:pPr>
              <w:spacing w:after="0"/>
              <w:rPr>
                <w:sz w:val="22"/>
                <w:szCs w:val="22"/>
                <w:color w:val="auto"/>
              </w:rPr>
            </w:pPr>
          </w:p>
        </w:tc>
      </w:tr>
      <w:tr>
        <w:trPr>
          <w:trHeight w:val="351"/>
        </w:trPr>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(476)</w:t>
            </w:r>
          </w:p>
        </w:tc>
        <w:tc>
          <w:tcPr>
            <w:tcW w:w="140" w:type="dxa"/>
            <w:vAlign w:val="bottom"/>
          </w:tcPr>
          <w:p>
            <w:pPr>
              <w:spacing w:after="0"/>
              <w:rPr>
                <w:sz w:val="24"/>
                <w:szCs w:val="24"/>
                <w:color w:val="auto"/>
              </w:rPr>
            </w:pPr>
          </w:p>
        </w:tc>
        <w:tc>
          <w:tcPr>
            <w:tcW w:w="820" w:type="dxa"/>
            <w:vAlign w:val="bottom"/>
          </w:tcPr>
          <w:p>
            <w:pPr>
              <w:jc w:val="right"/>
              <w:ind w:right="32"/>
              <w:spacing w:after="0"/>
              <w:rPr>
                <w:sz w:val="20"/>
                <w:szCs w:val="20"/>
                <w:color w:val="auto"/>
              </w:rPr>
            </w:pPr>
            <w:r>
              <w:rPr>
                <w:rFonts w:ascii="Arial" w:cs="Arial" w:eastAsia="Arial" w:hAnsi="Arial"/>
                <w:sz w:val="14"/>
                <w:szCs w:val="14"/>
                <w:color w:val="auto"/>
              </w:rPr>
              <w:t>(476)</w:t>
            </w: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351"/>
        </w:trPr>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(1,435)</w:t>
            </w: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jc w:val="right"/>
              <w:ind w:right="32"/>
              <w:spacing w:after="0"/>
              <w:rPr>
                <w:sz w:val="20"/>
                <w:szCs w:val="20"/>
                <w:color w:val="auto"/>
              </w:rPr>
            </w:pPr>
            <w:r>
              <w:rPr>
                <w:rFonts w:ascii="Arial" w:cs="Arial" w:eastAsia="Arial" w:hAnsi="Arial"/>
                <w:sz w:val="14"/>
                <w:szCs w:val="14"/>
                <w:color w:val="auto"/>
              </w:rPr>
              <w:t>(1,435)</w:t>
            </w:r>
          </w:p>
        </w:tc>
        <w:tc>
          <w:tcPr>
            <w:tcW w:w="340" w:type="dxa"/>
            <w:vAlign w:val="bottom"/>
          </w:tcPr>
          <w:p>
            <w:pPr>
              <w:spacing w:after="0"/>
              <w:rPr>
                <w:sz w:val="24"/>
                <w:szCs w:val="24"/>
                <w:color w:val="auto"/>
              </w:rPr>
            </w:pPr>
          </w:p>
        </w:tc>
        <w:tc>
          <w:tcPr>
            <w:tcW w:w="740" w:type="dxa"/>
            <w:vAlign w:val="bottom"/>
          </w:tcPr>
          <w:p>
            <w:pPr>
              <w:jc w:val="right"/>
              <w:ind w:right="32"/>
              <w:spacing w:after="0"/>
              <w:rPr>
                <w:sz w:val="20"/>
                <w:szCs w:val="20"/>
                <w:color w:val="auto"/>
              </w:rPr>
            </w:pPr>
            <w:r>
              <w:rPr>
                <w:rFonts w:ascii="Arial" w:cs="Arial" w:eastAsia="Arial" w:hAnsi="Arial"/>
                <w:sz w:val="14"/>
                <w:szCs w:val="14"/>
                <w:color w:val="auto"/>
              </w:rPr>
              <w:t>1,435</w:t>
            </w:r>
          </w:p>
        </w:tc>
      </w:tr>
      <w:tr>
        <w:trPr>
          <w:trHeight w:val="351"/>
        </w:trPr>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(2,601)</w:t>
            </w: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jc w:val="right"/>
              <w:ind w:right="32"/>
              <w:spacing w:after="0"/>
              <w:rPr>
                <w:sz w:val="20"/>
                <w:szCs w:val="20"/>
                <w:color w:val="auto"/>
              </w:rPr>
            </w:pPr>
            <w:r>
              <w:rPr>
                <w:rFonts w:ascii="Arial" w:cs="Arial" w:eastAsia="Arial" w:hAnsi="Arial"/>
                <w:sz w:val="14"/>
                <w:szCs w:val="14"/>
                <w:color w:val="auto"/>
              </w:rPr>
              <w:t>(2,601)</w:t>
            </w:r>
          </w:p>
        </w:tc>
        <w:tc>
          <w:tcPr>
            <w:tcW w:w="340" w:type="dxa"/>
            <w:vAlign w:val="bottom"/>
          </w:tcPr>
          <w:p>
            <w:pPr>
              <w:spacing w:after="0"/>
              <w:rPr>
                <w:sz w:val="24"/>
                <w:szCs w:val="24"/>
                <w:color w:val="auto"/>
              </w:rPr>
            </w:pPr>
          </w:p>
        </w:tc>
        <w:tc>
          <w:tcPr>
            <w:tcW w:w="740" w:type="dxa"/>
            <w:vAlign w:val="bottom"/>
          </w:tcPr>
          <w:p>
            <w:pPr>
              <w:jc w:val="right"/>
              <w:ind w:right="32"/>
              <w:spacing w:after="0"/>
              <w:rPr>
                <w:sz w:val="20"/>
                <w:szCs w:val="20"/>
                <w:color w:val="auto"/>
              </w:rPr>
            </w:pPr>
            <w:r>
              <w:rPr>
                <w:rFonts w:ascii="Arial" w:cs="Arial" w:eastAsia="Arial" w:hAnsi="Arial"/>
                <w:sz w:val="14"/>
                <w:szCs w:val="14"/>
                <w:color w:val="auto"/>
              </w:rPr>
              <w:t>2,601</w:t>
            </w:r>
          </w:p>
        </w:tc>
      </w:tr>
      <w:tr>
        <w:trPr>
          <w:trHeight w:val="270"/>
        </w:trPr>
        <w:tc>
          <w:tcPr>
            <w:tcW w:w="2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(53,090)</w:t>
            </w:r>
          </w:p>
        </w:tc>
        <w:tc>
          <w:tcPr>
            <w:tcW w:w="2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20" w:type="dxa"/>
            <w:vAlign w:val="bottom"/>
          </w:tcPr>
          <w:p>
            <w:pPr>
              <w:jc w:val="right"/>
              <w:ind w:right="32"/>
              <w:spacing w:after="0"/>
              <w:rPr>
                <w:sz w:val="20"/>
                <w:szCs w:val="20"/>
                <w:color w:val="auto"/>
              </w:rPr>
            </w:pPr>
            <w:r>
              <w:rPr>
                <w:rFonts w:ascii="Arial" w:cs="Arial" w:eastAsia="Arial" w:hAnsi="Arial"/>
                <w:sz w:val="14"/>
                <w:szCs w:val="14"/>
                <w:color w:val="auto"/>
              </w:rPr>
              <w:t>(53,090)</w:t>
            </w:r>
          </w:p>
        </w:tc>
        <w:tc>
          <w:tcPr>
            <w:tcW w:w="340" w:type="dxa"/>
            <w:vAlign w:val="bottom"/>
          </w:tcPr>
          <w:p>
            <w:pPr>
              <w:spacing w:after="0"/>
              <w:rPr>
                <w:sz w:val="23"/>
                <w:szCs w:val="23"/>
                <w:color w:val="auto"/>
              </w:rPr>
            </w:pPr>
          </w:p>
        </w:tc>
        <w:tc>
          <w:tcPr>
            <w:tcW w:w="740" w:type="dxa"/>
            <w:vAlign w:val="bottom"/>
          </w:tcPr>
          <w:p>
            <w:pPr>
              <w:spacing w:after="0"/>
              <w:rPr>
                <w:sz w:val="23"/>
                <w:szCs w:val="23"/>
                <w:color w:val="auto"/>
              </w:rPr>
            </w:pPr>
          </w:p>
        </w:tc>
      </w:tr>
      <w:tr>
        <w:trPr>
          <w:trHeight w:val="270"/>
        </w:trPr>
        <w:tc>
          <w:tcPr>
            <w:tcW w:w="2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(631)</w:t>
            </w:r>
          </w:p>
        </w:tc>
        <w:tc>
          <w:tcPr>
            <w:tcW w:w="2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20" w:type="dxa"/>
            <w:vAlign w:val="bottom"/>
          </w:tcPr>
          <w:p>
            <w:pPr>
              <w:jc w:val="right"/>
              <w:ind w:right="32"/>
              <w:spacing w:after="0"/>
              <w:rPr>
                <w:sz w:val="20"/>
                <w:szCs w:val="20"/>
                <w:color w:val="auto"/>
              </w:rPr>
            </w:pPr>
            <w:r>
              <w:rPr>
                <w:rFonts w:ascii="Arial" w:cs="Arial" w:eastAsia="Arial" w:hAnsi="Arial"/>
                <w:sz w:val="14"/>
                <w:szCs w:val="14"/>
                <w:color w:val="auto"/>
              </w:rPr>
              <w:t>(631)</w:t>
            </w:r>
          </w:p>
        </w:tc>
        <w:tc>
          <w:tcPr>
            <w:tcW w:w="340" w:type="dxa"/>
            <w:vAlign w:val="bottom"/>
          </w:tcPr>
          <w:p>
            <w:pPr>
              <w:spacing w:after="0"/>
              <w:rPr>
                <w:sz w:val="23"/>
                <w:szCs w:val="23"/>
                <w:color w:val="auto"/>
              </w:rPr>
            </w:pPr>
          </w:p>
        </w:tc>
        <w:tc>
          <w:tcPr>
            <w:tcW w:w="740" w:type="dxa"/>
            <w:vAlign w:val="bottom"/>
          </w:tcPr>
          <w:p>
            <w:pPr>
              <w:spacing w:after="0"/>
              <w:rPr>
                <w:sz w:val="23"/>
                <w:szCs w:val="23"/>
                <w:color w:val="auto"/>
              </w:rPr>
            </w:pPr>
          </w:p>
        </w:tc>
      </w:tr>
      <w:tr>
        <w:trPr>
          <w:trHeight w:val="270"/>
        </w:trPr>
        <w:tc>
          <w:tcPr>
            <w:tcW w:w="2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(22,979)</w:t>
            </w:r>
          </w:p>
        </w:tc>
        <w:tc>
          <w:tcPr>
            <w:tcW w:w="3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20" w:type="dxa"/>
            <w:vAlign w:val="bottom"/>
          </w:tcPr>
          <w:p>
            <w:pPr>
              <w:jc w:val="right"/>
              <w:ind w:right="32"/>
              <w:spacing w:after="0"/>
              <w:rPr>
                <w:sz w:val="20"/>
                <w:szCs w:val="20"/>
                <w:color w:val="auto"/>
              </w:rPr>
            </w:pPr>
            <w:r>
              <w:rPr>
                <w:rFonts w:ascii="Arial" w:cs="Arial" w:eastAsia="Arial" w:hAnsi="Arial"/>
                <w:sz w:val="14"/>
                <w:szCs w:val="14"/>
                <w:color w:val="auto"/>
              </w:rPr>
              <w:t>(22,979)</w:t>
            </w:r>
          </w:p>
        </w:tc>
        <w:tc>
          <w:tcPr>
            <w:tcW w:w="340" w:type="dxa"/>
            <w:vAlign w:val="bottom"/>
          </w:tcPr>
          <w:p>
            <w:pPr>
              <w:spacing w:after="0"/>
              <w:rPr>
                <w:sz w:val="23"/>
                <w:szCs w:val="23"/>
                <w:color w:val="auto"/>
              </w:rPr>
            </w:pPr>
          </w:p>
        </w:tc>
        <w:tc>
          <w:tcPr>
            <w:tcW w:w="740" w:type="dxa"/>
            <w:vAlign w:val="bottom"/>
          </w:tcPr>
          <w:p>
            <w:pPr>
              <w:spacing w:after="0"/>
              <w:rPr>
                <w:sz w:val="23"/>
                <w:szCs w:val="23"/>
                <w:color w:val="auto"/>
              </w:rPr>
            </w:pPr>
          </w:p>
        </w:tc>
      </w:tr>
      <w:tr>
        <w:trPr>
          <w:trHeight w:val="351"/>
        </w:trPr>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(13,244)</w:t>
            </w: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00" w:type="dxa"/>
            <w:vAlign w:val="bottom"/>
          </w:tcPr>
          <w:p>
            <w:pPr>
              <w:jc w:val="right"/>
              <w:ind w:right="32"/>
              <w:spacing w:after="0"/>
              <w:rPr>
                <w:sz w:val="20"/>
                <w:szCs w:val="20"/>
                <w:color w:val="auto"/>
              </w:rPr>
            </w:pPr>
            <w:r>
              <w:rPr>
                <w:rFonts w:ascii="Arial" w:cs="Arial" w:eastAsia="Arial" w:hAnsi="Arial"/>
                <w:sz w:val="14"/>
                <w:szCs w:val="14"/>
                <w:color w:val="auto"/>
              </w:rPr>
              <w:t>19,909</w:t>
            </w: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jc w:val="right"/>
              <w:ind w:right="72"/>
              <w:spacing w:after="0"/>
              <w:rPr>
                <w:sz w:val="20"/>
                <w:szCs w:val="20"/>
                <w:color w:val="auto"/>
              </w:rPr>
            </w:pPr>
            <w:r>
              <w:rPr>
                <w:rFonts w:ascii="Arial" w:cs="Arial" w:eastAsia="Arial" w:hAnsi="Arial"/>
                <w:sz w:val="14"/>
                <w:szCs w:val="14"/>
                <w:color w:val="auto"/>
              </w:rPr>
              <w:t>6,665</w:t>
            </w: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351"/>
        </w:trPr>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jc w:val="right"/>
              <w:ind w:right="12"/>
              <w:spacing w:after="0"/>
              <w:rPr>
                <w:sz w:val="20"/>
                <w:szCs w:val="20"/>
                <w:color w:val="auto"/>
              </w:rPr>
            </w:pPr>
            <w:r>
              <w:rPr>
                <w:rFonts w:ascii="Arial" w:cs="Arial" w:eastAsia="Arial" w:hAnsi="Arial"/>
                <w:sz w:val="14"/>
                <w:szCs w:val="14"/>
                <w:color w:val="auto"/>
              </w:rPr>
              <w:t>57,115</w:t>
            </w: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jc w:val="right"/>
              <w:ind w:right="72"/>
              <w:spacing w:after="0"/>
              <w:rPr>
                <w:sz w:val="20"/>
                <w:szCs w:val="20"/>
                <w:color w:val="auto"/>
              </w:rPr>
            </w:pPr>
            <w:r>
              <w:rPr>
                <w:rFonts w:ascii="Arial" w:cs="Arial" w:eastAsia="Arial" w:hAnsi="Arial"/>
                <w:sz w:val="14"/>
                <w:szCs w:val="14"/>
                <w:color w:val="auto"/>
              </w:rPr>
              <w:t>57,115</w:t>
            </w: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70"/>
        </w:trPr>
        <w:tc>
          <w:tcPr>
            <w:tcW w:w="2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(139,658)</w:t>
            </w:r>
          </w:p>
        </w:tc>
        <w:tc>
          <w:tcPr>
            <w:tcW w:w="9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20" w:type="dxa"/>
            <w:vAlign w:val="bottom"/>
          </w:tcPr>
          <w:p>
            <w:pPr>
              <w:jc w:val="right"/>
              <w:ind w:right="32"/>
              <w:spacing w:after="0"/>
              <w:rPr>
                <w:sz w:val="20"/>
                <w:szCs w:val="20"/>
                <w:color w:val="auto"/>
              </w:rPr>
            </w:pPr>
            <w:r>
              <w:rPr>
                <w:rFonts w:ascii="Arial" w:cs="Arial" w:eastAsia="Arial" w:hAnsi="Arial"/>
                <w:sz w:val="14"/>
                <w:szCs w:val="14"/>
                <w:color w:val="auto"/>
              </w:rPr>
              <w:t>(139,658)</w:t>
            </w:r>
          </w:p>
        </w:tc>
        <w:tc>
          <w:tcPr>
            <w:tcW w:w="340" w:type="dxa"/>
            <w:vAlign w:val="bottom"/>
          </w:tcPr>
          <w:p>
            <w:pPr>
              <w:spacing w:after="0"/>
              <w:rPr>
                <w:sz w:val="23"/>
                <w:szCs w:val="23"/>
                <w:color w:val="auto"/>
              </w:rPr>
            </w:pPr>
          </w:p>
        </w:tc>
        <w:tc>
          <w:tcPr>
            <w:tcW w:w="740" w:type="dxa"/>
            <w:vAlign w:val="bottom"/>
          </w:tcPr>
          <w:p>
            <w:pPr>
              <w:spacing w:after="0"/>
              <w:rPr>
                <w:sz w:val="23"/>
                <w:szCs w:val="23"/>
                <w:color w:val="auto"/>
              </w:rPr>
            </w:pPr>
          </w:p>
        </w:tc>
      </w:tr>
      <w:tr>
        <w:trPr>
          <w:trHeight w:val="351"/>
        </w:trPr>
        <w:tc>
          <w:tcPr>
            <w:tcW w:w="24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(11)</w:t>
            </w:r>
          </w:p>
        </w:tc>
        <w:tc>
          <w:tcPr>
            <w:tcW w:w="22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11</w:t>
            </w: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70"/>
        </w:trPr>
        <w:tc>
          <w:tcPr>
            <w:tcW w:w="2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20" w:type="dxa"/>
            <w:vAlign w:val="bottom"/>
          </w:tcPr>
          <w:p>
            <w:pPr>
              <w:jc w:val="right"/>
              <w:ind w:right="12"/>
              <w:spacing w:after="0"/>
              <w:rPr>
                <w:sz w:val="20"/>
                <w:szCs w:val="20"/>
                <w:color w:val="auto"/>
              </w:rPr>
            </w:pPr>
            <w:r>
              <w:rPr>
                <w:rFonts w:ascii="Arial" w:cs="Arial" w:eastAsia="Arial" w:hAnsi="Arial"/>
                <w:sz w:val="14"/>
                <w:szCs w:val="14"/>
                <w:color w:val="auto"/>
              </w:rPr>
              <w:t>7,285</w:t>
            </w:r>
          </w:p>
        </w:tc>
        <w:tc>
          <w:tcPr>
            <w:tcW w:w="840" w:type="dxa"/>
            <w:vAlign w:val="bottom"/>
          </w:tcPr>
          <w:p>
            <w:pPr>
              <w:jc w:val="right"/>
              <w:spacing w:after="0"/>
              <w:rPr>
                <w:sz w:val="20"/>
                <w:szCs w:val="20"/>
                <w:color w:val="auto"/>
              </w:rPr>
            </w:pPr>
            <w:r>
              <w:rPr>
                <w:rFonts w:ascii="Arial" w:cs="Arial" w:eastAsia="Arial" w:hAnsi="Arial"/>
                <w:sz w:val="14"/>
                <w:szCs w:val="14"/>
                <w:color w:val="auto"/>
              </w:rPr>
              <w:t>(406,453)</w:t>
            </w:r>
          </w:p>
        </w:tc>
        <w:tc>
          <w:tcPr>
            <w:tcW w:w="240" w:type="dxa"/>
            <w:vAlign w:val="bottom"/>
          </w:tcPr>
          <w:p>
            <w:pPr>
              <w:spacing w:after="0"/>
              <w:rPr>
                <w:sz w:val="23"/>
                <w:szCs w:val="23"/>
                <w:color w:val="auto"/>
              </w:rPr>
            </w:pPr>
          </w:p>
        </w:tc>
        <w:tc>
          <w:tcPr>
            <w:tcW w:w="760" w:type="dxa"/>
            <w:vAlign w:val="bottom"/>
          </w:tcPr>
          <w:p>
            <w:pPr>
              <w:jc w:val="right"/>
              <w:ind w:right="12"/>
              <w:spacing w:after="0"/>
              <w:rPr>
                <w:sz w:val="20"/>
                <w:szCs w:val="20"/>
                <w:color w:val="auto"/>
              </w:rPr>
            </w:pPr>
            <w:r>
              <w:rPr>
                <w:rFonts w:ascii="Arial" w:cs="Arial" w:eastAsia="Arial" w:hAnsi="Arial"/>
                <w:sz w:val="14"/>
                <w:szCs w:val="14"/>
                <w:color w:val="auto"/>
              </w:rPr>
              <w:t>858</w:t>
            </w:r>
          </w:p>
        </w:tc>
        <w:tc>
          <w:tcPr>
            <w:tcW w:w="9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20" w:type="dxa"/>
            <w:vAlign w:val="bottom"/>
          </w:tcPr>
          <w:p>
            <w:pPr>
              <w:jc w:val="right"/>
              <w:ind w:right="32"/>
              <w:spacing w:after="0"/>
              <w:rPr>
                <w:sz w:val="20"/>
                <w:szCs w:val="20"/>
                <w:color w:val="auto"/>
              </w:rPr>
            </w:pPr>
            <w:r>
              <w:rPr>
                <w:rFonts w:ascii="Arial" w:cs="Arial" w:eastAsia="Arial" w:hAnsi="Arial"/>
                <w:sz w:val="14"/>
                <w:szCs w:val="14"/>
                <w:color w:val="auto"/>
              </w:rPr>
              <w:t>(398,310)</w:t>
            </w:r>
          </w:p>
        </w:tc>
        <w:tc>
          <w:tcPr>
            <w:tcW w:w="340" w:type="dxa"/>
            <w:vAlign w:val="bottom"/>
          </w:tcPr>
          <w:p>
            <w:pPr>
              <w:spacing w:after="0"/>
              <w:rPr>
                <w:sz w:val="23"/>
                <w:szCs w:val="23"/>
                <w:color w:val="auto"/>
              </w:rPr>
            </w:pPr>
          </w:p>
        </w:tc>
        <w:tc>
          <w:tcPr>
            <w:tcW w:w="740" w:type="dxa"/>
            <w:vAlign w:val="bottom"/>
          </w:tcPr>
          <w:p>
            <w:pPr>
              <w:spacing w:after="0"/>
              <w:rPr>
                <w:sz w:val="23"/>
                <w:szCs w:val="23"/>
                <w:color w:val="auto"/>
              </w:rPr>
            </w:pPr>
          </w:p>
        </w:tc>
      </w:tr>
      <w:tr>
        <w:trPr>
          <w:trHeight w:val="270"/>
        </w:trPr>
        <w:tc>
          <w:tcPr>
            <w:tcW w:w="2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20" w:type="dxa"/>
            <w:vAlign w:val="bottom"/>
          </w:tcPr>
          <w:p>
            <w:pPr>
              <w:jc w:val="right"/>
              <w:ind w:right="12"/>
              <w:spacing w:after="0"/>
              <w:rPr>
                <w:sz w:val="20"/>
                <w:szCs w:val="20"/>
                <w:color w:val="auto"/>
              </w:rPr>
            </w:pPr>
            <w:r>
              <w:rPr>
                <w:rFonts w:ascii="Arial" w:cs="Arial" w:eastAsia="Arial" w:hAnsi="Arial"/>
                <w:sz w:val="14"/>
                <w:szCs w:val="14"/>
                <w:color w:val="auto"/>
              </w:rPr>
              <w:t>4,543</w:t>
            </w:r>
          </w:p>
        </w:tc>
        <w:tc>
          <w:tcPr>
            <w:tcW w:w="8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20" w:type="dxa"/>
            <w:vAlign w:val="bottom"/>
          </w:tcPr>
          <w:p>
            <w:pPr>
              <w:jc w:val="right"/>
              <w:ind w:right="72"/>
              <w:spacing w:after="0"/>
              <w:rPr>
                <w:sz w:val="20"/>
                <w:szCs w:val="20"/>
                <w:color w:val="auto"/>
              </w:rPr>
            </w:pPr>
            <w:r>
              <w:rPr>
                <w:rFonts w:ascii="Arial" w:cs="Arial" w:eastAsia="Arial" w:hAnsi="Arial"/>
                <w:sz w:val="14"/>
                <w:szCs w:val="14"/>
                <w:color w:val="auto"/>
              </w:rPr>
              <w:t>4,543</w:t>
            </w:r>
          </w:p>
        </w:tc>
        <w:tc>
          <w:tcPr>
            <w:tcW w:w="340" w:type="dxa"/>
            <w:vAlign w:val="bottom"/>
          </w:tcPr>
          <w:p>
            <w:pPr>
              <w:spacing w:after="0"/>
              <w:rPr>
                <w:sz w:val="23"/>
                <w:szCs w:val="23"/>
                <w:color w:val="auto"/>
              </w:rPr>
            </w:pPr>
          </w:p>
        </w:tc>
        <w:tc>
          <w:tcPr>
            <w:tcW w:w="740" w:type="dxa"/>
            <w:vAlign w:val="bottom"/>
          </w:tcPr>
          <w:p>
            <w:pPr>
              <w:spacing w:after="0"/>
              <w:rPr>
                <w:sz w:val="23"/>
                <w:szCs w:val="23"/>
                <w:color w:val="auto"/>
              </w:rPr>
            </w:pPr>
          </w:p>
        </w:tc>
      </w:tr>
      <w:tr>
        <w:trPr>
          <w:trHeight w:val="276"/>
        </w:trPr>
        <w:tc>
          <w:tcPr>
            <w:tcW w:w="2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17</w:t>
            </w:r>
          </w:p>
        </w:tc>
      </w:tr>
      <w:tr>
        <w:trPr>
          <w:trHeight w:val="264"/>
        </w:trPr>
        <w:tc>
          <w:tcPr>
            <w:tcW w:w="24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964</w:t>
            </w:r>
          </w:p>
        </w:tc>
        <w:tc>
          <w:tcPr>
            <w:tcW w:w="22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19,036</w:t>
            </w:r>
          </w:p>
        </w:tc>
        <w:tc>
          <w:tcPr>
            <w:tcW w:w="22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356,887</w:t>
            </w:r>
          </w:p>
        </w:tc>
        <w:tc>
          <w:tcPr>
            <w:tcW w:w="84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5,447,677</w:t>
            </w:r>
          </w:p>
        </w:tc>
        <w:tc>
          <w:tcPr>
            <w:tcW w:w="2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314,680</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(3,648,546)</w:t>
            </w:r>
          </w:p>
        </w:tc>
        <w:tc>
          <w:tcPr>
            <w:tcW w:w="38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color w:val="auto"/>
              </w:rPr>
              <w:t>2,490,698</w:t>
            </w:r>
          </w:p>
        </w:tc>
        <w:tc>
          <w:tcPr>
            <w:tcW w:w="34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25,957</w:t>
            </w:r>
          </w:p>
        </w:tc>
      </w:tr>
      <w:tr>
        <w:trPr>
          <w:trHeight w:val="266"/>
        </w:trPr>
        <w:tc>
          <w:tcPr>
            <w:tcW w:w="2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840" w:type="dxa"/>
            <w:vAlign w:val="bottom"/>
          </w:tcPr>
          <w:p>
            <w:pPr>
              <w:jc w:val="right"/>
              <w:ind w:right="32"/>
              <w:spacing w:after="0"/>
              <w:rPr>
                <w:sz w:val="20"/>
                <w:szCs w:val="20"/>
                <w:color w:val="auto"/>
              </w:rPr>
            </w:pPr>
            <w:r>
              <w:rPr>
                <w:rFonts w:ascii="Arial" w:cs="Arial" w:eastAsia="Arial" w:hAnsi="Arial"/>
                <w:sz w:val="14"/>
                <w:szCs w:val="14"/>
                <w:b w:val="1"/>
                <w:bCs w:val="1"/>
                <w:color w:val="auto"/>
              </w:rPr>
              <w:t>169,458</w:t>
            </w:r>
          </w:p>
        </w:tc>
        <w:tc>
          <w:tcPr>
            <w:tcW w:w="2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20" w:type="dxa"/>
            <w:vAlign w:val="bottom"/>
          </w:tcPr>
          <w:p>
            <w:pPr>
              <w:jc w:val="right"/>
              <w:ind w:right="72"/>
              <w:spacing w:after="0"/>
              <w:rPr>
                <w:sz w:val="20"/>
                <w:szCs w:val="20"/>
                <w:color w:val="auto"/>
              </w:rPr>
            </w:pPr>
            <w:r>
              <w:rPr>
                <w:rFonts w:ascii="Arial" w:cs="Arial" w:eastAsia="Arial" w:hAnsi="Arial"/>
                <w:sz w:val="14"/>
                <w:szCs w:val="14"/>
                <w:b w:val="1"/>
                <w:bCs w:val="1"/>
                <w:color w:val="auto"/>
              </w:rPr>
              <w:t>169,458</w:t>
            </w:r>
          </w:p>
        </w:tc>
        <w:tc>
          <w:tcPr>
            <w:tcW w:w="340" w:type="dxa"/>
            <w:vAlign w:val="bottom"/>
          </w:tcPr>
          <w:p>
            <w:pPr>
              <w:spacing w:after="0"/>
              <w:rPr>
                <w:sz w:val="23"/>
                <w:szCs w:val="23"/>
                <w:color w:val="auto"/>
              </w:rPr>
            </w:pPr>
          </w:p>
        </w:tc>
        <w:tc>
          <w:tcPr>
            <w:tcW w:w="740" w:type="dxa"/>
            <w:vAlign w:val="bottom"/>
          </w:tcPr>
          <w:p>
            <w:pPr>
              <w:spacing w:after="0"/>
              <w:rPr>
                <w:sz w:val="23"/>
                <w:szCs w:val="23"/>
                <w:color w:val="auto"/>
              </w:rPr>
            </w:pPr>
          </w:p>
        </w:tc>
      </w:tr>
      <w:tr>
        <w:trPr>
          <w:trHeight w:val="351"/>
        </w:trPr>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(868)</w:t>
            </w: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jc w:val="right"/>
              <w:ind w:right="32"/>
              <w:spacing w:after="0"/>
              <w:rPr>
                <w:sz w:val="20"/>
                <w:szCs w:val="20"/>
                <w:color w:val="auto"/>
              </w:rPr>
            </w:pPr>
            <w:r>
              <w:rPr>
                <w:rFonts w:ascii="Arial" w:cs="Arial" w:eastAsia="Arial" w:hAnsi="Arial"/>
                <w:sz w:val="14"/>
                <w:szCs w:val="14"/>
                <w:b w:val="1"/>
                <w:bCs w:val="1"/>
                <w:color w:val="auto"/>
              </w:rPr>
              <w:t>(868)</w:t>
            </w:r>
          </w:p>
        </w:tc>
        <w:tc>
          <w:tcPr>
            <w:tcW w:w="340" w:type="dxa"/>
            <w:vAlign w:val="bottom"/>
          </w:tcPr>
          <w:p>
            <w:pPr>
              <w:spacing w:after="0"/>
              <w:rPr>
                <w:sz w:val="24"/>
                <w:szCs w:val="24"/>
                <w:color w:val="auto"/>
              </w:rPr>
            </w:pPr>
          </w:p>
        </w:tc>
        <w:tc>
          <w:tcPr>
            <w:tcW w:w="740" w:type="dxa"/>
            <w:vAlign w:val="bottom"/>
          </w:tcPr>
          <w:p>
            <w:pPr>
              <w:jc w:val="right"/>
              <w:ind w:right="32"/>
              <w:spacing w:after="0"/>
              <w:rPr>
                <w:sz w:val="20"/>
                <w:szCs w:val="20"/>
                <w:color w:val="auto"/>
              </w:rPr>
            </w:pPr>
            <w:r>
              <w:rPr>
                <w:rFonts w:ascii="Arial" w:cs="Arial" w:eastAsia="Arial" w:hAnsi="Arial"/>
                <w:sz w:val="14"/>
                <w:szCs w:val="14"/>
                <w:b w:val="1"/>
                <w:bCs w:val="1"/>
                <w:color w:val="auto"/>
              </w:rPr>
              <w:t>868</w:t>
            </w:r>
          </w:p>
        </w:tc>
      </w:tr>
      <w:tr>
        <w:trPr>
          <w:trHeight w:val="351"/>
        </w:trPr>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(3,026)</w:t>
            </w: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jc w:val="right"/>
              <w:ind w:right="32"/>
              <w:spacing w:after="0"/>
              <w:rPr>
                <w:sz w:val="20"/>
                <w:szCs w:val="20"/>
                <w:color w:val="auto"/>
              </w:rPr>
            </w:pPr>
            <w:r>
              <w:rPr>
                <w:rFonts w:ascii="Arial" w:cs="Arial" w:eastAsia="Arial" w:hAnsi="Arial"/>
                <w:sz w:val="14"/>
                <w:szCs w:val="14"/>
                <w:b w:val="1"/>
                <w:bCs w:val="1"/>
                <w:color w:val="auto"/>
              </w:rPr>
              <w:t>(3,026)</w:t>
            </w:r>
          </w:p>
        </w:tc>
        <w:tc>
          <w:tcPr>
            <w:tcW w:w="340" w:type="dxa"/>
            <w:vAlign w:val="bottom"/>
          </w:tcPr>
          <w:p>
            <w:pPr>
              <w:spacing w:after="0"/>
              <w:rPr>
                <w:sz w:val="24"/>
                <w:szCs w:val="24"/>
                <w:color w:val="auto"/>
              </w:rPr>
            </w:pPr>
          </w:p>
        </w:tc>
        <w:tc>
          <w:tcPr>
            <w:tcW w:w="740" w:type="dxa"/>
            <w:vAlign w:val="bottom"/>
          </w:tcPr>
          <w:p>
            <w:pPr>
              <w:jc w:val="right"/>
              <w:ind w:right="32"/>
              <w:spacing w:after="0"/>
              <w:rPr>
                <w:sz w:val="20"/>
                <w:szCs w:val="20"/>
                <w:color w:val="auto"/>
              </w:rPr>
            </w:pPr>
            <w:r>
              <w:rPr>
                <w:rFonts w:ascii="Arial" w:cs="Arial" w:eastAsia="Arial" w:hAnsi="Arial"/>
                <w:sz w:val="14"/>
                <w:szCs w:val="14"/>
                <w:b w:val="1"/>
                <w:bCs w:val="1"/>
                <w:color w:val="auto"/>
              </w:rPr>
              <w:t>3,026</w:t>
            </w:r>
          </w:p>
        </w:tc>
      </w:tr>
      <w:tr>
        <w:trPr>
          <w:trHeight w:val="270"/>
        </w:trPr>
        <w:tc>
          <w:tcPr>
            <w:tcW w:w="2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(27,325)</w:t>
            </w:r>
          </w:p>
        </w:tc>
        <w:tc>
          <w:tcPr>
            <w:tcW w:w="2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20" w:type="dxa"/>
            <w:vAlign w:val="bottom"/>
          </w:tcPr>
          <w:p>
            <w:pPr>
              <w:jc w:val="right"/>
              <w:ind w:right="32"/>
              <w:spacing w:after="0"/>
              <w:rPr>
                <w:sz w:val="20"/>
                <w:szCs w:val="20"/>
                <w:color w:val="auto"/>
              </w:rPr>
            </w:pPr>
            <w:r>
              <w:rPr>
                <w:rFonts w:ascii="Arial" w:cs="Arial" w:eastAsia="Arial" w:hAnsi="Arial"/>
                <w:sz w:val="14"/>
                <w:szCs w:val="14"/>
                <w:b w:val="1"/>
                <w:bCs w:val="1"/>
                <w:color w:val="auto"/>
              </w:rPr>
              <w:t>(27,325)</w:t>
            </w:r>
          </w:p>
        </w:tc>
        <w:tc>
          <w:tcPr>
            <w:tcW w:w="340" w:type="dxa"/>
            <w:vAlign w:val="bottom"/>
          </w:tcPr>
          <w:p>
            <w:pPr>
              <w:spacing w:after="0"/>
              <w:rPr>
                <w:sz w:val="23"/>
                <w:szCs w:val="23"/>
                <w:color w:val="auto"/>
              </w:rPr>
            </w:pPr>
          </w:p>
        </w:tc>
        <w:tc>
          <w:tcPr>
            <w:tcW w:w="740" w:type="dxa"/>
            <w:vAlign w:val="bottom"/>
          </w:tcPr>
          <w:p>
            <w:pPr>
              <w:spacing w:after="0"/>
              <w:rPr>
                <w:sz w:val="23"/>
                <w:szCs w:val="23"/>
                <w:color w:val="auto"/>
              </w:rPr>
            </w:pPr>
          </w:p>
        </w:tc>
      </w:tr>
      <w:tr>
        <w:trPr>
          <w:trHeight w:val="270"/>
        </w:trPr>
        <w:tc>
          <w:tcPr>
            <w:tcW w:w="2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(108,948)</w:t>
            </w:r>
          </w:p>
        </w:tc>
        <w:tc>
          <w:tcPr>
            <w:tcW w:w="3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20" w:type="dxa"/>
            <w:vAlign w:val="bottom"/>
          </w:tcPr>
          <w:p>
            <w:pPr>
              <w:jc w:val="right"/>
              <w:ind w:right="32"/>
              <w:spacing w:after="0"/>
              <w:rPr>
                <w:sz w:val="20"/>
                <w:szCs w:val="20"/>
                <w:color w:val="auto"/>
              </w:rPr>
            </w:pPr>
            <w:r>
              <w:rPr>
                <w:rFonts w:ascii="Arial" w:cs="Arial" w:eastAsia="Arial" w:hAnsi="Arial"/>
                <w:sz w:val="14"/>
                <w:szCs w:val="14"/>
                <w:b w:val="1"/>
                <w:bCs w:val="1"/>
                <w:color w:val="auto"/>
              </w:rPr>
              <w:t>(108,948)</w:t>
            </w:r>
          </w:p>
        </w:tc>
        <w:tc>
          <w:tcPr>
            <w:tcW w:w="340" w:type="dxa"/>
            <w:vAlign w:val="bottom"/>
          </w:tcPr>
          <w:p>
            <w:pPr>
              <w:spacing w:after="0"/>
              <w:rPr>
                <w:sz w:val="23"/>
                <w:szCs w:val="23"/>
                <w:color w:val="auto"/>
              </w:rPr>
            </w:pPr>
          </w:p>
        </w:tc>
        <w:tc>
          <w:tcPr>
            <w:tcW w:w="740" w:type="dxa"/>
            <w:vAlign w:val="bottom"/>
          </w:tcPr>
          <w:p>
            <w:pPr>
              <w:spacing w:after="0"/>
              <w:rPr>
                <w:sz w:val="23"/>
                <w:szCs w:val="23"/>
                <w:color w:val="auto"/>
              </w:rPr>
            </w:pPr>
          </w:p>
        </w:tc>
      </w:tr>
      <w:tr>
        <w:trPr>
          <w:trHeight w:val="351"/>
        </w:trPr>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(697)</w:t>
            </w: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00" w:type="dxa"/>
            <w:vAlign w:val="bottom"/>
          </w:tcPr>
          <w:p>
            <w:pPr>
              <w:jc w:val="right"/>
              <w:ind w:right="32"/>
              <w:spacing w:after="0"/>
              <w:rPr>
                <w:sz w:val="20"/>
                <w:szCs w:val="20"/>
                <w:color w:val="auto"/>
              </w:rPr>
            </w:pPr>
            <w:r>
              <w:rPr>
                <w:rFonts w:ascii="Arial" w:cs="Arial" w:eastAsia="Arial" w:hAnsi="Arial"/>
                <w:sz w:val="14"/>
                <w:szCs w:val="14"/>
                <w:b w:val="1"/>
                <w:bCs w:val="1"/>
                <w:color w:val="auto"/>
              </w:rPr>
              <w:t>644</w:t>
            </w: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jc w:val="right"/>
              <w:ind w:right="32"/>
              <w:spacing w:after="0"/>
              <w:rPr>
                <w:sz w:val="20"/>
                <w:szCs w:val="20"/>
                <w:color w:val="auto"/>
              </w:rPr>
            </w:pPr>
            <w:r>
              <w:rPr>
                <w:rFonts w:ascii="Arial" w:cs="Arial" w:eastAsia="Arial" w:hAnsi="Arial"/>
                <w:sz w:val="14"/>
                <w:szCs w:val="14"/>
                <w:b w:val="1"/>
                <w:bCs w:val="1"/>
                <w:color w:val="auto"/>
              </w:rPr>
              <w:t>(53)</w:t>
            </w: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351"/>
        </w:trPr>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jc w:val="right"/>
              <w:ind w:right="12"/>
              <w:spacing w:after="0"/>
              <w:rPr>
                <w:sz w:val="20"/>
                <w:szCs w:val="20"/>
                <w:color w:val="auto"/>
              </w:rPr>
            </w:pPr>
            <w:r>
              <w:rPr>
                <w:rFonts w:ascii="Arial" w:cs="Arial" w:eastAsia="Arial" w:hAnsi="Arial"/>
                <w:sz w:val="14"/>
                <w:szCs w:val="14"/>
                <w:b w:val="1"/>
                <w:bCs w:val="1"/>
                <w:color w:val="auto"/>
              </w:rPr>
              <w:t>14,717</w:t>
            </w: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jc w:val="right"/>
              <w:ind w:right="72"/>
              <w:spacing w:after="0"/>
              <w:rPr>
                <w:sz w:val="20"/>
                <w:szCs w:val="20"/>
                <w:color w:val="auto"/>
              </w:rPr>
            </w:pPr>
            <w:r>
              <w:rPr>
                <w:rFonts w:ascii="Arial" w:cs="Arial" w:eastAsia="Arial" w:hAnsi="Arial"/>
                <w:sz w:val="14"/>
                <w:szCs w:val="14"/>
                <w:b w:val="1"/>
                <w:bCs w:val="1"/>
                <w:color w:val="auto"/>
              </w:rPr>
              <w:t>14,717</w:t>
            </w: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70"/>
        </w:trPr>
        <w:tc>
          <w:tcPr>
            <w:tcW w:w="2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(78,194)</w:t>
            </w:r>
          </w:p>
        </w:tc>
        <w:tc>
          <w:tcPr>
            <w:tcW w:w="9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20" w:type="dxa"/>
            <w:vAlign w:val="bottom"/>
          </w:tcPr>
          <w:p>
            <w:pPr>
              <w:jc w:val="right"/>
              <w:ind w:right="32"/>
              <w:spacing w:after="0"/>
              <w:rPr>
                <w:sz w:val="20"/>
                <w:szCs w:val="20"/>
                <w:color w:val="auto"/>
              </w:rPr>
            </w:pPr>
            <w:r>
              <w:rPr>
                <w:rFonts w:ascii="Arial" w:cs="Arial" w:eastAsia="Arial" w:hAnsi="Arial"/>
                <w:sz w:val="14"/>
                <w:szCs w:val="14"/>
                <w:b w:val="1"/>
                <w:bCs w:val="1"/>
                <w:color w:val="auto"/>
              </w:rPr>
              <w:t>(78,194)</w:t>
            </w:r>
          </w:p>
        </w:tc>
        <w:tc>
          <w:tcPr>
            <w:tcW w:w="340" w:type="dxa"/>
            <w:vAlign w:val="bottom"/>
          </w:tcPr>
          <w:p>
            <w:pPr>
              <w:spacing w:after="0"/>
              <w:rPr>
                <w:sz w:val="23"/>
                <w:szCs w:val="23"/>
                <w:color w:val="auto"/>
              </w:rPr>
            </w:pPr>
          </w:p>
        </w:tc>
        <w:tc>
          <w:tcPr>
            <w:tcW w:w="740" w:type="dxa"/>
            <w:vAlign w:val="bottom"/>
          </w:tcPr>
          <w:p>
            <w:pPr>
              <w:spacing w:after="0"/>
              <w:rPr>
                <w:sz w:val="23"/>
                <w:szCs w:val="23"/>
                <w:color w:val="auto"/>
              </w:rPr>
            </w:pPr>
          </w:p>
        </w:tc>
      </w:tr>
      <w:tr>
        <w:trPr>
          <w:trHeight w:val="270"/>
        </w:trPr>
        <w:tc>
          <w:tcPr>
            <w:tcW w:w="2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20" w:type="dxa"/>
            <w:vAlign w:val="bottom"/>
          </w:tcPr>
          <w:p>
            <w:pPr>
              <w:jc w:val="right"/>
              <w:ind w:right="12"/>
              <w:spacing w:after="0"/>
              <w:rPr>
                <w:sz w:val="20"/>
                <w:szCs w:val="20"/>
                <w:color w:val="auto"/>
              </w:rPr>
            </w:pPr>
            <w:r>
              <w:rPr>
                <w:rFonts w:ascii="Arial" w:cs="Arial" w:eastAsia="Arial" w:hAnsi="Arial"/>
                <w:sz w:val="14"/>
                <w:szCs w:val="14"/>
                <w:b w:val="1"/>
                <w:bCs w:val="1"/>
                <w:color w:val="auto"/>
              </w:rPr>
              <w:t>558</w:t>
            </w:r>
          </w:p>
        </w:tc>
        <w:tc>
          <w:tcPr>
            <w:tcW w:w="8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20" w:type="dxa"/>
            <w:vAlign w:val="bottom"/>
          </w:tcPr>
          <w:p>
            <w:pPr>
              <w:jc w:val="right"/>
              <w:ind w:right="72"/>
              <w:spacing w:after="0"/>
              <w:rPr>
                <w:sz w:val="20"/>
                <w:szCs w:val="20"/>
                <w:color w:val="auto"/>
              </w:rPr>
            </w:pPr>
            <w:r>
              <w:rPr>
                <w:rFonts w:ascii="Arial" w:cs="Arial" w:eastAsia="Arial" w:hAnsi="Arial"/>
                <w:sz w:val="14"/>
                <w:szCs w:val="14"/>
                <w:b w:val="1"/>
                <w:bCs w:val="1"/>
                <w:color w:val="auto"/>
              </w:rPr>
              <w:t>558</w:t>
            </w:r>
          </w:p>
        </w:tc>
        <w:tc>
          <w:tcPr>
            <w:tcW w:w="340" w:type="dxa"/>
            <w:vAlign w:val="bottom"/>
          </w:tcPr>
          <w:p>
            <w:pPr>
              <w:spacing w:after="0"/>
              <w:rPr>
                <w:sz w:val="23"/>
                <w:szCs w:val="23"/>
                <w:color w:val="auto"/>
              </w:rPr>
            </w:pPr>
          </w:p>
        </w:tc>
        <w:tc>
          <w:tcPr>
            <w:tcW w:w="740" w:type="dxa"/>
            <w:vAlign w:val="bottom"/>
          </w:tcPr>
          <w:p>
            <w:pPr>
              <w:spacing w:after="0"/>
              <w:rPr>
                <w:sz w:val="23"/>
                <w:szCs w:val="23"/>
                <w:color w:val="auto"/>
              </w:rPr>
            </w:pPr>
          </w:p>
        </w:tc>
      </w:tr>
      <w:tr>
        <w:trPr>
          <w:trHeight w:val="270"/>
        </w:trPr>
        <w:tc>
          <w:tcPr>
            <w:tcW w:w="2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20" w:type="dxa"/>
            <w:vAlign w:val="bottom"/>
          </w:tcPr>
          <w:p>
            <w:pPr>
              <w:jc w:val="right"/>
              <w:ind w:right="72"/>
              <w:spacing w:after="0"/>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(24,031)</w:t>
            </w:r>
          </w:p>
        </w:tc>
      </w:tr>
      <w:tr>
        <w:trPr>
          <w:trHeight w:val="272"/>
        </w:trPr>
        <w:tc>
          <w:tcPr>
            <w:tcW w:w="240" w:type="dxa"/>
            <w:vAlign w:val="bottom"/>
            <w:tcBorders>
              <w:bottom w:val="single" w:sz="8" w:color="auto"/>
            </w:tcBorders>
          </w:tcPr>
          <w:p>
            <w:pPr>
              <w:spacing w:after="0"/>
              <w:rPr>
                <w:sz w:val="23"/>
                <w:szCs w:val="23"/>
                <w:color w:val="auto"/>
              </w:rPr>
            </w:pPr>
          </w:p>
        </w:tc>
        <w:tc>
          <w:tcPr>
            <w:tcW w:w="560" w:type="dxa"/>
            <w:vAlign w:val="bottom"/>
            <w:tcBorders>
              <w:bottom w:val="single" w:sz="8" w:color="auto"/>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580" w:type="dxa"/>
            <w:vAlign w:val="bottom"/>
            <w:tcBorders>
              <w:bottom w:val="single" w:sz="8" w:color="auto"/>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(4,076)</w:t>
            </w:r>
          </w:p>
        </w:tc>
        <w:tc>
          <w:tcPr>
            <w:tcW w:w="840" w:type="dxa"/>
            <w:vAlign w:val="bottom"/>
            <w:tcBorders>
              <w:bottom w:val="single" w:sz="8" w:color="auto"/>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(4,076)</w:t>
            </w:r>
          </w:p>
        </w:tc>
        <w:tc>
          <w:tcPr>
            <w:tcW w:w="34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(5,770)</w:t>
            </w:r>
          </w:p>
        </w:tc>
      </w:tr>
      <w:tr>
        <w:trPr>
          <w:trHeight w:val="264"/>
        </w:trPr>
        <w:tc>
          <w:tcPr>
            <w:tcW w:w="24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w:t>
            </w:r>
          </w:p>
        </w:tc>
        <w:tc>
          <w:tcPr>
            <w:tcW w:w="56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rPr>
              <w:t>964</w:t>
            </w:r>
          </w:p>
        </w:tc>
        <w:tc>
          <w:tcPr>
            <w:tcW w:w="22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19,036</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62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rPr>
              <w:t>364,363</w:t>
            </w:r>
          </w:p>
        </w:tc>
        <w:tc>
          <w:tcPr>
            <w:tcW w:w="84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$5,588,942</w:t>
            </w:r>
          </w:p>
        </w:tc>
        <w:tc>
          <w:tcPr>
            <w:tcW w:w="24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w:t>
            </w:r>
          </w:p>
        </w:tc>
        <w:tc>
          <w:tcPr>
            <w:tcW w:w="76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rPr>
              <w:t>236,486</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 (3,756,850)</w:t>
            </w:r>
          </w:p>
        </w:tc>
        <w:tc>
          <w:tcPr>
            <w:tcW w:w="38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w:t>
            </w:r>
          </w:p>
        </w:tc>
        <w:tc>
          <w:tcPr>
            <w:tcW w:w="62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rPr>
              <w:t>—</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82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2,452,941</w:t>
            </w:r>
          </w:p>
        </w:tc>
        <w:tc>
          <w:tcPr>
            <w:tcW w:w="34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w:t>
            </w:r>
          </w:p>
        </w:tc>
        <w:tc>
          <w:tcPr>
            <w:tcW w:w="74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50</w:t>
            </w:r>
          </w:p>
        </w:tc>
      </w:tr>
      <w:tr>
        <w:trPr>
          <w:trHeight w:val="20"/>
        </w:trPr>
        <w:tc>
          <w:tcPr>
            <w:tcW w:w="2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41" w:lineRule="exact"/>
        <w:rPr>
          <w:sz w:val="20"/>
          <w:szCs w:val="20"/>
          <w:color w:val="auto"/>
        </w:rPr>
      </w:pPr>
    </w:p>
    <w:p>
      <w:pPr>
        <w:sectPr>
          <w:pgSz w:w="11900" w:h="16838" w:orient="portrait"/>
          <w:cols w:equalWidth="0" w:num="2">
            <w:col w:w="3140" w:space="60"/>
            <w:col w:w="8220"/>
          </w:cols>
          <w:pgMar w:left="240" w:top="736" w:right="239" w:bottom="795" w:gutter="0" w:footer="0" w:header="0"/>
          <w:type w:val="continuous"/>
        </w:sectPr>
      </w:pPr>
    </w:p>
    <w:p>
      <w:pPr>
        <w:spacing w:after="0"/>
        <w:rPr>
          <w:sz w:val="20"/>
          <w:szCs w:val="20"/>
          <w:color w:val="auto"/>
        </w:rPr>
      </w:pPr>
      <w:r>
        <w:rPr>
          <w:rFonts w:ascii="Arial" w:cs="Arial" w:eastAsia="Arial" w:hAnsi="Arial"/>
          <w:sz w:val="14"/>
          <w:szCs w:val="14"/>
          <w:color w:val="auto"/>
        </w:rPr>
        <w:t>See accompanying Notes to Consolidated Financial Statements.</w:t>
      </w:r>
    </w:p>
    <w:p>
      <w:pPr>
        <w:sectPr>
          <w:pgSz w:w="11900" w:h="16838" w:orient="portrait"/>
          <w:cols w:equalWidth="0" w:num="1">
            <w:col w:w="11420"/>
          </w:cols>
          <w:pgMar w:left="240" w:top="736" w:right="239" w:bottom="795" w:gutter="0" w:footer="0" w:header="0"/>
          <w:type w:val="continuous"/>
        </w:sect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67</w:t>
      </w:r>
    </w:p>
    <w:p>
      <w:pPr>
        <w:sectPr>
          <w:pgSz w:w="11900" w:h="16838" w:orient="portrait"/>
          <w:cols w:equalWidth="0" w:num="1">
            <w:col w:w="11420"/>
          </w:cols>
          <w:pgMar w:left="240" w:top="736" w:right="239" w:bottom="795" w:gutter="0" w:footer="0" w:header="0"/>
          <w:type w:val="continuous"/>
        </w:sectPr>
      </w:pPr>
    </w:p>
    <w:bookmarkStart w:id="70" w:name="page71"/>
    <w:bookmarkEnd w:id="70"/>
    <w:p>
      <w:pPr>
        <w:jc w:val="center"/>
        <w:ind w:right="-19"/>
        <w:spacing w:after="0"/>
        <w:rPr>
          <w:sz w:val="20"/>
          <w:szCs w:val="20"/>
          <w:color w:val="auto"/>
        </w:rPr>
      </w:pPr>
      <w:r>
        <w:rPr>
          <w:rFonts w:ascii="Arial" w:cs="Arial" w:eastAsia="Arial" w:hAnsi="Arial"/>
          <w:sz w:val="18"/>
          <w:szCs w:val="18"/>
          <w:b w:val="1"/>
          <w:bCs w:val="1"/>
          <w:color w:val="auto"/>
        </w:rPr>
        <w:t>GRAHAM HOLDINGS COMPANY</w:t>
      </w:r>
    </w:p>
    <w:p>
      <w:pPr>
        <w:spacing w:after="0" w:line="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34" w:lineRule="exact"/>
        <w:rPr>
          <w:sz w:val="20"/>
          <w:szCs w:val="20"/>
          <w:color w:val="auto"/>
        </w:rPr>
      </w:pPr>
    </w:p>
    <w:p>
      <w:pPr>
        <w:ind w:left="500" w:hanging="492"/>
        <w:spacing w:after="0"/>
        <w:tabs>
          <w:tab w:leader="none" w:pos="500"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NATURE OF OPERATIONS</w:t>
      </w:r>
    </w:p>
    <w:p>
      <w:pPr>
        <w:spacing w:after="0" w:line="146" w:lineRule="exact"/>
        <w:rPr>
          <w:sz w:val="20"/>
          <w:szCs w:val="20"/>
          <w:color w:val="auto"/>
        </w:rPr>
      </w:pPr>
    </w:p>
    <w:p>
      <w:pPr>
        <w:jc w:val="both"/>
        <w:spacing w:after="0"/>
        <w:rPr>
          <w:sz w:val="20"/>
          <w:szCs w:val="20"/>
          <w:color w:val="auto"/>
        </w:rPr>
      </w:pPr>
      <w:r>
        <w:rPr>
          <w:rFonts w:ascii="Arial" w:cs="Arial" w:eastAsia="Arial" w:hAnsi="Arial"/>
          <w:sz w:val="18"/>
          <w:szCs w:val="18"/>
          <w:color w:val="auto"/>
        </w:rPr>
        <w:t>Graham Holdings Company (the Company), is a diversified education and media company. The Company’s Kaplan subsidiary provides a wide variety of educational services, both domestically and outside the United States. The Company’s media operations comprise the ownership and operation of five television broadcasting stations.</w:t>
      </w:r>
    </w:p>
    <w:p>
      <w:pPr>
        <w:spacing w:after="0" w:line="106" w:lineRule="exact"/>
        <w:rPr>
          <w:sz w:val="20"/>
          <w:szCs w:val="20"/>
          <w:color w:val="auto"/>
        </w:rPr>
      </w:pPr>
    </w:p>
    <w:p>
      <w:pPr>
        <w:ind w:right="400"/>
        <w:spacing w:after="0" w:line="263" w:lineRule="auto"/>
        <w:rPr>
          <w:sz w:val="20"/>
          <w:szCs w:val="20"/>
          <w:color w:val="auto"/>
        </w:rPr>
      </w:pPr>
      <w:r>
        <w:rPr>
          <w:rFonts w:ascii="Arial" w:cs="Arial" w:eastAsia="Arial" w:hAnsi="Arial"/>
          <w:sz w:val="18"/>
          <w:szCs w:val="18"/>
          <w:b w:val="1"/>
          <w:bCs w:val="1"/>
          <w:color w:val="auto"/>
        </w:rPr>
        <w:t>Education</w:t>
      </w:r>
      <w:r>
        <w:rPr>
          <w:rFonts w:ascii="Arial" w:cs="Arial" w:eastAsia="Arial" w:hAnsi="Arial"/>
          <w:sz w:val="18"/>
          <w:szCs w:val="18"/>
          <w:color w:val="auto"/>
        </w:rPr>
        <w:t>—Kaplan, Inc. provides an extensive range of educational services for students and professionals. Kaplan’s various businesses</w:t>
      </w:r>
      <w:r>
        <w:rPr>
          <w:rFonts w:ascii="Arial" w:cs="Arial" w:eastAsia="Arial" w:hAnsi="Arial"/>
          <w:sz w:val="18"/>
          <w:szCs w:val="18"/>
          <w:b w:val="1"/>
          <w:bCs w:val="1"/>
          <w:color w:val="auto"/>
        </w:rPr>
        <w:t xml:space="preserve"> </w:t>
      </w:r>
      <w:r>
        <w:rPr>
          <w:rFonts w:ascii="Arial" w:cs="Arial" w:eastAsia="Arial" w:hAnsi="Arial"/>
          <w:sz w:val="18"/>
          <w:szCs w:val="18"/>
          <w:color w:val="auto"/>
        </w:rPr>
        <w:t>comprise three categories: Higher Education (KHE), Test Preparation (KTP) and Kaplan International.</w:t>
      </w:r>
    </w:p>
    <w:p>
      <w:pPr>
        <w:spacing w:after="0" w:line="87" w:lineRule="exact"/>
        <w:rPr>
          <w:sz w:val="20"/>
          <w:szCs w:val="20"/>
          <w:color w:val="auto"/>
        </w:rPr>
      </w:pPr>
    </w:p>
    <w:p>
      <w:pPr>
        <w:ind w:right="780"/>
        <w:spacing w:after="0" w:line="263" w:lineRule="auto"/>
        <w:rPr>
          <w:sz w:val="20"/>
          <w:szCs w:val="20"/>
          <w:color w:val="auto"/>
        </w:rPr>
      </w:pPr>
      <w:r>
        <w:rPr>
          <w:rFonts w:ascii="Arial" w:cs="Arial" w:eastAsia="Arial" w:hAnsi="Arial"/>
          <w:sz w:val="18"/>
          <w:szCs w:val="18"/>
          <w:b w:val="1"/>
          <w:bCs w:val="1"/>
          <w:color w:val="auto"/>
        </w:rPr>
        <w:t>Media</w:t>
      </w:r>
      <w:r>
        <w:rPr>
          <w:rFonts w:ascii="Arial" w:cs="Arial" w:eastAsia="Arial" w:hAnsi="Arial"/>
          <w:sz w:val="18"/>
          <w:szCs w:val="18"/>
          <w:color w:val="auto"/>
        </w:rPr>
        <w:t>—The Company’s diversified media operations comprise television broadcasting, several websites and print publications, and a</w:t>
      </w:r>
      <w:r>
        <w:rPr>
          <w:rFonts w:ascii="Arial" w:cs="Arial" w:eastAsia="Arial" w:hAnsi="Arial"/>
          <w:sz w:val="18"/>
          <w:szCs w:val="18"/>
          <w:b w:val="1"/>
          <w:bCs w:val="1"/>
          <w:color w:val="auto"/>
        </w:rPr>
        <w:t xml:space="preserve"> </w:t>
      </w:r>
      <w:r>
        <w:rPr>
          <w:rFonts w:ascii="Arial" w:cs="Arial" w:eastAsia="Arial" w:hAnsi="Arial"/>
          <w:sz w:val="18"/>
          <w:szCs w:val="18"/>
          <w:color w:val="auto"/>
        </w:rPr>
        <w:t>marketing solutions provider.</w:t>
      </w:r>
    </w:p>
    <w:p>
      <w:pPr>
        <w:spacing w:after="0" w:line="89" w:lineRule="exact"/>
        <w:rPr>
          <w:sz w:val="20"/>
          <w:szCs w:val="20"/>
          <w:color w:val="auto"/>
        </w:rPr>
      </w:pPr>
    </w:p>
    <w:p>
      <w:pPr>
        <w:ind w:right="180"/>
        <w:spacing w:after="0"/>
        <w:rPr>
          <w:sz w:val="20"/>
          <w:szCs w:val="20"/>
          <w:color w:val="auto"/>
        </w:rPr>
      </w:pPr>
      <w:r>
        <w:rPr>
          <w:rFonts w:ascii="Arial" w:cs="Arial" w:eastAsia="Arial" w:hAnsi="Arial"/>
          <w:sz w:val="18"/>
          <w:szCs w:val="18"/>
          <w:i w:val="1"/>
          <w:iCs w:val="1"/>
          <w:color w:val="auto"/>
        </w:rPr>
        <w:t xml:space="preserve">Television broadcasting. </w:t>
      </w:r>
      <w:r>
        <w:rPr>
          <w:rFonts w:ascii="Arial" w:cs="Arial" w:eastAsia="Arial" w:hAnsi="Arial"/>
          <w:sz w:val="18"/>
          <w:szCs w:val="18"/>
          <w:color w:val="auto"/>
        </w:rPr>
        <w:t>As of December 31, 2016, the Company owned five VHF television stations located in Houston, TX; Detroit, MI;</w:t>
      </w:r>
      <w:r>
        <w:rPr>
          <w:rFonts w:ascii="Arial" w:cs="Arial" w:eastAsia="Arial" w:hAnsi="Arial"/>
          <w:sz w:val="18"/>
          <w:szCs w:val="18"/>
          <w:i w:val="1"/>
          <w:iCs w:val="1"/>
          <w:color w:val="auto"/>
        </w:rPr>
        <w:t xml:space="preserve"> </w:t>
      </w:r>
      <w:r>
        <w:rPr>
          <w:rFonts w:ascii="Arial" w:cs="Arial" w:eastAsia="Arial" w:hAnsi="Arial"/>
          <w:sz w:val="18"/>
          <w:szCs w:val="18"/>
          <w:color w:val="auto"/>
        </w:rPr>
        <w:t>Orlando, FL; San Antonio, TX; and Jacksonville, FL. Other than the Company’s Jacksonville station, WJXT, the Company’s television stations are affiliated with one of the major national networks.</w:t>
      </w:r>
    </w:p>
    <w:p>
      <w:pPr>
        <w:spacing w:after="0" w:line="108" w:lineRule="exact"/>
        <w:rPr>
          <w:sz w:val="20"/>
          <w:szCs w:val="20"/>
          <w:color w:val="auto"/>
        </w:rPr>
      </w:pPr>
    </w:p>
    <w:p>
      <w:pPr>
        <w:ind w:right="440"/>
        <w:spacing w:after="0"/>
        <w:rPr>
          <w:sz w:val="20"/>
          <w:szCs w:val="20"/>
          <w:color w:val="auto"/>
        </w:rPr>
      </w:pPr>
      <w:r>
        <w:rPr>
          <w:rFonts w:ascii="Arial" w:cs="Arial" w:eastAsia="Arial" w:hAnsi="Arial"/>
          <w:sz w:val="18"/>
          <w:szCs w:val="18"/>
          <w:color w:val="auto"/>
        </w:rPr>
        <w:t>On January 17, 2017, Graham Media Group (GMG), a subsidiary of the Company, acquired WCWJ, the CW affiliate television station in Jacksonville, FL, and WSLS, the NBC affiliate television station in Roanoke, VA. Both stations will continue to operate under their previous network affiliations.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r>
        <w:rPr>
          <w:rFonts w:ascii="Arial" w:cs="Arial" w:eastAsia="Arial" w:hAnsi="Arial"/>
          <w:sz w:val="18"/>
          <w:szCs w:val="18"/>
          <w:color w:val="auto"/>
        </w:rPr>
        <w:t>—The Company’s other business operations include home health and hospice services and manufacturing.</w:t>
      </w:r>
    </w:p>
    <w:p>
      <w:pPr>
        <w:spacing w:after="0" w:line="144" w:lineRule="exact"/>
        <w:rPr>
          <w:sz w:val="20"/>
          <w:szCs w:val="20"/>
          <w:color w:val="auto"/>
        </w:rPr>
      </w:pPr>
    </w:p>
    <w:p>
      <w:pPr>
        <w:ind w:left="500" w:hanging="492"/>
        <w:spacing w:after="0"/>
        <w:tabs>
          <w:tab w:leader="none" w:pos="500"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144" w:lineRule="exact"/>
        <w:rPr>
          <w:sz w:val="20"/>
          <w:szCs w:val="20"/>
          <w:color w:val="auto"/>
        </w:rPr>
      </w:pPr>
    </w:p>
    <w:p>
      <w:pPr>
        <w:spacing w:after="0" w:line="235" w:lineRule="auto"/>
        <w:rPr>
          <w:sz w:val="20"/>
          <w:szCs w:val="20"/>
          <w:color w:val="auto"/>
        </w:rPr>
      </w:pPr>
      <w:r>
        <w:rPr>
          <w:rFonts w:ascii="Arial" w:cs="Arial" w:eastAsia="Arial" w:hAnsi="Arial"/>
          <w:sz w:val="18"/>
          <w:szCs w:val="18"/>
          <w:b w:val="1"/>
          <w:bCs w:val="1"/>
          <w:color w:val="auto"/>
        </w:rPr>
        <w:t xml:space="preserve">Basis of Presentation and Principles of Consolidation. </w:t>
      </w:r>
      <w:r>
        <w:rPr>
          <w:rFonts w:ascii="Arial" w:cs="Arial" w:eastAsia="Arial" w:hAnsi="Arial"/>
          <w:sz w:val="18"/>
          <w:szCs w:val="18"/>
          <w:color w:val="auto"/>
        </w:rPr>
        <w:t>The accompanying Consolidated Financial Statements have been prepared in</w:t>
      </w:r>
      <w:r>
        <w:rPr>
          <w:rFonts w:ascii="Arial" w:cs="Arial" w:eastAsia="Arial" w:hAnsi="Arial"/>
          <w:sz w:val="18"/>
          <w:szCs w:val="18"/>
          <w:b w:val="1"/>
          <w:bCs w:val="1"/>
          <w:color w:val="auto"/>
        </w:rPr>
        <w:t xml:space="preserve"> </w:t>
      </w:r>
      <w:r>
        <w:rPr>
          <w:rFonts w:ascii="Arial" w:cs="Arial" w:eastAsia="Arial" w:hAnsi="Arial"/>
          <w:sz w:val="18"/>
          <w:szCs w:val="18"/>
          <w:color w:val="auto"/>
        </w:rPr>
        <w:t>accordance with generally accepted accounting principles (GAAP) in the United States and include the assets, liabilities, results of operations and cash flows of the Company and its majority-owned and controlled subsidiaries. All significant intercompany accounts and transactions have been eliminated in consolidation.</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Reclassifications. </w:t>
      </w:r>
      <w:r>
        <w:rPr>
          <w:rFonts w:ascii="Arial" w:cs="Arial" w:eastAsia="Arial" w:hAnsi="Arial"/>
          <w:sz w:val="18"/>
          <w:szCs w:val="18"/>
          <w:color w:val="auto"/>
        </w:rPr>
        <w:t>Certain amounts in previously issued financial statements have been reclassified to conform with the 2016 presentation.</w:t>
      </w:r>
    </w:p>
    <w:p>
      <w:pPr>
        <w:spacing w:after="0" w:line="144" w:lineRule="exact"/>
        <w:rPr>
          <w:sz w:val="20"/>
          <w:szCs w:val="20"/>
          <w:color w:val="auto"/>
        </w:rPr>
      </w:pPr>
    </w:p>
    <w:p>
      <w:pPr>
        <w:ind w:right="40"/>
        <w:spacing w:after="0" w:line="232" w:lineRule="auto"/>
        <w:rPr>
          <w:sz w:val="20"/>
          <w:szCs w:val="20"/>
          <w:color w:val="auto"/>
        </w:rPr>
      </w:pPr>
      <w:r>
        <w:rPr>
          <w:rFonts w:ascii="Arial" w:cs="Arial" w:eastAsia="Arial" w:hAnsi="Arial"/>
          <w:sz w:val="18"/>
          <w:szCs w:val="18"/>
          <w:b w:val="1"/>
          <w:bCs w:val="1"/>
          <w:color w:val="auto"/>
        </w:rPr>
        <w:t xml:space="preserve">Use of Estimates. </w:t>
      </w:r>
      <w:r>
        <w:rPr>
          <w:rFonts w:ascii="Arial" w:cs="Arial" w:eastAsia="Arial" w:hAnsi="Arial"/>
          <w:sz w:val="18"/>
          <w:szCs w:val="18"/>
          <w:color w:val="auto"/>
        </w:rPr>
        <w:t>The preparation of financial statements in conformity with GAAP requires management to make estimates and judgments</w:t>
      </w:r>
      <w:r>
        <w:rPr>
          <w:rFonts w:ascii="Arial" w:cs="Arial" w:eastAsia="Arial" w:hAnsi="Arial"/>
          <w:sz w:val="18"/>
          <w:szCs w:val="18"/>
          <w:b w:val="1"/>
          <w:bCs w:val="1"/>
          <w:color w:val="auto"/>
        </w:rPr>
        <w:t xml:space="preserve"> </w:t>
      </w:r>
      <w:r>
        <w:rPr>
          <w:rFonts w:ascii="Arial" w:cs="Arial" w:eastAsia="Arial" w:hAnsi="Arial"/>
          <w:sz w:val="18"/>
          <w:szCs w:val="18"/>
          <w:color w:val="auto"/>
        </w:rPr>
        <w:t>that affect the amounts reported in the financial statements. Management bases its estimates and assumptions on historical experience and on various other factors that are believed to be reasonable under the circumstances. Due to the inherent uncertainty involved in making estimates, actual results reported in future periods may be affected by changes in those estimates. On an ongoing basis, the Company evaluates its estimates and assumptions.</w:t>
      </w:r>
    </w:p>
    <w:p>
      <w:pPr>
        <w:spacing w:after="0" w:line="107" w:lineRule="exact"/>
        <w:rPr>
          <w:sz w:val="20"/>
          <w:szCs w:val="20"/>
          <w:color w:val="auto"/>
        </w:rPr>
      </w:pPr>
    </w:p>
    <w:p>
      <w:pPr>
        <w:ind w:right="240"/>
        <w:spacing w:after="0" w:line="232" w:lineRule="auto"/>
        <w:rPr>
          <w:sz w:val="20"/>
          <w:szCs w:val="20"/>
          <w:color w:val="auto"/>
        </w:rPr>
      </w:pPr>
      <w:r>
        <w:rPr>
          <w:rFonts w:ascii="Arial" w:cs="Arial" w:eastAsia="Arial" w:hAnsi="Arial"/>
          <w:sz w:val="18"/>
          <w:szCs w:val="18"/>
          <w:b w:val="1"/>
          <w:bCs w:val="1"/>
          <w:color w:val="auto"/>
        </w:rPr>
        <w:t xml:space="preserve">Business Combinations. </w:t>
      </w:r>
      <w:r>
        <w:rPr>
          <w:rFonts w:ascii="Arial" w:cs="Arial" w:eastAsia="Arial" w:hAnsi="Arial"/>
          <w:sz w:val="18"/>
          <w:szCs w:val="18"/>
          <w:color w:val="auto"/>
        </w:rPr>
        <w:t>The purchase price of an acquisition is allocated to the assets acquired, including intangible assets, and liabilities</w:t>
      </w:r>
      <w:r>
        <w:rPr>
          <w:rFonts w:ascii="Arial" w:cs="Arial" w:eastAsia="Arial" w:hAnsi="Arial"/>
          <w:sz w:val="18"/>
          <w:szCs w:val="18"/>
          <w:b w:val="1"/>
          <w:bCs w:val="1"/>
          <w:color w:val="auto"/>
        </w:rPr>
        <w:t xml:space="preserve"> </w:t>
      </w:r>
      <w:r>
        <w:rPr>
          <w:rFonts w:ascii="Arial" w:cs="Arial" w:eastAsia="Arial" w:hAnsi="Arial"/>
          <w:sz w:val="18"/>
          <w:szCs w:val="18"/>
          <w:color w:val="auto"/>
        </w:rPr>
        <w:t>assumed, based on their respective fair values at the acquisition date. Acquisition-related costs are expensed as incurred. The excess of the cost of an acquired entity over the net of the amounts assigned to the assets acquired and liabilities assumed is recognized as goodwill. The net assets and results of operations of an acquired entity are included in the Company’s Consolidated Financial Statements from the acquisition date.</w:t>
      </w:r>
    </w:p>
    <w:p>
      <w:pPr>
        <w:spacing w:after="0" w:line="107" w:lineRule="exact"/>
        <w:rPr>
          <w:sz w:val="20"/>
          <w:szCs w:val="20"/>
          <w:color w:val="auto"/>
        </w:rPr>
      </w:pPr>
    </w:p>
    <w:p>
      <w:pPr>
        <w:ind w:right="380"/>
        <w:spacing w:after="0" w:line="263" w:lineRule="auto"/>
        <w:rPr>
          <w:sz w:val="20"/>
          <w:szCs w:val="20"/>
          <w:color w:val="auto"/>
        </w:rPr>
      </w:pPr>
      <w:r>
        <w:rPr>
          <w:rFonts w:ascii="Arial" w:cs="Arial" w:eastAsia="Arial" w:hAnsi="Arial"/>
          <w:sz w:val="18"/>
          <w:szCs w:val="18"/>
          <w:b w:val="1"/>
          <w:bCs w:val="1"/>
          <w:color w:val="auto"/>
        </w:rPr>
        <w:t xml:space="preserve">Cash and Cash Equivalents. </w:t>
      </w:r>
      <w:r>
        <w:rPr>
          <w:rFonts w:ascii="Arial" w:cs="Arial" w:eastAsia="Arial" w:hAnsi="Arial"/>
          <w:sz w:val="18"/>
          <w:szCs w:val="18"/>
          <w:color w:val="auto"/>
        </w:rPr>
        <w:t>Cash and cash equivalents consist of cash on hand, short-term investments with original maturities of three</w:t>
      </w:r>
      <w:r>
        <w:rPr>
          <w:rFonts w:ascii="Arial" w:cs="Arial" w:eastAsia="Arial" w:hAnsi="Arial"/>
          <w:sz w:val="18"/>
          <w:szCs w:val="18"/>
          <w:b w:val="1"/>
          <w:bCs w:val="1"/>
          <w:color w:val="auto"/>
        </w:rPr>
        <w:t xml:space="preserve"> </w:t>
      </w:r>
      <w:r>
        <w:rPr>
          <w:rFonts w:ascii="Arial" w:cs="Arial" w:eastAsia="Arial" w:hAnsi="Arial"/>
          <w:sz w:val="18"/>
          <w:szCs w:val="18"/>
          <w:color w:val="auto"/>
        </w:rPr>
        <w:t>months or less and investments in money market funds with weighted average maturities of three months or less.</w:t>
      </w:r>
    </w:p>
    <w:p>
      <w:pPr>
        <w:spacing w:after="0" w:line="87" w:lineRule="exact"/>
        <w:rPr>
          <w:sz w:val="20"/>
          <w:szCs w:val="20"/>
          <w:color w:val="auto"/>
        </w:rPr>
      </w:pPr>
    </w:p>
    <w:p>
      <w:pPr>
        <w:ind w:right="20"/>
        <w:spacing w:after="0" w:line="226" w:lineRule="auto"/>
        <w:rPr>
          <w:sz w:val="20"/>
          <w:szCs w:val="20"/>
          <w:color w:val="auto"/>
        </w:rPr>
      </w:pPr>
      <w:r>
        <w:rPr>
          <w:rFonts w:ascii="Arial" w:cs="Arial" w:eastAsia="Arial" w:hAnsi="Arial"/>
          <w:sz w:val="18"/>
          <w:szCs w:val="18"/>
          <w:b w:val="1"/>
          <w:bCs w:val="1"/>
          <w:color w:val="auto"/>
        </w:rPr>
        <w:t xml:space="preserve">Restricted Cash. </w:t>
      </w:r>
      <w:r>
        <w:rPr>
          <w:rFonts w:ascii="Arial" w:cs="Arial" w:eastAsia="Arial" w:hAnsi="Arial"/>
          <w:sz w:val="18"/>
          <w:szCs w:val="18"/>
          <w:color w:val="auto"/>
        </w:rPr>
        <w:t>Restricted cash represents amounts held for students that were received from U.S. Federal and state governments under</w:t>
      </w:r>
      <w:r>
        <w:rPr>
          <w:rFonts w:ascii="Arial" w:cs="Arial" w:eastAsia="Arial" w:hAnsi="Arial"/>
          <w:sz w:val="18"/>
          <w:szCs w:val="18"/>
          <w:b w:val="1"/>
          <w:bCs w:val="1"/>
          <w:color w:val="auto"/>
        </w:rPr>
        <w:t xml:space="preserve"> </w:t>
      </w:r>
      <w:r>
        <w:rPr>
          <w:rFonts w:ascii="Arial" w:cs="Arial" w:eastAsia="Arial" w:hAnsi="Arial"/>
          <w:sz w:val="18"/>
          <w:szCs w:val="18"/>
          <w:color w:val="auto"/>
        </w:rPr>
        <w:t>various aid grant and loan programs, such as Title IV of the U.S. Federal Higher Education Act of 1965 (Higher Education Act), as amended, that the Company is required to maintain pursuant to U.S. Department of Education (ED) and other regulations. Federal regulations stipulate that the Company has a fiduciary responsibility to segregate Federal funds from all other funds to ensure the funds are only used for the benefit of eligible students. The regulations further indicate that funds received under Federal aid programs are held in trust for the intended student beneficiary and the ED, and as trustee of these funds, the Company may not use the funds for any other purpose until the funds are applied to eligible student charges, which occurs within three days of the receipt of the funds. Restricted cash also includes (i) certain funds that the Company may be required to return if a student who receives Title IV program funds withdraws from a program and (ii) funds required to be held by non-U.S. higher education institutions for prepaid tuition.</w:t>
      </w: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736" w:right="239" w:bottom="1440" w:gutter="0" w:footer="0" w:header="0"/>
        </w:sectPr>
      </w:pPr>
    </w:p>
    <w:bookmarkStart w:id="71" w:name="page72"/>
    <w:bookmarkEnd w:id="71"/>
    <w:p>
      <w:pPr>
        <w:ind w:right="160"/>
        <w:spacing w:after="0" w:line="232" w:lineRule="auto"/>
        <w:rPr>
          <w:sz w:val="20"/>
          <w:szCs w:val="20"/>
          <w:color w:val="auto"/>
        </w:rPr>
      </w:pPr>
      <w:r>
        <w:rPr>
          <w:rFonts w:ascii="Arial" w:cs="Arial" w:eastAsia="Arial" w:hAnsi="Arial"/>
          <w:sz w:val="18"/>
          <w:szCs w:val="18"/>
          <w:b w:val="1"/>
          <w:bCs w:val="1"/>
          <w:color w:val="auto"/>
        </w:rPr>
        <w:t xml:space="preserve">Concentration of Credit Risk. </w:t>
      </w:r>
      <w:r>
        <w:rPr>
          <w:rFonts w:ascii="Arial" w:cs="Arial" w:eastAsia="Arial" w:hAnsi="Arial"/>
          <w:sz w:val="18"/>
          <w:szCs w:val="18"/>
          <w:color w:val="auto"/>
        </w:rPr>
        <w:t>Cash and cash equivalents are maintained with several financial institutions domestically and internationally.</w:t>
      </w:r>
      <w:r>
        <w:rPr>
          <w:rFonts w:ascii="Arial" w:cs="Arial" w:eastAsia="Arial" w:hAnsi="Arial"/>
          <w:sz w:val="18"/>
          <w:szCs w:val="18"/>
          <w:b w:val="1"/>
          <w:bCs w:val="1"/>
          <w:color w:val="auto"/>
        </w:rPr>
        <w:t xml:space="preserve"> </w:t>
      </w:r>
      <w:r>
        <w:rPr>
          <w:rFonts w:ascii="Arial" w:cs="Arial" w:eastAsia="Arial" w:hAnsi="Arial"/>
          <w:sz w:val="18"/>
          <w:szCs w:val="18"/>
          <w:color w:val="auto"/>
        </w:rPr>
        <w:t>Deposits held with banks may exceed the amount of insurance provided on such deposits. Generally, these deposits may be redeemed upon demand and are maintained with financial institutions with investment-grade credit ratings. The Company routinely assesses the financial strength of significant customers, and this assessment, combined with the large number and geographical diversity of its customers, limits the Company’s concentration of risk with respect to trade accounts receivable.</w:t>
      </w:r>
    </w:p>
    <w:p>
      <w:pPr>
        <w:spacing w:after="0" w:line="107" w:lineRule="exact"/>
        <w:rPr>
          <w:sz w:val="20"/>
          <w:szCs w:val="20"/>
          <w:color w:val="auto"/>
        </w:rPr>
      </w:pPr>
    </w:p>
    <w:p>
      <w:pPr>
        <w:ind w:right="80"/>
        <w:spacing w:after="0" w:line="247" w:lineRule="auto"/>
        <w:rPr>
          <w:sz w:val="20"/>
          <w:szCs w:val="20"/>
          <w:color w:val="auto"/>
        </w:rPr>
      </w:pPr>
      <w:r>
        <w:rPr>
          <w:rFonts w:ascii="Arial" w:cs="Arial" w:eastAsia="Arial" w:hAnsi="Arial"/>
          <w:sz w:val="17"/>
          <w:szCs w:val="17"/>
          <w:b w:val="1"/>
          <w:bCs w:val="1"/>
          <w:color w:val="auto"/>
        </w:rPr>
        <w:t xml:space="preserve">Allowance for Doubtful Accounts. </w:t>
      </w:r>
      <w:r>
        <w:rPr>
          <w:rFonts w:ascii="Arial" w:cs="Arial" w:eastAsia="Arial" w:hAnsi="Arial"/>
          <w:sz w:val="17"/>
          <w:szCs w:val="17"/>
          <w:color w:val="auto"/>
        </w:rPr>
        <w:t>Accounts receivable have been reduced by an allowance for amounts that may be uncollectible in the</w:t>
      </w:r>
      <w:r>
        <w:rPr>
          <w:rFonts w:ascii="Arial" w:cs="Arial" w:eastAsia="Arial" w:hAnsi="Arial"/>
          <w:sz w:val="17"/>
          <w:szCs w:val="17"/>
          <w:b w:val="1"/>
          <w:bCs w:val="1"/>
          <w:color w:val="auto"/>
        </w:rPr>
        <w:t xml:space="preserve"> </w:t>
      </w:r>
      <w:r>
        <w:rPr>
          <w:rFonts w:ascii="Arial" w:cs="Arial" w:eastAsia="Arial" w:hAnsi="Arial"/>
          <w:sz w:val="17"/>
          <w:szCs w:val="17"/>
          <w:color w:val="auto"/>
        </w:rPr>
        <w:t>future. This estimated allowance is based primarily on the aging category, historical collection experience and management’s evaluation of the financial condition of the customer. The Company generally considers an account past due or delinquent when a student or customer misses a scheduled payment. The Company writes off accounts receivable balances deemed uncollectible against the allowance for doubtful accounts following the passage of a certain period of time, or generally when the account is turned over for collection to an outside collection agency.</w:t>
      </w:r>
    </w:p>
    <w:p>
      <w:pPr>
        <w:spacing w:after="0" w:line="102" w:lineRule="exact"/>
        <w:rPr>
          <w:sz w:val="20"/>
          <w:szCs w:val="20"/>
          <w:color w:val="auto"/>
        </w:rPr>
      </w:pPr>
    </w:p>
    <w:p>
      <w:pPr>
        <w:ind w:right="20"/>
        <w:spacing w:after="0" w:line="230" w:lineRule="auto"/>
        <w:rPr>
          <w:sz w:val="20"/>
          <w:szCs w:val="20"/>
          <w:color w:val="auto"/>
        </w:rPr>
      </w:pPr>
      <w:r>
        <w:rPr>
          <w:rFonts w:ascii="Arial" w:cs="Arial" w:eastAsia="Arial" w:hAnsi="Arial"/>
          <w:sz w:val="18"/>
          <w:szCs w:val="18"/>
          <w:b w:val="1"/>
          <w:bCs w:val="1"/>
          <w:color w:val="auto"/>
        </w:rPr>
        <w:t xml:space="preserve">Investments in Marketable Equity Securities. </w:t>
      </w:r>
      <w:r>
        <w:rPr>
          <w:rFonts w:ascii="Arial" w:cs="Arial" w:eastAsia="Arial" w:hAnsi="Arial"/>
          <w:sz w:val="18"/>
          <w:szCs w:val="18"/>
          <w:color w:val="auto"/>
        </w:rPr>
        <w:t>The Company’s investments in marketable equity securities are classified as available-for-sale</w:t>
      </w:r>
      <w:r>
        <w:rPr>
          <w:rFonts w:ascii="Arial" w:cs="Arial" w:eastAsia="Arial" w:hAnsi="Arial"/>
          <w:sz w:val="18"/>
          <w:szCs w:val="18"/>
          <w:b w:val="1"/>
          <w:bCs w:val="1"/>
          <w:color w:val="auto"/>
        </w:rPr>
        <w:t xml:space="preserve"> </w:t>
      </w:r>
      <w:r>
        <w:rPr>
          <w:rFonts w:ascii="Arial" w:cs="Arial" w:eastAsia="Arial" w:hAnsi="Arial"/>
          <w:sz w:val="18"/>
          <w:szCs w:val="18"/>
          <w:color w:val="auto"/>
        </w:rPr>
        <w:t>and, therefore, are recorded at fair value in the Consolidated Financial Statements, with the change in fair value during the period excluded from earnings and recorded net of income taxes as a separate component of other comprehensive income. If the fair value of a marketable equity security declines below its cost basis and the decline is considered other than temporary, the Company will record a write-down, which is included in earnings. The Company uses the average cost method to determine the basis of the securities sold or reclassified out of other comprehensive income.</w:t>
      </w:r>
    </w:p>
    <w:p>
      <w:pPr>
        <w:spacing w:after="0" w:line="106" w:lineRule="exact"/>
        <w:rPr>
          <w:sz w:val="20"/>
          <w:szCs w:val="20"/>
          <w:color w:val="auto"/>
        </w:rPr>
      </w:pPr>
    </w:p>
    <w:p>
      <w:pPr>
        <w:ind w:right="20"/>
        <w:spacing w:after="0" w:line="228" w:lineRule="auto"/>
        <w:rPr>
          <w:sz w:val="20"/>
          <w:szCs w:val="20"/>
          <w:color w:val="auto"/>
        </w:rPr>
      </w:pPr>
      <w:r>
        <w:rPr>
          <w:rFonts w:ascii="Arial" w:cs="Arial" w:eastAsia="Arial" w:hAnsi="Arial"/>
          <w:sz w:val="18"/>
          <w:szCs w:val="18"/>
          <w:b w:val="1"/>
          <w:bCs w:val="1"/>
          <w:color w:val="auto"/>
        </w:rPr>
        <w:t xml:space="preserve">Fair Value Measurements. </w:t>
      </w:r>
      <w:r>
        <w:rPr>
          <w:rFonts w:ascii="Arial" w:cs="Arial" w:eastAsia="Arial" w:hAnsi="Arial"/>
          <w:sz w:val="18"/>
          <w:szCs w:val="18"/>
          <w:color w:val="auto"/>
        </w:rPr>
        <w:t>Fair value measurements are determined based on the assumptions that a market participant would use in pricing</w:t>
      </w:r>
      <w:r>
        <w:rPr>
          <w:rFonts w:ascii="Arial" w:cs="Arial" w:eastAsia="Arial" w:hAnsi="Arial"/>
          <w:sz w:val="18"/>
          <w:szCs w:val="18"/>
          <w:b w:val="1"/>
          <w:bCs w:val="1"/>
          <w:color w:val="auto"/>
        </w:rPr>
        <w:t xml:space="preserve"> </w:t>
      </w:r>
      <w:r>
        <w:rPr>
          <w:rFonts w:ascii="Arial" w:cs="Arial" w:eastAsia="Arial" w:hAnsi="Arial"/>
          <w:sz w:val="18"/>
          <w:szCs w:val="18"/>
          <w:color w:val="auto"/>
        </w:rPr>
        <w:t>an asset or liability based on a three-tiered hierarchy that draws a distinction between market participant assumptions based on (i) observable inputs, such as quoted prices in active markets (Level 1); (ii) inputs other than quoted prices in active markets that are observable either directly or indirectly (Level 2); and (iii) unobservable inputs that require the Company to use present value and other valuation techniques in the determination of fair value (Level 3). Financial assets and liabilities are classified in their entirety based on the lowest level of input that is significant to the fair value measure. The Company’s assessment of the significance of a particular input to the fair value measurements requires judgment and may affect the valuation of the assets and liabilities being measured and their placement within the fair value hierarchy.</w:t>
      </w:r>
    </w:p>
    <w:p>
      <w:pPr>
        <w:spacing w:after="0" w:line="111" w:lineRule="exact"/>
        <w:rPr>
          <w:sz w:val="20"/>
          <w:szCs w:val="20"/>
          <w:color w:val="auto"/>
        </w:rPr>
      </w:pPr>
    </w:p>
    <w:p>
      <w:pPr>
        <w:ind w:right="160"/>
        <w:spacing w:after="0" w:line="234" w:lineRule="auto"/>
        <w:rPr>
          <w:sz w:val="20"/>
          <w:szCs w:val="20"/>
          <w:color w:val="auto"/>
        </w:rPr>
      </w:pPr>
      <w:r>
        <w:rPr>
          <w:rFonts w:ascii="Arial" w:cs="Arial" w:eastAsia="Arial" w:hAnsi="Arial"/>
          <w:sz w:val="18"/>
          <w:szCs w:val="18"/>
          <w:color w:val="auto"/>
        </w:rPr>
        <w:t>For assets that are measured using quoted prices in active markets, the total fair value is the published market price per unit multiplied by the number of units held, without consideration of transaction costs. Assets and liabilities that are measured using significant other observable inputs are primarily valued by reference to quoted prices of similar assets or liabilities in active markets, adjusted for any terms specific to that asset or liability.</w:t>
      </w:r>
    </w:p>
    <w:p>
      <w:pPr>
        <w:spacing w:after="0" w:line="111" w:lineRule="exact"/>
        <w:rPr>
          <w:sz w:val="20"/>
          <w:szCs w:val="20"/>
          <w:color w:val="auto"/>
        </w:rPr>
      </w:pPr>
    </w:p>
    <w:p>
      <w:pPr>
        <w:spacing w:after="0" w:line="234" w:lineRule="auto"/>
        <w:rPr>
          <w:sz w:val="20"/>
          <w:szCs w:val="20"/>
          <w:color w:val="auto"/>
        </w:rPr>
      </w:pPr>
      <w:r>
        <w:rPr>
          <w:rFonts w:ascii="Arial" w:cs="Arial" w:eastAsia="Arial" w:hAnsi="Arial"/>
          <w:sz w:val="18"/>
          <w:szCs w:val="18"/>
          <w:color w:val="auto"/>
        </w:rPr>
        <w:t>The Company measures certain assets—including goodwill; intangible assets; property, plant and equipment; cost and equity-method investments—at fair value on a nonrecurring basis when they are deemed to be impaired. The fair value of these assets is determined with valuation techniques using the best information available and may include quoted market prices, market comparables and discounted cash flow models.</w:t>
      </w:r>
    </w:p>
    <w:p>
      <w:pPr>
        <w:spacing w:after="0" w:line="109" w:lineRule="exact"/>
        <w:rPr>
          <w:sz w:val="20"/>
          <w:szCs w:val="20"/>
          <w:color w:val="auto"/>
        </w:rPr>
      </w:pPr>
    </w:p>
    <w:p>
      <w:pPr>
        <w:spacing w:after="0" w:line="230" w:lineRule="auto"/>
        <w:rPr>
          <w:sz w:val="20"/>
          <w:szCs w:val="20"/>
          <w:color w:val="auto"/>
        </w:rPr>
      </w:pPr>
      <w:r>
        <w:rPr>
          <w:rFonts w:ascii="Arial" w:cs="Arial" w:eastAsia="Arial" w:hAnsi="Arial"/>
          <w:sz w:val="18"/>
          <w:szCs w:val="18"/>
          <w:b w:val="1"/>
          <w:bCs w:val="1"/>
          <w:color w:val="auto"/>
        </w:rPr>
        <w:t xml:space="preserve">Fair Value of Financial Instruments. </w:t>
      </w:r>
      <w:r>
        <w:rPr>
          <w:rFonts w:ascii="Arial" w:cs="Arial" w:eastAsia="Arial" w:hAnsi="Arial"/>
          <w:sz w:val="18"/>
          <w:szCs w:val="18"/>
          <w:color w:val="auto"/>
        </w:rPr>
        <w:t>The carrying amounts reported in the Company’s Consolidated Financial Statements for cash and cash</w:t>
      </w:r>
      <w:r>
        <w:rPr>
          <w:rFonts w:ascii="Arial" w:cs="Arial" w:eastAsia="Arial" w:hAnsi="Arial"/>
          <w:sz w:val="18"/>
          <w:szCs w:val="18"/>
          <w:b w:val="1"/>
          <w:bCs w:val="1"/>
          <w:color w:val="auto"/>
        </w:rPr>
        <w:t xml:space="preserve"> </w:t>
      </w:r>
      <w:r>
        <w:rPr>
          <w:rFonts w:ascii="Arial" w:cs="Arial" w:eastAsia="Arial" w:hAnsi="Arial"/>
          <w:sz w:val="18"/>
          <w:szCs w:val="18"/>
          <w:color w:val="auto"/>
        </w:rPr>
        <w:t>equivalents, restricted cash, accounts receivable, accounts payable and accrued liabilities, the current portion of deferred revenue and the current portion of debt approximate fair value because of the short-term nature of these financial instruments. The fair value of long-term debt is determined based on a number of observable inputs, including the current market activity of the Company’s publicly traded notes, trends in investor demands and market values of comparable publicly traded debt. The fair value of the interest rate hedge is determined based on a number of observable inputs, including time to maturity and market interest rates.</w:t>
      </w:r>
    </w:p>
    <w:p>
      <w:pPr>
        <w:spacing w:after="0" w:line="106" w:lineRule="exact"/>
        <w:rPr>
          <w:sz w:val="20"/>
          <w:szCs w:val="20"/>
          <w:color w:val="auto"/>
        </w:rPr>
      </w:pPr>
    </w:p>
    <w:p>
      <w:pPr>
        <w:ind w:right="120"/>
        <w:spacing w:after="0" w:line="232" w:lineRule="auto"/>
        <w:rPr>
          <w:sz w:val="20"/>
          <w:szCs w:val="20"/>
          <w:color w:val="auto"/>
        </w:rPr>
      </w:pPr>
      <w:r>
        <w:rPr>
          <w:rFonts w:ascii="Arial" w:cs="Arial" w:eastAsia="Arial" w:hAnsi="Arial"/>
          <w:sz w:val="18"/>
          <w:szCs w:val="18"/>
          <w:b w:val="1"/>
          <w:bCs w:val="1"/>
          <w:color w:val="auto"/>
        </w:rPr>
        <w:t xml:space="preserve">Inventories and Contracts in Progress. </w:t>
      </w:r>
      <w:r>
        <w:rPr>
          <w:rFonts w:ascii="Arial" w:cs="Arial" w:eastAsia="Arial" w:hAnsi="Arial"/>
          <w:sz w:val="18"/>
          <w:szCs w:val="18"/>
          <w:color w:val="auto"/>
        </w:rPr>
        <w:t>Inventories and contracts in progress are stated at the lower of cost or net realizable values and are</w:t>
      </w:r>
      <w:r>
        <w:rPr>
          <w:rFonts w:ascii="Arial" w:cs="Arial" w:eastAsia="Arial" w:hAnsi="Arial"/>
          <w:sz w:val="18"/>
          <w:szCs w:val="18"/>
          <w:b w:val="1"/>
          <w:bCs w:val="1"/>
          <w:color w:val="auto"/>
        </w:rPr>
        <w:t xml:space="preserve"> </w:t>
      </w:r>
      <w:r>
        <w:rPr>
          <w:rFonts w:ascii="Arial" w:cs="Arial" w:eastAsia="Arial" w:hAnsi="Arial"/>
          <w:sz w:val="18"/>
          <w:szCs w:val="18"/>
          <w:color w:val="auto"/>
        </w:rPr>
        <w:t>based on the first-in, first-out (FIFO) method. Inventory costs include direct material, direct and indirect labor, and applicable manufacturing overhead. The Company allocates manufacturing overhead based on normal production capacity and recognizes unabsorbed manufacturing costs in earnings. The provision for excess and obsolete inventory is based on management’s evaluation of inventories on hand relative to historical usage, estimated future usage and technological developments.</w:t>
      </w:r>
    </w:p>
    <w:p>
      <w:pPr>
        <w:spacing w:after="0" w:line="107" w:lineRule="exact"/>
        <w:rPr>
          <w:sz w:val="20"/>
          <w:szCs w:val="20"/>
          <w:color w:val="auto"/>
        </w:rPr>
      </w:pPr>
    </w:p>
    <w:p>
      <w:pPr>
        <w:jc w:val="both"/>
        <w:ind w:right="80"/>
        <w:spacing w:after="0" w:line="232" w:lineRule="auto"/>
        <w:rPr>
          <w:sz w:val="20"/>
          <w:szCs w:val="20"/>
          <w:color w:val="auto"/>
        </w:rPr>
      </w:pPr>
      <w:r>
        <w:rPr>
          <w:rFonts w:ascii="Arial" w:cs="Arial" w:eastAsia="Arial" w:hAnsi="Arial"/>
          <w:sz w:val="18"/>
          <w:szCs w:val="18"/>
          <w:b w:val="1"/>
          <w:bCs w:val="1"/>
          <w:color w:val="auto"/>
        </w:rPr>
        <w:t xml:space="preserve">Property, Plant and Equipment. </w:t>
      </w:r>
      <w:r>
        <w:rPr>
          <w:rFonts w:ascii="Arial" w:cs="Arial" w:eastAsia="Arial" w:hAnsi="Arial"/>
          <w:sz w:val="18"/>
          <w:szCs w:val="18"/>
          <w:color w:val="auto"/>
        </w:rPr>
        <w:t>Property, plant and equipment is recorded at cost and includes interest capitalized in connection with major</w:t>
      </w:r>
      <w:r>
        <w:rPr>
          <w:rFonts w:ascii="Arial" w:cs="Arial" w:eastAsia="Arial" w:hAnsi="Arial"/>
          <w:sz w:val="18"/>
          <w:szCs w:val="18"/>
          <w:b w:val="1"/>
          <w:bCs w:val="1"/>
          <w:color w:val="auto"/>
        </w:rPr>
        <w:t xml:space="preserve"> </w:t>
      </w:r>
      <w:r>
        <w:rPr>
          <w:rFonts w:ascii="Arial" w:cs="Arial" w:eastAsia="Arial" w:hAnsi="Arial"/>
          <w:sz w:val="18"/>
          <w:szCs w:val="18"/>
          <w:color w:val="auto"/>
        </w:rPr>
        <w:t>long-term construction projects. Replacements and major improvements are capitalized; maintenance and repairs are expensed as incurred. Depreciation is calculated using the straight-line method over the estimated useful lives of the property, plant and equipment: 3 to 20 years for machinery and equipment; 20 to 50 years for buildings. The costs of leasehold improvements are amortized over the lesser of their useful lives or the terms of the respective leases.</w:t>
      </w: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722" w:right="239" w:bottom="1440" w:gutter="0" w:footer="0" w:header="0"/>
        </w:sectPr>
      </w:pPr>
    </w:p>
    <w:bookmarkStart w:id="72" w:name="page73"/>
    <w:bookmarkEnd w:id="72"/>
    <w:p>
      <w:pPr>
        <w:ind w:right="220"/>
        <w:spacing w:after="0" w:line="232" w:lineRule="auto"/>
        <w:rPr>
          <w:sz w:val="20"/>
          <w:szCs w:val="20"/>
          <w:color w:val="auto"/>
        </w:rPr>
      </w:pPr>
      <w:r>
        <w:rPr>
          <w:rFonts w:ascii="Arial" w:cs="Arial" w:eastAsia="Arial" w:hAnsi="Arial"/>
          <w:sz w:val="18"/>
          <w:szCs w:val="18"/>
          <w:b w:val="1"/>
          <w:bCs w:val="1"/>
          <w:color w:val="auto"/>
        </w:rPr>
        <w:t xml:space="preserve">Evaluation of Long-Lived Assets. </w:t>
      </w:r>
      <w:r>
        <w:rPr>
          <w:rFonts w:ascii="Arial" w:cs="Arial" w:eastAsia="Arial" w:hAnsi="Arial"/>
          <w:sz w:val="18"/>
          <w:szCs w:val="18"/>
          <w:color w:val="auto"/>
        </w:rPr>
        <w:t>The recoverability of long-lived assets and finite-lived intangible assets is assessed whenever adverse</w:t>
      </w:r>
      <w:r>
        <w:rPr>
          <w:rFonts w:ascii="Arial" w:cs="Arial" w:eastAsia="Arial" w:hAnsi="Arial"/>
          <w:sz w:val="18"/>
          <w:szCs w:val="18"/>
          <w:b w:val="1"/>
          <w:bCs w:val="1"/>
          <w:color w:val="auto"/>
        </w:rPr>
        <w:t xml:space="preserve"> </w:t>
      </w:r>
      <w:r>
        <w:rPr>
          <w:rFonts w:ascii="Arial" w:cs="Arial" w:eastAsia="Arial" w:hAnsi="Arial"/>
          <w:sz w:val="18"/>
          <w:szCs w:val="18"/>
          <w:color w:val="auto"/>
        </w:rPr>
        <w:t>events or changes in circumstances indicate that recorded values may not be recoverable. A long-lived asset is considered to not be recoverable when the undiscounted estimated future cash flows are less than the asset’s recorded value. An impairment charge is measured based on estimated fair market value, determined primarily using estimated future cash flows on a discounted basis. Losses on long-lived assets to be disposed of are determined in a similar manner, but the fair market value would be reduced for estimated costs to dispose.</w:t>
      </w:r>
    </w:p>
    <w:p>
      <w:pPr>
        <w:spacing w:after="0" w:line="107" w:lineRule="exact"/>
        <w:rPr>
          <w:sz w:val="20"/>
          <w:szCs w:val="20"/>
          <w:color w:val="auto"/>
        </w:rPr>
      </w:pPr>
    </w:p>
    <w:p>
      <w:pPr>
        <w:ind w:right="80"/>
        <w:spacing w:after="0" w:line="235" w:lineRule="auto"/>
        <w:rPr>
          <w:sz w:val="20"/>
          <w:szCs w:val="20"/>
          <w:color w:val="auto"/>
        </w:rPr>
      </w:pPr>
      <w:r>
        <w:rPr>
          <w:rFonts w:ascii="Arial" w:cs="Arial" w:eastAsia="Arial" w:hAnsi="Arial"/>
          <w:sz w:val="18"/>
          <w:szCs w:val="18"/>
          <w:b w:val="1"/>
          <w:bCs w:val="1"/>
          <w:color w:val="auto"/>
        </w:rPr>
        <w:t xml:space="preserve">Goodwill and Other Intangible Assets. </w:t>
      </w:r>
      <w:r>
        <w:rPr>
          <w:rFonts w:ascii="Arial" w:cs="Arial" w:eastAsia="Arial" w:hAnsi="Arial"/>
          <w:sz w:val="18"/>
          <w:szCs w:val="18"/>
          <w:color w:val="auto"/>
        </w:rPr>
        <w:t>Goodwill is the excess of purchase price over the fair value of identified net assets of businesses</w:t>
      </w:r>
      <w:r>
        <w:rPr>
          <w:rFonts w:ascii="Arial" w:cs="Arial" w:eastAsia="Arial" w:hAnsi="Arial"/>
          <w:sz w:val="18"/>
          <w:szCs w:val="18"/>
          <w:b w:val="1"/>
          <w:bCs w:val="1"/>
          <w:color w:val="auto"/>
        </w:rPr>
        <w:t xml:space="preserve"> </w:t>
      </w:r>
      <w:r>
        <w:rPr>
          <w:rFonts w:ascii="Arial" w:cs="Arial" w:eastAsia="Arial" w:hAnsi="Arial"/>
          <w:sz w:val="18"/>
          <w:szCs w:val="18"/>
          <w:color w:val="auto"/>
        </w:rPr>
        <w:t>acquired. The Company’s intangible assets with an indefinite life are principally from trade names and trademarks, licenses and accreditation. Amortized intangible assets are primarily student and customer relationships and trade names and trademarks, with amortization periods up to 10 years.</w:t>
      </w:r>
    </w:p>
    <w:p>
      <w:pPr>
        <w:spacing w:after="0" w:line="110" w:lineRule="exact"/>
        <w:rPr>
          <w:sz w:val="20"/>
          <w:szCs w:val="20"/>
          <w:color w:val="auto"/>
        </w:rPr>
      </w:pPr>
    </w:p>
    <w:p>
      <w:pPr>
        <w:spacing w:after="0" w:line="224" w:lineRule="auto"/>
        <w:rPr>
          <w:sz w:val="20"/>
          <w:szCs w:val="20"/>
          <w:color w:val="auto"/>
        </w:rPr>
      </w:pPr>
      <w:r>
        <w:rPr>
          <w:rFonts w:ascii="Arial" w:cs="Arial" w:eastAsia="Arial" w:hAnsi="Arial"/>
          <w:sz w:val="18"/>
          <w:szCs w:val="18"/>
          <w:color w:val="auto"/>
        </w:rPr>
        <w:t>The Company reviews goodwill and indefinite-lived intangible assets at least annually, as of November 30, for possible impairment. Goodwill and indefinite-lived intangible assets are reviewed for possible impairment between annual tests if an event occurs or circumstances change that would more likely than not reduce the fair value of the reporting unit or indefinite-lived intangible asset below its carrying value. The Company tests its goodwill at the reporting unit level, which is an operating segment or one level below an operating segment. The Company initially assesses qualitative factors to determine if it is necessary to perform the two-step goodwill impairment review or indefinite-lived intangible asset quantitative impairment review. The Company reviews the goodwill for impairment using the two-step process and the indefinite-lived intangible assets using the quantitative process if, based on its assessment of the qualitative factors, it determines that it is more likely than not that the fair value of a reporting unit or indefinite-lived intangible asset is less than its carrying value, or if it decides to bypass the qualitative assessment. The Company reviews the carrying value of goodwill and indefinite-lived intangible assets utilizing a discounted cash flow model, and, where appropriate, a market value approach is also utilized to supplement the discounted cash flow model. The Company makes assumptions regarding estimated future cash flows, discount rates, long-term growth rates and market values to determine the estimated fair value of each reporting unit and indefinite-lived intangible asset. If these estimates or related assumptions change in the future, the Company may be required to record impairment charges.</w:t>
      </w:r>
    </w:p>
    <w:p>
      <w:pPr>
        <w:spacing w:after="0" w:line="107" w:lineRule="exact"/>
        <w:rPr>
          <w:sz w:val="20"/>
          <w:szCs w:val="20"/>
          <w:color w:val="auto"/>
        </w:rPr>
      </w:pPr>
    </w:p>
    <w:p>
      <w:pPr>
        <w:ind w:right="80"/>
        <w:spacing w:after="0" w:line="230" w:lineRule="auto"/>
        <w:rPr>
          <w:sz w:val="20"/>
          <w:szCs w:val="20"/>
          <w:color w:val="auto"/>
        </w:rPr>
      </w:pPr>
      <w:r>
        <w:rPr>
          <w:rFonts w:ascii="Arial" w:cs="Arial" w:eastAsia="Arial" w:hAnsi="Arial"/>
          <w:sz w:val="18"/>
          <w:szCs w:val="18"/>
          <w:b w:val="1"/>
          <w:bCs w:val="1"/>
          <w:color w:val="auto"/>
        </w:rPr>
        <w:t xml:space="preserve">Investments in Affiliates. </w:t>
      </w:r>
      <w:r>
        <w:rPr>
          <w:rFonts w:ascii="Arial" w:cs="Arial" w:eastAsia="Arial" w:hAnsi="Arial"/>
          <w:sz w:val="18"/>
          <w:szCs w:val="18"/>
          <w:color w:val="auto"/>
        </w:rPr>
        <w:t>The Company uses the equity method of accounting for its investments in and earnings or losses of affiliates that it</w:t>
      </w:r>
      <w:r>
        <w:rPr>
          <w:rFonts w:ascii="Arial" w:cs="Arial" w:eastAsia="Arial" w:hAnsi="Arial"/>
          <w:sz w:val="18"/>
          <w:szCs w:val="18"/>
          <w:b w:val="1"/>
          <w:bCs w:val="1"/>
          <w:color w:val="auto"/>
        </w:rPr>
        <w:t xml:space="preserve"> </w:t>
      </w:r>
      <w:r>
        <w:rPr>
          <w:rFonts w:ascii="Arial" w:cs="Arial" w:eastAsia="Arial" w:hAnsi="Arial"/>
          <w:sz w:val="18"/>
          <w:szCs w:val="18"/>
          <w:color w:val="auto"/>
        </w:rPr>
        <w:t>does not control, but over which it exerts significant influence. The Company considers whether the fair values of any of its equity method investments have declined below their carrying values whenever adverse events or changes in circumstances indicate that recorded values may not be recoverable. If the Company considered any such decline to be other than temporary (based on various factors, including historical financial results, product development activities and the overall health of the affiliate’s industry), a write-down would be recorded to estimated fair value.</w:t>
      </w:r>
    </w:p>
    <w:p>
      <w:pPr>
        <w:spacing w:after="0" w:line="106" w:lineRule="exact"/>
        <w:rPr>
          <w:sz w:val="20"/>
          <w:szCs w:val="20"/>
          <w:color w:val="auto"/>
        </w:rPr>
      </w:pPr>
    </w:p>
    <w:p>
      <w:pPr>
        <w:ind w:right="140"/>
        <w:spacing w:after="0" w:line="228" w:lineRule="auto"/>
        <w:rPr>
          <w:sz w:val="20"/>
          <w:szCs w:val="20"/>
          <w:color w:val="auto"/>
        </w:rPr>
      </w:pPr>
      <w:r>
        <w:rPr>
          <w:rFonts w:ascii="Arial" w:cs="Arial" w:eastAsia="Arial" w:hAnsi="Arial"/>
          <w:sz w:val="18"/>
          <w:szCs w:val="18"/>
          <w:b w:val="1"/>
          <w:bCs w:val="1"/>
          <w:color w:val="auto"/>
        </w:rPr>
        <w:t xml:space="preserve">Cost Method Investments. </w:t>
      </w:r>
      <w:r>
        <w:rPr>
          <w:rFonts w:ascii="Arial" w:cs="Arial" w:eastAsia="Arial" w:hAnsi="Arial"/>
          <w:sz w:val="18"/>
          <w:szCs w:val="18"/>
          <w:color w:val="auto"/>
        </w:rPr>
        <w:t>The Company uses the cost method of accounting for its minority investments in nonpublic companies where it</w:t>
      </w:r>
      <w:r>
        <w:rPr>
          <w:rFonts w:ascii="Arial" w:cs="Arial" w:eastAsia="Arial" w:hAnsi="Arial"/>
          <w:sz w:val="18"/>
          <w:szCs w:val="18"/>
          <w:b w:val="1"/>
          <w:bCs w:val="1"/>
          <w:color w:val="auto"/>
        </w:rPr>
        <w:t xml:space="preserve"> </w:t>
      </w:r>
      <w:r>
        <w:rPr>
          <w:rFonts w:ascii="Arial" w:cs="Arial" w:eastAsia="Arial" w:hAnsi="Arial"/>
          <w:sz w:val="18"/>
          <w:szCs w:val="18"/>
          <w:color w:val="auto"/>
        </w:rPr>
        <w:t>does not have significant influence over the operations and management of the investee. Investments are recorded at the lower of cost or fair value as estimated by management. Charges recorded to write down cost method investments to their estimated fair value and gross realized gains or losses upon the sale of cost method investments are included in other (expense) income, net, in the Company’s Consolidated Statements of Operations. Fair value estimates are based on a review of the investees’ product development activities, historical financial results and projected discounted cash flows. The Company includes cost method investments in deferred charges and other assets in the Company’s Consolidated Balance Sheets.</w:t>
      </w:r>
    </w:p>
    <w:p>
      <w:pPr>
        <w:spacing w:after="0" w:line="109" w:lineRule="exact"/>
        <w:rPr>
          <w:sz w:val="20"/>
          <w:szCs w:val="20"/>
          <w:color w:val="auto"/>
        </w:rPr>
      </w:pPr>
    </w:p>
    <w:p>
      <w:pPr>
        <w:ind w:right="260"/>
        <w:spacing w:after="0" w:line="241" w:lineRule="auto"/>
        <w:rPr>
          <w:sz w:val="20"/>
          <w:szCs w:val="20"/>
          <w:color w:val="auto"/>
        </w:rPr>
      </w:pPr>
      <w:r>
        <w:rPr>
          <w:rFonts w:ascii="Arial" w:cs="Arial" w:eastAsia="Arial" w:hAnsi="Arial"/>
          <w:sz w:val="18"/>
          <w:szCs w:val="18"/>
          <w:b w:val="1"/>
          <w:bCs w:val="1"/>
          <w:color w:val="auto"/>
        </w:rPr>
        <w:t xml:space="preserve">Revenue Recognition. </w:t>
      </w:r>
      <w:r>
        <w:rPr>
          <w:rFonts w:ascii="Arial" w:cs="Arial" w:eastAsia="Arial" w:hAnsi="Arial"/>
          <w:sz w:val="18"/>
          <w:szCs w:val="18"/>
          <w:color w:val="auto"/>
        </w:rPr>
        <w:t>Revenue is recognized when persuasive evidence of an arrangement exists, the fees are fixed or determinable, the</w:t>
      </w:r>
      <w:r>
        <w:rPr>
          <w:rFonts w:ascii="Arial" w:cs="Arial" w:eastAsia="Arial" w:hAnsi="Arial"/>
          <w:sz w:val="18"/>
          <w:szCs w:val="18"/>
          <w:b w:val="1"/>
          <w:bCs w:val="1"/>
          <w:color w:val="auto"/>
        </w:rPr>
        <w:t xml:space="preserve"> </w:t>
      </w:r>
      <w:r>
        <w:rPr>
          <w:rFonts w:ascii="Arial" w:cs="Arial" w:eastAsia="Arial" w:hAnsi="Arial"/>
          <w:sz w:val="18"/>
          <w:szCs w:val="18"/>
          <w:color w:val="auto"/>
        </w:rPr>
        <w:t>product or service has been delivered and collectability is reasonably assured. The Company considers the terms of each arrangement to determine the appropriate accounting treatment.</w:t>
      </w:r>
    </w:p>
    <w:p>
      <w:pPr>
        <w:spacing w:after="0" w:line="108" w:lineRule="exact"/>
        <w:rPr>
          <w:sz w:val="20"/>
          <w:szCs w:val="20"/>
          <w:color w:val="auto"/>
        </w:rPr>
      </w:pPr>
    </w:p>
    <w:p>
      <w:pPr>
        <w:ind w:right="180"/>
        <w:spacing w:after="0" w:line="229" w:lineRule="auto"/>
        <w:rPr>
          <w:sz w:val="20"/>
          <w:szCs w:val="20"/>
          <w:color w:val="auto"/>
        </w:rPr>
      </w:pPr>
      <w:r>
        <w:rPr>
          <w:rFonts w:ascii="Arial" w:cs="Arial" w:eastAsia="Arial" w:hAnsi="Arial"/>
          <w:sz w:val="18"/>
          <w:szCs w:val="18"/>
          <w:i w:val="1"/>
          <w:iCs w:val="1"/>
          <w:color w:val="auto"/>
        </w:rPr>
        <w:t xml:space="preserve">Education revenues. </w:t>
      </w:r>
      <w:r>
        <w:rPr>
          <w:rFonts w:ascii="Arial" w:cs="Arial" w:eastAsia="Arial" w:hAnsi="Arial"/>
          <w:sz w:val="18"/>
          <w:szCs w:val="18"/>
          <w:color w:val="auto"/>
        </w:rPr>
        <w:t>Tuition revenue is recognized ratably over the period of instruction as services are delivered to students, net of any</w:t>
      </w:r>
      <w:r>
        <w:rPr>
          <w:rFonts w:ascii="Arial" w:cs="Arial" w:eastAsia="Arial" w:hAnsi="Arial"/>
          <w:sz w:val="18"/>
          <w:szCs w:val="18"/>
          <w:i w:val="1"/>
          <w:iCs w:val="1"/>
          <w:color w:val="auto"/>
        </w:rPr>
        <w:t xml:space="preserve"> </w:t>
      </w:r>
      <w:r>
        <w:rPr>
          <w:rFonts w:ascii="Arial" w:cs="Arial" w:eastAsia="Arial" w:hAnsi="Arial"/>
          <w:sz w:val="18"/>
          <w:szCs w:val="18"/>
          <w:color w:val="auto"/>
        </w:rPr>
        <w:t>refunds, corporate discounts, scholarships and employee tuition discounts. At KTP and International divisions, estimates of average student course length are developed for each course, and these estimates are evaluated on an ongoing basis and adjusted as necessary. Online access revenue is recognized ratably over the period of access. Course material revenue is recognized over the same period as the tuition or online access, if related, or when the products are delivered, if not related. Other revenues, such as student support services, are recognized when the services are provided.</w:t>
      </w:r>
    </w:p>
    <w:p>
      <w:pPr>
        <w:spacing w:after="0" w:line="112" w:lineRule="exact"/>
        <w:rPr>
          <w:sz w:val="20"/>
          <w:szCs w:val="20"/>
          <w:color w:val="auto"/>
        </w:rPr>
      </w:pPr>
    </w:p>
    <w:p>
      <w:pPr>
        <w:ind w:right="320"/>
        <w:spacing w:after="0" w:line="231" w:lineRule="auto"/>
        <w:rPr>
          <w:sz w:val="20"/>
          <w:szCs w:val="20"/>
          <w:color w:val="auto"/>
        </w:rPr>
      </w:pPr>
      <w:r>
        <w:rPr>
          <w:rFonts w:ascii="Arial" w:cs="Arial" w:eastAsia="Arial" w:hAnsi="Arial"/>
          <w:sz w:val="18"/>
          <w:szCs w:val="18"/>
          <w:color w:val="auto"/>
        </w:rPr>
        <w:t>KHE, through the Kaplan Commitment program, provides first-time undergraduate students with a risk-free trial period. Under the program, KHE monitors academic progress and conducts assessments to help determine whether students are likely to be successful in their chosen course of study. Students who withdraw or are subject to dismissal during the risk-free trial period do not incur any significant financial obligation. The Company does not recognize revenues related to coursework until the students complete the risk-free period and decide to continue with their studies, at which time the fees become fixed or determinable.</w:t>
      </w: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722" w:right="239" w:bottom="1440" w:gutter="0" w:footer="0" w:header="0"/>
        </w:sectPr>
      </w:pPr>
    </w:p>
    <w:bookmarkStart w:id="73" w:name="page74"/>
    <w:bookmarkEnd w:id="73"/>
    <w:p>
      <w:pPr>
        <w:ind w:right="220"/>
        <w:spacing w:after="0" w:line="234" w:lineRule="auto"/>
        <w:rPr>
          <w:sz w:val="20"/>
          <w:szCs w:val="20"/>
          <w:color w:val="auto"/>
        </w:rPr>
      </w:pPr>
      <w:r>
        <w:rPr>
          <w:rFonts w:ascii="Arial" w:cs="Arial" w:eastAsia="Arial" w:hAnsi="Arial"/>
          <w:sz w:val="18"/>
          <w:szCs w:val="18"/>
          <w:color w:val="auto"/>
        </w:rPr>
        <w:t>KHE’s refund policy may permit students who do not complete a course to be eligible for a refund for the portion of the course they did not attend. The amount of the refund differs by school, program and state, as some states require different policies. Refunds generally result in a reduction in deferred revenue during the period that a student drops or withdraws from a class because the associated tuition revenue is recognized daily over the period of instruction as the services are delivered.</w:t>
      </w:r>
    </w:p>
    <w:p>
      <w:pPr>
        <w:spacing w:after="0" w:line="111" w:lineRule="exact"/>
        <w:rPr>
          <w:sz w:val="20"/>
          <w:szCs w:val="20"/>
          <w:color w:val="auto"/>
        </w:rPr>
      </w:pPr>
    </w:p>
    <w:p>
      <w:pPr>
        <w:spacing w:after="0" w:line="260" w:lineRule="auto"/>
        <w:rPr>
          <w:sz w:val="20"/>
          <w:szCs w:val="20"/>
          <w:color w:val="auto"/>
        </w:rPr>
      </w:pPr>
      <w:r>
        <w:rPr>
          <w:rFonts w:ascii="Arial" w:cs="Arial" w:eastAsia="Arial" w:hAnsi="Arial"/>
          <w:sz w:val="18"/>
          <w:szCs w:val="18"/>
          <w:i w:val="1"/>
          <w:iCs w:val="1"/>
          <w:color w:val="auto"/>
        </w:rPr>
        <w:t xml:space="preserve">Television broadcasting revenues. </w:t>
      </w:r>
      <w:r>
        <w:rPr>
          <w:rFonts w:ascii="Arial" w:cs="Arial" w:eastAsia="Arial" w:hAnsi="Arial"/>
          <w:sz w:val="18"/>
          <w:szCs w:val="18"/>
          <w:color w:val="auto"/>
        </w:rPr>
        <w:t>Advertising revenues are recognized, net of agency commissions, when the underlying advertisement is</w:t>
      </w:r>
      <w:r>
        <w:rPr>
          <w:rFonts w:ascii="Arial" w:cs="Arial" w:eastAsia="Arial" w:hAnsi="Arial"/>
          <w:sz w:val="18"/>
          <w:szCs w:val="18"/>
          <w:i w:val="1"/>
          <w:iCs w:val="1"/>
          <w:color w:val="auto"/>
        </w:rPr>
        <w:t xml:space="preserve"> </w:t>
      </w:r>
      <w:r>
        <w:rPr>
          <w:rFonts w:ascii="Arial" w:cs="Arial" w:eastAsia="Arial" w:hAnsi="Arial"/>
          <w:sz w:val="18"/>
          <w:szCs w:val="18"/>
          <w:color w:val="auto"/>
        </w:rPr>
        <w:t>broadcast. Retransmission revenues are recognized over the term of the agreement based on monthly subscriber counts and contractual rates.</w:t>
      </w:r>
    </w:p>
    <w:p>
      <w:pPr>
        <w:spacing w:after="0" w:line="92" w:lineRule="exact"/>
        <w:rPr>
          <w:sz w:val="20"/>
          <w:szCs w:val="20"/>
          <w:color w:val="auto"/>
        </w:rPr>
      </w:pPr>
    </w:p>
    <w:p>
      <w:pPr>
        <w:ind w:right="100"/>
        <w:spacing w:after="0" w:line="229" w:lineRule="auto"/>
        <w:rPr>
          <w:sz w:val="20"/>
          <w:szCs w:val="20"/>
          <w:color w:val="auto"/>
        </w:rPr>
      </w:pPr>
      <w:r>
        <w:rPr>
          <w:rFonts w:ascii="Arial" w:cs="Arial" w:eastAsia="Arial" w:hAnsi="Arial"/>
          <w:sz w:val="18"/>
          <w:szCs w:val="18"/>
          <w:i w:val="1"/>
          <w:iCs w:val="1"/>
          <w:color w:val="auto"/>
        </w:rPr>
        <w:t>Revenue presentation</w:t>
      </w:r>
      <w:r>
        <w:rPr>
          <w:rFonts w:ascii="Arial" w:cs="Arial" w:eastAsia="Arial" w:hAnsi="Arial"/>
          <w:sz w:val="18"/>
          <w:szCs w:val="18"/>
          <w:color w:val="auto"/>
        </w:rPr>
        <w:t>. The determination of whether revenue should be reported on a gross or net basis is based on an assessment of</w:t>
      </w:r>
      <w:r>
        <w:rPr>
          <w:rFonts w:ascii="Arial" w:cs="Arial" w:eastAsia="Arial" w:hAnsi="Arial"/>
          <w:sz w:val="18"/>
          <w:szCs w:val="18"/>
          <w:i w:val="1"/>
          <w:iCs w:val="1"/>
          <w:color w:val="auto"/>
        </w:rPr>
        <w:t xml:space="preserve"> </w:t>
      </w:r>
      <w:r>
        <w:rPr>
          <w:rFonts w:ascii="Arial" w:cs="Arial" w:eastAsia="Arial" w:hAnsi="Arial"/>
          <w:sz w:val="18"/>
          <w:szCs w:val="18"/>
          <w:color w:val="auto"/>
        </w:rPr>
        <w:t>whether the Company acts as a principal or an agent in the transaction. In certain cases, the Company is considered the agent, and the Company records revenue equal to the net amount retained when the fee is earned. In these cases, costs incurred with third-party suppliers are excluded from the Company’s revenue. The Company assesses whether it or the third-party supplier is the primary obligor and evaluates the terms of its customer arrangements as part of this assessment. In addition, the Company considers other key indicators such as latitude in establishing price, inventory risk, nature of services performed, discretion in supplier selection and credit risk.</w:t>
      </w:r>
    </w:p>
    <w:p>
      <w:pPr>
        <w:spacing w:after="0" w:line="112" w:lineRule="exact"/>
        <w:rPr>
          <w:sz w:val="20"/>
          <w:szCs w:val="20"/>
          <w:color w:val="auto"/>
        </w:rPr>
      </w:pPr>
    </w:p>
    <w:p>
      <w:pPr>
        <w:spacing w:after="0" w:line="231" w:lineRule="auto"/>
        <w:rPr>
          <w:sz w:val="20"/>
          <w:szCs w:val="20"/>
          <w:color w:val="auto"/>
        </w:rPr>
      </w:pPr>
      <w:r>
        <w:rPr>
          <w:rFonts w:ascii="Arial" w:cs="Arial" w:eastAsia="Arial" w:hAnsi="Arial"/>
          <w:sz w:val="18"/>
          <w:szCs w:val="18"/>
          <w:color w:val="auto"/>
        </w:rPr>
        <w:t>SocialCode LLC (SocialCode), a wholly owned subsidiary, is a marketing and insights company that manages digital advertising for leading brands on digital media platforms like Facebook, Twitter, Instagram, Snapchat, Pinterest and YouTube. Donald E. Graham, the Chairman of the Company’s Board, was a member of the Board of Directors of Facebook, Inc. in 2014 and through June 10, 2015. SocialCode’s revenues are reported on a net basis; therefore, the Company’s Statements of Operations exclude the media acquisition costs incurred related to the relevant advertising platforms.</w:t>
      </w:r>
    </w:p>
    <w:p>
      <w:pPr>
        <w:spacing w:after="0" w:line="111" w:lineRule="exact"/>
        <w:rPr>
          <w:sz w:val="20"/>
          <w:szCs w:val="20"/>
          <w:color w:val="auto"/>
        </w:rPr>
      </w:pPr>
    </w:p>
    <w:p>
      <w:pPr>
        <w:ind w:right="400"/>
        <w:spacing w:after="0" w:line="260" w:lineRule="auto"/>
        <w:rPr>
          <w:sz w:val="20"/>
          <w:szCs w:val="20"/>
          <w:color w:val="auto"/>
        </w:rPr>
      </w:pPr>
      <w:r>
        <w:rPr>
          <w:rFonts w:ascii="Arial" w:cs="Arial" w:eastAsia="Arial" w:hAnsi="Arial"/>
          <w:sz w:val="18"/>
          <w:szCs w:val="18"/>
          <w:i w:val="1"/>
          <w:iCs w:val="1"/>
          <w:color w:val="auto"/>
        </w:rPr>
        <w:t xml:space="preserve">Deferred revenue. </w:t>
      </w:r>
      <w:r>
        <w:rPr>
          <w:rFonts w:ascii="Arial" w:cs="Arial" w:eastAsia="Arial" w:hAnsi="Arial"/>
          <w:sz w:val="18"/>
          <w:szCs w:val="18"/>
          <w:color w:val="auto"/>
        </w:rPr>
        <w:t>Amounts received from customers in advance of revenue recognition are deferred as liabilities. Deferred revenue to be</w:t>
      </w:r>
      <w:r>
        <w:rPr>
          <w:rFonts w:ascii="Arial" w:cs="Arial" w:eastAsia="Arial" w:hAnsi="Arial"/>
          <w:sz w:val="18"/>
          <w:szCs w:val="18"/>
          <w:i w:val="1"/>
          <w:iCs w:val="1"/>
          <w:color w:val="auto"/>
        </w:rPr>
        <w:t xml:space="preserve"> </w:t>
      </w:r>
      <w:r>
        <w:rPr>
          <w:rFonts w:ascii="Arial" w:cs="Arial" w:eastAsia="Arial" w:hAnsi="Arial"/>
          <w:sz w:val="18"/>
          <w:szCs w:val="18"/>
          <w:color w:val="auto"/>
        </w:rPr>
        <w:t>earned after one year is included in other noncurrent liabilities in the Company’s Consolidated Balance Sheets.</w:t>
      </w:r>
    </w:p>
    <w:p>
      <w:pPr>
        <w:spacing w:after="0" w:line="90" w:lineRule="exact"/>
        <w:rPr>
          <w:sz w:val="20"/>
          <w:szCs w:val="20"/>
          <w:color w:val="auto"/>
        </w:rPr>
      </w:pPr>
    </w:p>
    <w:p>
      <w:pPr>
        <w:spacing w:after="0" w:line="232" w:lineRule="auto"/>
        <w:rPr>
          <w:sz w:val="20"/>
          <w:szCs w:val="20"/>
          <w:color w:val="auto"/>
        </w:rPr>
      </w:pPr>
      <w:r>
        <w:rPr>
          <w:rFonts w:ascii="Arial" w:cs="Arial" w:eastAsia="Arial" w:hAnsi="Arial"/>
          <w:sz w:val="18"/>
          <w:szCs w:val="18"/>
          <w:b w:val="1"/>
          <w:bCs w:val="1"/>
          <w:color w:val="auto"/>
        </w:rPr>
        <w:t xml:space="preserve">Leases. </w:t>
      </w:r>
      <w:r>
        <w:rPr>
          <w:rFonts w:ascii="Arial" w:cs="Arial" w:eastAsia="Arial" w:hAnsi="Arial"/>
          <w:sz w:val="18"/>
          <w:szCs w:val="18"/>
          <w:color w:val="auto"/>
        </w:rPr>
        <w:t>The Company leases substantially all of its educational facilities and enters into various other lease agreements in conducting its</w:t>
      </w:r>
      <w:r>
        <w:rPr>
          <w:rFonts w:ascii="Arial" w:cs="Arial" w:eastAsia="Arial" w:hAnsi="Arial"/>
          <w:sz w:val="18"/>
          <w:szCs w:val="18"/>
          <w:b w:val="1"/>
          <w:bCs w:val="1"/>
          <w:color w:val="auto"/>
        </w:rPr>
        <w:t xml:space="preserve"> </w:t>
      </w:r>
      <w:r>
        <w:rPr>
          <w:rFonts w:ascii="Arial" w:cs="Arial" w:eastAsia="Arial" w:hAnsi="Arial"/>
          <w:sz w:val="18"/>
          <w:szCs w:val="18"/>
          <w:color w:val="auto"/>
        </w:rPr>
        <w:t>business. At the inception of each lease, the Company evaluates the lease agreement to determine whether the lease is an operating or capital lease. Additionally, many of the Company’s lease agreements contain renewal options, tenant improvement allowances, rent holidays and/or rent escalation clauses. When such items are included in a lease agreement, the Company records a deferred rent asset or liability in the Consolidated Financial Statements and records these items in rent expense evenly over the terms of the lease.</w:t>
      </w:r>
    </w:p>
    <w:p>
      <w:pPr>
        <w:spacing w:after="0" w:line="109" w:lineRule="exact"/>
        <w:rPr>
          <w:sz w:val="20"/>
          <w:szCs w:val="20"/>
          <w:color w:val="auto"/>
        </w:rPr>
      </w:pPr>
    </w:p>
    <w:p>
      <w:pPr>
        <w:ind w:right="300"/>
        <w:spacing w:after="0" w:line="234" w:lineRule="auto"/>
        <w:rPr>
          <w:sz w:val="20"/>
          <w:szCs w:val="20"/>
          <w:color w:val="auto"/>
        </w:rPr>
      </w:pPr>
      <w:r>
        <w:rPr>
          <w:rFonts w:ascii="Arial" w:cs="Arial" w:eastAsia="Arial" w:hAnsi="Arial"/>
          <w:sz w:val="18"/>
          <w:szCs w:val="18"/>
          <w:color w:val="auto"/>
        </w:rPr>
        <w:t>The Company is also required to make additional payments under operating lease terms for taxes, insurance and other operating expenses incurred during the operating lease period; such items are expensed as incurred. Rental deposits are included as other assets in the Company’s Consolidated Balance Sheets for lease agreements that require payments in advance or deposits held for security that are refundable, less any damages, at the end of the respective lease.</w:t>
      </w:r>
    </w:p>
    <w:p>
      <w:pPr>
        <w:spacing w:after="0" w:line="109" w:lineRule="exact"/>
        <w:rPr>
          <w:sz w:val="20"/>
          <w:szCs w:val="20"/>
          <w:color w:val="auto"/>
        </w:rPr>
      </w:pPr>
    </w:p>
    <w:p>
      <w:pPr>
        <w:jc w:val="both"/>
        <w:ind w:right="20"/>
        <w:spacing w:after="0" w:line="241" w:lineRule="auto"/>
        <w:rPr>
          <w:sz w:val="20"/>
          <w:szCs w:val="20"/>
          <w:color w:val="auto"/>
        </w:rPr>
      </w:pPr>
      <w:r>
        <w:rPr>
          <w:rFonts w:ascii="Arial" w:cs="Arial" w:eastAsia="Arial" w:hAnsi="Arial"/>
          <w:sz w:val="18"/>
          <w:szCs w:val="18"/>
          <w:b w:val="1"/>
          <w:bCs w:val="1"/>
          <w:color w:val="auto"/>
        </w:rPr>
        <w:t xml:space="preserve">Pensions and Other Postretirement Benefits. </w:t>
      </w:r>
      <w:r>
        <w:rPr>
          <w:rFonts w:ascii="Arial" w:cs="Arial" w:eastAsia="Arial" w:hAnsi="Arial"/>
          <w:sz w:val="18"/>
          <w:szCs w:val="18"/>
          <w:color w:val="auto"/>
        </w:rPr>
        <w:t>The Company maintains various pension and incentive savings plans. Most of the Company’s</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employees are covered by these plans. The Company also provides health care and life insurance benefits to certain retired employees. These employees become eligible for benefits after meeting age and service requirements.</w:t>
      </w:r>
    </w:p>
    <w:p>
      <w:pPr>
        <w:spacing w:after="0" w:line="108" w:lineRule="exact"/>
        <w:rPr>
          <w:sz w:val="20"/>
          <w:szCs w:val="20"/>
          <w:color w:val="auto"/>
        </w:rPr>
      </w:pPr>
    </w:p>
    <w:p>
      <w:pPr>
        <w:ind w:right="260"/>
        <w:spacing w:after="0" w:line="231" w:lineRule="auto"/>
        <w:rPr>
          <w:sz w:val="20"/>
          <w:szCs w:val="20"/>
          <w:color w:val="auto"/>
        </w:rPr>
      </w:pPr>
      <w:r>
        <w:rPr>
          <w:rFonts w:ascii="Arial" w:cs="Arial" w:eastAsia="Arial" w:hAnsi="Arial"/>
          <w:sz w:val="18"/>
          <w:szCs w:val="18"/>
          <w:color w:val="auto"/>
        </w:rPr>
        <w:t>The Company recognizes the overfunded or underfunded status of a defined benefit postretirement plan as an asset or liability in its Consolidated Balance Sheets and recognizes changes in that funded status in the year in which the changes occur through comprehensive income. The Company measures changes in the funded status of its plans using the projected unit credit method and several actuarial assumptions, the most significant of which are the discount rate, the expected return on plan assets and rate of compensation increase. The Company uses a measurement date of December 31 for its pension and other postretirement benefit plans.</w:t>
      </w:r>
    </w:p>
    <w:p>
      <w:pPr>
        <w:spacing w:after="0" w:line="109" w:lineRule="exact"/>
        <w:rPr>
          <w:sz w:val="20"/>
          <w:szCs w:val="20"/>
          <w:color w:val="auto"/>
        </w:rPr>
      </w:pPr>
    </w:p>
    <w:p>
      <w:pPr>
        <w:ind w:right="80"/>
        <w:spacing w:after="0" w:line="232" w:lineRule="auto"/>
        <w:rPr>
          <w:sz w:val="20"/>
          <w:szCs w:val="20"/>
          <w:color w:val="auto"/>
        </w:rPr>
      </w:pPr>
      <w:r>
        <w:rPr>
          <w:rFonts w:ascii="Arial" w:cs="Arial" w:eastAsia="Arial" w:hAnsi="Arial"/>
          <w:sz w:val="18"/>
          <w:szCs w:val="18"/>
          <w:b w:val="1"/>
          <w:bCs w:val="1"/>
          <w:color w:val="auto"/>
        </w:rPr>
        <w:t xml:space="preserve">Self-Insurance. </w:t>
      </w:r>
      <w:r>
        <w:rPr>
          <w:rFonts w:ascii="Arial" w:cs="Arial" w:eastAsia="Arial" w:hAnsi="Arial"/>
          <w:sz w:val="18"/>
          <w:szCs w:val="18"/>
          <w:color w:val="auto"/>
        </w:rPr>
        <w:t>The Company uses a combination of insurance and self-insurance for a number of risks, including claims related to employee</w:t>
      </w:r>
      <w:r>
        <w:rPr>
          <w:rFonts w:ascii="Arial" w:cs="Arial" w:eastAsia="Arial" w:hAnsi="Arial"/>
          <w:sz w:val="18"/>
          <w:szCs w:val="18"/>
          <w:b w:val="1"/>
          <w:bCs w:val="1"/>
          <w:color w:val="auto"/>
        </w:rPr>
        <w:t xml:space="preserve"> </w:t>
      </w:r>
      <w:r>
        <w:rPr>
          <w:rFonts w:ascii="Arial" w:cs="Arial" w:eastAsia="Arial" w:hAnsi="Arial"/>
          <w:sz w:val="18"/>
          <w:szCs w:val="18"/>
          <w:color w:val="auto"/>
        </w:rPr>
        <w:t>health care and dental care, disability benefits, workers’ compensation, general liability, property damage and business interruption. Liabilities associated with these plans are estimated based on, among other things, the Company’s historical claims experience, severity factors and other actuarial assumptions. The expected loss accruals are based on estimates, and, while the Company believes that the amounts accrued are adequate, the ultimate loss may differ from the amounts provided.</w:t>
      </w:r>
    </w:p>
    <w:p>
      <w:pPr>
        <w:spacing w:after="0" w:line="107" w:lineRule="exact"/>
        <w:rPr>
          <w:sz w:val="20"/>
          <w:szCs w:val="20"/>
          <w:color w:val="auto"/>
        </w:rPr>
      </w:pPr>
    </w:p>
    <w:p>
      <w:pPr>
        <w:ind w:right="240"/>
        <w:spacing w:after="0" w:line="235" w:lineRule="auto"/>
        <w:rPr>
          <w:sz w:val="20"/>
          <w:szCs w:val="20"/>
          <w:color w:val="auto"/>
        </w:rPr>
      </w:pPr>
      <w:r>
        <w:rPr>
          <w:rFonts w:ascii="Arial" w:cs="Arial" w:eastAsia="Arial" w:hAnsi="Arial"/>
          <w:sz w:val="18"/>
          <w:szCs w:val="18"/>
          <w:b w:val="1"/>
          <w:bCs w:val="1"/>
          <w:color w:val="auto"/>
        </w:rPr>
        <w:t xml:space="preserve">Income Taxes. </w:t>
      </w:r>
      <w:r>
        <w:rPr>
          <w:rFonts w:ascii="Arial" w:cs="Arial" w:eastAsia="Arial" w:hAnsi="Arial"/>
          <w:sz w:val="18"/>
          <w:szCs w:val="18"/>
          <w:color w:val="auto"/>
        </w:rPr>
        <w:t>The Company accounts for income taxes under the asset and liability method, which requires the recognition of deferred tax</w:t>
      </w:r>
      <w:r>
        <w:rPr>
          <w:rFonts w:ascii="Arial" w:cs="Arial" w:eastAsia="Arial" w:hAnsi="Arial"/>
          <w:sz w:val="18"/>
          <w:szCs w:val="18"/>
          <w:b w:val="1"/>
          <w:bCs w:val="1"/>
          <w:color w:val="auto"/>
        </w:rPr>
        <w:t xml:space="preserve"> </w:t>
      </w:r>
      <w:r>
        <w:rPr>
          <w:rFonts w:ascii="Arial" w:cs="Arial" w:eastAsia="Arial" w:hAnsi="Arial"/>
          <w:sz w:val="18"/>
          <w:szCs w:val="18"/>
          <w:color w:val="auto"/>
        </w:rPr>
        <w:t>assets and liabilities for the expected future tax consequences of events that have been included in the financial statements. Under this method, deferred tax assets and liabilities are determined based on the differences between the financial statements and tax basis of assets and liabilities using enacted tax rates in</w:t>
      </w: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00"/>
          </w:cols>
          <w:pgMar w:left="240" w:top="724" w:right="259" w:bottom="1440" w:gutter="0" w:footer="0" w:header="0"/>
        </w:sectPr>
      </w:pPr>
    </w:p>
    <w:bookmarkStart w:id="74" w:name="page75"/>
    <w:bookmarkEnd w:id="74"/>
    <w:p>
      <w:pPr>
        <w:ind w:right="240"/>
        <w:spacing w:after="0" w:line="260" w:lineRule="auto"/>
        <w:rPr>
          <w:sz w:val="20"/>
          <w:szCs w:val="20"/>
          <w:color w:val="auto"/>
        </w:rPr>
      </w:pPr>
      <w:r>
        <w:rPr>
          <w:rFonts w:ascii="Arial" w:cs="Arial" w:eastAsia="Arial" w:hAnsi="Arial"/>
          <w:sz w:val="18"/>
          <w:szCs w:val="18"/>
          <w:color w:val="auto"/>
        </w:rPr>
        <w:t>effect for the year in which the differences are expected to reverse. The effect of a change in tax rates on deferred tax assets and liabilities is recognized in income in the period that includes the enactment date.</w:t>
      </w:r>
    </w:p>
    <w:p>
      <w:pPr>
        <w:spacing w:after="0" w:line="92" w:lineRule="exact"/>
        <w:rPr>
          <w:sz w:val="20"/>
          <w:szCs w:val="20"/>
          <w:color w:val="auto"/>
        </w:rPr>
      </w:pPr>
    </w:p>
    <w:p>
      <w:pPr>
        <w:ind w:right="100"/>
        <w:spacing w:after="0" w:line="231" w:lineRule="auto"/>
        <w:rPr>
          <w:sz w:val="20"/>
          <w:szCs w:val="20"/>
          <w:color w:val="auto"/>
        </w:rPr>
      </w:pPr>
      <w:r>
        <w:rPr>
          <w:rFonts w:ascii="Arial" w:cs="Arial" w:eastAsia="Arial" w:hAnsi="Arial"/>
          <w:sz w:val="18"/>
          <w:szCs w:val="18"/>
          <w:color w:val="auto"/>
        </w:rPr>
        <w:t>The Company records net deferred tax assets to the extent that it believes these assets will more likely than not be realized. In making such determination, the Company considers all available positive and negative evidence, including future reversals of existing taxable temporary differences, projected future taxable income, tax planning strategies and recent financial operations; this evaluation is made on an ongoing basis. In the event the Company were to determine that it was able to realize net deferred income tax assets in the future in excess of their net recorded amount, the Company would record an adjustment to the valuation allowance, which would reduce the provision for income taxes.</w:t>
      </w:r>
    </w:p>
    <w:p>
      <w:pPr>
        <w:spacing w:after="0" w:line="111" w:lineRule="exact"/>
        <w:rPr>
          <w:sz w:val="20"/>
          <w:szCs w:val="20"/>
          <w:color w:val="auto"/>
        </w:rPr>
      </w:pPr>
    </w:p>
    <w:p>
      <w:pPr>
        <w:ind w:right="40"/>
        <w:spacing w:after="0" w:line="234" w:lineRule="auto"/>
        <w:rPr>
          <w:sz w:val="20"/>
          <w:szCs w:val="20"/>
          <w:color w:val="auto"/>
        </w:rPr>
      </w:pPr>
      <w:r>
        <w:rPr>
          <w:rFonts w:ascii="Arial" w:cs="Arial" w:eastAsia="Arial" w:hAnsi="Arial"/>
          <w:sz w:val="18"/>
          <w:szCs w:val="18"/>
          <w:color w:val="auto"/>
        </w:rPr>
        <w:t>The Company recognizes a tax benefit from an uncertain tax position when it is more likely than not that the position will be sustained upon examination, including resolutions of any related appeals or litigation processes, based on the technical merits. The Company records a liability for the difference between the benefit recognized and measured for financial statement purposes and the tax position taken or expected to be taken on the Company’s tax return. Changes in the estimate are recorded in the period in which such determination is made.</w:t>
      </w:r>
    </w:p>
    <w:p>
      <w:pPr>
        <w:spacing w:after="0" w:line="109" w:lineRule="exact"/>
        <w:rPr>
          <w:sz w:val="20"/>
          <w:szCs w:val="20"/>
          <w:color w:val="auto"/>
        </w:rPr>
      </w:pPr>
    </w:p>
    <w:p>
      <w:pPr>
        <w:ind w:right="40"/>
        <w:spacing w:after="0" w:line="230" w:lineRule="auto"/>
        <w:rPr>
          <w:sz w:val="20"/>
          <w:szCs w:val="20"/>
          <w:color w:val="auto"/>
        </w:rPr>
      </w:pPr>
      <w:r>
        <w:rPr>
          <w:rFonts w:ascii="Arial" w:cs="Arial" w:eastAsia="Arial" w:hAnsi="Arial"/>
          <w:sz w:val="18"/>
          <w:szCs w:val="18"/>
          <w:b w:val="1"/>
          <w:bCs w:val="1"/>
          <w:color w:val="auto"/>
        </w:rPr>
        <w:t xml:space="preserve">Foreign Currency Translation. </w:t>
      </w:r>
      <w:r>
        <w:rPr>
          <w:rFonts w:ascii="Arial" w:cs="Arial" w:eastAsia="Arial" w:hAnsi="Arial"/>
          <w:sz w:val="18"/>
          <w:szCs w:val="18"/>
          <w:color w:val="auto"/>
        </w:rPr>
        <w:t>Income and expense accounts of the Company’s non-United States operations where the local currency is the</w:t>
      </w:r>
      <w:r>
        <w:rPr>
          <w:rFonts w:ascii="Arial" w:cs="Arial" w:eastAsia="Arial" w:hAnsi="Arial"/>
          <w:sz w:val="18"/>
          <w:szCs w:val="18"/>
          <w:b w:val="1"/>
          <w:bCs w:val="1"/>
          <w:color w:val="auto"/>
        </w:rPr>
        <w:t xml:space="preserve"> </w:t>
      </w:r>
      <w:r>
        <w:rPr>
          <w:rFonts w:ascii="Arial" w:cs="Arial" w:eastAsia="Arial" w:hAnsi="Arial"/>
          <w:sz w:val="18"/>
          <w:szCs w:val="18"/>
          <w:color w:val="auto"/>
        </w:rPr>
        <w:t>functional currency are translated into United States (U.S.) dollars using the current rate method, whereby operating results are converted at the average rate of exchange for the period, and assets and liabilities are converted at the closing rates on the period end date. Gains and losses on translation of these accounts are accumulated and reported as a separate component of equity and other comprehensive income. Gains and losses on foreign currency transactions, including foreign currency denominated intercompany loans on entities with a functional currency in U.S. dollars, are recognized in the Consolidated Statements of Operations.</w:t>
      </w:r>
    </w:p>
    <w:p>
      <w:pPr>
        <w:spacing w:after="0" w:line="106" w:lineRule="exact"/>
        <w:rPr>
          <w:sz w:val="20"/>
          <w:szCs w:val="20"/>
          <w:color w:val="auto"/>
        </w:rPr>
      </w:pPr>
    </w:p>
    <w:p>
      <w:pPr>
        <w:spacing w:after="0" w:line="235" w:lineRule="auto"/>
        <w:rPr>
          <w:sz w:val="20"/>
          <w:szCs w:val="20"/>
          <w:color w:val="auto"/>
        </w:rPr>
      </w:pPr>
      <w:r>
        <w:rPr>
          <w:rFonts w:ascii="Arial" w:cs="Arial" w:eastAsia="Arial" w:hAnsi="Arial"/>
          <w:sz w:val="18"/>
          <w:szCs w:val="18"/>
          <w:b w:val="1"/>
          <w:bCs w:val="1"/>
          <w:color w:val="auto"/>
        </w:rPr>
        <w:t xml:space="preserve">Equity-Based Compensation. </w:t>
      </w:r>
      <w:r>
        <w:rPr>
          <w:rFonts w:ascii="Arial" w:cs="Arial" w:eastAsia="Arial" w:hAnsi="Arial"/>
          <w:sz w:val="18"/>
          <w:szCs w:val="18"/>
          <w:color w:val="auto"/>
        </w:rPr>
        <w:t>The Company measures compensation expense for awards settled in shares based on the grant date fair value</w:t>
      </w:r>
      <w:r>
        <w:rPr>
          <w:rFonts w:ascii="Arial" w:cs="Arial" w:eastAsia="Arial" w:hAnsi="Arial"/>
          <w:sz w:val="18"/>
          <w:szCs w:val="18"/>
          <w:b w:val="1"/>
          <w:bCs w:val="1"/>
          <w:color w:val="auto"/>
        </w:rPr>
        <w:t xml:space="preserve"> </w:t>
      </w:r>
      <w:r>
        <w:rPr>
          <w:rFonts w:ascii="Arial" w:cs="Arial" w:eastAsia="Arial" w:hAnsi="Arial"/>
          <w:sz w:val="18"/>
          <w:szCs w:val="18"/>
          <w:color w:val="auto"/>
        </w:rPr>
        <w:t>of the award. The Company measures compensation expense for awards settled in cash, or that may be settled in cash, based on the fair value at each reporting date. The Company recognizes the expense over the requisite service period, which is generally the vesting period of the award.</w:t>
      </w:r>
    </w:p>
    <w:p>
      <w:pPr>
        <w:spacing w:after="0" w:line="108" w:lineRule="exact"/>
        <w:rPr>
          <w:sz w:val="20"/>
          <w:szCs w:val="20"/>
          <w:color w:val="auto"/>
        </w:rPr>
      </w:pPr>
    </w:p>
    <w:p>
      <w:pPr>
        <w:ind w:right="60"/>
        <w:spacing w:after="0" w:line="227" w:lineRule="auto"/>
        <w:rPr>
          <w:sz w:val="20"/>
          <w:szCs w:val="20"/>
          <w:color w:val="auto"/>
        </w:rPr>
      </w:pPr>
      <w:r>
        <w:rPr>
          <w:rFonts w:ascii="Arial" w:cs="Arial" w:eastAsia="Arial" w:hAnsi="Arial"/>
          <w:sz w:val="18"/>
          <w:szCs w:val="18"/>
          <w:b w:val="1"/>
          <w:bCs w:val="1"/>
          <w:color w:val="auto"/>
        </w:rPr>
        <w:t xml:space="preserve">Earnings Per Share. </w:t>
      </w:r>
      <w:r>
        <w:rPr>
          <w:rFonts w:ascii="Arial" w:cs="Arial" w:eastAsia="Arial" w:hAnsi="Arial"/>
          <w:sz w:val="18"/>
          <w:szCs w:val="18"/>
          <w:color w:val="auto"/>
        </w:rPr>
        <w:t>Basic earnings per share is calculated under the two-class method. The Company treats restricted stock as a</w:t>
      </w:r>
      <w:r>
        <w:rPr>
          <w:rFonts w:ascii="Arial" w:cs="Arial" w:eastAsia="Arial" w:hAnsi="Arial"/>
          <w:sz w:val="18"/>
          <w:szCs w:val="18"/>
          <w:b w:val="1"/>
          <w:bCs w:val="1"/>
          <w:color w:val="auto"/>
        </w:rPr>
        <w:t xml:space="preserve"> </w:t>
      </w:r>
      <w:r>
        <w:rPr>
          <w:rFonts w:ascii="Arial" w:cs="Arial" w:eastAsia="Arial" w:hAnsi="Arial"/>
          <w:sz w:val="18"/>
          <w:szCs w:val="18"/>
          <w:color w:val="auto"/>
        </w:rPr>
        <w:t>participating security due to its nonforfeitable right to dividends. Under the two -class method, the Company allocates to the participating securities their portion of dividends declared and undistributed earnings to the extent the participating securities may share in the earnings as if all earnings for the period had been distributed. Basic earnings per share is calculated by dividing the income available to common stockholders by the weighted average number of common shares outstanding during the period. Diluted earnings per share is calculated similarly except that the weighted average number of common shares outstanding during the period includes the dilutive effect of the assumed exercise of options and restricted stock issuable under the Company’s stock plans. The dilutive effect of potentially dilutive securities is reflected in diluted earnings per share by application of the treasury stock method.</w:t>
      </w:r>
    </w:p>
    <w:p>
      <w:pPr>
        <w:spacing w:after="0" w:line="108" w:lineRule="exact"/>
        <w:rPr>
          <w:sz w:val="20"/>
          <w:szCs w:val="20"/>
          <w:color w:val="auto"/>
        </w:rPr>
      </w:pPr>
    </w:p>
    <w:p>
      <w:pPr>
        <w:ind w:right="120"/>
        <w:spacing w:after="0" w:line="228" w:lineRule="auto"/>
        <w:rPr>
          <w:sz w:val="20"/>
          <w:szCs w:val="20"/>
          <w:color w:val="auto"/>
        </w:rPr>
      </w:pPr>
      <w:r>
        <w:rPr>
          <w:rFonts w:ascii="Arial" w:cs="Arial" w:eastAsia="Arial" w:hAnsi="Arial"/>
          <w:sz w:val="18"/>
          <w:szCs w:val="18"/>
          <w:b w:val="1"/>
          <w:bCs w:val="1"/>
          <w:color w:val="auto"/>
        </w:rPr>
        <w:t xml:space="preserve">Mandatorily Redeemable Noncontrolling Interest. </w:t>
      </w:r>
      <w:r>
        <w:rPr>
          <w:rFonts w:ascii="Arial" w:cs="Arial" w:eastAsia="Arial" w:hAnsi="Arial"/>
          <w:sz w:val="18"/>
          <w:szCs w:val="18"/>
          <w:color w:val="auto"/>
        </w:rPr>
        <w:t>The Company’s mandatorily redeemable noncontrolling interest represents the</w:t>
      </w:r>
      <w:r>
        <w:rPr>
          <w:rFonts w:ascii="Arial" w:cs="Arial" w:eastAsia="Arial" w:hAnsi="Arial"/>
          <w:sz w:val="18"/>
          <w:szCs w:val="18"/>
          <w:b w:val="1"/>
          <w:bCs w:val="1"/>
          <w:color w:val="auto"/>
        </w:rPr>
        <w:t xml:space="preserve"> </w:t>
      </w:r>
      <w:r>
        <w:rPr>
          <w:rFonts w:ascii="Arial" w:cs="Arial" w:eastAsia="Arial" w:hAnsi="Arial"/>
          <w:sz w:val="18"/>
          <w:szCs w:val="18"/>
          <w:color w:val="auto"/>
        </w:rPr>
        <w:t>noncontrolling interest in Graham Healthcare Group (GHG) which is 90% owned. The minority shareholders have an option to put their shares to the Company starting in 2020 and are required to put a percentage of their shares in 2022 and 2024, with the remaining shares required to be put by the minority shareholders in 2026. Since the noncontrolling interest is mandatorily redeemable by the Company by 2026, it is reported as a noncurrent liability at December 31, 2016, in the Consolidated Balance Sheets. The Company presents this liability at fair value, which is computed annually as the current redemption value. Changes in the redemption value are recorded as interest expense or income in the Company’s Consolidated Statements of Operations.</w:t>
      </w:r>
    </w:p>
    <w:p>
      <w:pPr>
        <w:spacing w:after="0" w:line="109" w:lineRule="exact"/>
        <w:rPr>
          <w:sz w:val="20"/>
          <w:szCs w:val="20"/>
          <w:color w:val="auto"/>
        </w:rPr>
      </w:pPr>
    </w:p>
    <w:p>
      <w:pPr>
        <w:ind w:right="200"/>
        <w:spacing w:after="0" w:line="241" w:lineRule="auto"/>
        <w:rPr>
          <w:sz w:val="20"/>
          <w:szCs w:val="20"/>
          <w:color w:val="auto"/>
        </w:rPr>
      </w:pPr>
      <w:r>
        <w:rPr>
          <w:rFonts w:ascii="Arial" w:cs="Arial" w:eastAsia="Arial" w:hAnsi="Arial"/>
          <w:sz w:val="18"/>
          <w:szCs w:val="18"/>
          <w:b w:val="1"/>
          <w:bCs w:val="1"/>
          <w:color w:val="auto"/>
        </w:rPr>
        <w:t xml:space="preserve">Comprehensive Income. </w:t>
      </w:r>
      <w:r>
        <w:rPr>
          <w:rFonts w:ascii="Arial" w:cs="Arial" w:eastAsia="Arial" w:hAnsi="Arial"/>
          <w:sz w:val="18"/>
          <w:szCs w:val="18"/>
          <w:color w:val="auto"/>
        </w:rPr>
        <w:t>Comprehensive income consists of net income, foreign currency translation adjustments, the change in unrealized</w:t>
      </w:r>
      <w:r>
        <w:rPr>
          <w:rFonts w:ascii="Arial" w:cs="Arial" w:eastAsia="Arial" w:hAnsi="Arial"/>
          <w:sz w:val="18"/>
          <w:szCs w:val="18"/>
          <w:b w:val="1"/>
          <w:bCs w:val="1"/>
          <w:color w:val="auto"/>
        </w:rPr>
        <w:t xml:space="preserve"> </w:t>
      </w:r>
      <w:r>
        <w:rPr>
          <w:rFonts w:ascii="Arial" w:cs="Arial" w:eastAsia="Arial" w:hAnsi="Arial"/>
          <w:sz w:val="18"/>
          <w:szCs w:val="18"/>
          <w:color w:val="auto"/>
        </w:rPr>
        <w:t>gains (losses) on investments in marketable equity securities, net changes in cash flow hedge and pension and other postretirement plan adjustments.</w:t>
      </w:r>
    </w:p>
    <w:p>
      <w:pPr>
        <w:spacing w:after="0" w:line="106" w:lineRule="exact"/>
        <w:rPr>
          <w:sz w:val="20"/>
          <w:szCs w:val="20"/>
          <w:color w:val="auto"/>
        </w:rPr>
      </w:pPr>
    </w:p>
    <w:p>
      <w:pPr>
        <w:ind w:right="60"/>
        <w:spacing w:after="0" w:line="241" w:lineRule="auto"/>
        <w:rPr>
          <w:sz w:val="20"/>
          <w:szCs w:val="20"/>
          <w:color w:val="auto"/>
        </w:rPr>
      </w:pPr>
      <w:r>
        <w:rPr>
          <w:rFonts w:ascii="Arial" w:cs="Arial" w:eastAsia="Arial" w:hAnsi="Arial"/>
          <w:sz w:val="18"/>
          <w:szCs w:val="18"/>
          <w:b w:val="1"/>
          <w:bCs w:val="1"/>
          <w:color w:val="auto"/>
        </w:rPr>
        <w:t xml:space="preserve">Discontinued Operations. </w:t>
      </w:r>
      <w:r>
        <w:rPr>
          <w:rFonts w:ascii="Arial" w:cs="Arial" w:eastAsia="Arial" w:hAnsi="Arial"/>
          <w:sz w:val="18"/>
          <w:szCs w:val="18"/>
          <w:color w:val="auto"/>
        </w:rPr>
        <w:t>A disposal of a component is reported as discontinued operations if the disposal represents a strategic shift that</w:t>
      </w:r>
      <w:r>
        <w:rPr>
          <w:rFonts w:ascii="Arial" w:cs="Arial" w:eastAsia="Arial" w:hAnsi="Arial"/>
          <w:sz w:val="18"/>
          <w:szCs w:val="18"/>
          <w:b w:val="1"/>
          <w:bCs w:val="1"/>
          <w:color w:val="auto"/>
        </w:rPr>
        <w:t xml:space="preserve"> </w:t>
      </w:r>
      <w:r>
        <w:rPr>
          <w:rFonts w:ascii="Arial" w:cs="Arial" w:eastAsia="Arial" w:hAnsi="Arial"/>
          <w:sz w:val="18"/>
          <w:szCs w:val="18"/>
          <w:color w:val="auto"/>
        </w:rPr>
        <w:t>has or will have a major effect on the Company’s operations and financial results. The results of discontinued operations (as well as the gain or loss on the disposal) are aggregated and separately presented in the Company’s Consolidated Statements of Operations, net of income taxes.</w:t>
      </w:r>
    </w:p>
    <w:p>
      <w:pPr>
        <w:spacing w:after="0" w:line="106" w:lineRule="exact"/>
        <w:rPr>
          <w:sz w:val="20"/>
          <w:szCs w:val="20"/>
          <w:color w:val="auto"/>
        </w:rPr>
      </w:pPr>
    </w:p>
    <w:p>
      <w:pPr>
        <w:ind w:right="40"/>
        <w:spacing w:after="0" w:line="232" w:lineRule="auto"/>
        <w:rPr>
          <w:sz w:val="20"/>
          <w:szCs w:val="20"/>
          <w:color w:val="auto"/>
        </w:rPr>
      </w:pPr>
      <w:r>
        <w:rPr>
          <w:rFonts w:ascii="Arial" w:cs="Arial" w:eastAsia="Arial" w:hAnsi="Arial"/>
          <w:sz w:val="18"/>
          <w:szCs w:val="18"/>
          <w:b w:val="1"/>
          <w:bCs w:val="1"/>
          <w:color w:val="auto"/>
        </w:rPr>
        <w:t xml:space="preserve">Recently Adopted and Issued Accounting Pronouncements. </w:t>
      </w:r>
      <w:r>
        <w:rPr>
          <w:rFonts w:ascii="Arial" w:cs="Arial" w:eastAsia="Arial" w:hAnsi="Arial"/>
          <w:sz w:val="18"/>
          <w:szCs w:val="18"/>
          <w:color w:val="auto"/>
        </w:rPr>
        <w:t>In May 2014, the Financial Accounting Standards Board (FASB) issued</w:t>
      </w:r>
      <w:r>
        <w:rPr>
          <w:rFonts w:ascii="Arial" w:cs="Arial" w:eastAsia="Arial" w:hAnsi="Arial"/>
          <w:sz w:val="18"/>
          <w:szCs w:val="18"/>
          <w:b w:val="1"/>
          <w:bCs w:val="1"/>
          <w:color w:val="auto"/>
        </w:rPr>
        <w:t xml:space="preserve"> </w:t>
      </w:r>
      <w:r>
        <w:rPr>
          <w:rFonts w:ascii="Arial" w:cs="Arial" w:eastAsia="Arial" w:hAnsi="Arial"/>
          <w:sz w:val="18"/>
          <w:szCs w:val="18"/>
          <w:color w:val="auto"/>
        </w:rPr>
        <w:t>comprehensive new guidance that supersedes all existing revenue recognition guidance. In August 2015, the FASB issued an amendment to the guidance that defers the effective date by one year. The new guidance requires revenue to be recognized when the Company transfers promised goods or services to customers in an amount that reflects the consideration to which the Company expects to be entitled in exchange for those</w:t>
      </w: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724" w:right="239" w:bottom="1440" w:gutter="0" w:footer="0" w:header="0"/>
        </w:sectPr>
      </w:pPr>
    </w:p>
    <w:bookmarkStart w:id="75" w:name="page76"/>
    <w:bookmarkEnd w:id="75"/>
    <w:p>
      <w:pPr>
        <w:ind w:right="40"/>
        <w:spacing w:after="0" w:line="228" w:lineRule="auto"/>
        <w:rPr>
          <w:sz w:val="20"/>
          <w:szCs w:val="20"/>
          <w:color w:val="auto"/>
        </w:rPr>
      </w:pPr>
      <w:r>
        <w:rPr>
          <w:rFonts w:ascii="Arial" w:cs="Arial" w:eastAsia="Arial" w:hAnsi="Arial"/>
          <w:sz w:val="18"/>
          <w:szCs w:val="18"/>
          <w:color w:val="auto"/>
        </w:rPr>
        <w:t>goods or services. The new guidance also significantly expands the disclosure requirements for revenue recognition. The guidance is effective for interim and fiscal years beginning after December 15, 2017. Early adoption is permitted only as of annual reporting periods beginning after December 15, 2016. The standard permits two implementation approaches, one requiring retrospective application of the new guidance with a restatement of prior years and one requiring prospective application of the new guidance with disclosure of results under the old guidance. The Company is in the process of evaluating the impact of this new guidance on its Consolidated Financial Statements and believes such evaluation will extend over several future periods because of the significance of the changes to the Company’s policies and business processes.</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color w:val="auto"/>
        </w:rPr>
        <w:t>In August 2014, the FASB issued new guidance that requires management to assess the Company’s ability to continue as a going concern and to provide related disclosures in certain circumstances. This guidance is effective for interim and fiscal years ending after December 15, 2016. The Company adopted the guidance as of December 31, 2016. The guidance did not have an impact on its Consolidated Financial Statements.</w:t>
      </w:r>
    </w:p>
    <w:p>
      <w:pPr>
        <w:spacing w:after="0" w:line="203"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color w:val="auto"/>
        </w:rPr>
        <w:t>In April 2015, the FASB issued new guidance that simplifies the presentation of debt issuance costs. The new guidance requires that debt issuance costs be reported in the balance sheet as a direct deduction from the gross amount of debt instead of classified as a deferred asset. The guidance is effective for interim and fiscal years beginning after December 15, 2015. The Company adopted the new guidance retrospectively as of January 1, 2016. Therefore, prior periods have been adjusted to reflect this guidance which resulted in the reclassification of $0.1 million of unamortized debt issuance costs related to the Company’s 7.25% unsecured notes from deferred charges and other assets to long-term debt within its Consolidated Balance Sheet as of December 31, 2015.</w:t>
      </w:r>
    </w:p>
    <w:p>
      <w:pPr>
        <w:spacing w:after="0" w:line="4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 January 2016, the FASB issued new guidance that substantially revises the recognition, measurement and presentation of financial assets and financial liabilities. The new guidance, among other things, requires (i) equity investments (except those accounted for under the equity method of accounting or those that result in consolidation of the investee) to be measured at fair value with changes in fair value recognized in net income, with some exceptions; (ii) simplifies the impairment assessment of equity investments without readily determinable fair values by requiring a qualitative assessment to identify impairment; (iii) requires public business entities to use the exit price notion when measuring the fair value of financial instruments for disclosure purposes; (iv) requires separate presentation of financial assets and financial liabilities by measurement category and form of financial asset on the balance sheet or the accompanying notes to the financial statements; and (v) clarifies that an entity should evaluate the need for a valuation allowance on a deferred tax asset related to available-for-sale securities in combination with the entity’s other deferred tax assets. The guidance is effective for interim and fiscal years beginning after December 15, 2017. Early adoption is not permitted. The Company is in the process of evaluating the impact of this new guidance on its Consolidated Financial Statements.</w:t>
      </w:r>
    </w:p>
    <w:p>
      <w:pPr>
        <w:spacing w:after="0" w:line="129"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In February 2016, the FASB issued new guidance that requires, among other things, a lessee to recognize a right-of-use asset representing an entity's right to use the underlying asset for the lease term and a liability for lease payments on its balance sheet, regardless of classification of a lease as operating or financing. For leases with a term of twelve months or less, a lessee is permitted to make an accounting policy election by class of underlying asset not to recognize lease assets and liabilities and account for the lease similar to existing guidance for operating leases today. This new guidance supersedes all prior guidance. The guidance is effective for interim and fiscal years beginning after December 15, 2018. Early adoption is permitted. The standard requires lessees and lessors to recognize and measure leases at the beginning of the earliest period presented using a modified retrospective approach. The Company is in the process of evaluating the impact of this new guidance on its Consolidated Financial Statements.</w:t>
      </w:r>
    </w:p>
    <w:p>
      <w:pPr>
        <w:spacing w:after="0" w:line="124"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In March 2016, the FASB issued new guidance that simplifies the accounting for stock-based compensation. The new guidance (i) requires all excess tax benefits and tax deficiencies to be recognized in the income statement with the tax effects of vested or exercised awards treated as discrete items. Additionally, excess tax benefits will be recognized regardless of whether the benefit reduces taxes payable in the current period, effectively eliminating the APIC pool; (ii) concludes excess tax benefits should be classified as an operating activity in the statement of cash flows; (iii) requires an entity to make an entity-wide accounting policy election to either estimate a forfeiture rate for awards or account for forfeitures as they occur; (iv) changes the threshold for equity classification for cash settlements of awards for withholding requirements to the maximum statutory tax rate in the applicable jurisdiction; and (v) concludes cash paid by an employer when directly withholding shares for tax-withholding purposes should be classified as a financing activity in the statement of cash flows. The guidance is effective for interim and fiscal years beginning after December 15, 2016. Early adoption is permitted. The Company is in the process of evaluating the impact of this new guidance on its Consolidated Financial Statements.</w:t>
      </w: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00"/>
          </w:cols>
          <w:pgMar w:left="240" w:top="724" w:right="259" w:bottom="1440" w:gutter="0" w:footer="0" w:header="0"/>
        </w:sectPr>
      </w:pPr>
    </w:p>
    <w:bookmarkStart w:id="76" w:name="page77"/>
    <w:bookmarkEnd w:id="76"/>
    <w:p>
      <w:pPr>
        <w:spacing w:after="0" w:line="258" w:lineRule="auto"/>
        <w:rPr>
          <w:sz w:val="20"/>
          <w:szCs w:val="20"/>
          <w:color w:val="auto"/>
        </w:rPr>
      </w:pPr>
      <w:r>
        <w:rPr>
          <w:rFonts w:ascii="Arial" w:cs="Arial" w:eastAsia="Arial" w:hAnsi="Arial"/>
          <w:sz w:val="18"/>
          <w:szCs w:val="18"/>
          <w:color w:val="auto"/>
        </w:rPr>
        <w:t>In November 2016, the FASB issued new guidance that clarifies how restricted cash and restricted cash equivalents should be presented in the statement of cash flows. The guidance requires the cash flow statement to show changes in the total of cash, cash equivalents, restricted cash and restricted cash equivalents, which eliminates the presentation of transfers between cash and cash equivalents and restricted cash and cash equivalents. The guidance is effective for interim and fiscal years beginning after December 15, 2017, with early adoption permitted. The Company adopted the new guidance retrospectively as of December 31, 2016. Prior periods have been adjusted to reflect this adoption, as detailed below:</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0" w:type="dxa"/>
            <w:vAlign w:val="bottom"/>
            <w:gridSpan w:val="5"/>
          </w:tcPr>
          <w:p>
            <w:pPr>
              <w:ind w:left="620"/>
              <w:spacing w:after="0"/>
              <w:rPr>
                <w:sz w:val="20"/>
                <w:szCs w:val="20"/>
                <w:color w:val="auto"/>
              </w:rPr>
            </w:pPr>
            <w:r>
              <w:rPr>
                <w:rFonts w:ascii="Arial" w:cs="Arial" w:eastAsia="Arial" w:hAnsi="Arial"/>
                <w:sz w:val="14"/>
                <w:szCs w:val="14"/>
                <w:b w:val="1"/>
                <w:bCs w:val="1"/>
                <w:color w:val="auto"/>
              </w:rPr>
              <w:t>Year Ended December 31, 2015</w:t>
            </w:r>
          </w:p>
        </w:tc>
        <w:tc>
          <w:tcPr>
            <w:tcW w:w="160" w:type="dxa"/>
            <w:vAlign w:val="bottom"/>
          </w:tcPr>
          <w:p>
            <w:pPr>
              <w:spacing w:after="0"/>
              <w:rPr>
                <w:sz w:val="17"/>
                <w:szCs w:val="17"/>
                <w:color w:val="auto"/>
              </w:rPr>
            </w:pPr>
          </w:p>
        </w:tc>
        <w:tc>
          <w:tcPr>
            <w:tcW w:w="3440" w:type="dxa"/>
            <w:vAlign w:val="bottom"/>
            <w:gridSpan w:val="4"/>
          </w:tcPr>
          <w:p>
            <w:pPr>
              <w:jc w:val="right"/>
              <w:ind w:right="642"/>
              <w:spacing w:after="0"/>
              <w:rPr>
                <w:sz w:val="20"/>
                <w:szCs w:val="20"/>
                <w:color w:val="auto"/>
              </w:rPr>
            </w:pPr>
            <w:r>
              <w:rPr>
                <w:rFonts w:ascii="Arial" w:cs="Arial" w:eastAsia="Arial" w:hAnsi="Arial"/>
                <w:sz w:val="14"/>
                <w:szCs w:val="14"/>
                <w:b w:val="1"/>
                <w:bCs w:val="1"/>
                <w:color w:val="auto"/>
              </w:rPr>
              <w:t>Year Ended December 31, 2014</w:t>
            </w:r>
          </w:p>
        </w:tc>
      </w:tr>
      <w:tr>
        <w:trPr>
          <w:trHeight w:val="263"/>
        </w:trPr>
        <w:tc>
          <w:tcPr>
            <w:tcW w:w="400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jc w:val="center"/>
              <w:ind w:right="203"/>
              <w:spacing w:after="0"/>
              <w:rPr>
                <w:sz w:val="20"/>
                <w:szCs w:val="20"/>
                <w:color w:val="auto"/>
              </w:rPr>
            </w:pPr>
            <w:r>
              <w:rPr>
                <w:rFonts w:ascii="Arial" w:cs="Arial" w:eastAsia="Arial" w:hAnsi="Arial"/>
                <w:sz w:val="14"/>
                <w:szCs w:val="14"/>
                <w:b w:val="1"/>
                <w:bCs w:val="1"/>
                <w:color w:val="auto"/>
              </w:rPr>
              <w:t>As</w:t>
            </w:r>
          </w:p>
        </w:tc>
        <w:tc>
          <w:tcPr>
            <w:tcW w:w="1180" w:type="dxa"/>
            <w:vAlign w:val="bottom"/>
            <w:tcBorders>
              <w:top w:val="single" w:sz="8" w:color="auto"/>
            </w:tcBorders>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9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jc w:val="center"/>
              <w:ind w:right="163"/>
              <w:spacing w:after="0"/>
              <w:rPr>
                <w:sz w:val="20"/>
                <w:szCs w:val="20"/>
                <w:color w:val="auto"/>
              </w:rPr>
            </w:pPr>
            <w:r>
              <w:rPr>
                <w:rFonts w:ascii="Arial" w:cs="Arial" w:eastAsia="Arial" w:hAnsi="Arial"/>
                <w:sz w:val="14"/>
                <w:szCs w:val="14"/>
                <w:b w:val="1"/>
                <w:bCs w:val="1"/>
                <w:color w:val="auto"/>
              </w:rPr>
              <w:t>As</w:t>
            </w:r>
          </w:p>
        </w:tc>
        <w:tc>
          <w:tcPr>
            <w:tcW w:w="1180" w:type="dxa"/>
            <w:vAlign w:val="bottom"/>
            <w:tcBorders>
              <w:top w:val="single" w:sz="8" w:color="auto"/>
            </w:tcBorders>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940" w:type="dxa"/>
            <w:vAlign w:val="bottom"/>
            <w:tcBorders>
              <w:top w:val="single" w:sz="8" w:color="auto"/>
            </w:tcBorders>
          </w:tcPr>
          <w:p>
            <w:pPr>
              <w:spacing w:after="0"/>
              <w:rPr>
                <w:sz w:val="22"/>
                <w:szCs w:val="22"/>
                <w:color w:val="auto"/>
              </w:rPr>
            </w:pPr>
          </w:p>
        </w:tc>
      </w:tr>
      <w:tr>
        <w:trPr>
          <w:trHeight w:val="216"/>
        </w:trPr>
        <w:tc>
          <w:tcPr>
            <w:tcW w:w="4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center"/>
              <w:ind w:right="203"/>
              <w:spacing w:after="0"/>
              <w:rPr>
                <w:sz w:val="20"/>
                <w:szCs w:val="20"/>
                <w:color w:val="auto"/>
              </w:rPr>
            </w:pPr>
            <w:r>
              <w:rPr>
                <w:rFonts w:ascii="Arial" w:cs="Arial" w:eastAsia="Arial" w:hAnsi="Arial"/>
                <w:sz w:val="14"/>
                <w:szCs w:val="14"/>
                <w:b w:val="1"/>
                <w:bCs w:val="1"/>
                <w:color w:val="auto"/>
              </w:rPr>
              <w:t>Previously</w:t>
            </w: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As</w:t>
            </w:r>
          </w:p>
        </w:tc>
        <w:tc>
          <w:tcPr>
            <w:tcW w:w="160" w:type="dxa"/>
            <w:vAlign w:val="bottom"/>
          </w:tcPr>
          <w:p>
            <w:pPr>
              <w:spacing w:after="0"/>
              <w:rPr>
                <w:sz w:val="18"/>
                <w:szCs w:val="18"/>
                <w:color w:val="auto"/>
              </w:rPr>
            </w:pPr>
          </w:p>
        </w:tc>
        <w:tc>
          <w:tcPr>
            <w:tcW w:w="1060" w:type="dxa"/>
            <w:vAlign w:val="bottom"/>
          </w:tcPr>
          <w:p>
            <w:pPr>
              <w:jc w:val="center"/>
              <w:ind w:right="163"/>
              <w:spacing w:after="0"/>
              <w:rPr>
                <w:sz w:val="20"/>
                <w:szCs w:val="20"/>
                <w:color w:val="auto"/>
              </w:rPr>
            </w:pPr>
            <w:r>
              <w:rPr>
                <w:rFonts w:ascii="Arial" w:cs="Arial" w:eastAsia="Arial" w:hAnsi="Arial"/>
                <w:sz w:val="14"/>
                <w:szCs w:val="14"/>
                <w:b w:val="1"/>
                <w:bCs w:val="1"/>
                <w:color w:val="auto"/>
              </w:rPr>
              <w:t>Previously</w:t>
            </w: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ind w:right="382"/>
              <w:spacing w:after="0"/>
              <w:rPr>
                <w:sz w:val="20"/>
                <w:szCs w:val="20"/>
                <w:color w:val="auto"/>
              </w:rPr>
            </w:pPr>
            <w:r>
              <w:rPr>
                <w:rFonts w:ascii="Arial" w:cs="Arial" w:eastAsia="Arial" w:hAnsi="Arial"/>
                <w:sz w:val="14"/>
                <w:szCs w:val="14"/>
                <w:b w:val="1"/>
                <w:bCs w:val="1"/>
                <w:color w:val="auto"/>
              </w:rPr>
              <w:t>As</w:t>
            </w:r>
          </w:p>
        </w:tc>
      </w:tr>
      <w:tr>
        <w:trPr>
          <w:trHeight w:val="322"/>
        </w:trPr>
        <w:tc>
          <w:tcPr>
            <w:tcW w:w="40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center"/>
              <w:ind w:right="203"/>
              <w:spacing w:after="0"/>
              <w:rPr>
                <w:sz w:val="20"/>
                <w:szCs w:val="20"/>
                <w:color w:val="auto"/>
              </w:rPr>
            </w:pPr>
            <w:r>
              <w:rPr>
                <w:rFonts w:ascii="Arial" w:cs="Arial" w:eastAsia="Arial" w:hAnsi="Arial"/>
                <w:sz w:val="14"/>
                <w:szCs w:val="14"/>
                <w:b w:val="1"/>
                <w:bCs w:val="1"/>
                <w:color w:val="auto"/>
              </w:rPr>
              <w:t>Reported</w:t>
            </w:r>
          </w:p>
        </w:tc>
        <w:tc>
          <w:tcPr>
            <w:tcW w:w="1180" w:type="dxa"/>
            <w:vAlign w:val="bottom"/>
            <w:tcBorders>
              <w:bottom w:val="single" w:sz="8" w:color="auto"/>
            </w:tcBorders>
          </w:tcPr>
          <w:p>
            <w:pPr>
              <w:jc w:val="right"/>
              <w:ind w:right="140"/>
              <w:spacing w:after="0"/>
              <w:rPr>
                <w:sz w:val="20"/>
                <w:szCs w:val="20"/>
                <w:color w:val="auto"/>
              </w:rPr>
            </w:pPr>
            <w:r>
              <w:rPr>
                <w:rFonts w:ascii="Arial" w:cs="Arial" w:eastAsia="Arial" w:hAnsi="Arial"/>
                <w:sz w:val="14"/>
                <w:szCs w:val="14"/>
                <w:b w:val="1"/>
                <w:bCs w:val="1"/>
                <w:color w:val="auto"/>
              </w:rPr>
              <w:t>Adjustment</w:t>
            </w:r>
          </w:p>
        </w:tc>
        <w:tc>
          <w:tcPr>
            <w:tcW w:w="2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rPr>
              <w:t>Adopted</w:t>
            </w:r>
          </w:p>
        </w:tc>
        <w:tc>
          <w:tcPr>
            <w:tcW w:w="1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center"/>
              <w:ind w:right="163"/>
              <w:spacing w:after="0"/>
              <w:rPr>
                <w:sz w:val="20"/>
                <w:szCs w:val="20"/>
                <w:color w:val="auto"/>
              </w:rPr>
            </w:pPr>
            <w:r>
              <w:rPr>
                <w:rFonts w:ascii="Arial" w:cs="Arial" w:eastAsia="Arial" w:hAnsi="Arial"/>
                <w:sz w:val="14"/>
                <w:szCs w:val="14"/>
                <w:b w:val="1"/>
                <w:bCs w:val="1"/>
                <w:color w:val="auto"/>
              </w:rPr>
              <w:t>Reported</w:t>
            </w:r>
          </w:p>
        </w:tc>
        <w:tc>
          <w:tcPr>
            <w:tcW w:w="1180" w:type="dxa"/>
            <w:vAlign w:val="bottom"/>
            <w:tcBorders>
              <w:bottom w:val="single" w:sz="8" w:color="auto"/>
            </w:tcBorders>
          </w:tcPr>
          <w:p>
            <w:pPr>
              <w:jc w:val="right"/>
              <w:ind w:right="120"/>
              <w:spacing w:after="0"/>
              <w:rPr>
                <w:sz w:val="20"/>
                <w:szCs w:val="20"/>
                <w:color w:val="auto"/>
              </w:rPr>
            </w:pPr>
            <w:r>
              <w:rPr>
                <w:rFonts w:ascii="Arial" w:cs="Arial" w:eastAsia="Arial" w:hAnsi="Arial"/>
                <w:sz w:val="14"/>
                <w:szCs w:val="14"/>
                <w:b w:val="1"/>
                <w:bCs w:val="1"/>
                <w:color w:val="auto"/>
              </w:rPr>
              <w:t>Adjustment</w:t>
            </w: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182"/>
              <w:spacing w:after="0"/>
              <w:rPr>
                <w:sz w:val="20"/>
                <w:szCs w:val="20"/>
                <w:color w:val="auto"/>
              </w:rPr>
            </w:pPr>
            <w:r>
              <w:rPr>
                <w:rFonts w:ascii="Arial" w:cs="Arial" w:eastAsia="Arial" w:hAnsi="Arial"/>
                <w:sz w:val="14"/>
                <w:szCs w:val="14"/>
                <w:b w:val="1"/>
                <w:bCs w:val="1"/>
                <w:color w:val="auto"/>
              </w:rPr>
              <w:t>Adopted</w:t>
            </w:r>
          </w:p>
        </w:tc>
      </w:tr>
      <w:tr>
        <w:trPr>
          <w:trHeight w:val="260"/>
        </w:trPr>
        <w:tc>
          <w:tcPr>
            <w:tcW w:w="4000" w:type="dxa"/>
            <w:vAlign w:val="bottom"/>
          </w:tcPr>
          <w:p>
            <w:pPr>
              <w:ind w:left="40"/>
              <w:spacing w:after="0"/>
              <w:rPr>
                <w:sz w:val="20"/>
                <w:szCs w:val="20"/>
                <w:color w:val="auto"/>
              </w:rPr>
            </w:pPr>
            <w:r>
              <w:rPr>
                <w:rFonts w:ascii="Arial" w:cs="Arial" w:eastAsia="Arial" w:hAnsi="Arial"/>
                <w:sz w:val="16"/>
                <w:szCs w:val="16"/>
                <w:b w:val="1"/>
                <w:bCs w:val="1"/>
                <w:color w:val="auto"/>
              </w:rPr>
              <w:t>Cash Flows from Operating Activities</w:t>
            </w:r>
          </w:p>
        </w:tc>
        <w:tc>
          <w:tcPr>
            <w:tcW w:w="1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62"/>
        </w:trPr>
        <w:tc>
          <w:tcPr>
            <w:tcW w:w="4000" w:type="dxa"/>
            <w:vAlign w:val="bottom"/>
          </w:tcPr>
          <w:p>
            <w:pPr>
              <w:ind w:left="180"/>
              <w:spacing w:after="0"/>
              <w:rPr>
                <w:sz w:val="20"/>
                <w:szCs w:val="20"/>
                <w:color w:val="auto"/>
              </w:rPr>
            </w:pPr>
            <w:r>
              <w:rPr>
                <w:rFonts w:ascii="Arial" w:cs="Arial" w:eastAsia="Arial" w:hAnsi="Arial"/>
                <w:sz w:val="16"/>
                <w:szCs w:val="16"/>
                <w:color w:val="auto"/>
              </w:rPr>
              <w:t>Decrease in Restricted Cash</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63"/>
              <w:spacing w:after="0"/>
              <w:rPr>
                <w:sz w:val="20"/>
                <w:szCs w:val="20"/>
                <w:color w:val="auto"/>
              </w:rPr>
            </w:pPr>
            <w:r>
              <w:rPr>
                <w:rFonts w:ascii="Arial" w:cs="Arial" w:eastAsia="Arial" w:hAnsi="Arial"/>
                <w:sz w:val="16"/>
                <w:szCs w:val="16"/>
                <w:color w:val="auto"/>
              </w:rPr>
              <w:t>4,153</w:t>
            </w:r>
          </w:p>
        </w:tc>
        <w:tc>
          <w:tcPr>
            <w:tcW w:w="1180" w:type="dxa"/>
            <w:vAlign w:val="bottom"/>
          </w:tcPr>
          <w:p>
            <w:pPr>
              <w:jc w:val="right"/>
              <w:ind w:right="20"/>
              <w:spacing w:after="0"/>
              <w:rPr>
                <w:sz w:val="20"/>
                <w:szCs w:val="20"/>
                <w:color w:val="auto"/>
              </w:rPr>
            </w:pPr>
            <w:r>
              <w:rPr>
                <w:rFonts w:ascii="Arial" w:cs="Arial" w:eastAsia="Arial" w:hAnsi="Arial"/>
                <w:sz w:val="16"/>
                <w:szCs w:val="16"/>
                <w:color w:val="auto"/>
              </w:rPr>
              <w:t>(4,153)</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23"/>
              <w:spacing w:after="0"/>
              <w:rPr>
                <w:sz w:val="20"/>
                <w:szCs w:val="20"/>
                <w:color w:val="auto"/>
              </w:rPr>
            </w:pPr>
            <w:r>
              <w:rPr>
                <w:rFonts w:ascii="Arial" w:cs="Arial" w:eastAsia="Arial" w:hAnsi="Arial"/>
                <w:sz w:val="16"/>
                <w:szCs w:val="16"/>
                <w:color w:val="auto"/>
              </w:rPr>
              <w:t>58,871</w:t>
            </w:r>
          </w:p>
        </w:tc>
        <w:tc>
          <w:tcPr>
            <w:tcW w:w="1180" w:type="dxa"/>
            <w:vAlign w:val="bottom"/>
          </w:tcPr>
          <w:p>
            <w:pPr>
              <w:jc w:val="right"/>
              <w:ind w:right="20"/>
              <w:spacing w:after="0"/>
              <w:rPr>
                <w:sz w:val="20"/>
                <w:szCs w:val="20"/>
                <w:color w:val="auto"/>
              </w:rPr>
            </w:pPr>
            <w:r>
              <w:rPr>
                <w:rFonts w:ascii="Arial" w:cs="Arial" w:eastAsia="Arial" w:hAnsi="Arial"/>
                <w:sz w:val="16"/>
                <w:szCs w:val="16"/>
                <w:color w:val="auto"/>
              </w:rPr>
              <w:t>(58,871)</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22"/>
              <w:spacing w:after="0"/>
              <w:rPr>
                <w:sz w:val="20"/>
                <w:szCs w:val="20"/>
                <w:color w:val="auto"/>
              </w:rPr>
            </w:pPr>
            <w:r>
              <w:rPr>
                <w:rFonts w:ascii="Arial" w:cs="Arial" w:eastAsia="Arial" w:hAnsi="Arial"/>
                <w:sz w:val="16"/>
                <w:szCs w:val="16"/>
                <w:color w:val="auto"/>
              </w:rPr>
              <w:t>—</w:t>
            </w:r>
          </w:p>
        </w:tc>
      </w:tr>
      <w:tr>
        <w:trPr>
          <w:trHeight w:val="270"/>
        </w:trPr>
        <w:tc>
          <w:tcPr>
            <w:tcW w:w="4000" w:type="dxa"/>
            <w:vAlign w:val="bottom"/>
          </w:tcPr>
          <w:p>
            <w:pPr>
              <w:ind w:left="180"/>
              <w:spacing w:after="0"/>
              <w:rPr>
                <w:sz w:val="20"/>
                <w:szCs w:val="20"/>
                <w:color w:val="auto"/>
              </w:rPr>
            </w:pPr>
            <w:r>
              <w:rPr>
                <w:rFonts w:ascii="Arial" w:cs="Arial" w:eastAsia="Arial" w:hAnsi="Arial"/>
                <w:sz w:val="16"/>
                <w:szCs w:val="16"/>
                <w:color w:val="auto"/>
              </w:rPr>
              <w:t>Net Cash Provided by Operating Activities</w:t>
            </w:r>
          </w:p>
        </w:tc>
        <w:tc>
          <w:tcPr>
            <w:tcW w:w="160" w:type="dxa"/>
            <w:vAlign w:val="bottom"/>
          </w:tcPr>
          <w:p>
            <w:pPr>
              <w:spacing w:after="0"/>
              <w:rPr>
                <w:sz w:val="23"/>
                <w:szCs w:val="23"/>
                <w:color w:val="auto"/>
              </w:rPr>
            </w:pPr>
          </w:p>
        </w:tc>
        <w:tc>
          <w:tcPr>
            <w:tcW w:w="1120" w:type="dxa"/>
            <w:vAlign w:val="bottom"/>
          </w:tcPr>
          <w:p>
            <w:pPr>
              <w:jc w:val="right"/>
              <w:ind w:right="163"/>
              <w:spacing w:after="0"/>
              <w:rPr>
                <w:sz w:val="20"/>
                <w:szCs w:val="20"/>
                <w:color w:val="auto"/>
              </w:rPr>
            </w:pPr>
            <w:r>
              <w:rPr>
                <w:rFonts w:ascii="Arial" w:cs="Arial" w:eastAsia="Arial" w:hAnsi="Arial"/>
                <w:sz w:val="16"/>
                <w:szCs w:val="16"/>
                <w:color w:val="auto"/>
              </w:rPr>
              <w:t>74,804</w:t>
            </w:r>
          </w:p>
        </w:tc>
        <w:tc>
          <w:tcPr>
            <w:tcW w:w="1180" w:type="dxa"/>
            <w:vAlign w:val="bottom"/>
          </w:tcPr>
          <w:p>
            <w:pPr>
              <w:jc w:val="right"/>
              <w:ind w:right="20"/>
              <w:spacing w:after="0"/>
              <w:rPr>
                <w:sz w:val="20"/>
                <w:szCs w:val="20"/>
                <w:color w:val="auto"/>
              </w:rPr>
            </w:pPr>
            <w:r>
              <w:rPr>
                <w:rFonts w:ascii="Arial" w:cs="Arial" w:eastAsia="Arial" w:hAnsi="Arial"/>
                <w:sz w:val="16"/>
                <w:szCs w:val="16"/>
                <w:color w:val="auto"/>
              </w:rPr>
              <w:t>(4,153)</w:t>
            </w:r>
          </w:p>
        </w:tc>
        <w:tc>
          <w:tcPr>
            <w:tcW w:w="260" w:type="dxa"/>
            <w:vAlign w:val="bottom"/>
          </w:tcPr>
          <w:p>
            <w:pPr>
              <w:spacing w:after="0"/>
              <w:rPr>
                <w:sz w:val="23"/>
                <w:szCs w:val="23"/>
                <w:color w:val="auto"/>
              </w:rPr>
            </w:pPr>
          </w:p>
        </w:tc>
        <w:tc>
          <w:tcPr>
            <w:tcW w:w="940" w:type="dxa"/>
            <w:vAlign w:val="bottom"/>
          </w:tcPr>
          <w:p>
            <w:pPr>
              <w:jc w:val="right"/>
              <w:ind w:right="42"/>
              <w:spacing w:after="0"/>
              <w:rPr>
                <w:sz w:val="20"/>
                <w:szCs w:val="20"/>
                <w:color w:val="auto"/>
              </w:rPr>
            </w:pPr>
            <w:r>
              <w:rPr>
                <w:rFonts w:ascii="Arial" w:cs="Arial" w:eastAsia="Arial" w:hAnsi="Arial"/>
                <w:sz w:val="16"/>
                <w:szCs w:val="16"/>
                <w:color w:val="auto"/>
              </w:rPr>
              <w:t>70,651</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60" w:type="dxa"/>
            <w:vAlign w:val="bottom"/>
          </w:tcPr>
          <w:p>
            <w:pPr>
              <w:jc w:val="right"/>
              <w:ind w:right="123"/>
              <w:spacing w:after="0"/>
              <w:rPr>
                <w:sz w:val="20"/>
                <w:szCs w:val="20"/>
                <w:color w:val="auto"/>
              </w:rPr>
            </w:pPr>
            <w:r>
              <w:rPr>
                <w:rFonts w:ascii="Arial" w:cs="Arial" w:eastAsia="Arial" w:hAnsi="Arial"/>
                <w:sz w:val="16"/>
                <w:szCs w:val="16"/>
                <w:color w:val="auto"/>
              </w:rPr>
              <w:t>372,370</w:t>
            </w:r>
          </w:p>
        </w:tc>
        <w:tc>
          <w:tcPr>
            <w:tcW w:w="1180" w:type="dxa"/>
            <w:vAlign w:val="bottom"/>
          </w:tcPr>
          <w:p>
            <w:pPr>
              <w:jc w:val="right"/>
              <w:ind w:right="20"/>
              <w:spacing w:after="0"/>
              <w:rPr>
                <w:sz w:val="20"/>
                <w:szCs w:val="20"/>
                <w:color w:val="auto"/>
              </w:rPr>
            </w:pPr>
            <w:r>
              <w:rPr>
                <w:rFonts w:ascii="Arial" w:cs="Arial" w:eastAsia="Arial" w:hAnsi="Arial"/>
                <w:sz w:val="16"/>
                <w:szCs w:val="16"/>
                <w:color w:val="auto"/>
              </w:rPr>
              <w:t>(58,871)</w:t>
            </w:r>
          </w:p>
        </w:tc>
        <w:tc>
          <w:tcPr>
            <w:tcW w:w="260" w:type="dxa"/>
            <w:vAlign w:val="bottom"/>
          </w:tcPr>
          <w:p>
            <w:pPr>
              <w:spacing w:after="0"/>
              <w:rPr>
                <w:sz w:val="23"/>
                <w:szCs w:val="23"/>
                <w:color w:val="auto"/>
              </w:rPr>
            </w:pPr>
          </w:p>
        </w:tc>
        <w:tc>
          <w:tcPr>
            <w:tcW w:w="940" w:type="dxa"/>
            <w:vAlign w:val="bottom"/>
          </w:tcPr>
          <w:p>
            <w:pPr>
              <w:jc w:val="right"/>
              <w:ind w:right="22"/>
              <w:spacing w:after="0"/>
              <w:rPr>
                <w:sz w:val="20"/>
                <w:szCs w:val="20"/>
                <w:color w:val="auto"/>
              </w:rPr>
            </w:pPr>
            <w:r>
              <w:rPr>
                <w:rFonts w:ascii="Arial" w:cs="Arial" w:eastAsia="Arial" w:hAnsi="Arial"/>
                <w:sz w:val="16"/>
                <w:szCs w:val="16"/>
                <w:color w:val="auto"/>
              </w:rPr>
              <w:t>313,499</w:t>
            </w:r>
          </w:p>
        </w:tc>
      </w:tr>
      <w:tr>
        <w:trPr>
          <w:trHeight w:val="484"/>
        </w:trPr>
        <w:tc>
          <w:tcPr>
            <w:tcW w:w="4000" w:type="dxa"/>
            <w:vAlign w:val="bottom"/>
          </w:tcPr>
          <w:p>
            <w:pPr>
              <w:ind w:left="40"/>
              <w:spacing w:after="0"/>
              <w:rPr>
                <w:sz w:val="20"/>
                <w:szCs w:val="20"/>
                <w:color w:val="auto"/>
              </w:rPr>
            </w:pPr>
            <w:r>
              <w:rPr>
                <w:rFonts w:ascii="Arial" w:cs="Arial" w:eastAsia="Arial" w:hAnsi="Arial"/>
                <w:sz w:val="16"/>
                <w:szCs w:val="16"/>
                <w:color w:val="auto"/>
              </w:rPr>
              <w:t>Net (Decrease) Increase in Cash and Cash</w:t>
            </w: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19"/>
        </w:trPr>
        <w:tc>
          <w:tcPr>
            <w:tcW w:w="4000" w:type="dxa"/>
            <w:vAlign w:val="bottom"/>
          </w:tcPr>
          <w:p>
            <w:pPr>
              <w:ind w:left="40"/>
              <w:spacing w:after="0"/>
              <w:rPr>
                <w:sz w:val="20"/>
                <w:szCs w:val="20"/>
                <w:color w:val="auto"/>
              </w:rPr>
            </w:pPr>
            <w:r>
              <w:rPr>
                <w:rFonts w:ascii="Arial" w:cs="Arial" w:eastAsia="Arial" w:hAnsi="Arial"/>
                <w:sz w:val="16"/>
                <w:szCs w:val="16"/>
                <w:color w:val="auto"/>
              </w:rPr>
              <w:t>Equivalents and Restricted Cash</w:t>
            </w:r>
          </w:p>
        </w:tc>
        <w:tc>
          <w:tcPr>
            <w:tcW w:w="160" w:type="dxa"/>
            <w:vAlign w:val="bottom"/>
          </w:tcPr>
          <w:p>
            <w:pPr>
              <w:spacing w:after="0"/>
              <w:rPr>
                <w:sz w:val="19"/>
                <w:szCs w:val="19"/>
                <w:color w:val="auto"/>
              </w:rPr>
            </w:pPr>
          </w:p>
        </w:tc>
        <w:tc>
          <w:tcPr>
            <w:tcW w:w="1120" w:type="dxa"/>
            <w:vAlign w:val="bottom"/>
          </w:tcPr>
          <w:p>
            <w:pPr>
              <w:jc w:val="right"/>
              <w:ind w:right="103"/>
              <w:spacing w:after="0"/>
              <w:rPr>
                <w:sz w:val="20"/>
                <w:szCs w:val="20"/>
                <w:color w:val="auto"/>
              </w:rPr>
            </w:pPr>
            <w:r>
              <w:rPr>
                <w:rFonts w:ascii="Arial" w:cs="Arial" w:eastAsia="Arial" w:hAnsi="Arial"/>
                <w:sz w:val="16"/>
                <w:szCs w:val="16"/>
                <w:color w:val="auto"/>
              </w:rPr>
              <w:t>(19,779)</w:t>
            </w:r>
          </w:p>
        </w:tc>
        <w:tc>
          <w:tcPr>
            <w:tcW w:w="1180" w:type="dxa"/>
            <w:vAlign w:val="bottom"/>
          </w:tcPr>
          <w:p>
            <w:pPr>
              <w:jc w:val="right"/>
              <w:ind w:right="20"/>
              <w:spacing w:after="0"/>
              <w:rPr>
                <w:sz w:val="20"/>
                <w:szCs w:val="20"/>
                <w:color w:val="auto"/>
              </w:rPr>
            </w:pPr>
            <w:r>
              <w:rPr>
                <w:rFonts w:ascii="Arial" w:cs="Arial" w:eastAsia="Arial" w:hAnsi="Arial"/>
                <w:sz w:val="16"/>
                <w:szCs w:val="16"/>
                <w:color w:val="auto"/>
              </w:rPr>
              <w:t>(4,153)</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(23,932)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ind w:right="123"/>
              <w:spacing w:after="0"/>
              <w:rPr>
                <w:sz w:val="20"/>
                <w:szCs w:val="20"/>
                <w:color w:val="auto"/>
              </w:rPr>
            </w:pPr>
            <w:r>
              <w:rPr>
                <w:rFonts w:ascii="Arial" w:cs="Arial" w:eastAsia="Arial" w:hAnsi="Arial"/>
                <w:sz w:val="16"/>
                <w:szCs w:val="16"/>
                <w:color w:val="auto"/>
              </w:rPr>
              <w:t>204,267</w:t>
            </w:r>
          </w:p>
        </w:tc>
        <w:tc>
          <w:tcPr>
            <w:tcW w:w="1180" w:type="dxa"/>
            <w:vAlign w:val="bottom"/>
          </w:tcPr>
          <w:p>
            <w:pPr>
              <w:jc w:val="right"/>
              <w:ind w:right="20"/>
              <w:spacing w:after="0"/>
              <w:rPr>
                <w:sz w:val="20"/>
                <w:szCs w:val="20"/>
                <w:color w:val="auto"/>
              </w:rPr>
            </w:pPr>
            <w:r>
              <w:rPr>
                <w:rFonts w:ascii="Arial" w:cs="Arial" w:eastAsia="Arial" w:hAnsi="Arial"/>
                <w:sz w:val="16"/>
                <w:szCs w:val="16"/>
                <w:color w:val="auto"/>
              </w:rPr>
              <w:t>(58,871)</w:t>
            </w:r>
          </w:p>
        </w:tc>
        <w:tc>
          <w:tcPr>
            <w:tcW w:w="260" w:type="dxa"/>
            <w:vAlign w:val="bottom"/>
          </w:tcPr>
          <w:p>
            <w:pPr>
              <w:spacing w:after="0"/>
              <w:rPr>
                <w:sz w:val="19"/>
                <w:szCs w:val="19"/>
                <w:color w:val="auto"/>
              </w:rPr>
            </w:pPr>
          </w:p>
        </w:tc>
        <w:tc>
          <w:tcPr>
            <w:tcW w:w="940" w:type="dxa"/>
            <w:vAlign w:val="bottom"/>
          </w:tcPr>
          <w:p>
            <w:pPr>
              <w:jc w:val="right"/>
              <w:ind w:right="22"/>
              <w:spacing w:after="0"/>
              <w:rPr>
                <w:sz w:val="20"/>
                <w:szCs w:val="20"/>
                <w:color w:val="auto"/>
              </w:rPr>
            </w:pPr>
            <w:r>
              <w:rPr>
                <w:rFonts w:ascii="Arial" w:cs="Arial" w:eastAsia="Arial" w:hAnsi="Arial"/>
                <w:sz w:val="16"/>
                <w:szCs w:val="16"/>
                <w:color w:val="auto"/>
              </w:rPr>
              <w:t>145,396</w:t>
            </w:r>
          </w:p>
        </w:tc>
      </w:tr>
      <w:tr>
        <w:trPr>
          <w:trHeight w:val="214"/>
        </w:trPr>
        <w:tc>
          <w:tcPr>
            <w:tcW w:w="4000" w:type="dxa"/>
            <w:vAlign w:val="bottom"/>
          </w:tcPr>
          <w:p>
            <w:pPr>
              <w:ind w:left="40"/>
              <w:spacing w:after="0"/>
              <w:rPr>
                <w:sz w:val="20"/>
                <w:szCs w:val="20"/>
                <w:color w:val="auto"/>
              </w:rPr>
            </w:pPr>
            <w:r>
              <w:rPr>
                <w:rFonts w:ascii="Arial" w:cs="Arial" w:eastAsia="Arial" w:hAnsi="Arial"/>
                <w:sz w:val="16"/>
                <w:szCs w:val="16"/>
                <w:color w:val="auto"/>
              </w:rPr>
              <w:t>Cash and Cash Equivalents and Restricted Cash at</w:t>
            </w: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9"/>
        </w:trPr>
        <w:tc>
          <w:tcPr>
            <w:tcW w:w="4000" w:type="dxa"/>
            <w:vAlign w:val="bottom"/>
          </w:tcPr>
          <w:p>
            <w:pPr>
              <w:ind w:left="40"/>
              <w:spacing w:after="0"/>
              <w:rPr>
                <w:sz w:val="20"/>
                <w:szCs w:val="20"/>
                <w:color w:val="auto"/>
              </w:rPr>
            </w:pPr>
            <w:r>
              <w:rPr>
                <w:rFonts w:ascii="Arial" w:cs="Arial" w:eastAsia="Arial" w:hAnsi="Arial"/>
                <w:sz w:val="16"/>
                <w:szCs w:val="16"/>
                <w:color w:val="auto"/>
              </w:rPr>
              <w:t>Beginning of Year</w:t>
            </w:r>
          </w:p>
        </w:tc>
        <w:tc>
          <w:tcPr>
            <w:tcW w:w="160" w:type="dxa"/>
            <w:vAlign w:val="bottom"/>
          </w:tcPr>
          <w:p>
            <w:pPr>
              <w:spacing w:after="0"/>
              <w:rPr>
                <w:sz w:val="19"/>
                <w:szCs w:val="19"/>
                <w:color w:val="auto"/>
              </w:rPr>
            </w:pPr>
          </w:p>
        </w:tc>
        <w:tc>
          <w:tcPr>
            <w:tcW w:w="1120" w:type="dxa"/>
            <w:vAlign w:val="bottom"/>
          </w:tcPr>
          <w:p>
            <w:pPr>
              <w:jc w:val="right"/>
              <w:ind w:right="163"/>
              <w:spacing w:after="0"/>
              <w:rPr>
                <w:sz w:val="20"/>
                <w:szCs w:val="20"/>
                <w:color w:val="auto"/>
              </w:rPr>
            </w:pPr>
            <w:r>
              <w:rPr>
                <w:rFonts w:ascii="Arial" w:cs="Arial" w:eastAsia="Arial" w:hAnsi="Arial"/>
                <w:sz w:val="16"/>
                <w:szCs w:val="16"/>
                <w:color w:val="auto"/>
              </w:rPr>
              <w:t>773,986</w:t>
            </w:r>
          </w:p>
        </w:tc>
        <w:tc>
          <w:tcPr>
            <w:tcW w:w="1180" w:type="dxa"/>
            <w:vAlign w:val="bottom"/>
          </w:tcPr>
          <w:p>
            <w:pPr>
              <w:jc w:val="right"/>
              <w:ind w:right="80"/>
              <w:spacing w:after="0"/>
              <w:rPr>
                <w:sz w:val="20"/>
                <w:szCs w:val="20"/>
                <w:color w:val="auto"/>
              </w:rPr>
            </w:pPr>
            <w:r>
              <w:rPr>
                <w:rFonts w:ascii="Arial" w:cs="Arial" w:eastAsia="Arial" w:hAnsi="Arial"/>
                <w:sz w:val="16"/>
                <w:szCs w:val="16"/>
                <w:color w:val="auto"/>
              </w:rPr>
              <w:t>24,898</w:t>
            </w:r>
          </w:p>
        </w:tc>
        <w:tc>
          <w:tcPr>
            <w:tcW w:w="260" w:type="dxa"/>
            <w:vAlign w:val="bottom"/>
          </w:tcPr>
          <w:p>
            <w:pPr>
              <w:spacing w:after="0"/>
              <w:rPr>
                <w:sz w:val="19"/>
                <w:szCs w:val="19"/>
                <w:color w:val="auto"/>
              </w:rPr>
            </w:pPr>
          </w:p>
        </w:tc>
        <w:tc>
          <w:tcPr>
            <w:tcW w:w="940" w:type="dxa"/>
            <w:vAlign w:val="bottom"/>
          </w:tcPr>
          <w:p>
            <w:pPr>
              <w:jc w:val="right"/>
              <w:ind w:right="42"/>
              <w:spacing w:after="0"/>
              <w:rPr>
                <w:sz w:val="20"/>
                <w:szCs w:val="20"/>
                <w:color w:val="auto"/>
              </w:rPr>
            </w:pPr>
            <w:r>
              <w:rPr>
                <w:rFonts w:ascii="Arial" w:cs="Arial" w:eastAsia="Arial" w:hAnsi="Arial"/>
                <w:sz w:val="16"/>
                <w:szCs w:val="16"/>
                <w:color w:val="auto"/>
              </w:rPr>
              <w:t>798,884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ind w:right="123"/>
              <w:spacing w:after="0"/>
              <w:rPr>
                <w:sz w:val="20"/>
                <w:szCs w:val="20"/>
                <w:color w:val="auto"/>
              </w:rPr>
            </w:pPr>
            <w:r>
              <w:rPr>
                <w:rFonts w:ascii="Arial" w:cs="Arial" w:eastAsia="Arial" w:hAnsi="Arial"/>
                <w:sz w:val="16"/>
                <w:szCs w:val="16"/>
                <w:color w:val="auto"/>
              </w:rPr>
              <w:t>569,719</w:t>
            </w: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83,769</w:t>
            </w:r>
          </w:p>
        </w:tc>
        <w:tc>
          <w:tcPr>
            <w:tcW w:w="260" w:type="dxa"/>
            <w:vAlign w:val="bottom"/>
          </w:tcPr>
          <w:p>
            <w:pPr>
              <w:spacing w:after="0"/>
              <w:rPr>
                <w:sz w:val="19"/>
                <w:szCs w:val="19"/>
                <w:color w:val="auto"/>
              </w:rPr>
            </w:pPr>
          </w:p>
        </w:tc>
        <w:tc>
          <w:tcPr>
            <w:tcW w:w="940" w:type="dxa"/>
            <w:vAlign w:val="bottom"/>
          </w:tcPr>
          <w:p>
            <w:pPr>
              <w:jc w:val="right"/>
              <w:ind w:right="22"/>
              <w:spacing w:after="0"/>
              <w:rPr>
                <w:sz w:val="20"/>
                <w:szCs w:val="20"/>
                <w:color w:val="auto"/>
              </w:rPr>
            </w:pPr>
            <w:r>
              <w:rPr>
                <w:rFonts w:ascii="Arial" w:cs="Arial" w:eastAsia="Arial" w:hAnsi="Arial"/>
                <w:sz w:val="16"/>
                <w:szCs w:val="16"/>
                <w:color w:val="auto"/>
              </w:rPr>
              <w:t>653,488</w:t>
            </w:r>
          </w:p>
        </w:tc>
      </w:tr>
      <w:tr>
        <w:trPr>
          <w:trHeight w:val="214"/>
        </w:trPr>
        <w:tc>
          <w:tcPr>
            <w:tcW w:w="4000" w:type="dxa"/>
            <w:vAlign w:val="bottom"/>
          </w:tcPr>
          <w:p>
            <w:pPr>
              <w:ind w:left="40"/>
              <w:spacing w:after="0"/>
              <w:rPr>
                <w:sz w:val="20"/>
                <w:szCs w:val="20"/>
                <w:color w:val="auto"/>
              </w:rPr>
            </w:pPr>
            <w:r>
              <w:rPr>
                <w:rFonts w:ascii="Arial" w:cs="Arial" w:eastAsia="Arial" w:hAnsi="Arial"/>
                <w:sz w:val="16"/>
                <w:szCs w:val="16"/>
                <w:color w:val="auto"/>
              </w:rPr>
              <w:t>Cash and Cash Equivalents and Restricted Cash at</w:t>
            </w: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9"/>
        </w:trPr>
        <w:tc>
          <w:tcPr>
            <w:tcW w:w="4000" w:type="dxa"/>
            <w:vAlign w:val="bottom"/>
          </w:tcPr>
          <w:p>
            <w:pPr>
              <w:ind w:left="40"/>
              <w:spacing w:after="0"/>
              <w:rPr>
                <w:sz w:val="20"/>
                <w:szCs w:val="20"/>
                <w:color w:val="auto"/>
              </w:rPr>
            </w:pPr>
            <w:r>
              <w:rPr>
                <w:rFonts w:ascii="Arial" w:cs="Arial" w:eastAsia="Arial" w:hAnsi="Arial"/>
                <w:sz w:val="16"/>
                <w:szCs w:val="16"/>
                <w:color w:val="auto"/>
              </w:rPr>
              <w:t>End of Year</w:t>
            </w:r>
          </w:p>
        </w:tc>
        <w:tc>
          <w:tcPr>
            <w:tcW w:w="160" w:type="dxa"/>
            <w:vAlign w:val="bottom"/>
          </w:tcPr>
          <w:p>
            <w:pPr>
              <w:spacing w:after="0"/>
              <w:rPr>
                <w:sz w:val="19"/>
                <w:szCs w:val="19"/>
                <w:color w:val="auto"/>
              </w:rPr>
            </w:pPr>
          </w:p>
        </w:tc>
        <w:tc>
          <w:tcPr>
            <w:tcW w:w="1120" w:type="dxa"/>
            <w:vAlign w:val="bottom"/>
          </w:tcPr>
          <w:p>
            <w:pPr>
              <w:jc w:val="right"/>
              <w:ind w:right="163"/>
              <w:spacing w:after="0"/>
              <w:rPr>
                <w:sz w:val="20"/>
                <w:szCs w:val="20"/>
                <w:color w:val="auto"/>
              </w:rPr>
            </w:pPr>
            <w:r>
              <w:rPr>
                <w:rFonts w:ascii="Arial" w:cs="Arial" w:eastAsia="Arial" w:hAnsi="Arial"/>
                <w:sz w:val="16"/>
                <w:szCs w:val="16"/>
                <w:color w:val="auto"/>
              </w:rPr>
              <w:t>754,207</w:t>
            </w:r>
          </w:p>
        </w:tc>
        <w:tc>
          <w:tcPr>
            <w:tcW w:w="1180" w:type="dxa"/>
            <w:vAlign w:val="bottom"/>
          </w:tcPr>
          <w:p>
            <w:pPr>
              <w:jc w:val="right"/>
              <w:ind w:right="80"/>
              <w:spacing w:after="0"/>
              <w:rPr>
                <w:sz w:val="20"/>
                <w:szCs w:val="20"/>
                <w:color w:val="auto"/>
              </w:rPr>
            </w:pPr>
            <w:r>
              <w:rPr>
                <w:rFonts w:ascii="Arial" w:cs="Arial" w:eastAsia="Arial" w:hAnsi="Arial"/>
                <w:sz w:val="16"/>
                <w:szCs w:val="16"/>
                <w:color w:val="auto"/>
              </w:rPr>
              <w:t>20,745</w:t>
            </w:r>
          </w:p>
        </w:tc>
        <w:tc>
          <w:tcPr>
            <w:tcW w:w="260" w:type="dxa"/>
            <w:vAlign w:val="bottom"/>
          </w:tcPr>
          <w:p>
            <w:pPr>
              <w:spacing w:after="0"/>
              <w:rPr>
                <w:sz w:val="19"/>
                <w:szCs w:val="19"/>
                <w:color w:val="auto"/>
              </w:rPr>
            </w:pPr>
          </w:p>
        </w:tc>
        <w:tc>
          <w:tcPr>
            <w:tcW w:w="940" w:type="dxa"/>
            <w:vAlign w:val="bottom"/>
          </w:tcPr>
          <w:p>
            <w:pPr>
              <w:jc w:val="right"/>
              <w:ind w:right="42"/>
              <w:spacing w:after="0"/>
              <w:rPr>
                <w:sz w:val="20"/>
                <w:szCs w:val="20"/>
                <w:color w:val="auto"/>
              </w:rPr>
            </w:pPr>
            <w:r>
              <w:rPr>
                <w:rFonts w:ascii="Arial" w:cs="Arial" w:eastAsia="Arial" w:hAnsi="Arial"/>
                <w:sz w:val="16"/>
                <w:szCs w:val="16"/>
                <w:color w:val="auto"/>
              </w:rPr>
              <w:t>774,952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ind w:right="123"/>
              <w:spacing w:after="0"/>
              <w:rPr>
                <w:sz w:val="20"/>
                <w:szCs w:val="20"/>
                <w:color w:val="auto"/>
              </w:rPr>
            </w:pPr>
            <w:r>
              <w:rPr>
                <w:rFonts w:ascii="Arial" w:cs="Arial" w:eastAsia="Arial" w:hAnsi="Arial"/>
                <w:sz w:val="16"/>
                <w:szCs w:val="16"/>
                <w:color w:val="auto"/>
              </w:rPr>
              <w:t>773,986</w:t>
            </w: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24,898</w:t>
            </w:r>
          </w:p>
        </w:tc>
        <w:tc>
          <w:tcPr>
            <w:tcW w:w="260" w:type="dxa"/>
            <w:vAlign w:val="bottom"/>
          </w:tcPr>
          <w:p>
            <w:pPr>
              <w:spacing w:after="0"/>
              <w:rPr>
                <w:sz w:val="19"/>
                <w:szCs w:val="19"/>
                <w:color w:val="auto"/>
              </w:rPr>
            </w:pPr>
          </w:p>
        </w:tc>
        <w:tc>
          <w:tcPr>
            <w:tcW w:w="940" w:type="dxa"/>
            <w:vAlign w:val="bottom"/>
          </w:tcPr>
          <w:p>
            <w:pPr>
              <w:jc w:val="right"/>
              <w:ind w:right="22"/>
              <w:spacing w:after="0"/>
              <w:rPr>
                <w:sz w:val="20"/>
                <w:szCs w:val="20"/>
                <w:color w:val="auto"/>
              </w:rPr>
            </w:pPr>
            <w:r>
              <w:rPr>
                <w:rFonts w:ascii="Arial" w:cs="Arial" w:eastAsia="Arial" w:hAnsi="Arial"/>
                <w:sz w:val="16"/>
                <w:szCs w:val="16"/>
                <w:color w:val="auto"/>
              </w:rPr>
              <w:t>798,884</w:t>
            </w:r>
          </w:p>
        </w:tc>
      </w:tr>
    </w:tbl>
    <w:p>
      <w:pPr>
        <w:spacing w:after="0" w:line="155"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color w:val="auto"/>
        </w:rPr>
        <w:t>In January 2017, the FASB issued new guidance which simplifies the subsequent measurement of goodwill. The new guidance eliminates Step 2 from the goodwill impairment test, which required entities to determine the implied fair value of goodwill as of the test date to measure a goodwill impairment charge. Instead, an entity should continue to test goodwill for impairment by comparing the fair value of a reporting unit with its carrying amount (Step 1), and an impairment charge will be recognized for the amount by which the carrying amount exceeds the reporting unit's fair value. The guidance is effective for interim and fiscal years beginning after December 15, 2019. Early adoption is permitted. The Company is in the process of evaluating the impact of this new guidance on its Consolidated Financial Statements.</w:t>
      </w:r>
    </w:p>
    <w:p>
      <w:pPr>
        <w:spacing w:after="0" w:line="110" w:lineRule="exact"/>
        <w:rPr>
          <w:sz w:val="20"/>
          <w:szCs w:val="20"/>
          <w:color w:val="auto"/>
        </w:rPr>
      </w:pPr>
    </w:p>
    <w:p>
      <w:pPr>
        <w:ind w:right="800"/>
        <w:spacing w:after="0" w:line="260" w:lineRule="auto"/>
        <w:rPr>
          <w:sz w:val="20"/>
          <w:szCs w:val="20"/>
          <w:color w:val="auto"/>
        </w:rPr>
      </w:pPr>
      <w:r>
        <w:rPr>
          <w:rFonts w:ascii="Arial" w:cs="Arial" w:eastAsia="Arial" w:hAnsi="Arial"/>
          <w:sz w:val="18"/>
          <w:szCs w:val="18"/>
          <w:color w:val="auto"/>
        </w:rPr>
        <w:t>Other new pronouncements issued but not effective until after December 31, 2016, are not expected to have a material impact on the Company’s Consolidated Financial Statements.</w:t>
      </w:r>
    </w:p>
    <w:p>
      <w:pPr>
        <w:spacing w:after="0" w:line="90" w:lineRule="exact"/>
        <w:rPr>
          <w:sz w:val="20"/>
          <w:szCs w:val="20"/>
          <w:color w:val="auto"/>
        </w:rPr>
      </w:pPr>
    </w:p>
    <w:p>
      <w:pPr>
        <w:ind w:left="500" w:hanging="492"/>
        <w:spacing w:after="0"/>
        <w:tabs>
          <w:tab w:leader="none" w:pos="500" w:val="left"/>
        </w:tabs>
        <w:numPr>
          <w:ilvl w:val="0"/>
          <w:numId w:val="54"/>
        </w:numPr>
        <w:rPr>
          <w:rFonts w:ascii="Arial" w:cs="Arial" w:eastAsia="Arial" w:hAnsi="Arial"/>
          <w:sz w:val="18"/>
          <w:szCs w:val="18"/>
          <w:b w:val="1"/>
          <w:bCs w:val="1"/>
          <w:color w:val="auto"/>
        </w:rPr>
      </w:pPr>
      <w:r>
        <w:rPr>
          <w:rFonts w:ascii="Arial" w:cs="Arial" w:eastAsia="Arial" w:hAnsi="Arial"/>
          <w:sz w:val="18"/>
          <w:szCs w:val="18"/>
          <w:b w:val="1"/>
          <w:bCs w:val="1"/>
          <w:color w:val="auto"/>
        </w:rPr>
        <w:t>DISCONTINUED OPERATIONS</w:t>
      </w:r>
    </w:p>
    <w:p>
      <w:pPr>
        <w:spacing w:after="0" w:line="144" w:lineRule="exact"/>
        <w:rPr>
          <w:sz w:val="20"/>
          <w:szCs w:val="20"/>
          <w:color w:val="auto"/>
        </w:rPr>
      </w:pPr>
    </w:p>
    <w:p>
      <w:pPr>
        <w:ind w:right="20"/>
        <w:spacing w:after="0" w:line="232" w:lineRule="auto"/>
        <w:rPr>
          <w:sz w:val="20"/>
          <w:szCs w:val="20"/>
          <w:color w:val="auto"/>
        </w:rPr>
      </w:pPr>
      <w:r>
        <w:rPr>
          <w:rFonts w:ascii="Arial" w:cs="Arial" w:eastAsia="Arial" w:hAnsi="Arial"/>
          <w:sz w:val="18"/>
          <w:szCs w:val="18"/>
          <w:b w:val="1"/>
          <w:bCs w:val="1"/>
          <w:color w:val="auto"/>
        </w:rPr>
        <w:t xml:space="preserve">Cable ONE Spin-Off. </w:t>
      </w:r>
      <w:r>
        <w:rPr>
          <w:rFonts w:ascii="Arial" w:cs="Arial" w:eastAsia="Arial" w:hAnsi="Arial"/>
          <w:sz w:val="18"/>
          <w:szCs w:val="18"/>
          <w:color w:val="auto"/>
        </w:rPr>
        <w:t>On July 1, 2015 (the Distribution Date), the Company completed the spin-off of Cable ONE as an independent, publicly</w:t>
      </w:r>
      <w:r>
        <w:rPr>
          <w:rFonts w:ascii="Arial" w:cs="Arial" w:eastAsia="Arial" w:hAnsi="Arial"/>
          <w:sz w:val="18"/>
          <w:szCs w:val="18"/>
          <w:b w:val="1"/>
          <w:bCs w:val="1"/>
          <w:color w:val="auto"/>
        </w:rPr>
        <w:t xml:space="preserve"> </w:t>
      </w:r>
      <w:r>
        <w:rPr>
          <w:rFonts w:ascii="Arial" w:cs="Arial" w:eastAsia="Arial" w:hAnsi="Arial"/>
          <w:sz w:val="18"/>
          <w:szCs w:val="18"/>
          <w:color w:val="auto"/>
        </w:rPr>
        <w:t>traded company. The transaction was structured as a tax-free spin-off of Cable ONE to the stockholders of the Company as one share of Cable ONE common stock was distributed for every share of Class A and Class B common stock of Graham Holdings outstanding on the June 15, 2015, record date. Cable ONE is now an independent public company trading on the New York Stock Exchange under the symbol “CABO”. After the spin-off, the Company does not beneficially own any shares of Cable ONE common stock.</w:t>
      </w:r>
    </w:p>
    <w:p>
      <w:pPr>
        <w:spacing w:after="0" w:line="109" w:lineRule="exact"/>
        <w:rPr>
          <w:sz w:val="20"/>
          <w:szCs w:val="20"/>
          <w:color w:val="auto"/>
        </w:rPr>
      </w:pPr>
    </w:p>
    <w:p>
      <w:pPr>
        <w:ind w:right="240"/>
        <w:spacing w:after="0" w:line="260" w:lineRule="auto"/>
        <w:rPr>
          <w:sz w:val="20"/>
          <w:szCs w:val="20"/>
          <w:color w:val="auto"/>
        </w:rPr>
      </w:pPr>
      <w:r>
        <w:rPr>
          <w:rFonts w:ascii="Arial" w:cs="Arial" w:eastAsia="Arial" w:hAnsi="Arial"/>
          <w:sz w:val="18"/>
          <w:szCs w:val="18"/>
          <w:color w:val="auto"/>
        </w:rPr>
        <w:t>The results of operations of Cable ONE are included in the Company’s Consolidated Statements of Operations as income from discontinued operations, net of tax, for all periods presented.</w:t>
      </w:r>
    </w:p>
    <w:p>
      <w:pPr>
        <w:spacing w:after="0" w:line="92" w:lineRule="exact"/>
        <w:rPr>
          <w:sz w:val="20"/>
          <w:szCs w:val="20"/>
          <w:color w:val="auto"/>
        </w:rPr>
      </w:pPr>
    </w:p>
    <w:p>
      <w:pPr>
        <w:ind w:right="40"/>
        <w:spacing w:after="0" w:line="227" w:lineRule="auto"/>
        <w:rPr>
          <w:sz w:val="20"/>
          <w:szCs w:val="20"/>
          <w:color w:val="auto"/>
        </w:rPr>
      </w:pPr>
      <w:r>
        <w:rPr>
          <w:rFonts w:ascii="Arial" w:cs="Arial" w:eastAsia="Arial" w:hAnsi="Arial"/>
          <w:sz w:val="18"/>
          <w:szCs w:val="18"/>
          <w:color w:val="auto"/>
        </w:rPr>
        <w:t>In order to implement the spin-off, the Company entered into certain agreements with Cable ONE to give effect to the legal and structural separation and to allocate various assets, liabilities and obligations between the Company and Cable ONE. In addition to executing the spin-off in the manner provided in the agreements, Cable ONE distributed $450 million in cash to the Company in June 2015 using the proceeds from their issuance of unsecured notes of $ 450 million. Also, in connection with the spin-off, the Company modified the terms of 10,830 restricted stock awards in the second quarter of 2015 affecting 21 Cable ONE employees. The modification resulted in the acceleration of the vesting period of 6,324 restricted stock awards and the forfeiture of 4,506 restricted stock awards. The Company recorded incremental stock compensation expense, net of forfeitures, in the second quarter of 2015 amounting to $3.7 million, which is reflected as discontinued operations in the Company’s Consolidated Financial Statements.</w:t>
      </w:r>
    </w:p>
    <w:p>
      <w:pPr>
        <w:spacing w:after="0" w:line="108" w:lineRule="exact"/>
        <w:rPr>
          <w:sz w:val="20"/>
          <w:szCs w:val="20"/>
          <w:color w:val="auto"/>
        </w:rPr>
      </w:pPr>
    </w:p>
    <w:p>
      <w:pPr>
        <w:ind w:right="20"/>
        <w:spacing w:after="0" w:line="231" w:lineRule="auto"/>
        <w:rPr>
          <w:sz w:val="20"/>
          <w:szCs w:val="20"/>
          <w:color w:val="auto"/>
        </w:rPr>
      </w:pPr>
      <w:r>
        <w:rPr>
          <w:rFonts w:ascii="Arial" w:cs="Arial" w:eastAsia="Arial" w:hAnsi="Arial"/>
          <w:sz w:val="18"/>
          <w:szCs w:val="18"/>
          <w:color w:val="auto"/>
        </w:rPr>
        <w:t>The spin-off resulted in a modification of some of the Company’s outstanding restricted stock awards and stock options due to the equity restructuring on July 1, 2015. The holders of restricted stock awards received Cable ONE restricted common stock, on a pro rata basis, as part of the distribution, while the stock options were modified to add an antidilution provision. The modification of the restricted stock awards resulted in an estimated incremental stock compensation expense of $3.0 million that is being recognized over the remaining service periods of the unvested restricted stock awards through the end of 2018. The modification of some of the stock options resulted in</w:t>
      </w:r>
    </w:p>
    <w:p>
      <w:pPr>
        <w:spacing w:after="0" w:line="200" w:lineRule="exact"/>
        <w:rPr>
          <w:sz w:val="20"/>
          <w:szCs w:val="20"/>
          <w:color w:val="auto"/>
        </w:rPr>
      </w:pPr>
    </w:p>
    <w:p>
      <w:pPr>
        <w:spacing w:after="0" w:line="27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00"/>
          </w:cols>
          <w:pgMar w:left="240" w:top="738" w:right="259" w:bottom="1440" w:gutter="0" w:footer="0" w:header="0"/>
        </w:sectPr>
      </w:pPr>
    </w:p>
    <w:bookmarkStart w:id="77" w:name="page78"/>
    <w:bookmarkEnd w:id="77"/>
    <w:p>
      <w:pPr>
        <w:ind w:right="120"/>
        <w:spacing w:after="0" w:line="234" w:lineRule="auto"/>
        <w:rPr>
          <w:sz w:val="20"/>
          <w:szCs w:val="20"/>
          <w:color w:val="auto"/>
        </w:rPr>
      </w:pPr>
      <w:r>
        <w:rPr>
          <w:rFonts w:ascii="Arial" w:cs="Arial" w:eastAsia="Arial" w:hAnsi="Arial"/>
          <w:sz w:val="18"/>
          <w:szCs w:val="18"/>
          <w:color w:val="auto"/>
        </w:rPr>
        <w:t>an incremental stock compensation expense of $23.5 million, of which $18.8 million related to fully vested stock options was recognized as a one-time expense in the third quarter of 2015, with the remaining $ 4.7 million to be recognized over the remaining service periods of the unvested stock options through the end of 2018. The $ 18.8 million expense is included in the Company’s corporate office segment results and in selling, general and administrative in the Company’s Consolidated Statements of Operations.</w:t>
      </w:r>
    </w:p>
    <w:p>
      <w:pPr>
        <w:spacing w:after="0" w:line="111" w:lineRule="exact"/>
        <w:rPr>
          <w:sz w:val="20"/>
          <w:szCs w:val="20"/>
          <w:color w:val="auto"/>
        </w:rPr>
      </w:pPr>
    </w:p>
    <w:p>
      <w:pPr>
        <w:ind w:right="40"/>
        <w:spacing w:after="0" w:line="234" w:lineRule="auto"/>
        <w:rPr>
          <w:sz w:val="20"/>
          <w:szCs w:val="20"/>
          <w:color w:val="auto"/>
        </w:rPr>
      </w:pPr>
      <w:r>
        <w:rPr>
          <w:rFonts w:ascii="Arial" w:cs="Arial" w:eastAsia="Arial" w:hAnsi="Arial"/>
          <w:sz w:val="18"/>
          <w:szCs w:val="18"/>
          <w:color w:val="auto"/>
        </w:rPr>
        <w:t>As a result of the spin-off, Cable ONE assumed the liability related to their employees participating in the Company’s Supplemental Executive Retirement Plan (SERP), and the Company eliminated the accrual of pension benefits for all Cable ONE employees related to their future service. As a result, the Company remeasured the accumulated and projected benefit obligation of the pension and SERP as of July 1, 2015. A pension curtailment gain of $2.2 million was recorded in the third quarter of 2015 in income from discontinued operations, net of tax.</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On July 1, 2015, the Company divested the following assets and liabilities which net to $406.5 million, or $312.3 million net of cash retained by</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Cable ONE on the Distribution Date:</w:t>
      </w:r>
    </w:p>
    <w:p>
      <w:pPr>
        <w:sectPr>
          <w:pgSz w:w="11900" w:h="16838" w:orient="portrait"/>
          <w:cols w:equalWidth="0" w:num="1">
            <w:col w:w="11420"/>
          </w:cols>
          <w:pgMar w:left="240" w:top="724" w:right="239" w:bottom="103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60"/>
        <w:spacing w:after="0"/>
        <w:rPr>
          <w:sz w:val="20"/>
          <w:szCs w:val="20"/>
          <w:color w:val="auto"/>
        </w:rPr>
      </w:pPr>
      <w:r>
        <w:rPr>
          <w:rFonts w:ascii="Arial" w:cs="Arial" w:eastAsia="Arial" w:hAnsi="Arial"/>
          <w:sz w:val="14"/>
          <w:szCs w:val="14"/>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26035</wp:posOffset>
            </wp:positionV>
            <wp:extent cx="721233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71" w:lineRule="exact"/>
        <w:rPr>
          <w:sz w:val="20"/>
          <w:szCs w:val="20"/>
          <w:color w:val="auto"/>
        </w:rPr>
      </w:pPr>
    </w:p>
    <w:p>
      <w:pPr>
        <w:ind w:left="60"/>
        <w:spacing w:after="0"/>
        <w:rPr>
          <w:sz w:val="20"/>
          <w:szCs w:val="20"/>
          <w:color w:val="auto"/>
        </w:rPr>
      </w:pPr>
      <w:r>
        <w:rPr>
          <w:rFonts w:ascii="Arial" w:cs="Arial" w:eastAsia="Arial" w:hAnsi="Arial"/>
          <w:sz w:val="16"/>
          <w:szCs w:val="16"/>
          <w:color w:val="auto"/>
        </w:rPr>
        <w:t>Cash and cash equivalents</w:t>
      </w:r>
    </w:p>
    <w:p>
      <w:pPr>
        <w:spacing w:after="0" w:line="86" w:lineRule="exact"/>
        <w:rPr>
          <w:sz w:val="20"/>
          <w:szCs w:val="20"/>
          <w:color w:val="auto"/>
        </w:rPr>
      </w:pPr>
    </w:p>
    <w:p>
      <w:pPr>
        <w:ind w:left="60"/>
        <w:spacing w:after="0"/>
        <w:rPr>
          <w:sz w:val="20"/>
          <w:szCs w:val="20"/>
          <w:color w:val="auto"/>
        </w:rPr>
      </w:pPr>
      <w:r>
        <w:rPr>
          <w:rFonts w:ascii="Arial" w:cs="Arial" w:eastAsia="Arial" w:hAnsi="Arial"/>
          <w:sz w:val="16"/>
          <w:szCs w:val="16"/>
          <w:color w:val="auto"/>
        </w:rPr>
        <w:t>Accounts receivable, net</w:t>
      </w:r>
    </w:p>
    <w:p>
      <w:pPr>
        <w:spacing w:after="0" w:line="86" w:lineRule="exact"/>
        <w:rPr>
          <w:sz w:val="20"/>
          <w:szCs w:val="20"/>
          <w:color w:val="auto"/>
        </w:rPr>
      </w:pPr>
    </w:p>
    <w:p>
      <w:pPr>
        <w:ind w:left="60"/>
        <w:spacing w:after="0"/>
        <w:rPr>
          <w:sz w:val="20"/>
          <w:szCs w:val="20"/>
          <w:color w:val="auto"/>
        </w:rPr>
      </w:pPr>
      <w:r>
        <w:rPr>
          <w:rFonts w:ascii="Arial" w:cs="Arial" w:eastAsia="Arial" w:hAnsi="Arial"/>
          <w:sz w:val="16"/>
          <w:szCs w:val="16"/>
          <w:color w:val="auto"/>
        </w:rPr>
        <w:t>Other current assets</w:t>
      </w:r>
    </w:p>
    <w:p>
      <w:pPr>
        <w:spacing w:after="0" w:line="84" w:lineRule="exact"/>
        <w:rPr>
          <w:sz w:val="20"/>
          <w:szCs w:val="20"/>
          <w:color w:val="auto"/>
        </w:rPr>
      </w:pPr>
    </w:p>
    <w:p>
      <w:pPr>
        <w:ind w:left="300"/>
        <w:spacing w:after="0"/>
        <w:rPr>
          <w:sz w:val="20"/>
          <w:szCs w:val="20"/>
          <w:color w:val="auto"/>
        </w:rPr>
      </w:pPr>
      <w:r>
        <w:rPr>
          <w:rFonts w:ascii="Arial" w:cs="Arial" w:eastAsia="Arial" w:hAnsi="Arial"/>
          <w:sz w:val="16"/>
          <w:szCs w:val="16"/>
          <w:b w:val="1"/>
          <w:bCs w:val="1"/>
          <w:color w:val="auto"/>
        </w:rPr>
        <w:t>Total current assets</w:t>
      </w:r>
    </w:p>
    <w:p>
      <w:pPr>
        <w:spacing w:after="0" w:line="88" w:lineRule="exact"/>
        <w:rPr>
          <w:sz w:val="20"/>
          <w:szCs w:val="20"/>
          <w:color w:val="auto"/>
        </w:rPr>
      </w:pPr>
    </w:p>
    <w:p>
      <w:pPr>
        <w:ind w:left="60"/>
        <w:spacing w:after="0"/>
        <w:rPr>
          <w:sz w:val="20"/>
          <w:szCs w:val="20"/>
          <w:color w:val="auto"/>
        </w:rPr>
      </w:pPr>
      <w:r>
        <w:rPr>
          <w:rFonts w:ascii="Arial" w:cs="Arial" w:eastAsia="Arial" w:hAnsi="Arial"/>
          <w:sz w:val="16"/>
          <w:szCs w:val="16"/>
          <w:color w:val="auto"/>
        </w:rPr>
        <w:t>Property, plant and equipment, net</w:t>
      </w:r>
    </w:p>
    <w:p>
      <w:pPr>
        <w:spacing w:after="0" w:line="86" w:lineRule="exact"/>
        <w:rPr>
          <w:sz w:val="20"/>
          <w:szCs w:val="20"/>
          <w:color w:val="auto"/>
        </w:rPr>
      </w:pPr>
    </w:p>
    <w:p>
      <w:pPr>
        <w:ind w:left="60"/>
        <w:spacing w:after="0"/>
        <w:rPr>
          <w:sz w:val="20"/>
          <w:szCs w:val="20"/>
          <w:color w:val="auto"/>
        </w:rPr>
      </w:pPr>
      <w:r>
        <w:rPr>
          <w:rFonts w:ascii="Arial" w:cs="Arial" w:eastAsia="Arial" w:hAnsi="Arial"/>
          <w:sz w:val="16"/>
          <w:szCs w:val="16"/>
          <w:color w:val="auto"/>
        </w:rPr>
        <w:t>Goodwill, net</w:t>
      </w:r>
    </w:p>
    <w:p>
      <w:pPr>
        <w:spacing w:after="0" w:line="86" w:lineRule="exact"/>
        <w:rPr>
          <w:sz w:val="20"/>
          <w:szCs w:val="20"/>
          <w:color w:val="auto"/>
        </w:rPr>
      </w:pPr>
    </w:p>
    <w:p>
      <w:pPr>
        <w:ind w:left="60"/>
        <w:spacing w:after="0"/>
        <w:rPr>
          <w:sz w:val="20"/>
          <w:szCs w:val="20"/>
          <w:color w:val="auto"/>
        </w:rPr>
      </w:pPr>
      <w:r>
        <w:rPr>
          <w:rFonts w:ascii="Arial" w:cs="Arial" w:eastAsia="Arial" w:hAnsi="Arial"/>
          <w:sz w:val="16"/>
          <w:szCs w:val="16"/>
          <w:color w:val="auto"/>
        </w:rPr>
        <w:t>Indefinite-lived intangible assets, net</w:t>
      </w:r>
    </w:p>
    <w:p>
      <w:pPr>
        <w:spacing w:after="0" w:line="86" w:lineRule="exact"/>
        <w:rPr>
          <w:sz w:val="20"/>
          <w:szCs w:val="20"/>
          <w:color w:val="auto"/>
        </w:rPr>
      </w:pPr>
    </w:p>
    <w:p>
      <w:pPr>
        <w:ind w:left="60"/>
        <w:spacing w:after="0"/>
        <w:rPr>
          <w:sz w:val="20"/>
          <w:szCs w:val="20"/>
          <w:color w:val="auto"/>
        </w:rPr>
      </w:pPr>
      <w:r>
        <w:rPr>
          <w:rFonts w:ascii="Arial" w:cs="Arial" w:eastAsia="Arial" w:hAnsi="Arial"/>
          <w:sz w:val="16"/>
          <w:szCs w:val="16"/>
          <w:color w:val="auto"/>
        </w:rPr>
        <w:t>Amortized intangible assets, net</w:t>
      </w:r>
    </w:p>
    <w:p>
      <w:pPr>
        <w:spacing w:after="0" w:line="86" w:lineRule="exact"/>
        <w:rPr>
          <w:sz w:val="20"/>
          <w:szCs w:val="20"/>
          <w:color w:val="auto"/>
        </w:rPr>
      </w:pPr>
    </w:p>
    <w:p>
      <w:pPr>
        <w:ind w:left="60"/>
        <w:spacing w:after="0"/>
        <w:rPr>
          <w:sz w:val="20"/>
          <w:szCs w:val="20"/>
          <w:color w:val="auto"/>
        </w:rPr>
      </w:pPr>
      <w:r>
        <w:rPr>
          <w:rFonts w:ascii="Arial" w:cs="Arial" w:eastAsia="Arial" w:hAnsi="Arial"/>
          <w:sz w:val="16"/>
          <w:szCs w:val="16"/>
          <w:color w:val="auto"/>
        </w:rPr>
        <w:t>Deferred charges and other assets</w:t>
      </w:r>
    </w:p>
    <w:p>
      <w:pPr>
        <w:spacing w:after="0" w:line="84" w:lineRule="exact"/>
        <w:rPr>
          <w:sz w:val="20"/>
          <w:szCs w:val="20"/>
          <w:color w:val="auto"/>
        </w:rPr>
      </w:pPr>
    </w:p>
    <w:p>
      <w:pPr>
        <w:ind w:left="300"/>
        <w:spacing w:after="0"/>
        <w:rPr>
          <w:sz w:val="20"/>
          <w:szCs w:val="20"/>
          <w:color w:val="auto"/>
        </w:rPr>
      </w:pPr>
      <w:r>
        <w:rPr>
          <w:rFonts w:ascii="Arial" w:cs="Arial" w:eastAsia="Arial" w:hAnsi="Arial"/>
          <w:sz w:val="16"/>
          <w:szCs w:val="16"/>
          <w:b w:val="1"/>
          <w:bCs w:val="1"/>
          <w:color w:val="auto"/>
        </w:rPr>
        <w:t>Total Assets</w:t>
      </w:r>
    </w:p>
    <w:p>
      <w:pPr>
        <w:spacing w:after="0" w:line="345" w:lineRule="exact"/>
        <w:rPr>
          <w:sz w:val="20"/>
          <w:szCs w:val="20"/>
          <w:color w:val="auto"/>
        </w:rPr>
      </w:pPr>
    </w:p>
    <w:p>
      <w:pPr>
        <w:ind w:left="60"/>
        <w:spacing w:after="0"/>
        <w:rPr>
          <w:sz w:val="20"/>
          <w:szCs w:val="20"/>
          <w:color w:val="auto"/>
        </w:rPr>
      </w:pPr>
      <w:r>
        <w:rPr>
          <w:rFonts w:ascii="Arial" w:cs="Arial" w:eastAsia="Arial" w:hAnsi="Arial"/>
          <w:sz w:val="16"/>
          <w:szCs w:val="16"/>
          <w:color w:val="auto"/>
        </w:rPr>
        <w:t>Accounts payable and accrued liabilities</w:t>
      </w:r>
    </w:p>
    <w:p>
      <w:pPr>
        <w:spacing w:after="0" w:line="86" w:lineRule="exact"/>
        <w:rPr>
          <w:sz w:val="20"/>
          <w:szCs w:val="20"/>
          <w:color w:val="auto"/>
        </w:rPr>
      </w:pPr>
    </w:p>
    <w:p>
      <w:pPr>
        <w:ind w:left="60"/>
        <w:spacing w:after="0"/>
        <w:rPr>
          <w:sz w:val="20"/>
          <w:szCs w:val="20"/>
          <w:color w:val="auto"/>
        </w:rPr>
      </w:pPr>
      <w:r>
        <w:rPr>
          <w:rFonts w:ascii="Arial" w:cs="Arial" w:eastAsia="Arial" w:hAnsi="Arial"/>
          <w:sz w:val="16"/>
          <w:szCs w:val="16"/>
          <w:color w:val="auto"/>
        </w:rPr>
        <w:t>Income taxes payable</w:t>
      </w:r>
    </w:p>
    <w:p>
      <w:pPr>
        <w:spacing w:after="0" w:line="86" w:lineRule="exact"/>
        <w:rPr>
          <w:sz w:val="20"/>
          <w:szCs w:val="20"/>
          <w:color w:val="auto"/>
        </w:rPr>
      </w:pPr>
    </w:p>
    <w:p>
      <w:pPr>
        <w:ind w:left="60"/>
        <w:spacing w:after="0"/>
        <w:rPr>
          <w:sz w:val="20"/>
          <w:szCs w:val="20"/>
          <w:color w:val="auto"/>
        </w:rPr>
      </w:pPr>
      <w:r>
        <w:rPr>
          <w:rFonts w:ascii="Arial" w:cs="Arial" w:eastAsia="Arial" w:hAnsi="Arial"/>
          <w:sz w:val="16"/>
          <w:szCs w:val="16"/>
          <w:color w:val="auto"/>
        </w:rPr>
        <w:t>Deferred revenue</w:t>
      </w:r>
    </w:p>
    <w:p>
      <w:pPr>
        <w:spacing w:after="0" w:line="86" w:lineRule="exact"/>
        <w:rPr>
          <w:sz w:val="20"/>
          <w:szCs w:val="20"/>
          <w:color w:val="auto"/>
        </w:rPr>
      </w:pPr>
    </w:p>
    <w:p>
      <w:pPr>
        <w:ind w:left="60"/>
        <w:spacing w:after="0"/>
        <w:rPr>
          <w:sz w:val="20"/>
          <w:szCs w:val="20"/>
          <w:color w:val="auto"/>
        </w:rPr>
      </w:pPr>
      <w:r>
        <w:rPr>
          <w:rFonts w:ascii="Arial" w:cs="Arial" w:eastAsia="Arial" w:hAnsi="Arial"/>
          <w:sz w:val="16"/>
          <w:szCs w:val="16"/>
          <w:color w:val="auto"/>
        </w:rPr>
        <w:t>Short-term borrowings</w:t>
      </w:r>
    </w:p>
    <w:p>
      <w:pPr>
        <w:spacing w:after="0" w:line="84" w:lineRule="exact"/>
        <w:rPr>
          <w:sz w:val="20"/>
          <w:szCs w:val="20"/>
          <w:color w:val="auto"/>
        </w:rPr>
      </w:pPr>
    </w:p>
    <w:p>
      <w:pPr>
        <w:ind w:left="300"/>
        <w:spacing w:after="0"/>
        <w:rPr>
          <w:sz w:val="20"/>
          <w:szCs w:val="20"/>
          <w:color w:val="auto"/>
        </w:rPr>
      </w:pPr>
      <w:r>
        <w:rPr>
          <w:rFonts w:ascii="Arial" w:cs="Arial" w:eastAsia="Arial" w:hAnsi="Arial"/>
          <w:sz w:val="16"/>
          <w:szCs w:val="16"/>
          <w:b w:val="1"/>
          <w:bCs w:val="1"/>
          <w:color w:val="auto"/>
        </w:rPr>
        <w:t>Total current liabilities</w:t>
      </w:r>
    </w:p>
    <w:p>
      <w:pPr>
        <w:spacing w:after="0" w:line="88" w:lineRule="exact"/>
        <w:rPr>
          <w:sz w:val="20"/>
          <w:szCs w:val="20"/>
          <w:color w:val="auto"/>
        </w:rPr>
      </w:pPr>
    </w:p>
    <w:p>
      <w:pPr>
        <w:ind w:left="60"/>
        <w:spacing w:after="0"/>
        <w:rPr>
          <w:sz w:val="20"/>
          <w:szCs w:val="20"/>
          <w:color w:val="auto"/>
        </w:rPr>
      </w:pPr>
      <w:r>
        <w:rPr>
          <w:rFonts w:ascii="Arial" w:cs="Arial" w:eastAsia="Arial" w:hAnsi="Arial"/>
          <w:sz w:val="16"/>
          <w:szCs w:val="16"/>
          <w:color w:val="auto"/>
        </w:rPr>
        <w:t>Accrued compensation and related benefits</w:t>
      </w:r>
    </w:p>
    <w:p>
      <w:pPr>
        <w:spacing w:after="0" w:line="86" w:lineRule="exact"/>
        <w:rPr>
          <w:sz w:val="20"/>
          <w:szCs w:val="20"/>
          <w:color w:val="auto"/>
        </w:rPr>
      </w:pPr>
    </w:p>
    <w:p>
      <w:pPr>
        <w:ind w:left="60"/>
        <w:spacing w:after="0"/>
        <w:rPr>
          <w:sz w:val="20"/>
          <w:szCs w:val="20"/>
          <w:color w:val="auto"/>
        </w:rPr>
      </w:pPr>
      <w:r>
        <w:rPr>
          <w:rFonts w:ascii="Arial" w:cs="Arial" w:eastAsia="Arial" w:hAnsi="Arial"/>
          <w:sz w:val="16"/>
          <w:szCs w:val="16"/>
          <w:color w:val="auto"/>
        </w:rPr>
        <w:t>Other liabilities</w:t>
      </w:r>
    </w:p>
    <w:p>
      <w:pPr>
        <w:spacing w:after="0" w:line="86" w:lineRule="exact"/>
        <w:rPr>
          <w:sz w:val="20"/>
          <w:szCs w:val="20"/>
          <w:color w:val="auto"/>
        </w:rPr>
      </w:pPr>
    </w:p>
    <w:p>
      <w:pPr>
        <w:ind w:left="60"/>
        <w:spacing w:after="0"/>
        <w:rPr>
          <w:sz w:val="20"/>
          <w:szCs w:val="20"/>
          <w:color w:val="auto"/>
        </w:rPr>
      </w:pPr>
      <w:r>
        <w:rPr>
          <w:rFonts w:ascii="Arial" w:cs="Arial" w:eastAsia="Arial" w:hAnsi="Arial"/>
          <w:sz w:val="16"/>
          <w:szCs w:val="16"/>
          <w:color w:val="auto"/>
        </w:rPr>
        <w:t>Deferred income taxes</w:t>
      </w:r>
    </w:p>
    <w:p>
      <w:pPr>
        <w:spacing w:after="0" w:line="86" w:lineRule="exact"/>
        <w:rPr>
          <w:sz w:val="20"/>
          <w:szCs w:val="20"/>
          <w:color w:val="auto"/>
        </w:rPr>
      </w:pPr>
    </w:p>
    <w:p>
      <w:pPr>
        <w:ind w:left="60"/>
        <w:spacing w:after="0"/>
        <w:rPr>
          <w:sz w:val="20"/>
          <w:szCs w:val="20"/>
          <w:color w:val="auto"/>
        </w:rPr>
      </w:pPr>
      <w:r>
        <w:rPr>
          <w:rFonts w:ascii="Arial" w:cs="Arial" w:eastAsia="Arial" w:hAnsi="Arial"/>
          <w:sz w:val="16"/>
          <w:szCs w:val="16"/>
          <w:color w:val="auto"/>
        </w:rPr>
        <w:t>Long-term debt</w:t>
      </w:r>
    </w:p>
    <w:p>
      <w:pPr>
        <w:spacing w:after="0" w:line="84" w:lineRule="exact"/>
        <w:rPr>
          <w:sz w:val="20"/>
          <w:szCs w:val="20"/>
          <w:color w:val="auto"/>
        </w:rPr>
      </w:pPr>
    </w:p>
    <w:p>
      <w:pPr>
        <w:ind w:left="300"/>
        <w:spacing w:after="0"/>
        <w:rPr>
          <w:sz w:val="20"/>
          <w:szCs w:val="20"/>
          <w:color w:val="auto"/>
        </w:rPr>
      </w:pPr>
      <w:r>
        <w:rPr>
          <w:rFonts w:ascii="Arial" w:cs="Arial" w:eastAsia="Arial" w:hAnsi="Arial"/>
          <w:sz w:val="16"/>
          <w:szCs w:val="16"/>
          <w:b w:val="1"/>
          <w:bCs w:val="1"/>
          <w:color w:val="auto"/>
        </w:rPr>
        <w:t>Total Liabilities</w:t>
      </w:r>
    </w:p>
    <w:p>
      <w:pPr>
        <w:spacing w:after="0" w:line="343"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Net assets divested in the Spin-Off</w:t>
      </w:r>
    </w:p>
    <w:p>
      <w:pPr>
        <w:spacing w:after="0" w:line="20" w:lineRule="exact"/>
        <w:rPr>
          <w:sz w:val="20"/>
          <w:szCs w:val="20"/>
          <w:color w:val="auto"/>
        </w:rPr>
      </w:pPr>
      <w:r>
        <w:rPr>
          <w:sz w:val="20"/>
          <w:szCs w:val="20"/>
          <w:color w:val="auto"/>
        </w:rPr>
        <w:br w:type="column"/>
      </w:r>
    </w:p>
    <w:p>
      <w:pPr>
        <w:spacing w:after="0" w:line="339" w:lineRule="exact"/>
        <w:rPr>
          <w:sz w:val="20"/>
          <w:szCs w:val="20"/>
          <w:color w:val="auto"/>
        </w:rPr>
      </w:pPr>
    </w:p>
    <w:p>
      <w:pPr>
        <w:jc w:val="center"/>
        <w:ind w:right="60"/>
        <w:spacing w:after="0"/>
        <w:rPr>
          <w:sz w:val="20"/>
          <w:szCs w:val="20"/>
          <w:color w:val="auto"/>
        </w:rPr>
      </w:pPr>
      <w:r>
        <w:rPr>
          <w:rFonts w:ascii="Arial" w:cs="Arial" w:eastAsia="Arial" w:hAnsi="Arial"/>
          <w:sz w:val="14"/>
          <w:szCs w:val="14"/>
          <w:b w:val="1"/>
          <w:bCs w:val="1"/>
          <w:color w:val="auto"/>
        </w:rPr>
        <w:t>As of</w:t>
      </w:r>
    </w:p>
    <w:p>
      <w:pPr>
        <w:spacing w:after="0" w:line="109" w:lineRule="exact"/>
        <w:rPr>
          <w:sz w:val="20"/>
          <w:szCs w:val="20"/>
          <w:color w:val="auto"/>
        </w:rPr>
      </w:pPr>
    </w:p>
    <w:p>
      <w:pPr>
        <w:jc w:val="center"/>
        <w:ind w:right="60"/>
        <w:spacing w:after="0"/>
        <w:rPr>
          <w:sz w:val="20"/>
          <w:szCs w:val="20"/>
          <w:color w:val="auto"/>
        </w:rPr>
      </w:pPr>
      <w:r>
        <w:rPr>
          <w:rFonts w:ascii="Arial" w:cs="Arial" w:eastAsia="Arial" w:hAnsi="Arial"/>
          <w:sz w:val="14"/>
          <w:szCs w:val="14"/>
          <w:b w:val="1"/>
          <w:bCs w:val="1"/>
          <w:color w:val="auto"/>
        </w:rPr>
        <w:t>July 1, 2015</w:t>
      </w:r>
    </w:p>
    <w:p>
      <w:pPr>
        <w:spacing w:after="0" w:line="93" w:lineRule="exact"/>
        <w:rPr>
          <w:sz w:val="20"/>
          <w:szCs w:val="20"/>
          <w:color w:val="auto"/>
        </w:rPr>
      </w:pPr>
    </w:p>
    <w:p>
      <w:pPr>
        <w:ind w:left="860" w:hanging="852"/>
        <w:spacing w:after="0"/>
        <w:tabs>
          <w:tab w:leader="none" w:pos="860" w:val="left"/>
        </w:tabs>
        <w:numPr>
          <w:ilvl w:val="0"/>
          <w:numId w:val="55"/>
        </w:numPr>
        <w:rPr>
          <w:rFonts w:ascii="Arial" w:cs="Arial" w:eastAsia="Arial" w:hAnsi="Arial"/>
          <w:sz w:val="15"/>
          <w:szCs w:val="15"/>
          <w:color w:val="auto"/>
        </w:rPr>
      </w:pPr>
      <w:r>
        <w:rPr>
          <w:rFonts w:ascii="Arial" w:cs="Arial" w:eastAsia="Arial" w:hAnsi="Arial"/>
          <w:sz w:val="15"/>
          <w:szCs w:val="15"/>
          <w:color w:val="auto"/>
        </w:rPr>
        <w:t>94,115</w:t>
      </w:r>
    </w:p>
    <w:p>
      <w:pPr>
        <w:spacing w:after="0" w:line="97" w:lineRule="exact"/>
        <w:rPr>
          <w:rFonts w:ascii="Arial" w:cs="Arial" w:eastAsia="Arial" w:hAnsi="Arial"/>
          <w:sz w:val="15"/>
          <w:szCs w:val="15"/>
          <w:color w:val="auto"/>
        </w:rPr>
      </w:pPr>
    </w:p>
    <w:p>
      <w:pPr>
        <w:ind w:left="840"/>
        <w:spacing w:after="0"/>
        <w:rPr>
          <w:rFonts w:ascii="Arial" w:cs="Arial" w:eastAsia="Arial" w:hAnsi="Arial"/>
          <w:sz w:val="15"/>
          <w:szCs w:val="15"/>
          <w:color w:val="auto"/>
        </w:rPr>
      </w:pPr>
      <w:r>
        <w:rPr>
          <w:rFonts w:ascii="Arial" w:cs="Arial" w:eastAsia="Arial" w:hAnsi="Arial"/>
          <w:sz w:val="16"/>
          <w:szCs w:val="16"/>
          <w:color w:val="auto"/>
        </w:rPr>
        <w:t>29,778</w:t>
      </w:r>
    </w:p>
    <w:p>
      <w:pPr>
        <w:spacing w:after="0" w:line="86" w:lineRule="exact"/>
        <w:rPr>
          <w:rFonts w:ascii="Arial" w:cs="Arial" w:eastAsia="Arial" w:hAnsi="Arial"/>
          <w:sz w:val="15"/>
          <w:szCs w:val="15"/>
          <w:color w:val="auto"/>
        </w:rPr>
      </w:pPr>
    </w:p>
    <w:p>
      <w:pPr>
        <w:ind w:left="840"/>
        <w:spacing w:after="0"/>
        <w:rPr>
          <w:rFonts w:ascii="Arial" w:cs="Arial" w:eastAsia="Arial" w:hAnsi="Arial"/>
          <w:sz w:val="15"/>
          <w:szCs w:val="15"/>
          <w:color w:val="auto"/>
        </w:rPr>
      </w:pPr>
      <w:r>
        <w:rPr>
          <w:rFonts w:ascii="Arial" w:cs="Arial" w:eastAsia="Arial" w:hAnsi="Arial"/>
          <w:sz w:val="16"/>
          <w:szCs w:val="16"/>
          <w:color w:val="auto"/>
        </w:rPr>
        <w:t>14,182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31750</wp:posOffset>
            </wp:positionV>
            <wp:extent cx="9347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934720" cy="8890"/>
                    </a:xfrm>
                    <a:prstGeom prst="rect">
                      <a:avLst/>
                    </a:prstGeom>
                    <a:noFill/>
                  </pic:spPr>
                </pic:pic>
              </a:graphicData>
            </a:graphic>
          </wp:anchor>
        </w:drawing>
      </w:r>
    </w:p>
    <w:p>
      <w:pPr>
        <w:spacing w:after="0" w:line="66" w:lineRule="exact"/>
        <w:rPr>
          <w:sz w:val="20"/>
          <w:szCs w:val="20"/>
          <w:color w:val="auto"/>
        </w:rPr>
      </w:pPr>
    </w:p>
    <w:p>
      <w:pPr>
        <w:jc w:val="right"/>
        <w:ind w:right="140"/>
        <w:spacing w:after="0"/>
        <w:rPr>
          <w:sz w:val="20"/>
          <w:szCs w:val="20"/>
          <w:color w:val="auto"/>
        </w:rPr>
      </w:pPr>
      <w:r>
        <w:rPr>
          <w:rFonts w:ascii="Arial" w:cs="Arial" w:eastAsia="Arial" w:hAnsi="Arial"/>
          <w:sz w:val="16"/>
          <w:szCs w:val="16"/>
          <w:color w:val="auto"/>
        </w:rPr>
        <w:t>138,075</w:t>
      </w:r>
    </w:p>
    <w:p>
      <w:pPr>
        <w:spacing w:after="0" w:line="86" w:lineRule="exact"/>
        <w:rPr>
          <w:sz w:val="20"/>
          <w:szCs w:val="20"/>
          <w:color w:val="auto"/>
        </w:rPr>
      </w:pPr>
    </w:p>
    <w:p>
      <w:pPr>
        <w:jc w:val="right"/>
        <w:ind w:right="140"/>
        <w:spacing w:after="0"/>
        <w:rPr>
          <w:sz w:val="20"/>
          <w:szCs w:val="20"/>
          <w:color w:val="auto"/>
        </w:rPr>
      </w:pPr>
      <w:r>
        <w:rPr>
          <w:rFonts w:ascii="Arial" w:cs="Arial" w:eastAsia="Arial" w:hAnsi="Arial"/>
          <w:sz w:val="16"/>
          <w:szCs w:val="16"/>
          <w:color w:val="auto"/>
        </w:rPr>
        <w:t>612,812</w:t>
      </w:r>
    </w:p>
    <w:p>
      <w:pPr>
        <w:spacing w:after="0" w:line="86" w:lineRule="exact"/>
        <w:rPr>
          <w:sz w:val="20"/>
          <w:szCs w:val="20"/>
          <w:color w:val="auto"/>
        </w:rPr>
      </w:pPr>
    </w:p>
    <w:p>
      <w:pPr>
        <w:jc w:val="right"/>
        <w:ind w:right="140"/>
        <w:spacing w:after="0"/>
        <w:rPr>
          <w:sz w:val="20"/>
          <w:szCs w:val="20"/>
          <w:color w:val="auto"/>
        </w:rPr>
      </w:pPr>
      <w:r>
        <w:rPr>
          <w:rFonts w:ascii="Arial" w:cs="Arial" w:eastAsia="Arial" w:hAnsi="Arial"/>
          <w:sz w:val="16"/>
          <w:szCs w:val="16"/>
          <w:color w:val="auto"/>
        </w:rPr>
        <w:t>85,488</w:t>
      </w:r>
    </w:p>
    <w:p>
      <w:pPr>
        <w:spacing w:after="0" w:line="86" w:lineRule="exact"/>
        <w:rPr>
          <w:sz w:val="20"/>
          <w:szCs w:val="20"/>
          <w:color w:val="auto"/>
        </w:rPr>
      </w:pPr>
    </w:p>
    <w:p>
      <w:pPr>
        <w:jc w:val="right"/>
        <w:ind w:right="140"/>
        <w:spacing w:after="0"/>
        <w:rPr>
          <w:sz w:val="20"/>
          <w:szCs w:val="20"/>
          <w:color w:val="auto"/>
        </w:rPr>
      </w:pPr>
      <w:r>
        <w:rPr>
          <w:rFonts w:ascii="Arial" w:cs="Arial" w:eastAsia="Arial" w:hAnsi="Arial"/>
          <w:sz w:val="16"/>
          <w:szCs w:val="16"/>
          <w:color w:val="auto"/>
        </w:rPr>
        <w:t>496,321</w:t>
      </w:r>
    </w:p>
    <w:p>
      <w:pPr>
        <w:spacing w:after="0" w:line="86" w:lineRule="exact"/>
        <w:rPr>
          <w:sz w:val="20"/>
          <w:szCs w:val="20"/>
          <w:color w:val="auto"/>
        </w:rPr>
      </w:pPr>
    </w:p>
    <w:p>
      <w:pPr>
        <w:jc w:val="right"/>
        <w:ind w:right="140"/>
        <w:spacing w:after="0"/>
        <w:rPr>
          <w:sz w:val="20"/>
          <w:szCs w:val="20"/>
          <w:color w:val="auto"/>
        </w:rPr>
      </w:pPr>
      <w:r>
        <w:rPr>
          <w:rFonts w:ascii="Arial" w:cs="Arial" w:eastAsia="Arial" w:hAnsi="Arial"/>
          <w:sz w:val="16"/>
          <w:szCs w:val="16"/>
          <w:color w:val="auto"/>
        </w:rPr>
        <w:t>510</w:t>
      </w:r>
    </w:p>
    <w:p>
      <w:pPr>
        <w:spacing w:after="0" w:line="86" w:lineRule="exact"/>
        <w:rPr>
          <w:sz w:val="20"/>
          <w:szCs w:val="20"/>
          <w:color w:val="auto"/>
        </w:rPr>
      </w:pPr>
    </w:p>
    <w:p>
      <w:pPr>
        <w:jc w:val="right"/>
        <w:ind w:right="140"/>
        <w:spacing w:after="0"/>
        <w:rPr>
          <w:sz w:val="20"/>
          <w:szCs w:val="20"/>
          <w:color w:val="auto"/>
        </w:rPr>
      </w:pPr>
      <w:r>
        <w:rPr>
          <w:rFonts w:ascii="Arial" w:cs="Arial" w:eastAsia="Arial" w:hAnsi="Arial"/>
          <w:sz w:val="16"/>
          <w:szCs w:val="16"/>
          <w:color w:val="auto"/>
        </w:rPr>
        <w:t>22,541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31750</wp:posOffset>
            </wp:positionV>
            <wp:extent cx="9347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934720" cy="8890"/>
                    </a:xfrm>
                    <a:prstGeom prst="rect">
                      <a:avLst/>
                    </a:prstGeom>
                    <a:noFill/>
                  </pic:spPr>
                </pic:pic>
              </a:graphicData>
            </a:graphic>
          </wp:anchor>
        </w:drawing>
      </w:r>
    </w:p>
    <w:p>
      <w:pPr>
        <w:spacing w:after="0" w:line="64" w:lineRule="exact"/>
        <w:rPr>
          <w:sz w:val="20"/>
          <w:szCs w:val="20"/>
          <w:color w:val="auto"/>
        </w:rPr>
      </w:pPr>
    </w:p>
    <w:p>
      <w:pPr>
        <w:ind w:left="620" w:hanging="612"/>
        <w:spacing w:after="0"/>
        <w:tabs>
          <w:tab w:leader="none" w:pos="620" w:val="left"/>
        </w:tabs>
        <w:numPr>
          <w:ilvl w:val="0"/>
          <w:numId w:val="56"/>
        </w:numPr>
        <w:rPr>
          <w:rFonts w:ascii="Arial" w:cs="Arial" w:eastAsia="Arial" w:hAnsi="Arial"/>
          <w:sz w:val="16"/>
          <w:szCs w:val="16"/>
          <w:b w:val="1"/>
          <w:bCs w:val="1"/>
          <w:color w:val="auto"/>
        </w:rPr>
      </w:pPr>
      <w:r>
        <w:rPr>
          <w:rFonts w:ascii="Arial" w:cs="Arial" w:eastAsia="Arial" w:hAnsi="Arial"/>
          <w:sz w:val="16"/>
          <w:szCs w:val="16"/>
          <w:b w:val="1"/>
          <w:bCs w:val="1"/>
          <w:color w:val="auto"/>
        </w:rPr>
        <w:t>1,355,747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33020</wp:posOffset>
            </wp:positionV>
            <wp:extent cx="9347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934720" cy="8890"/>
                    </a:xfrm>
                    <a:prstGeom prst="rect">
                      <a:avLst/>
                    </a:prstGeom>
                    <a:noFill/>
                  </pic:spPr>
                </pic:pic>
              </a:graphicData>
            </a:graphic>
          </wp:anchor>
        </w:drawing>
      </w:r>
    </w:p>
    <w:p>
      <w:pPr>
        <w:spacing w:after="0" w:line="325" w:lineRule="exact"/>
        <w:rPr>
          <w:sz w:val="20"/>
          <w:szCs w:val="20"/>
          <w:color w:val="auto"/>
        </w:rPr>
      </w:pPr>
    </w:p>
    <w:p>
      <w:pPr>
        <w:ind w:left="840" w:hanging="832"/>
        <w:spacing w:after="0"/>
        <w:tabs>
          <w:tab w:leader="none" w:pos="840" w:val="left"/>
        </w:tabs>
        <w:numPr>
          <w:ilvl w:val="0"/>
          <w:numId w:val="57"/>
        </w:numPr>
        <w:rPr>
          <w:rFonts w:ascii="Arial" w:cs="Arial" w:eastAsia="Arial" w:hAnsi="Arial"/>
          <w:sz w:val="16"/>
          <w:szCs w:val="16"/>
          <w:color w:val="auto"/>
        </w:rPr>
      </w:pPr>
      <w:r>
        <w:rPr>
          <w:rFonts w:ascii="Arial" w:cs="Arial" w:eastAsia="Arial" w:hAnsi="Arial"/>
          <w:sz w:val="16"/>
          <w:szCs w:val="16"/>
          <w:color w:val="auto"/>
        </w:rPr>
        <w:t>70,920</w:t>
      </w:r>
    </w:p>
    <w:p>
      <w:pPr>
        <w:spacing w:after="0" w:line="86" w:lineRule="exact"/>
        <w:rPr>
          <w:rFonts w:ascii="Arial" w:cs="Arial" w:eastAsia="Arial" w:hAnsi="Arial"/>
          <w:sz w:val="16"/>
          <w:szCs w:val="16"/>
          <w:color w:val="auto"/>
        </w:rPr>
      </w:pPr>
    </w:p>
    <w:p>
      <w:pPr>
        <w:ind w:left="940"/>
        <w:spacing w:after="0"/>
        <w:rPr>
          <w:rFonts w:ascii="Arial" w:cs="Arial" w:eastAsia="Arial" w:hAnsi="Arial"/>
          <w:sz w:val="16"/>
          <w:szCs w:val="16"/>
          <w:color w:val="auto"/>
        </w:rPr>
      </w:pPr>
      <w:r>
        <w:rPr>
          <w:rFonts w:ascii="Arial" w:cs="Arial" w:eastAsia="Arial" w:hAnsi="Arial"/>
          <w:sz w:val="15"/>
          <w:szCs w:val="15"/>
          <w:color w:val="auto"/>
        </w:rPr>
        <w:t>2,962</w:t>
      </w:r>
    </w:p>
    <w:p>
      <w:pPr>
        <w:spacing w:after="0" w:line="98" w:lineRule="exact"/>
        <w:rPr>
          <w:sz w:val="20"/>
          <w:szCs w:val="20"/>
          <w:color w:val="auto"/>
        </w:rPr>
      </w:pPr>
    </w:p>
    <w:p>
      <w:pPr>
        <w:jc w:val="right"/>
        <w:ind w:right="140"/>
        <w:spacing w:after="0"/>
        <w:rPr>
          <w:sz w:val="20"/>
          <w:szCs w:val="20"/>
          <w:color w:val="auto"/>
        </w:rPr>
      </w:pPr>
      <w:r>
        <w:rPr>
          <w:rFonts w:ascii="Arial" w:cs="Arial" w:eastAsia="Arial" w:hAnsi="Arial"/>
          <w:sz w:val="16"/>
          <w:szCs w:val="16"/>
          <w:color w:val="auto"/>
        </w:rPr>
        <w:t>21,883</w:t>
      </w:r>
    </w:p>
    <w:p>
      <w:pPr>
        <w:spacing w:after="0" w:line="86" w:lineRule="exact"/>
        <w:rPr>
          <w:sz w:val="20"/>
          <w:szCs w:val="20"/>
          <w:color w:val="auto"/>
        </w:rPr>
      </w:pPr>
    </w:p>
    <w:p>
      <w:pPr>
        <w:jc w:val="right"/>
        <w:ind w:right="140"/>
        <w:spacing w:after="0"/>
        <w:rPr>
          <w:sz w:val="20"/>
          <w:szCs w:val="20"/>
          <w:color w:val="auto"/>
        </w:rPr>
      </w:pPr>
      <w:r>
        <w:rPr>
          <w:rFonts w:ascii="Arial" w:cs="Arial" w:eastAsia="Arial" w:hAnsi="Arial"/>
          <w:sz w:val="16"/>
          <w:szCs w:val="16"/>
          <w:color w:val="auto"/>
        </w:rPr>
        <w:t>2,500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31750</wp:posOffset>
            </wp:positionV>
            <wp:extent cx="9347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934720" cy="8890"/>
                    </a:xfrm>
                    <a:prstGeom prst="rect">
                      <a:avLst/>
                    </a:prstGeom>
                    <a:noFill/>
                  </pic:spPr>
                </pic:pic>
              </a:graphicData>
            </a:graphic>
          </wp:anchor>
        </w:drawing>
      </w:r>
    </w:p>
    <w:p>
      <w:pPr>
        <w:spacing w:after="0" w:line="66" w:lineRule="exact"/>
        <w:rPr>
          <w:sz w:val="20"/>
          <w:szCs w:val="20"/>
          <w:color w:val="auto"/>
        </w:rPr>
      </w:pPr>
    </w:p>
    <w:p>
      <w:pPr>
        <w:jc w:val="right"/>
        <w:ind w:right="140"/>
        <w:spacing w:after="0"/>
        <w:rPr>
          <w:sz w:val="20"/>
          <w:szCs w:val="20"/>
          <w:color w:val="auto"/>
        </w:rPr>
      </w:pPr>
      <w:r>
        <w:rPr>
          <w:rFonts w:ascii="Arial" w:cs="Arial" w:eastAsia="Arial" w:hAnsi="Arial"/>
          <w:sz w:val="16"/>
          <w:szCs w:val="16"/>
          <w:color w:val="auto"/>
        </w:rPr>
        <w:t>98,265</w:t>
      </w:r>
    </w:p>
    <w:p>
      <w:pPr>
        <w:spacing w:after="0" w:line="86" w:lineRule="exact"/>
        <w:rPr>
          <w:sz w:val="20"/>
          <w:szCs w:val="20"/>
          <w:color w:val="auto"/>
        </w:rPr>
      </w:pPr>
    </w:p>
    <w:p>
      <w:pPr>
        <w:jc w:val="right"/>
        <w:ind w:right="140"/>
        <w:spacing w:after="0"/>
        <w:rPr>
          <w:sz w:val="20"/>
          <w:szCs w:val="20"/>
          <w:color w:val="auto"/>
        </w:rPr>
      </w:pPr>
      <w:r>
        <w:rPr>
          <w:rFonts w:ascii="Arial" w:cs="Arial" w:eastAsia="Arial" w:hAnsi="Arial"/>
          <w:sz w:val="16"/>
          <w:szCs w:val="16"/>
          <w:color w:val="auto"/>
        </w:rPr>
        <w:t>24,227</w:t>
      </w:r>
    </w:p>
    <w:p>
      <w:pPr>
        <w:spacing w:after="0" w:line="86" w:lineRule="exact"/>
        <w:rPr>
          <w:sz w:val="20"/>
          <w:szCs w:val="20"/>
          <w:color w:val="auto"/>
        </w:rPr>
      </w:pPr>
    </w:p>
    <w:p>
      <w:pPr>
        <w:jc w:val="right"/>
        <w:ind w:right="140"/>
        <w:spacing w:after="0"/>
        <w:rPr>
          <w:sz w:val="20"/>
          <w:szCs w:val="20"/>
          <w:color w:val="auto"/>
        </w:rPr>
      </w:pPr>
      <w:r>
        <w:rPr>
          <w:rFonts w:ascii="Arial" w:cs="Arial" w:eastAsia="Arial" w:hAnsi="Arial"/>
          <w:sz w:val="16"/>
          <w:szCs w:val="16"/>
          <w:color w:val="auto"/>
        </w:rPr>
        <w:t>57</w:t>
      </w:r>
    </w:p>
    <w:p>
      <w:pPr>
        <w:spacing w:after="0" w:line="86" w:lineRule="exact"/>
        <w:rPr>
          <w:sz w:val="20"/>
          <w:szCs w:val="20"/>
          <w:color w:val="auto"/>
        </w:rPr>
      </w:pPr>
    </w:p>
    <w:p>
      <w:pPr>
        <w:jc w:val="right"/>
        <w:ind w:right="140"/>
        <w:spacing w:after="0"/>
        <w:rPr>
          <w:sz w:val="20"/>
          <w:szCs w:val="20"/>
          <w:color w:val="auto"/>
        </w:rPr>
      </w:pPr>
      <w:r>
        <w:rPr>
          <w:rFonts w:ascii="Arial" w:cs="Arial" w:eastAsia="Arial" w:hAnsi="Arial"/>
          <w:sz w:val="16"/>
          <w:szCs w:val="16"/>
          <w:color w:val="auto"/>
        </w:rPr>
        <w:t>279,245</w:t>
      </w:r>
    </w:p>
    <w:p>
      <w:pPr>
        <w:spacing w:after="0" w:line="86" w:lineRule="exact"/>
        <w:rPr>
          <w:sz w:val="20"/>
          <w:szCs w:val="20"/>
          <w:color w:val="auto"/>
        </w:rPr>
      </w:pPr>
    </w:p>
    <w:p>
      <w:pPr>
        <w:jc w:val="right"/>
        <w:ind w:right="140"/>
        <w:spacing w:after="0"/>
        <w:rPr>
          <w:sz w:val="20"/>
          <w:szCs w:val="20"/>
          <w:color w:val="auto"/>
        </w:rPr>
      </w:pPr>
      <w:r>
        <w:rPr>
          <w:rFonts w:ascii="Arial" w:cs="Arial" w:eastAsia="Arial" w:hAnsi="Arial"/>
          <w:sz w:val="16"/>
          <w:szCs w:val="16"/>
          <w:color w:val="auto"/>
        </w:rPr>
        <w:t>547,500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31750</wp:posOffset>
            </wp:positionV>
            <wp:extent cx="9347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934720" cy="8890"/>
                    </a:xfrm>
                    <a:prstGeom prst="rect">
                      <a:avLst/>
                    </a:prstGeom>
                    <a:noFill/>
                  </pic:spPr>
                </pic:pic>
              </a:graphicData>
            </a:graphic>
          </wp:anchor>
        </w:drawing>
      </w:r>
    </w:p>
    <w:p>
      <w:pPr>
        <w:spacing w:after="0" w:line="64" w:lineRule="exact"/>
        <w:rPr>
          <w:sz w:val="20"/>
          <w:szCs w:val="20"/>
          <w:color w:val="auto"/>
        </w:rPr>
      </w:pPr>
    </w:p>
    <w:p>
      <w:pPr>
        <w:ind w:left="760" w:hanging="752"/>
        <w:spacing w:after="0"/>
        <w:tabs>
          <w:tab w:leader="none" w:pos="760" w:val="left"/>
        </w:tabs>
        <w:numPr>
          <w:ilvl w:val="0"/>
          <w:numId w:val="58"/>
        </w:numPr>
        <w:rPr>
          <w:rFonts w:ascii="Arial" w:cs="Arial" w:eastAsia="Arial" w:hAnsi="Arial"/>
          <w:sz w:val="16"/>
          <w:szCs w:val="16"/>
          <w:b w:val="1"/>
          <w:bCs w:val="1"/>
          <w:color w:val="auto"/>
        </w:rPr>
      </w:pPr>
      <w:r>
        <w:rPr>
          <w:rFonts w:ascii="Arial" w:cs="Arial" w:eastAsia="Arial" w:hAnsi="Arial"/>
          <w:sz w:val="16"/>
          <w:szCs w:val="16"/>
          <w:b w:val="1"/>
          <w:bCs w:val="1"/>
          <w:color w:val="auto"/>
        </w:rPr>
        <w:t>949,294</w:t>
      </w:r>
    </w:p>
    <w:p>
      <w:pPr>
        <w:spacing w:after="0" w:line="329" w:lineRule="exact"/>
        <w:rPr>
          <w:rFonts w:ascii="Arial" w:cs="Arial" w:eastAsia="Arial" w:hAnsi="Arial"/>
          <w:sz w:val="16"/>
          <w:szCs w:val="16"/>
          <w:b w:val="1"/>
          <w:bCs w:val="1"/>
          <w:color w:val="auto"/>
        </w:rPr>
      </w:pPr>
    </w:p>
    <w:p>
      <w:pPr>
        <w:ind w:left="760" w:hanging="752"/>
        <w:spacing w:after="0"/>
        <w:tabs>
          <w:tab w:leader="none" w:pos="760" w:val="left"/>
        </w:tabs>
        <w:numPr>
          <w:ilvl w:val="0"/>
          <w:numId w:val="58"/>
        </w:numPr>
        <w:rPr>
          <w:rFonts w:ascii="Arial" w:cs="Arial" w:eastAsia="Arial" w:hAnsi="Arial"/>
          <w:sz w:val="16"/>
          <w:szCs w:val="16"/>
          <w:b w:val="1"/>
          <w:bCs w:val="1"/>
          <w:color w:val="auto"/>
        </w:rPr>
      </w:pPr>
      <w:r>
        <w:rPr>
          <w:rFonts w:ascii="Arial" w:cs="Arial" w:eastAsia="Arial" w:hAnsi="Arial"/>
          <w:sz w:val="16"/>
          <w:szCs w:val="16"/>
          <w:b w:val="1"/>
          <w:bCs w:val="1"/>
          <w:color w:val="auto"/>
        </w:rPr>
        <w:t>406,453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33020</wp:posOffset>
            </wp:positionV>
            <wp:extent cx="9347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934720" cy="8890"/>
                    </a:xfrm>
                    <a:prstGeom prst="rect">
                      <a:avLst/>
                    </a:prstGeom>
                    <a:noFill/>
                  </pic:spPr>
                </pic:pic>
              </a:graphicData>
            </a:graphic>
          </wp:anchor>
        </w:drawing>
        <w:drawing>
          <wp:anchor simplePos="0" relativeHeight="251657728" behindDoc="1" locked="0" layoutInCell="0" allowOverlap="1">
            <wp:simplePos x="0" y="0"/>
            <wp:positionH relativeFrom="column">
              <wp:posOffset>-11430</wp:posOffset>
            </wp:positionH>
            <wp:positionV relativeFrom="paragraph">
              <wp:posOffset>50165</wp:posOffset>
            </wp:positionV>
            <wp:extent cx="9347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934720" cy="8890"/>
                    </a:xfrm>
                    <a:prstGeom prst="rect">
                      <a:avLst/>
                    </a:prstGeom>
                    <a:noFill/>
                  </pic:spPr>
                </pic:pic>
              </a:graphicData>
            </a:graphic>
          </wp:anchor>
        </w:drawing>
        <w:drawing>
          <wp:anchor simplePos="0" relativeHeight="251657728" behindDoc="1" locked="0" layoutInCell="0" allowOverlap="1">
            <wp:simplePos x="0" y="0"/>
            <wp:positionH relativeFrom="column">
              <wp:posOffset>-11430</wp:posOffset>
            </wp:positionH>
            <wp:positionV relativeFrom="paragraph">
              <wp:posOffset>-128905</wp:posOffset>
            </wp:positionV>
            <wp:extent cx="9347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934720" cy="8890"/>
                    </a:xfrm>
                    <a:prstGeom prst="rect">
                      <a:avLst/>
                    </a:prstGeom>
                    <a:noFill/>
                  </pic:spPr>
                </pic:pic>
              </a:graphicData>
            </a:graphic>
          </wp:anchor>
        </w:drawing>
        <w:drawing>
          <wp:anchor simplePos="0" relativeHeight="251657728" behindDoc="1" locked="0" layoutInCell="0" allowOverlap="1">
            <wp:simplePos x="0" y="0"/>
            <wp:positionH relativeFrom="column">
              <wp:posOffset>-11430</wp:posOffset>
            </wp:positionH>
            <wp:positionV relativeFrom="paragraph">
              <wp:posOffset>-292100</wp:posOffset>
            </wp:positionV>
            <wp:extent cx="9347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934720" cy="8890"/>
                    </a:xfrm>
                    <a:prstGeom prst="rect">
                      <a:avLst/>
                    </a:prstGeom>
                    <a:noFill/>
                  </pic:spPr>
                </pic:pic>
              </a:graphicData>
            </a:graphic>
          </wp:anchor>
        </w:drawing>
      </w:r>
    </w:p>
    <w:p>
      <w:pPr>
        <w:spacing w:after="0" w:line="213" w:lineRule="exact"/>
        <w:rPr>
          <w:sz w:val="20"/>
          <w:szCs w:val="20"/>
          <w:color w:val="auto"/>
        </w:rPr>
      </w:pPr>
    </w:p>
    <w:p>
      <w:pPr>
        <w:sectPr>
          <w:pgSz w:w="11900" w:h="16838" w:orient="portrait"/>
          <w:cols w:equalWidth="0" w:num="2">
            <w:col w:w="9220" w:space="720"/>
            <w:col w:w="1480"/>
          </w:cols>
          <w:pgMar w:left="240" w:top="724" w:right="239" w:bottom="1038" w:gutter="0" w:footer="0" w:header="0"/>
          <w:type w:val="continuous"/>
        </w:sectPr>
      </w:pPr>
    </w:p>
    <w:p>
      <w:pPr>
        <w:spacing w:after="0" w:line="5" w:lineRule="exact"/>
        <w:rPr>
          <w:sz w:val="20"/>
          <w:szCs w:val="20"/>
          <w:color w:val="auto"/>
        </w:rPr>
      </w:pPr>
    </w:p>
    <w:p>
      <w:pPr>
        <w:ind w:right="180"/>
        <w:spacing w:after="0" w:line="260" w:lineRule="auto"/>
        <w:rPr>
          <w:sz w:val="20"/>
          <w:szCs w:val="20"/>
          <w:color w:val="auto"/>
        </w:rPr>
      </w:pPr>
      <w:r>
        <w:rPr>
          <w:rFonts w:ascii="Arial" w:cs="Arial" w:eastAsia="Arial" w:hAnsi="Arial"/>
          <w:sz w:val="18"/>
          <w:szCs w:val="18"/>
          <w:color w:val="auto"/>
        </w:rPr>
        <w:t>Cash flows from Cable ONE for the years ended December 31, 2015 and 2014 are combined with the cash flows from operations within each of the categories presented. Cash flows from Cable ONE are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90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160" w:type="dxa"/>
            <w:vAlign w:val="bottom"/>
            <w:tcBorders>
              <w:bottom w:val="single" w:sz="8" w:color="auto"/>
            </w:tcBorders>
            <w:gridSpan w:val="3"/>
          </w:tcPr>
          <w:p>
            <w:pPr>
              <w:jc w:val="right"/>
              <w:ind w:right="242"/>
              <w:spacing w:after="0"/>
              <w:rPr>
                <w:sz w:val="20"/>
                <w:szCs w:val="20"/>
                <w:color w:val="auto"/>
              </w:rPr>
            </w:pPr>
            <w:r>
              <w:rPr>
                <w:rFonts w:ascii="Arial" w:cs="Arial" w:eastAsia="Arial" w:hAnsi="Arial"/>
                <w:sz w:val="14"/>
                <w:szCs w:val="14"/>
                <w:b w:val="1"/>
                <w:bCs w:val="1"/>
                <w:color w:val="auto"/>
              </w:rPr>
              <w:t>Year Ended December 31</w:t>
            </w:r>
          </w:p>
        </w:tc>
      </w:tr>
      <w:tr>
        <w:trPr>
          <w:trHeight w:val="261"/>
        </w:trPr>
        <w:tc>
          <w:tcPr>
            <w:tcW w:w="90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83"/>
              <w:spacing w:after="0"/>
              <w:rPr>
                <w:sz w:val="20"/>
                <w:szCs w:val="20"/>
                <w:color w:val="auto"/>
              </w:rPr>
            </w:pPr>
            <w:r>
              <w:rPr>
                <w:rFonts w:ascii="Arial" w:cs="Arial" w:eastAsia="Arial" w:hAnsi="Arial"/>
                <w:sz w:val="14"/>
                <w:szCs w:val="14"/>
                <w:color w:val="auto"/>
              </w:rPr>
              <w:t>2015</w:t>
            </w:r>
          </w:p>
        </w:tc>
        <w:tc>
          <w:tcPr>
            <w:tcW w:w="3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22"/>
              <w:spacing w:after="0"/>
              <w:rPr>
                <w:sz w:val="20"/>
                <w:szCs w:val="20"/>
                <w:color w:val="auto"/>
              </w:rPr>
            </w:pPr>
            <w:r>
              <w:rPr>
                <w:rFonts w:ascii="Arial" w:cs="Arial" w:eastAsia="Arial" w:hAnsi="Arial"/>
                <w:sz w:val="14"/>
                <w:szCs w:val="14"/>
                <w:color w:val="auto"/>
              </w:rPr>
              <w:t>2014</w:t>
            </w:r>
          </w:p>
        </w:tc>
      </w:tr>
      <w:tr>
        <w:trPr>
          <w:trHeight w:val="252"/>
        </w:trPr>
        <w:tc>
          <w:tcPr>
            <w:tcW w:w="9020" w:type="dxa"/>
            <w:vAlign w:val="bottom"/>
          </w:tcPr>
          <w:p>
            <w:pPr>
              <w:ind w:left="40"/>
              <w:spacing w:after="0"/>
              <w:rPr>
                <w:sz w:val="20"/>
                <w:szCs w:val="20"/>
                <w:color w:val="auto"/>
              </w:rPr>
            </w:pPr>
            <w:r>
              <w:rPr>
                <w:rFonts w:ascii="Arial" w:cs="Arial" w:eastAsia="Arial" w:hAnsi="Arial"/>
                <w:sz w:val="16"/>
                <w:szCs w:val="16"/>
                <w:color w:val="auto"/>
              </w:rPr>
              <w:t>Net Cash Provided by Operating Activities</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83"/>
              <w:spacing w:after="0"/>
              <w:rPr>
                <w:sz w:val="20"/>
                <w:szCs w:val="20"/>
                <w:color w:val="auto"/>
              </w:rPr>
            </w:pPr>
            <w:r>
              <w:rPr>
                <w:rFonts w:ascii="Arial" w:cs="Arial" w:eastAsia="Arial" w:hAnsi="Arial"/>
                <w:sz w:val="16"/>
                <w:szCs w:val="16"/>
                <w:color w:val="auto"/>
              </w:rPr>
              <w:t>109,772</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22"/>
              <w:spacing w:after="0"/>
              <w:rPr>
                <w:sz w:val="20"/>
                <w:szCs w:val="20"/>
                <w:color w:val="auto"/>
              </w:rPr>
            </w:pPr>
            <w:r>
              <w:rPr>
                <w:rFonts w:ascii="Arial" w:cs="Arial" w:eastAsia="Arial" w:hAnsi="Arial"/>
                <w:sz w:val="16"/>
                <w:szCs w:val="16"/>
                <w:color w:val="auto"/>
              </w:rPr>
              <w:t>251,506</w:t>
            </w:r>
          </w:p>
        </w:tc>
      </w:tr>
      <w:tr>
        <w:trPr>
          <w:trHeight w:val="270"/>
        </w:trPr>
        <w:tc>
          <w:tcPr>
            <w:tcW w:w="9020" w:type="dxa"/>
            <w:vAlign w:val="bottom"/>
          </w:tcPr>
          <w:p>
            <w:pPr>
              <w:ind w:left="40"/>
              <w:spacing w:after="0"/>
              <w:rPr>
                <w:sz w:val="20"/>
                <w:szCs w:val="20"/>
                <w:color w:val="auto"/>
              </w:rPr>
            </w:pPr>
            <w:r>
              <w:rPr>
                <w:rFonts w:ascii="Arial" w:cs="Arial" w:eastAsia="Arial" w:hAnsi="Arial"/>
                <w:sz w:val="16"/>
                <w:szCs w:val="16"/>
                <w:color w:val="auto"/>
              </w:rPr>
              <w:t>Net Cash Used in Investing Activities</w:t>
            </w:r>
          </w:p>
        </w:tc>
        <w:tc>
          <w:tcPr>
            <w:tcW w:w="240" w:type="dxa"/>
            <w:vAlign w:val="bottom"/>
          </w:tcPr>
          <w:p>
            <w:pPr>
              <w:spacing w:after="0"/>
              <w:rPr>
                <w:sz w:val="23"/>
                <w:szCs w:val="23"/>
                <w:color w:val="auto"/>
              </w:rPr>
            </w:pPr>
          </w:p>
        </w:tc>
        <w:tc>
          <w:tcPr>
            <w:tcW w:w="960" w:type="dxa"/>
            <w:vAlign w:val="bottom"/>
          </w:tcPr>
          <w:p>
            <w:pPr>
              <w:jc w:val="right"/>
              <w:ind w:right="23"/>
              <w:spacing w:after="0"/>
              <w:rPr>
                <w:sz w:val="20"/>
                <w:szCs w:val="20"/>
                <w:color w:val="auto"/>
              </w:rPr>
            </w:pPr>
            <w:r>
              <w:rPr>
                <w:rFonts w:ascii="Arial" w:cs="Arial" w:eastAsia="Arial" w:hAnsi="Arial"/>
                <w:sz w:val="16"/>
                <w:szCs w:val="16"/>
                <w:color w:val="auto"/>
              </w:rPr>
              <w:t>(74,416)</w:t>
            </w:r>
          </w:p>
        </w:tc>
        <w:tc>
          <w:tcPr>
            <w:tcW w:w="3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(78,405)</w:t>
            </w:r>
          </w:p>
        </w:tc>
      </w:tr>
    </w:tbl>
    <w:p>
      <w:pPr>
        <w:spacing w:after="0" w:line="141" w:lineRule="exact"/>
        <w:rPr>
          <w:sz w:val="20"/>
          <w:szCs w:val="20"/>
          <w:color w:val="auto"/>
        </w:rPr>
      </w:pPr>
    </w:p>
    <w:p>
      <w:pPr>
        <w:ind w:right="280"/>
        <w:spacing w:after="0" w:line="260" w:lineRule="auto"/>
        <w:rPr>
          <w:sz w:val="20"/>
          <w:szCs w:val="20"/>
          <w:color w:val="auto"/>
        </w:rPr>
      </w:pPr>
      <w:r>
        <w:rPr>
          <w:rFonts w:ascii="Arial" w:cs="Arial" w:eastAsia="Arial" w:hAnsi="Arial"/>
          <w:sz w:val="18"/>
          <w:szCs w:val="18"/>
          <w:i w:val="1"/>
          <w:iCs w:val="1"/>
          <w:color w:val="auto"/>
        </w:rPr>
        <w:t xml:space="preserve">Spin-Off Costs: </w:t>
      </w:r>
      <w:r>
        <w:rPr>
          <w:rFonts w:ascii="Arial" w:cs="Arial" w:eastAsia="Arial" w:hAnsi="Arial"/>
          <w:sz w:val="18"/>
          <w:szCs w:val="18"/>
          <w:color w:val="auto"/>
        </w:rPr>
        <w:t>One-time spin-off transaction, financing and related costs of $7.4 million and $3.5 million in 2015 and 2014, respectively, are</w:t>
      </w:r>
      <w:r>
        <w:rPr>
          <w:rFonts w:ascii="Arial" w:cs="Arial" w:eastAsia="Arial" w:hAnsi="Arial"/>
          <w:sz w:val="18"/>
          <w:szCs w:val="18"/>
          <w:i w:val="1"/>
          <w:iCs w:val="1"/>
          <w:color w:val="auto"/>
        </w:rPr>
        <w:t xml:space="preserve"> </w:t>
      </w:r>
      <w:r>
        <w:rPr>
          <w:rFonts w:ascii="Arial" w:cs="Arial" w:eastAsia="Arial" w:hAnsi="Arial"/>
          <w:sz w:val="18"/>
          <w:szCs w:val="18"/>
          <w:color w:val="auto"/>
        </w:rPr>
        <w:t>included in discontinued operations, net of tax.</w:t>
      </w:r>
    </w:p>
    <w:p>
      <w:pPr>
        <w:spacing w:after="0" w:line="90" w:lineRule="exact"/>
        <w:rPr>
          <w:sz w:val="20"/>
          <w:szCs w:val="20"/>
          <w:color w:val="auto"/>
        </w:rPr>
      </w:pPr>
    </w:p>
    <w:p>
      <w:pPr>
        <w:ind w:right="180"/>
        <w:spacing w:after="0" w:line="241" w:lineRule="auto"/>
        <w:rPr>
          <w:sz w:val="20"/>
          <w:szCs w:val="20"/>
          <w:color w:val="auto"/>
        </w:rPr>
      </w:pPr>
      <w:r>
        <w:rPr>
          <w:rFonts w:ascii="Arial" w:cs="Arial" w:eastAsia="Arial" w:hAnsi="Arial"/>
          <w:sz w:val="18"/>
          <w:szCs w:val="18"/>
          <w:b w:val="1"/>
          <w:bCs w:val="1"/>
          <w:color w:val="auto"/>
        </w:rPr>
        <w:t xml:space="preserve">Other Discontinued Operations. </w:t>
      </w:r>
      <w:r>
        <w:rPr>
          <w:rFonts w:ascii="Arial" w:cs="Arial" w:eastAsia="Arial" w:hAnsi="Arial"/>
          <w:sz w:val="18"/>
          <w:szCs w:val="18"/>
          <w:color w:val="auto"/>
        </w:rPr>
        <w:t>In the third quarter of 2014, Kaplan completed the sale of three of its schools in China that were previously</w:t>
      </w:r>
      <w:r>
        <w:rPr>
          <w:rFonts w:ascii="Arial" w:cs="Arial" w:eastAsia="Arial" w:hAnsi="Arial"/>
          <w:sz w:val="18"/>
          <w:szCs w:val="18"/>
          <w:b w:val="1"/>
          <w:bCs w:val="1"/>
          <w:color w:val="auto"/>
        </w:rPr>
        <w:t xml:space="preserve"> </w:t>
      </w:r>
      <w:r>
        <w:rPr>
          <w:rFonts w:ascii="Arial" w:cs="Arial" w:eastAsia="Arial" w:hAnsi="Arial"/>
          <w:sz w:val="18"/>
          <w:szCs w:val="18"/>
          <w:color w:val="auto"/>
        </w:rPr>
        <w:t>included as part of Kaplan International that resulted in a pre-tax loss of $3.1 million. An additional school in China was sold by Kaplan in January 2015 that resulted in a pre-tax loss of $0.7 million.</w:t>
      </w:r>
    </w:p>
    <w:p>
      <w:pPr>
        <w:spacing w:after="0" w:line="108" w:lineRule="exact"/>
        <w:rPr>
          <w:sz w:val="20"/>
          <w:szCs w:val="20"/>
          <w:color w:val="auto"/>
        </w:rPr>
      </w:pPr>
    </w:p>
    <w:p>
      <w:pPr>
        <w:ind w:right="120"/>
        <w:spacing w:after="0"/>
        <w:rPr>
          <w:sz w:val="20"/>
          <w:szCs w:val="20"/>
          <w:color w:val="auto"/>
        </w:rPr>
      </w:pPr>
      <w:r>
        <w:rPr>
          <w:rFonts w:ascii="Arial" w:cs="Arial" w:eastAsia="Arial" w:hAnsi="Arial"/>
          <w:sz w:val="18"/>
          <w:szCs w:val="18"/>
          <w:color w:val="auto"/>
        </w:rPr>
        <w:t>On June 30, 2014, the Company and Berkshire Hathaway Inc. (Berkshire) completed a transaction, as described in Note 7, in which Berkshire acquired a wholly owned subsidiary of the Company that included, among other things, WPLG, a Miami-based television station; a $375.0 million gain from the WPLG sale was recorded in the second quarter of 2014.</w:t>
      </w:r>
    </w:p>
    <w:p>
      <w:pPr>
        <w:spacing w:after="0" w:line="108" w:lineRule="exact"/>
        <w:rPr>
          <w:sz w:val="20"/>
          <w:szCs w:val="20"/>
          <w:color w:val="auto"/>
        </w:rPr>
      </w:pPr>
    </w:p>
    <w:p>
      <w:pPr>
        <w:ind w:right="140"/>
        <w:spacing w:after="0"/>
        <w:rPr>
          <w:sz w:val="20"/>
          <w:szCs w:val="20"/>
          <w:color w:val="auto"/>
        </w:rPr>
      </w:pPr>
      <w:r>
        <w:rPr>
          <w:rFonts w:ascii="Arial" w:cs="Arial" w:eastAsia="Arial" w:hAnsi="Arial"/>
          <w:sz w:val="18"/>
          <w:szCs w:val="18"/>
          <w:color w:val="auto"/>
        </w:rPr>
        <w:t>The results of operations of Cable ONE, the schools in China and WPLG for 2015 and 2014, where applicable, are included in the Company’s Consolidated Statements of Operations as income from discontinued operations, net of tax. All corresponding prior period operating results presented in the Company’s Consolidated Financial Statements</w:t>
      </w:r>
    </w:p>
    <w:p>
      <w:pPr>
        <w:sectPr>
          <w:pgSz w:w="11900" w:h="16838" w:orient="portrait"/>
          <w:cols w:equalWidth="0" w:num="1">
            <w:col w:w="11420"/>
          </w:cols>
          <w:pgMar w:left="240" w:top="724" w:right="239" w:bottom="1038" w:gutter="0" w:footer="0" w:header="0"/>
          <w:type w:val="continuous"/>
        </w:sect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75</w:t>
      </w:r>
    </w:p>
    <w:p>
      <w:pPr>
        <w:sectPr>
          <w:pgSz w:w="11900" w:h="16838" w:orient="portrait"/>
          <w:cols w:equalWidth="0" w:num="1">
            <w:col w:w="11420"/>
          </w:cols>
          <w:pgMar w:left="240" w:top="724" w:right="239" w:bottom="1038" w:gutter="0" w:footer="0" w:header="0"/>
          <w:type w:val="continuous"/>
        </w:sectPr>
      </w:pPr>
    </w:p>
    <w:bookmarkStart w:id="78" w:name="page79"/>
    <w:bookmarkEnd w:id="78"/>
    <w:p>
      <w:pPr>
        <w:ind w:right="580"/>
        <w:spacing w:after="0" w:line="260" w:lineRule="auto"/>
        <w:rPr>
          <w:sz w:val="20"/>
          <w:szCs w:val="20"/>
          <w:color w:val="auto"/>
        </w:rPr>
      </w:pPr>
      <w:r>
        <w:rPr>
          <w:rFonts w:ascii="Arial" w:cs="Arial" w:eastAsia="Arial" w:hAnsi="Arial"/>
          <w:sz w:val="18"/>
          <w:szCs w:val="18"/>
          <w:color w:val="auto"/>
        </w:rPr>
        <w:t>and the accompanying notes have been reclassified to reflect the discontinued operations presented. The Company did not reclassify its Consolidated Statements of Cash Flows to reflect the discontinued operations.</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color w:val="auto"/>
        </w:rPr>
        <w:t>The summarized income from discontinued operations, net of tax, is presented below:</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920" w:type="dxa"/>
            <w:vAlign w:val="bottom"/>
          </w:tcPr>
          <w:p>
            <w:pPr>
              <w:spacing w:after="0"/>
              <w:rPr>
                <w:sz w:val="17"/>
                <w:szCs w:val="17"/>
                <w:color w:val="auto"/>
              </w:rPr>
            </w:pPr>
          </w:p>
        </w:tc>
        <w:tc>
          <w:tcPr>
            <w:tcW w:w="2500" w:type="dxa"/>
            <w:vAlign w:val="bottom"/>
            <w:tcBorders>
              <w:bottom w:val="single" w:sz="8" w:color="auto"/>
            </w:tcBorders>
            <w:gridSpan w:val="2"/>
          </w:tcPr>
          <w:p>
            <w:pPr>
              <w:ind w:left="400"/>
              <w:spacing w:after="0"/>
              <w:rPr>
                <w:sz w:val="20"/>
                <w:szCs w:val="20"/>
                <w:color w:val="auto"/>
              </w:rPr>
            </w:pPr>
            <w:r>
              <w:rPr>
                <w:rFonts w:ascii="Arial" w:cs="Arial" w:eastAsia="Arial" w:hAnsi="Arial"/>
                <w:sz w:val="14"/>
                <w:szCs w:val="14"/>
                <w:b w:val="1"/>
                <w:bCs w:val="1"/>
                <w:color w:val="auto"/>
              </w:rPr>
              <w:t>Year Ended December 31</w:t>
            </w:r>
          </w:p>
        </w:tc>
      </w:tr>
      <w:tr>
        <w:trPr>
          <w:trHeight w:val="261"/>
        </w:trPr>
        <w:tc>
          <w:tcPr>
            <w:tcW w:w="89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220" w:type="dxa"/>
            <w:vAlign w:val="bottom"/>
            <w:tcBorders>
              <w:bottom w:val="single" w:sz="8" w:color="auto"/>
            </w:tcBorders>
          </w:tcPr>
          <w:p>
            <w:pPr>
              <w:ind w:left="400"/>
              <w:spacing w:after="0"/>
              <w:rPr>
                <w:sz w:val="20"/>
                <w:szCs w:val="20"/>
                <w:color w:val="auto"/>
              </w:rPr>
            </w:pPr>
            <w:r>
              <w:rPr>
                <w:rFonts w:ascii="Arial" w:cs="Arial" w:eastAsia="Arial" w:hAnsi="Arial"/>
                <w:sz w:val="14"/>
                <w:szCs w:val="14"/>
                <w:color w:val="auto"/>
              </w:rPr>
              <w:t>2015</w:t>
            </w:r>
          </w:p>
        </w:tc>
        <w:tc>
          <w:tcPr>
            <w:tcW w:w="128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color w:val="auto"/>
              </w:rPr>
              <w:t>2014</w:t>
            </w:r>
          </w:p>
        </w:tc>
      </w:tr>
    </w:tbl>
    <w:p>
      <w:pPr>
        <w:spacing w:after="0" w:line="36" w:lineRule="exact"/>
        <w:rPr>
          <w:sz w:val="20"/>
          <w:szCs w:val="20"/>
          <w:color w:val="auto"/>
        </w:rPr>
      </w:pPr>
    </w:p>
    <w:p>
      <w:pPr>
        <w:sectPr>
          <w:pgSz w:w="11900" w:h="16838" w:orient="portrait"/>
          <w:cols w:equalWidth="0" w:num="1">
            <w:col w:w="11420"/>
          </w:cols>
          <w:pgMar w:left="240" w:top="724" w:right="239" w:bottom="1440" w:gutter="0" w:footer="0" w:header="0"/>
        </w:sectPr>
      </w:pPr>
    </w:p>
    <w:p>
      <w:pPr>
        <w:ind w:left="40"/>
        <w:spacing w:after="0"/>
        <w:rPr>
          <w:sz w:val="20"/>
          <w:szCs w:val="20"/>
          <w:color w:val="auto"/>
        </w:rPr>
      </w:pPr>
      <w:r>
        <w:rPr>
          <w:rFonts w:ascii="Arial" w:cs="Arial" w:eastAsia="Arial" w:hAnsi="Arial"/>
          <w:sz w:val="16"/>
          <w:szCs w:val="16"/>
          <w:color w:val="auto"/>
        </w:rPr>
        <w:t>Operating revenues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Operating costs and expenses</w:t>
      </w:r>
    </w:p>
    <w:p>
      <w:pPr>
        <w:spacing w:after="0" w:line="100" w:lineRule="exact"/>
        <w:rPr>
          <w:sz w:val="20"/>
          <w:szCs w:val="20"/>
          <w:color w:val="auto"/>
        </w:rPr>
      </w:pPr>
    </w:p>
    <w:p>
      <w:pPr>
        <w:ind w:left="40"/>
        <w:spacing w:after="0"/>
        <w:rPr>
          <w:sz w:val="20"/>
          <w:szCs w:val="20"/>
          <w:color w:val="auto"/>
        </w:rPr>
      </w:pPr>
      <w:r>
        <w:rPr>
          <w:rFonts w:ascii="Arial" w:cs="Arial" w:eastAsia="Arial" w:hAnsi="Arial"/>
          <w:sz w:val="16"/>
          <w:szCs w:val="16"/>
          <w:color w:val="auto"/>
        </w:rPr>
        <w:t>Operating income</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Non-operating (expense) income</w:t>
      </w:r>
    </w:p>
    <w:p>
      <w:pPr>
        <w:spacing w:after="0" w:line="100" w:lineRule="exact"/>
        <w:rPr>
          <w:sz w:val="20"/>
          <w:szCs w:val="20"/>
          <w:color w:val="auto"/>
        </w:rPr>
      </w:pPr>
    </w:p>
    <w:p>
      <w:pPr>
        <w:ind w:left="40"/>
        <w:spacing w:after="0"/>
        <w:rPr>
          <w:sz w:val="20"/>
          <w:szCs w:val="20"/>
          <w:color w:val="auto"/>
        </w:rPr>
      </w:pPr>
      <w:r>
        <w:rPr>
          <w:rFonts w:ascii="Arial" w:cs="Arial" w:eastAsia="Arial" w:hAnsi="Arial"/>
          <w:sz w:val="16"/>
          <w:szCs w:val="16"/>
          <w:color w:val="auto"/>
        </w:rPr>
        <w:t>Income from discontinued operations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Provision for income taxes</w:t>
      </w:r>
    </w:p>
    <w:p>
      <w:pPr>
        <w:spacing w:after="0" w:line="98"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Net Income from Discontinued Operations</w:t>
      </w:r>
    </w:p>
    <w:p>
      <w:pPr>
        <w:spacing w:after="0" w:line="88" w:lineRule="exact"/>
        <w:rPr>
          <w:sz w:val="20"/>
          <w:szCs w:val="20"/>
          <w:color w:val="auto"/>
        </w:rPr>
      </w:pPr>
    </w:p>
    <w:p>
      <w:pPr>
        <w:ind w:left="40"/>
        <w:spacing w:after="0"/>
        <w:rPr>
          <w:sz w:val="20"/>
          <w:szCs w:val="20"/>
          <w:color w:val="auto"/>
        </w:rPr>
      </w:pPr>
      <w:r>
        <w:rPr>
          <w:rFonts w:ascii="Arial" w:cs="Arial" w:eastAsia="Arial" w:hAnsi="Arial"/>
          <w:sz w:val="16"/>
          <w:szCs w:val="16"/>
          <w:color w:val="auto"/>
        </w:rPr>
        <w:t>(Loss) gain on dispositions of discontinued operations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Provision (benefit) for income taxes on dispositions of discontinued operations</w:t>
      </w:r>
    </w:p>
    <w:p>
      <w:pPr>
        <w:spacing w:after="0" w:line="111"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Income from Discontinued Operations, Net of Tax</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9"/>
        </w:trPr>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397,404</w:t>
            </w:r>
          </w:p>
        </w:tc>
        <w:tc>
          <w:tcPr>
            <w:tcW w:w="3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845,114</w:t>
            </w:r>
          </w:p>
        </w:tc>
      </w:tr>
      <w:tr>
        <w:trPr>
          <w:trHeight w:val="279"/>
        </w:trPr>
        <w:tc>
          <w:tcPr>
            <w:tcW w:w="2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(325,379)</w:t>
            </w:r>
          </w:p>
        </w:tc>
        <w:tc>
          <w:tcPr>
            <w:tcW w:w="3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(660,180)</w:t>
            </w:r>
          </w:p>
        </w:tc>
      </w:tr>
      <w:tr>
        <w:trPr>
          <w:trHeight w:val="255"/>
        </w:trPr>
        <w:tc>
          <w:tcPr>
            <w:tcW w:w="260" w:type="dxa"/>
            <w:vAlign w:val="bottom"/>
          </w:tcPr>
          <w:p>
            <w:pPr>
              <w:spacing w:after="0"/>
              <w:rPr>
                <w:sz w:val="22"/>
                <w:szCs w:val="22"/>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72,025</w:t>
            </w:r>
          </w:p>
        </w:tc>
        <w:tc>
          <w:tcPr>
            <w:tcW w:w="380" w:type="dxa"/>
            <w:vAlign w:val="bottom"/>
          </w:tcPr>
          <w:p>
            <w:pPr>
              <w:spacing w:after="0"/>
              <w:rPr>
                <w:sz w:val="22"/>
                <w:szCs w:val="22"/>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184,934</w:t>
            </w:r>
          </w:p>
        </w:tc>
      </w:tr>
      <w:tr>
        <w:trPr>
          <w:trHeight w:val="279"/>
        </w:trPr>
        <w:tc>
          <w:tcPr>
            <w:tcW w:w="2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(1,288)</w:t>
            </w:r>
          </w:p>
        </w:tc>
        <w:tc>
          <w:tcPr>
            <w:tcW w:w="3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74,196</w:t>
            </w:r>
          </w:p>
        </w:tc>
      </w:tr>
      <w:tr>
        <w:trPr>
          <w:trHeight w:val="255"/>
        </w:trPr>
        <w:tc>
          <w:tcPr>
            <w:tcW w:w="260" w:type="dxa"/>
            <w:vAlign w:val="bottom"/>
          </w:tcPr>
          <w:p>
            <w:pPr>
              <w:spacing w:after="0"/>
              <w:rPr>
                <w:sz w:val="22"/>
                <w:szCs w:val="22"/>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70,737</w:t>
            </w:r>
          </w:p>
        </w:tc>
        <w:tc>
          <w:tcPr>
            <w:tcW w:w="380" w:type="dxa"/>
            <w:vAlign w:val="bottom"/>
          </w:tcPr>
          <w:p>
            <w:pPr>
              <w:spacing w:after="0"/>
              <w:rPr>
                <w:sz w:val="22"/>
                <w:szCs w:val="22"/>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259,130</w:t>
            </w:r>
          </w:p>
        </w:tc>
      </w:tr>
      <w:tr>
        <w:trPr>
          <w:trHeight w:val="279"/>
        </w:trPr>
        <w:tc>
          <w:tcPr>
            <w:tcW w:w="2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27,783</w:t>
            </w:r>
          </w:p>
        </w:tc>
        <w:tc>
          <w:tcPr>
            <w:tcW w:w="3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98,207</w:t>
            </w:r>
          </w:p>
        </w:tc>
      </w:tr>
      <w:tr>
        <w:trPr>
          <w:trHeight w:val="255"/>
        </w:trPr>
        <w:tc>
          <w:tcPr>
            <w:tcW w:w="260" w:type="dxa"/>
            <w:vAlign w:val="bottom"/>
          </w:tcPr>
          <w:p>
            <w:pPr>
              <w:spacing w:after="0"/>
              <w:rPr>
                <w:sz w:val="22"/>
                <w:szCs w:val="22"/>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42,954</w:t>
            </w:r>
          </w:p>
        </w:tc>
        <w:tc>
          <w:tcPr>
            <w:tcW w:w="380" w:type="dxa"/>
            <w:vAlign w:val="bottom"/>
          </w:tcPr>
          <w:p>
            <w:pPr>
              <w:spacing w:after="0"/>
              <w:rPr>
                <w:sz w:val="22"/>
                <w:szCs w:val="22"/>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160,923</w:t>
            </w:r>
          </w:p>
        </w:tc>
      </w:tr>
      <w:tr>
        <w:trPr>
          <w:trHeight w:val="270"/>
        </w:trPr>
        <w:tc>
          <w:tcPr>
            <w:tcW w:w="26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(732)</w:t>
            </w:r>
          </w:p>
        </w:tc>
        <w:tc>
          <w:tcPr>
            <w:tcW w:w="380" w:type="dxa"/>
            <w:vAlign w:val="bottom"/>
          </w:tcPr>
          <w:p>
            <w:pPr>
              <w:spacing w:after="0"/>
              <w:rPr>
                <w:sz w:val="23"/>
                <w:szCs w:val="23"/>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351,133</w:t>
            </w:r>
          </w:p>
        </w:tc>
      </w:tr>
      <w:tr>
        <w:trPr>
          <w:trHeight w:val="279"/>
        </w:trPr>
        <w:tc>
          <w:tcPr>
            <w:tcW w:w="2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52</w:t>
            </w:r>
          </w:p>
        </w:tc>
        <w:tc>
          <w:tcPr>
            <w:tcW w:w="3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(15,801)</w:t>
            </w:r>
          </w:p>
        </w:tc>
      </w:tr>
      <w:tr>
        <w:trPr>
          <w:trHeight w:val="264"/>
        </w:trPr>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42,170</w:t>
            </w:r>
          </w:p>
        </w:tc>
        <w:tc>
          <w:tcPr>
            <w:tcW w:w="3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527,857</w:t>
            </w:r>
          </w:p>
        </w:tc>
      </w:tr>
      <w:tr>
        <w:trPr>
          <w:trHeight w:val="20"/>
        </w:trPr>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24" w:lineRule="exact"/>
        <w:rPr>
          <w:sz w:val="20"/>
          <w:szCs w:val="20"/>
          <w:color w:val="auto"/>
        </w:rPr>
      </w:pPr>
    </w:p>
    <w:p>
      <w:pPr>
        <w:sectPr>
          <w:pgSz w:w="11900" w:h="16838" w:orient="portrait"/>
          <w:cols w:equalWidth="0" w:num="2">
            <w:col w:w="8200" w:space="720"/>
            <w:col w:w="2500"/>
          </w:cols>
          <w:pgMar w:left="240" w:top="724" w:right="239" w:bottom="1440" w:gutter="0" w:footer="0" w:header="0"/>
          <w:type w:val="continuous"/>
        </w:sectPr>
      </w:pPr>
    </w:p>
    <w:p>
      <w:pPr>
        <w:ind w:left="500" w:hanging="492"/>
        <w:spacing w:after="0"/>
        <w:tabs>
          <w:tab w:leader="none" w:pos="500" w:val="left"/>
        </w:tabs>
        <w:numPr>
          <w:ilvl w:val="0"/>
          <w:numId w:val="59"/>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w:t>
      </w:r>
    </w:p>
    <w:p>
      <w:pPr>
        <w:spacing w:after="0" w:line="144" w:lineRule="exact"/>
        <w:rPr>
          <w:sz w:val="20"/>
          <w:szCs w:val="20"/>
          <w:color w:val="auto"/>
        </w:rPr>
      </w:pPr>
    </w:p>
    <w:p>
      <w:pPr>
        <w:jc w:val="both"/>
        <w:ind w:right="220"/>
        <w:spacing w:after="0" w:line="241" w:lineRule="auto"/>
        <w:rPr>
          <w:sz w:val="20"/>
          <w:szCs w:val="20"/>
          <w:color w:val="auto"/>
        </w:rPr>
      </w:pPr>
      <w:r>
        <w:rPr>
          <w:rFonts w:ascii="Arial" w:cs="Arial" w:eastAsia="Arial" w:hAnsi="Arial"/>
          <w:sz w:val="18"/>
          <w:szCs w:val="18"/>
          <w:b w:val="1"/>
          <w:bCs w:val="1"/>
          <w:color w:val="auto"/>
        </w:rPr>
        <w:t xml:space="preserve">Commercial Paper and Money Market Investments. </w:t>
      </w:r>
      <w:r>
        <w:rPr>
          <w:rFonts w:ascii="Arial" w:cs="Arial" w:eastAsia="Arial" w:hAnsi="Arial"/>
          <w:sz w:val="18"/>
          <w:szCs w:val="18"/>
          <w:color w:val="auto"/>
        </w:rPr>
        <w:t>As of December 31, 2016 and 2015, the Company had commercial paper and money</w:t>
      </w:r>
      <w:r>
        <w:rPr>
          <w:rFonts w:ascii="Arial" w:cs="Arial" w:eastAsia="Arial" w:hAnsi="Arial"/>
          <w:sz w:val="18"/>
          <w:szCs w:val="18"/>
          <w:b w:val="1"/>
          <w:bCs w:val="1"/>
          <w:color w:val="auto"/>
        </w:rPr>
        <w:t xml:space="preserve"> </w:t>
      </w:r>
      <w:r>
        <w:rPr>
          <w:rFonts w:ascii="Arial" w:cs="Arial" w:eastAsia="Arial" w:hAnsi="Arial"/>
          <w:sz w:val="18"/>
          <w:szCs w:val="18"/>
          <w:color w:val="auto"/>
        </w:rPr>
        <w:t>market investments of $485.1 million and $433.0 million, respectively, that are classified as cash, cash equivalents and restricted cash in the Company’s Consolidated Balance Sheets.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Investments in Marketable Equity Securities. </w:t>
      </w:r>
      <w:r>
        <w:rPr>
          <w:rFonts w:ascii="Arial" w:cs="Arial" w:eastAsia="Arial" w:hAnsi="Arial"/>
          <w:sz w:val="18"/>
          <w:szCs w:val="18"/>
          <w:color w:val="auto"/>
        </w:rPr>
        <w:t>Investments in marketable equity securities consist of the following: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90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120" w:type="dxa"/>
            <w:vAlign w:val="bottom"/>
            <w:tcBorders>
              <w:bottom w:val="single" w:sz="8" w:color="auto"/>
            </w:tcBorders>
            <w:gridSpan w:val="3"/>
          </w:tcPr>
          <w:p>
            <w:pPr>
              <w:jc w:val="right"/>
              <w:ind w:right="461"/>
              <w:spacing w:after="0"/>
              <w:rPr>
                <w:sz w:val="20"/>
                <w:szCs w:val="20"/>
                <w:color w:val="auto"/>
              </w:rPr>
            </w:pPr>
            <w:r>
              <w:rPr>
                <w:rFonts w:ascii="Arial" w:cs="Arial" w:eastAsia="Arial" w:hAnsi="Arial"/>
                <w:sz w:val="14"/>
                <w:szCs w:val="14"/>
                <w:b w:val="1"/>
                <w:bCs w:val="1"/>
                <w:color w:val="auto"/>
              </w:rPr>
              <w:t>As of December 31</w:t>
            </w:r>
          </w:p>
        </w:tc>
      </w:tr>
      <w:tr>
        <w:trPr>
          <w:trHeight w:val="264"/>
        </w:trPr>
        <w:tc>
          <w:tcPr>
            <w:tcW w:w="90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62"/>
              <w:spacing w:after="0"/>
              <w:rPr>
                <w:sz w:val="20"/>
                <w:szCs w:val="20"/>
                <w:color w:val="auto"/>
              </w:rPr>
            </w:pPr>
            <w:r>
              <w:rPr>
                <w:rFonts w:ascii="Arial" w:cs="Arial" w:eastAsia="Arial" w:hAnsi="Arial"/>
                <w:sz w:val="14"/>
                <w:szCs w:val="14"/>
                <w:b w:val="1"/>
                <w:bCs w:val="1"/>
                <w:color w:val="auto"/>
              </w:rPr>
              <w:t>2016</w:t>
            </w:r>
          </w:p>
        </w:tc>
        <w:tc>
          <w:tcPr>
            <w:tcW w:w="3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color w:val="auto"/>
              </w:rPr>
              <w:t>2015</w:t>
            </w:r>
          </w:p>
        </w:tc>
      </w:tr>
      <w:tr>
        <w:trPr>
          <w:trHeight w:val="257"/>
        </w:trPr>
        <w:tc>
          <w:tcPr>
            <w:tcW w:w="9020" w:type="dxa"/>
            <w:vAlign w:val="bottom"/>
          </w:tcPr>
          <w:p>
            <w:pPr>
              <w:ind w:left="40"/>
              <w:spacing w:after="0"/>
              <w:rPr>
                <w:sz w:val="20"/>
                <w:szCs w:val="20"/>
                <w:color w:val="auto"/>
              </w:rPr>
            </w:pPr>
            <w:r>
              <w:rPr>
                <w:rFonts w:ascii="Arial" w:cs="Arial" w:eastAsia="Arial" w:hAnsi="Arial"/>
                <w:sz w:val="16"/>
                <w:szCs w:val="16"/>
                <w:color w:val="auto"/>
              </w:rPr>
              <w:t>Total cost</w:t>
            </w:r>
          </w:p>
        </w:tc>
        <w:tc>
          <w:tcPr>
            <w:tcW w:w="28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900" w:type="dxa"/>
            <w:vAlign w:val="bottom"/>
          </w:tcPr>
          <w:p>
            <w:pPr>
              <w:jc w:val="right"/>
              <w:ind w:right="62"/>
              <w:spacing w:after="0"/>
              <w:rPr>
                <w:sz w:val="20"/>
                <w:szCs w:val="20"/>
                <w:color w:val="auto"/>
              </w:rPr>
            </w:pPr>
            <w:r>
              <w:rPr>
                <w:rFonts w:ascii="Arial" w:cs="Arial" w:eastAsia="Arial" w:hAnsi="Arial"/>
                <w:sz w:val="16"/>
                <w:szCs w:val="16"/>
                <w:b w:val="1"/>
                <w:bCs w:val="1"/>
                <w:color w:val="auto"/>
              </w:rPr>
              <w:t>269,343</w:t>
            </w: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21"/>
              <w:spacing w:after="0"/>
              <w:rPr>
                <w:sz w:val="20"/>
                <w:szCs w:val="20"/>
                <w:color w:val="auto"/>
              </w:rPr>
            </w:pPr>
            <w:r>
              <w:rPr>
                <w:rFonts w:ascii="Arial" w:cs="Arial" w:eastAsia="Arial" w:hAnsi="Arial"/>
                <w:sz w:val="16"/>
                <w:szCs w:val="16"/>
                <w:color w:val="auto"/>
              </w:rPr>
              <w:t>253,062</w:t>
            </w:r>
          </w:p>
        </w:tc>
      </w:tr>
      <w:tr>
        <w:trPr>
          <w:trHeight w:val="270"/>
        </w:trPr>
        <w:tc>
          <w:tcPr>
            <w:tcW w:w="9020" w:type="dxa"/>
            <w:vAlign w:val="bottom"/>
          </w:tcPr>
          <w:p>
            <w:pPr>
              <w:ind w:left="40"/>
              <w:spacing w:after="0"/>
              <w:rPr>
                <w:sz w:val="20"/>
                <w:szCs w:val="20"/>
                <w:color w:val="auto"/>
              </w:rPr>
            </w:pPr>
            <w:r>
              <w:rPr>
                <w:rFonts w:ascii="Arial" w:cs="Arial" w:eastAsia="Arial" w:hAnsi="Arial"/>
                <w:sz w:val="16"/>
                <w:szCs w:val="16"/>
                <w:color w:val="auto"/>
              </w:rPr>
              <w:t>Gross unrealized gains</w:t>
            </w:r>
          </w:p>
        </w:tc>
        <w:tc>
          <w:tcPr>
            <w:tcW w:w="280" w:type="dxa"/>
            <w:vAlign w:val="bottom"/>
          </w:tcPr>
          <w:p>
            <w:pPr>
              <w:spacing w:after="0"/>
              <w:rPr>
                <w:sz w:val="23"/>
                <w:szCs w:val="23"/>
                <w:color w:val="auto"/>
              </w:rPr>
            </w:pPr>
          </w:p>
        </w:tc>
        <w:tc>
          <w:tcPr>
            <w:tcW w:w="900" w:type="dxa"/>
            <w:vAlign w:val="bottom"/>
          </w:tcPr>
          <w:p>
            <w:pPr>
              <w:jc w:val="right"/>
              <w:ind w:right="62"/>
              <w:spacing w:after="0"/>
              <w:rPr>
                <w:sz w:val="20"/>
                <w:szCs w:val="20"/>
                <w:color w:val="auto"/>
              </w:rPr>
            </w:pPr>
            <w:r>
              <w:rPr>
                <w:rFonts w:ascii="Arial" w:cs="Arial" w:eastAsia="Arial" w:hAnsi="Arial"/>
                <w:sz w:val="16"/>
                <w:szCs w:val="16"/>
                <w:b w:val="1"/>
                <w:bCs w:val="1"/>
                <w:color w:val="auto"/>
              </w:rPr>
              <w:t>154,886</w:t>
            </w:r>
          </w:p>
        </w:tc>
        <w:tc>
          <w:tcPr>
            <w:tcW w:w="340" w:type="dxa"/>
            <w:vAlign w:val="bottom"/>
          </w:tcPr>
          <w:p>
            <w:pPr>
              <w:spacing w:after="0"/>
              <w:rPr>
                <w:sz w:val="23"/>
                <w:szCs w:val="23"/>
                <w:color w:val="auto"/>
              </w:rPr>
            </w:pPr>
          </w:p>
        </w:tc>
        <w:tc>
          <w:tcPr>
            <w:tcW w:w="880" w:type="dxa"/>
            <w:vAlign w:val="bottom"/>
          </w:tcPr>
          <w:p>
            <w:pPr>
              <w:jc w:val="right"/>
              <w:ind w:right="21"/>
              <w:spacing w:after="0"/>
              <w:rPr>
                <w:sz w:val="20"/>
                <w:szCs w:val="20"/>
                <w:color w:val="auto"/>
              </w:rPr>
            </w:pPr>
            <w:r>
              <w:rPr>
                <w:rFonts w:ascii="Arial" w:cs="Arial" w:eastAsia="Arial" w:hAnsi="Arial"/>
                <w:sz w:val="16"/>
                <w:szCs w:val="16"/>
                <w:color w:val="auto"/>
              </w:rPr>
              <w:t>97,741</w:t>
            </w:r>
          </w:p>
        </w:tc>
      </w:tr>
      <w:tr>
        <w:trPr>
          <w:trHeight w:val="274"/>
        </w:trPr>
        <w:tc>
          <w:tcPr>
            <w:tcW w:w="9020" w:type="dxa"/>
            <w:vAlign w:val="bottom"/>
          </w:tcPr>
          <w:p>
            <w:pPr>
              <w:ind w:left="40"/>
              <w:spacing w:after="0"/>
              <w:rPr>
                <w:sz w:val="20"/>
                <w:szCs w:val="20"/>
                <w:color w:val="auto"/>
              </w:rPr>
            </w:pPr>
            <w:r>
              <w:rPr>
                <w:rFonts w:ascii="Arial" w:cs="Arial" w:eastAsia="Arial" w:hAnsi="Arial"/>
                <w:sz w:val="16"/>
                <w:szCs w:val="16"/>
                <w:color w:val="auto"/>
              </w:rPr>
              <w:t>Gross unrealized losses</w:t>
            </w:r>
          </w:p>
        </w:tc>
        <w:tc>
          <w:tcPr>
            <w:tcW w:w="28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b w:val="1"/>
                <w:bCs w:val="1"/>
                <w:color w:val="auto"/>
              </w:rPr>
              <w:t>—</w:t>
            </w:r>
          </w:p>
        </w:tc>
        <w:tc>
          <w:tcPr>
            <w:tcW w:w="34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(240)</w:t>
            </w:r>
          </w:p>
        </w:tc>
      </w:tr>
      <w:tr>
        <w:trPr>
          <w:trHeight w:val="267"/>
        </w:trPr>
        <w:tc>
          <w:tcPr>
            <w:tcW w:w="9020" w:type="dxa"/>
            <w:vAlign w:val="bottom"/>
          </w:tcPr>
          <w:p>
            <w:pPr>
              <w:ind w:left="40"/>
              <w:spacing w:after="0"/>
              <w:rPr>
                <w:sz w:val="20"/>
                <w:szCs w:val="20"/>
                <w:color w:val="auto"/>
              </w:rPr>
            </w:pPr>
            <w:r>
              <w:rPr>
                <w:rFonts w:ascii="Arial" w:cs="Arial" w:eastAsia="Arial" w:hAnsi="Arial"/>
                <w:sz w:val="16"/>
                <w:szCs w:val="16"/>
                <w:b w:val="1"/>
                <w:bCs w:val="1"/>
                <w:color w:val="auto"/>
              </w:rPr>
              <w:t>Total Fair Value</w:t>
            </w: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90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b w:val="1"/>
                <w:bCs w:val="1"/>
                <w:color w:val="auto"/>
              </w:rPr>
              <w:t>424,229</w:t>
            </w:r>
          </w:p>
        </w:tc>
        <w:tc>
          <w:tcPr>
            <w:tcW w:w="3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350,563</w:t>
            </w:r>
          </w:p>
        </w:tc>
      </w:tr>
      <w:tr>
        <w:trPr>
          <w:trHeight w:val="20"/>
        </w:trPr>
        <w:tc>
          <w:tcPr>
            <w:tcW w:w="90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26" w:lineRule="exact"/>
        <w:rPr>
          <w:sz w:val="20"/>
          <w:szCs w:val="20"/>
          <w:color w:val="auto"/>
        </w:rPr>
      </w:pPr>
    </w:p>
    <w:p>
      <w:pPr>
        <w:jc w:val="both"/>
        <w:ind w:right="40"/>
        <w:spacing w:after="0" w:line="260" w:lineRule="auto"/>
        <w:rPr>
          <w:sz w:val="20"/>
          <w:szCs w:val="20"/>
          <w:color w:val="auto"/>
        </w:rPr>
      </w:pPr>
      <w:r>
        <w:rPr>
          <w:rFonts w:ascii="Arial" w:cs="Arial" w:eastAsia="Arial" w:hAnsi="Arial"/>
          <w:sz w:val="18"/>
          <w:szCs w:val="18"/>
          <w:color w:val="auto"/>
        </w:rPr>
        <w:t>At December 31, 2016, and 2015, the Company owned 28,000 shares in Markel Corporation (Markel) valued at $25.3 million and $24.7 million, respectively. The Co-Chief Executive Officer of Markel, Mr. Thomas S. Gayner, is a member of the Company’s Board of Directors.</w:t>
      </w:r>
    </w:p>
    <w:p>
      <w:pPr>
        <w:spacing w:after="0" w:line="38" w:lineRule="exact"/>
        <w:rPr>
          <w:sz w:val="20"/>
          <w:szCs w:val="20"/>
          <w:color w:val="auto"/>
        </w:rPr>
      </w:pPr>
    </w:p>
    <w:p>
      <w:pPr>
        <w:ind w:right="100"/>
        <w:spacing w:after="0" w:line="231" w:lineRule="auto"/>
        <w:rPr>
          <w:sz w:val="20"/>
          <w:szCs w:val="20"/>
          <w:color w:val="auto"/>
        </w:rPr>
      </w:pPr>
      <w:r>
        <w:rPr>
          <w:rFonts w:ascii="Arial" w:cs="Arial" w:eastAsia="Arial" w:hAnsi="Arial"/>
          <w:sz w:val="18"/>
          <w:szCs w:val="18"/>
          <w:color w:val="auto"/>
        </w:rPr>
        <w:t>The Company settled on $48.3 million of marketable equity securities during 2016, of which $47.9 million was purchased during the year. The Company invested in $ 146.2 million and $50.0 million in marketable equity securities during 2015 and 2014, respectively. During 2016, proceeds from sales of marketable equity securities were $29.7 million, resulting in gross realized losses of $ 8.1 million and gross realized gains of $6.2 million. During 2014, proceeds from sales of marketable equity securities were $5.8 million and net realized losses on such sales were $2.6 million.</w:t>
      </w:r>
    </w:p>
    <w:p>
      <w:pPr>
        <w:spacing w:after="0" w:line="57" w:lineRule="exact"/>
        <w:rPr>
          <w:sz w:val="20"/>
          <w:szCs w:val="20"/>
          <w:color w:val="auto"/>
        </w:rPr>
      </w:pPr>
    </w:p>
    <w:p>
      <w:pPr>
        <w:ind w:right="160"/>
        <w:spacing w:after="0" w:line="260" w:lineRule="auto"/>
        <w:rPr>
          <w:sz w:val="20"/>
          <w:szCs w:val="20"/>
          <w:color w:val="auto"/>
        </w:rPr>
      </w:pPr>
      <w:r>
        <w:rPr>
          <w:rFonts w:ascii="Arial" w:cs="Arial" w:eastAsia="Arial" w:hAnsi="Arial"/>
          <w:sz w:val="18"/>
          <w:szCs w:val="18"/>
          <w:color w:val="auto"/>
        </w:rPr>
        <w:t>On June 30, 2014, the Company completed a transaction with Berkshire, as described in Note 7, that included the exchange of 2,107 Class A Berkshire shares and 1,278 Class B Berkshire shares owned by the Company; a $266.7 million gain was recorded.</w:t>
      </w:r>
    </w:p>
    <w:p>
      <w:pPr>
        <w:spacing w:after="0" w:line="90" w:lineRule="exact"/>
        <w:rPr>
          <w:sz w:val="20"/>
          <w:szCs w:val="20"/>
          <w:color w:val="auto"/>
        </w:rPr>
      </w:pPr>
    </w:p>
    <w:p>
      <w:pPr>
        <w:ind w:right="40"/>
        <w:spacing w:after="0" w:line="232" w:lineRule="auto"/>
        <w:rPr>
          <w:sz w:val="20"/>
          <w:szCs w:val="20"/>
          <w:color w:val="auto"/>
        </w:rPr>
      </w:pPr>
      <w:r>
        <w:rPr>
          <w:rFonts w:ascii="Arial" w:cs="Arial" w:eastAsia="Arial" w:hAnsi="Arial"/>
          <w:sz w:val="18"/>
          <w:szCs w:val="18"/>
          <w:b w:val="1"/>
          <w:bCs w:val="1"/>
          <w:color w:val="auto"/>
        </w:rPr>
        <w:t xml:space="preserve">Investments in Affiliates. </w:t>
      </w:r>
      <w:r>
        <w:rPr>
          <w:rFonts w:ascii="Arial" w:cs="Arial" w:eastAsia="Arial" w:hAnsi="Arial"/>
          <w:sz w:val="18"/>
          <w:szCs w:val="18"/>
          <w:color w:val="auto"/>
        </w:rPr>
        <w:t>As of December 31, 2016, the Company held an approximate 20% interest in HomeHero and interests in several</w:t>
      </w:r>
      <w:r>
        <w:rPr>
          <w:rFonts w:ascii="Arial" w:cs="Arial" w:eastAsia="Arial" w:hAnsi="Arial"/>
          <w:sz w:val="18"/>
          <w:szCs w:val="18"/>
          <w:b w:val="1"/>
          <w:bCs w:val="1"/>
          <w:color w:val="auto"/>
        </w:rPr>
        <w:t xml:space="preserve"> </w:t>
      </w:r>
      <w:r>
        <w:rPr>
          <w:rFonts w:ascii="Arial" w:cs="Arial" w:eastAsia="Arial" w:hAnsi="Arial"/>
          <w:sz w:val="18"/>
          <w:szCs w:val="18"/>
          <w:color w:val="auto"/>
        </w:rPr>
        <w:t>other affiliates; Residential Healthcare (Residential) held a 40% interest in Residential Home Health Illinois, a 42.5% interest in Residential Hospice Illinois, and a 40% interest in the joint venture formed between Residential and a Michigan hospital; and Celtic Healthcare (Celtic) held a 40% interest in the joint venture formed between Celtic Healthcare and Allegheny Health Network (AHN) (see Note 7). For the year ended December 31, 2016, the Company recorded $14.9 million in revenue for services provided to the affiliates of Celtic and Residential.</w:t>
      </w:r>
    </w:p>
    <w:p>
      <w:pPr>
        <w:spacing w:after="0" w:line="109" w:lineRule="exact"/>
        <w:rPr>
          <w:sz w:val="20"/>
          <w:szCs w:val="20"/>
          <w:color w:val="auto"/>
        </w:rPr>
      </w:pPr>
    </w:p>
    <w:p>
      <w:pPr>
        <w:ind w:right="60"/>
        <w:spacing w:after="0" w:line="228" w:lineRule="auto"/>
        <w:rPr>
          <w:sz w:val="20"/>
          <w:szCs w:val="20"/>
          <w:color w:val="auto"/>
        </w:rPr>
      </w:pPr>
      <w:r>
        <w:rPr>
          <w:rFonts w:ascii="Arial" w:cs="Arial" w:eastAsia="Arial" w:hAnsi="Arial"/>
          <w:sz w:val="18"/>
          <w:szCs w:val="18"/>
          <w:color w:val="auto"/>
        </w:rPr>
        <w:t>Additionally, Kaplan International Holdings Limited (KIHL) held a 45% interest in a joint venture formed with York University. In July 2016, Kaplan International Holdings Limited (KIHL) entered into an agreement with University of York International Pathway College LLP (York International College) to loan the LLP £ 25 million over the next eighteen months, to construct an academic building in the UK to be used by the College. York International College is a limited liability partnership joint venture between Kaplan York Limited (a subsidiary of Kaplan International Colleges UK Limited) and a subsidiary of the University of York, that operates a pathways college. The loan will be repayable over 25 years at an interest rate of 7% and the loan is guaranteed by the University of York. While there is no strict requirement to make annual principal and interest payments, interest will be rolled up and accrue interest</w:t>
      </w:r>
    </w:p>
    <w:p>
      <w:pPr>
        <w:sectPr>
          <w:pgSz w:w="11900" w:h="16838" w:orient="portrait"/>
          <w:cols w:equalWidth="0" w:num="1">
            <w:col w:w="11420"/>
          </w:cols>
          <w:pgMar w:left="240" w:top="724" w:right="239" w:bottom="1440" w:gutter="0" w:footer="0" w:header="0"/>
          <w:type w:val="continuous"/>
        </w:sect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76</w:t>
      </w:r>
    </w:p>
    <w:p>
      <w:pPr>
        <w:sectPr>
          <w:pgSz w:w="11900" w:h="16838" w:orient="portrait"/>
          <w:cols w:equalWidth="0" w:num="1">
            <w:col w:w="11420"/>
          </w:cols>
          <w:pgMar w:left="240" w:top="724" w:right="239" w:bottom="1440" w:gutter="0" w:footer="0" w:header="0"/>
          <w:type w:val="continuous"/>
        </w:sectPr>
      </w:pPr>
    </w:p>
    <w:bookmarkStart w:id="79" w:name="page80"/>
    <w:bookmarkEnd w:id="79"/>
    <w:p>
      <w:pPr>
        <w:ind w:right="620"/>
        <w:spacing w:after="0" w:line="260" w:lineRule="auto"/>
        <w:rPr>
          <w:sz w:val="20"/>
          <w:szCs w:val="20"/>
          <w:color w:val="auto"/>
        </w:rPr>
      </w:pPr>
      <w:r>
        <w:rPr>
          <w:rFonts w:ascii="Arial" w:cs="Arial" w:eastAsia="Arial" w:hAnsi="Arial"/>
          <w:sz w:val="18"/>
          <w:szCs w:val="18"/>
          <w:color w:val="auto"/>
        </w:rPr>
        <w:t>at 7% if no such payments are made. The loan becomes due and payable if the partnership agreement with Kaplan is terminated. In the second half of 2016, KIHL advanced approximately £11.0 million to York International College.</w:t>
      </w:r>
    </w:p>
    <w:p>
      <w:pPr>
        <w:spacing w:after="0" w:line="92" w:lineRule="exact"/>
        <w:rPr>
          <w:sz w:val="20"/>
          <w:szCs w:val="20"/>
          <w:color w:val="auto"/>
        </w:rPr>
      </w:pPr>
    </w:p>
    <w:p>
      <w:pPr>
        <w:ind w:right="360"/>
        <w:spacing w:after="0" w:line="260" w:lineRule="auto"/>
        <w:rPr>
          <w:sz w:val="20"/>
          <w:szCs w:val="20"/>
          <w:color w:val="auto"/>
        </w:rPr>
      </w:pPr>
      <w:r>
        <w:rPr>
          <w:rFonts w:ascii="Arial" w:cs="Arial" w:eastAsia="Arial" w:hAnsi="Arial"/>
          <w:sz w:val="18"/>
          <w:szCs w:val="18"/>
          <w:color w:val="auto"/>
        </w:rPr>
        <w:t>As a result of the challenging industry operating environment and operating losses, in the fourth quarter of 2016, the Company recorded an $8.4 million write-down on its investment in HomeHero, a company that managed an online senior home care marketplace.</w:t>
      </w:r>
    </w:p>
    <w:p>
      <w:pPr>
        <w:spacing w:after="0" w:line="92" w:lineRule="exact"/>
        <w:rPr>
          <w:sz w:val="20"/>
          <w:szCs w:val="20"/>
          <w:color w:val="auto"/>
        </w:rPr>
      </w:pPr>
    </w:p>
    <w:p>
      <w:pPr>
        <w:ind w:right="200"/>
        <w:spacing w:after="0" w:line="229" w:lineRule="auto"/>
        <w:rPr>
          <w:sz w:val="20"/>
          <w:szCs w:val="20"/>
          <w:color w:val="auto"/>
        </w:rPr>
      </w:pPr>
      <w:r>
        <w:rPr>
          <w:rFonts w:ascii="Arial" w:cs="Arial" w:eastAsia="Arial" w:hAnsi="Arial"/>
          <w:sz w:val="18"/>
          <w:szCs w:val="18"/>
          <w:color w:val="auto"/>
        </w:rPr>
        <w:t>On April 1, 2014, the Company received a gross cash distribution of $95.0 million from Classified Ventures' sale of apartments.com. In connection with this sale, the Company recorded a pre-tax gain of $90.9 million in the second quarter of 2014. On September 30, 2014, the Company held a 16.5% interest in Classified Ventures. On October 1, 2014, the Company and the remaining partners completed the sale of their entire stakes in Classified Ventures. Total proceeds to the Company, net of transaction costs, were $408.5 million, of which $16.5 million was held in escrow until received in the fourth quarter of 2015. The Company recorded a pre-tax gain of $396.6 million in connection with the sale in the fourth quarter of 2014.</w:t>
      </w:r>
    </w:p>
    <w:p>
      <w:pPr>
        <w:spacing w:after="0" w:line="110" w:lineRule="exact"/>
        <w:rPr>
          <w:sz w:val="20"/>
          <w:szCs w:val="20"/>
          <w:color w:val="auto"/>
        </w:rPr>
      </w:pPr>
    </w:p>
    <w:p>
      <w:pPr>
        <w:ind w:left="500" w:hanging="492"/>
        <w:spacing w:after="0"/>
        <w:tabs>
          <w:tab w:leader="none" w:pos="500" w:val="left"/>
        </w:tabs>
        <w:numPr>
          <w:ilvl w:val="0"/>
          <w:numId w:val="60"/>
        </w:numPr>
        <w:rPr>
          <w:rFonts w:ascii="Arial" w:cs="Arial" w:eastAsia="Arial" w:hAnsi="Arial"/>
          <w:sz w:val="18"/>
          <w:szCs w:val="18"/>
          <w:b w:val="1"/>
          <w:bCs w:val="1"/>
          <w:color w:val="auto"/>
        </w:rPr>
      </w:pPr>
      <w:r>
        <w:rPr>
          <w:rFonts w:ascii="Arial" w:cs="Arial" w:eastAsia="Arial" w:hAnsi="Arial"/>
          <w:sz w:val="18"/>
          <w:szCs w:val="18"/>
          <w:b w:val="1"/>
          <w:bCs w:val="1"/>
          <w:color w:val="auto"/>
        </w:rPr>
        <w:t>ACCOUNTS RECEIVABLE, ACCOUNTS PAYABLE AND ACCRUED LIABILITIES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Accounts receivable consist of the following:</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90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120" w:type="dxa"/>
            <w:vAlign w:val="bottom"/>
            <w:tcBorders>
              <w:bottom w:val="single" w:sz="8" w:color="auto"/>
            </w:tcBorders>
            <w:gridSpan w:val="3"/>
          </w:tcPr>
          <w:p>
            <w:pPr>
              <w:jc w:val="right"/>
              <w:ind w:right="461"/>
              <w:spacing w:after="0"/>
              <w:rPr>
                <w:sz w:val="20"/>
                <w:szCs w:val="20"/>
                <w:color w:val="auto"/>
              </w:rPr>
            </w:pPr>
            <w:r>
              <w:rPr>
                <w:rFonts w:ascii="Arial" w:cs="Arial" w:eastAsia="Arial" w:hAnsi="Arial"/>
                <w:sz w:val="14"/>
                <w:szCs w:val="14"/>
                <w:b w:val="1"/>
                <w:bCs w:val="1"/>
                <w:color w:val="auto"/>
              </w:rPr>
              <w:t>As of December 31</w:t>
            </w:r>
          </w:p>
        </w:tc>
      </w:tr>
      <w:tr>
        <w:trPr>
          <w:trHeight w:val="264"/>
        </w:trPr>
        <w:tc>
          <w:tcPr>
            <w:tcW w:w="90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63"/>
              <w:spacing w:after="0"/>
              <w:rPr>
                <w:sz w:val="20"/>
                <w:szCs w:val="20"/>
                <w:color w:val="auto"/>
              </w:rPr>
            </w:pPr>
            <w:r>
              <w:rPr>
                <w:rFonts w:ascii="Arial" w:cs="Arial" w:eastAsia="Arial" w:hAnsi="Arial"/>
                <w:sz w:val="14"/>
                <w:szCs w:val="14"/>
                <w:b w:val="1"/>
                <w:bCs w:val="1"/>
                <w:color w:val="auto"/>
              </w:rPr>
              <w:t>2016</w:t>
            </w:r>
          </w:p>
        </w:tc>
        <w:tc>
          <w:tcPr>
            <w:tcW w:w="3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color w:val="auto"/>
              </w:rPr>
              <w:t>2015</w:t>
            </w:r>
          </w:p>
        </w:tc>
      </w:tr>
      <w:tr>
        <w:trPr>
          <w:trHeight w:val="249"/>
        </w:trPr>
        <w:tc>
          <w:tcPr>
            <w:tcW w:w="9020" w:type="dxa"/>
            <w:vAlign w:val="bottom"/>
          </w:tcPr>
          <w:p>
            <w:pPr>
              <w:ind w:left="40"/>
              <w:spacing w:after="0"/>
              <w:rPr>
                <w:sz w:val="20"/>
                <w:szCs w:val="20"/>
                <w:color w:val="auto"/>
              </w:rPr>
            </w:pPr>
            <w:r>
              <w:rPr>
                <w:rFonts w:ascii="Arial" w:cs="Arial" w:eastAsia="Arial" w:hAnsi="Arial"/>
                <w:sz w:val="16"/>
                <w:szCs w:val="16"/>
                <w:color w:val="auto"/>
              </w:rPr>
              <w:t>Trade accounts receivable, less doubtful accounts</w:t>
            </w: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8"/>
        </w:trPr>
        <w:tc>
          <w:tcPr>
            <w:tcW w:w="9020" w:type="dxa"/>
            <w:vAlign w:val="bottom"/>
          </w:tcPr>
          <w:p>
            <w:pPr>
              <w:ind w:left="280"/>
              <w:spacing w:after="0"/>
              <w:rPr>
                <w:sz w:val="20"/>
                <w:szCs w:val="20"/>
                <w:color w:val="auto"/>
              </w:rPr>
            </w:pPr>
            <w:r>
              <w:rPr>
                <w:rFonts w:ascii="Arial" w:cs="Arial" w:eastAsia="Arial" w:hAnsi="Arial"/>
                <w:sz w:val="16"/>
                <w:szCs w:val="16"/>
                <w:color w:val="auto"/>
              </w:rPr>
              <w:t>of $26,723 and $27,854</w:t>
            </w:r>
          </w:p>
        </w:tc>
        <w:tc>
          <w:tcPr>
            <w:tcW w:w="28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900" w:type="dxa"/>
            <w:vAlign w:val="bottom"/>
          </w:tcPr>
          <w:p>
            <w:pPr>
              <w:jc w:val="right"/>
              <w:ind w:right="63"/>
              <w:spacing w:after="0"/>
              <w:rPr>
                <w:sz w:val="20"/>
                <w:szCs w:val="20"/>
                <w:color w:val="auto"/>
              </w:rPr>
            </w:pPr>
            <w:r>
              <w:rPr>
                <w:rFonts w:ascii="Arial" w:cs="Arial" w:eastAsia="Arial" w:hAnsi="Arial"/>
                <w:sz w:val="16"/>
                <w:szCs w:val="16"/>
                <w:b w:val="1"/>
                <w:bCs w:val="1"/>
                <w:color w:val="auto"/>
              </w:rPr>
              <w:t>591,854</w:t>
            </w: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21"/>
              <w:spacing w:after="0"/>
              <w:rPr>
                <w:sz w:val="20"/>
                <w:szCs w:val="20"/>
                <w:color w:val="auto"/>
              </w:rPr>
            </w:pPr>
            <w:r>
              <w:rPr>
                <w:rFonts w:ascii="Arial" w:cs="Arial" w:eastAsia="Arial" w:hAnsi="Arial"/>
                <w:sz w:val="16"/>
                <w:szCs w:val="16"/>
                <w:color w:val="auto"/>
              </w:rPr>
              <w:t>553,780</w:t>
            </w:r>
          </w:p>
        </w:tc>
      </w:tr>
      <w:tr>
        <w:trPr>
          <w:trHeight w:val="274"/>
        </w:trPr>
        <w:tc>
          <w:tcPr>
            <w:tcW w:w="9020" w:type="dxa"/>
            <w:vAlign w:val="bottom"/>
          </w:tcPr>
          <w:p>
            <w:pPr>
              <w:ind w:left="40"/>
              <w:spacing w:after="0"/>
              <w:rPr>
                <w:sz w:val="20"/>
                <w:szCs w:val="20"/>
                <w:color w:val="auto"/>
              </w:rPr>
            </w:pPr>
            <w:r>
              <w:rPr>
                <w:rFonts w:ascii="Arial" w:cs="Arial" w:eastAsia="Arial" w:hAnsi="Arial"/>
                <w:sz w:val="16"/>
                <w:szCs w:val="16"/>
                <w:color w:val="auto"/>
              </w:rPr>
              <w:t>Other receivables</w:t>
            </w:r>
          </w:p>
        </w:tc>
        <w:tc>
          <w:tcPr>
            <w:tcW w:w="28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63"/>
              <w:spacing w:after="0"/>
              <w:rPr>
                <w:sz w:val="20"/>
                <w:szCs w:val="20"/>
                <w:color w:val="auto"/>
              </w:rPr>
            </w:pPr>
            <w:r>
              <w:rPr>
                <w:rFonts w:ascii="Arial" w:cs="Arial" w:eastAsia="Arial" w:hAnsi="Arial"/>
                <w:sz w:val="16"/>
                <w:szCs w:val="16"/>
                <w:b w:val="1"/>
                <w:bCs w:val="1"/>
                <w:color w:val="auto"/>
              </w:rPr>
              <w:t>23,247</w:t>
            </w:r>
          </w:p>
        </w:tc>
        <w:tc>
          <w:tcPr>
            <w:tcW w:w="34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18,655</w:t>
            </w:r>
          </w:p>
        </w:tc>
      </w:tr>
      <w:tr>
        <w:trPr>
          <w:trHeight w:val="264"/>
        </w:trPr>
        <w:tc>
          <w:tcPr>
            <w:tcW w:w="9020" w:type="dxa"/>
            <w:vAlign w:val="bottom"/>
          </w:tcPr>
          <w:p>
            <w:pPr>
              <w:spacing w:after="0"/>
              <w:rPr>
                <w:sz w:val="22"/>
                <w:szCs w:val="22"/>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900" w:type="dxa"/>
            <w:vAlign w:val="bottom"/>
            <w:tcBorders>
              <w:bottom w:val="single" w:sz="8" w:color="auto"/>
            </w:tcBorders>
          </w:tcPr>
          <w:p>
            <w:pPr>
              <w:jc w:val="right"/>
              <w:ind w:right="63"/>
              <w:spacing w:after="0"/>
              <w:rPr>
                <w:sz w:val="20"/>
                <w:szCs w:val="20"/>
                <w:color w:val="auto"/>
              </w:rPr>
            </w:pPr>
            <w:r>
              <w:rPr>
                <w:rFonts w:ascii="Arial" w:cs="Arial" w:eastAsia="Arial" w:hAnsi="Arial"/>
                <w:sz w:val="16"/>
                <w:szCs w:val="16"/>
                <w:b w:val="1"/>
                <w:bCs w:val="1"/>
                <w:color w:val="auto"/>
              </w:rPr>
              <w:t>615,101</w:t>
            </w:r>
          </w:p>
        </w:tc>
        <w:tc>
          <w:tcPr>
            <w:tcW w:w="3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572,435</w:t>
            </w:r>
          </w:p>
        </w:tc>
      </w:tr>
      <w:tr>
        <w:trPr>
          <w:trHeight w:val="20"/>
        </w:trPr>
        <w:tc>
          <w:tcPr>
            <w:tcW w:w="90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allowance for doubtful accounts was as follows: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tcPr>
          <w:p>
            <w:pPr>
              <w:jc w:val="center"/>
              <w:ind w:right="144"/>
              <w:spacing w:after="0"/>
              <w:rPr>
                <w:sz w:val="20"/>
                <w:szCs w:val="20"/>
                <w:color w:val="auto"/>
              </w:rPr>
            </w:pPr>
            <w:r>
              <w:rPr>
                <w:rFonts w:ascii="Arial" w:cs="Arial" w:eastAsia="Arial" w:hAnsi="Arial"/>
                <w:sz w:val="14"/>
                <w:szCs w:val="14"/>
                <w:b w:val="1"/>
                <w:bCs w:val="1"/>
                <w:color w:val="auto"/>
              </w:rPr>
              <w:t>Additions –</w:t>
            </w: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jc w:val="center"/>
              <w:ind w:right="123"/>
              <w:spacing w:after="0"/>
              <w:rPr>
                <w:sz w:val="20"/>
                <w:szCs w:val="20"/>
                <w:color w:val="auto"/>
              </w:rPr>
            </w:pPr>
            <w:r>
              <w:rPr>
                <w:rFonts w:ascii="Arial" w:cs="Arial" w:eastAsia="Arial" w:hAnsi="Arial"/>
                <w:sz w:val="14"/>
                <w:szCs w:val="14"/>
                <w:b w:val="1"/>
                <w:bCs w:val="1"/>
                <w:color w:val="auto"/>
              </w:rPr>
              <w:t>Balance</w:t>
            </w:r>
          </w:p>
        </w:tc>
      </w:tr>
      <w:tr>
        <w:trPr>
          <w:trHeight w:val="162"/>
        </w:trPr>
        <w:tc>
          <w:tcPr>
            <w:tcW w:w="5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20" w:type="dxa"/>
            <w:vAlign w:val="bottom"/>
          </w:tcPr>
          <w:p>
            <w:pPr>
              <w:jc w:val="center"/>
              <w:ind w:right="103"/>
              <w:spacing w:after="0"/>
              <w:rPr>
                <w:sz w:val="20"/>
                <w:szCs w:val="20"/>
                <w:color w:val="auto"/>
              </w:rPr>
            </w:pPr>
            <w:r>
              <w:rPr>
                <w:rFonts w:ascii="Arial" w:cs="Arial" w:eastAsia="Arial" w:hAnsi="Arial"/>
                <w:sz w:val="14"/>
                <w:szCs w:val="14"/>
                <w:b w:val="1"/>
                <w:bCs w:val="1"/>
                <w:color w:val="auto"/>
              </w:rPr>
              <w:t>Balance at</w:t>
            </w:r>
          </w:p>
        </w:tc>
        <w:tc>
          <w:tcPr>
            <w:tcW w:w="240" w:type="dxa"/>
            <w:vAlign w:val="bottom"/>
          </w:tcPr>
          <w:p>
            <w:pPr>
              <w:spacing w:after="0"/>
              <w:rPr>
                <w:sz w:val="14"/>
                <w:szCs w:val="14"/>
                <w:color w:val="auto"/>
              </w:rPr>
            </w:pPr>
          </w:p>
        </w:tc>
        <w:tc>
          <w:tcPr>
            <w:tcW w:w="1080" w:type="dxa"/>
            <w:vAlign w:val="bottom"/>
          </w:tcPr>
          <w:p>
            <w:pPr>
              <w:jc w:val="center"/>
              <w:ind w:right="164"/>
              <w:spacing w:after="0"/>
              <w:rPr>
                <w:sz w:val="20"/>
                <w:szCs w:val="20"/>
                <w:color w:val="auto"/>
              </w:rPr>
            </w:pPr>
            <w:r>
              <w:rPr>
                <w:rFonts w:ascii="Arial" w:cs="Arial" w:eastAsia="Arial" w:hAnsi="Arial"/>
                <w:sz w:val="14"/>
                <w:szCs w:val="14"/>
                <w:b w:val="1"/>
                <w:bCs w:val="1"/>
                <w:color w:val="auto"/>
              </w:rPr>
              <w:t>Charged to</w:t>
            </w: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jc w:val="center"/>
              <w:ind w:right="123"/>
              <w:spacing w:after="0"/>
              <w:rPr>
                <w:sz w:val="20"/>
                <w:szCs w:val="20"/>
                <w:color w:val="auto"/>
              </w:rPr>
            </w:pPr>
            <w:r>
              <w:rPr>
                <w:rFonts w:ascii="Arial" w:cs="Arial" w:eastAsia="Arial" w:hAnsi="Arial"/>
                <w:sz w:val="14"/>
                <w:szCs w:val="14"/>
                <w:b w:val="1"/>
                <w:bCs w:val="1"/>
                <w:color w:val="auto"/>
              </w:rPr>
              <w:t>at</w:t>
            </w:r>
          </w:p>
        </w:tc>
      </w:tr>
      <w:tr>
        <w:trPr>
          <w:trHeight w:val="162"/>
        </w:trPr>
        <w:tc>
          <w:tcPr>
            <w:tcW w:w="5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20" w:type="dxa"/>
            <w:vAlign w:val="bottom"/>
          </w:tcPr>
          <w:p>
            <w:pPr>
              <w:jc w:val="center"/>
              <w:ind w:right="83"/>
              <w:spacing w:after="0"/>
              <w:rPr>
                <w:sz w:val="20"/>
                <w:szCs w:val="20"/>
                <w:color w:val="auto"/>
              </w:rPr>
            </w:pPr>
            <w:r>
              <w:rPr>
                <w:rFonts w:ascii="Arial" w:cs="Arial" w:eastAsia="Arial" w:hAnsi="Arial"/>
                <w:sz w:val="14"/>
                <w:szCs w:val="14"/>
                <w:b w:val="1"/>
                <w:bCs w:val="1"/>
                <w:color w:val="auto"/>
              </w:rPr>
              <w:t>Beginning</w:t>
            </w:r>
          </w:p>
        </w:tc>
        <w:tc>
          <w:tcPr>
            <w:tcW w:w="240" w:type="dxa"/>
            <w:vAlign w:val="bottom"/>
          </w:tcPr>
          <w:p>
            <w:pPr>
              <w:spacing w:after="0"/>
              <w:rPr>
                <w:sz w:val="14"/>
                <w:szCs w:val="14"/>
                <w:color w:val="auto"/>
              </w:rPr>
            </w:pPr>
          </w:p>
        </w:tc>
        <w:tc>
          <w:tcPr>
            <w:tcW w:w="1080" w:type="dxa"/>
            <w:vAlign w:val="bottom"/>
          </w:tcPr>
          <w:p>
            <w:pPr>
              <w:jc w:val="center"/>
              <w:ind w:right="144"/>
              <w:spacing w:after="0"/>
              <w:rPr>
                <w:sz w:val="20"/>
                <w:szCs w:val="20"/>
                <w:color w:val="auto"/>
              </w:rPr>
            </w:pPr>
            <w:r>
              <w:rPr>
                <w:rFonts w:ascii="Arial" w:cs="Arial" w:eastAsia="Arial" w:hAnsi="Arial"/>
                <w:sz w:val="14"/>
                <w:szCs w:val="14"/>
                <w:b w:val="1"/>
                <w:bCs w:val="1"/>
                <w:color w:val="auto"/>
              </w:rPr>
              <w:t>Costs and</w:t>
            </w: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jc w:val="center"/>
              <w:ind w:right="123"/>
              <w:spacing w:after="0"/>
              <w:rPr>
                <w:sz w:val="20"/>
                <w:szCs w:val="20"/>
                <w:color w:val="auto"/>
              </w:rPr>
            </w:pPr>
            <w:r>
              <w:rPr>
                <w:rFonts w:ascii="Arial" w:cs="Arial" w:eastAsia="Arial" w:hAnsi="Arial"/>
                <w:sz w:val="14"/>
                <w:szCs w:val="14"/>
                <w:b w:val="1"/>
                <w:bCs w:val="1"/>
                <w:color w:val="auto"/>
              </w:rPr>
              <w:t>End of</w:t>
            </w:r>
          </w:p>
        </w:tc>
      </w:tr>
      <w:tr>
        <w:trPr>
          <w:trHeight w:val="203"/>
        </w:trPr>
        <w:tc>
          <w:tcPr>
            <w:tcW w:w="58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8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center"/>
              <w:ind w:right="83"/>
              <w:spacing w:after="0"/>
              <w:rPr>
                <w:sz w:val="20"/>
                <w:szCs w:val="20"/>
                <w:color w:val="auto"/>
              </w:rPr>
            </w:pPr>
            <w:r>
              <w:rPr>
                <w:rFonts w:ascii="Arial" w:cs="Arial" w:eastAsia="Arial" w:hAnsi="Arial"/>
                <w:sz w:val="14"/>
                <w:szCs w:val="14"/>
                <w:b w:val="1"/>
                <w:bCs w:val="1"/>
                <w:color w:val="auto"/>
              </w:rPr>
              <w:t>of Period</w:t>
            </w:r>
          </w:p>
        </w:tc>
        <w:tc>
          <w:tcPr>
            <w:tcW w:w="2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center"/>
              <w:ind w:right="144"/>
              <w:spacing w:after="0"/>
              <w:rPr>
                <w:sz w:val="20"/>
                <w:szCs w:val="20"/>
                <w:color w:val="auto"/>
              </w:rPr>
            </w:pPr>
            <w:r>
              <w:rPr>
                <w:rFonts w:ascii="Arial" w:cs="Arial" w:eastAsia="Arial" w:hAnsi="Arial"/>
                <w:sz w:val="14"/>
                <w:szCs w:val="14"/>
                <w:b w:val="1"/>
                <w:bCs w:val="1"/>
                <w:color w:val="auto"/>
              </w:rPr>
              <w:t>Expenses</w:t>
            </w:r>
          </w:p>
        </w:tc>
        <w:tc>
          <w:tcPr>
            <w:tcW w:w="1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142"/>
              <w:spacing w:after="0"/>
              <w:rPr>
                <w:sz w:val="20"/>
                <w:szCs w:val="20"/>
                <w:color w:val="auto"/>
              </w:rPr>
            </w:pPr>
            <w:r>
              <w:rPr>
                <w:rFonts w:ascii="Arial" w:cs="Arial" w:eastAsia="Arial" w:hAnsi="Arial"/>
                <w:sz w:val="14"/>
                <w:szCs w:val="14"/>
                <w:b w:val="1"/>
                <w:bCs w:val="1"/>
                <w:color w:val="auto"/>
              </w:rPr>
              <w:t>Deductions</w:t>
            </w: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center"/>
              <w:ind w:right="123"/>
              <w:spacing w:after="0"/>
              <w:rPr>
                <w:sz w:val="20"/>
                <w:szCs w:val="20"/>
                <w:color w:val="auto"/>
              </w:rPr>
            </w:pPr>
            <w:r>
              <w:rPr>
                <w:rFonts w:ascii="Arial" w:cs="Arial" w:eastAsia="Arial" w:hAnsi="Arial"/>
                <w:sz w:val="14"/>
                <w:szCs w:val="14"/>
                <w:b w:val="1"/>
                <w:bCs w:val="1"/>
                <w:color w:val="auto"/>
              </w:rPr>
              <w:t>Period</w:t>
            </w:r>
          </w:p>
        </w:tc>
      </w:tr>
      <w:tr>
        <w:trPr>
          <w:trHeight w:val="257"/>
        </w:trPr>
        <w:tc>
          <w:tcPr>
            <w:tcW w:w="5820" w:type="dxa"/>
            <w:vAlign w:val="bottom"/>
          </w:tcPr>
          <w:p>
            <w:pPr>
              <w:ind w:left="40"/>
              <w:spacing w:after="0"/>
              <w:rPr>
                <w:sz w:val="20"/>
                <w:szCs w:val="20"/>
                <w:color w:val="auto"/>
              </w:rPr>
            </w:pPr>
            <w:r>
              <w:rPr>
                <w:rFonts w:ascii="Arial" w:cs="Arial" w:eastAsia="Arial" w:hAnsi="Arial"/>
                <w:sz w:val="16"/>
                <w:szCs w:val="16"/>
                <w:b w:val="1"/>
                <w:bCs w:val="1"/>
                <w:color w:val="auto"/>
              </w:rPr>
              <w:t>2016</w:t>
            </w: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020" w:type="dxa"/>
            <w:vAlign w:val="bottom"/>
          </w:tcPr>
          <w:p>
            <w:pPr>
              <w:jc w:val="right"/>
              <w:ind w:right="43"/>
              <w:spacing w:after="0"/>
              <w:rPr>
                <w:sz w:val="20"/>
                <w:szCs w:val="20"/>
                <w:color w:val="auto"/>
              </w:rPr>
            </w:pPr>
            <w:r>
              <w:rPr>
                <w:rFonts w:ascii="Arial" w:cs="Arial" w:eastAsia="Arial" w:hAnsi="Arial"/>
                <w:sz w:val="16"/>
                <w:szCs w:val="16"/>
                <w:b w:val="1"/>
                <w:bCs w:val="1"/>
                <w:color w:val="auto"/>
              </w:rPr>
              <w:t>27,854</w:t>
            </w:r>
          </w:p>
        </w:tc>
        <w:tc>
          <w:tcPr>
            <w:tcW w:w="2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080" w:type="dxa"/>
            <w:vAlign w:val="bottom"/>
          </w:tcPr>
          <w:p>
            <w:pPr>
              <w:jc w:val="right"/>
              <w:ind w:right="124"/>
              <w:spacing w:after="0"/>
              <w:rPr>
                <w:sz w:val="20"/>
                <w:szCs w:val="20"/>
                <w:color w:val="auto"/>
              </w:rPr>
            </w:pPr>
            <w:r>
              <w:rPr>
                <w:rFonts w:ascii="Arial" w:cs="Arial" w:eastAsia="Arial" w:hAnsi="Arial"/>
                <w:sz w:val="16"/>
                <w:szCs w:val="16"/>
                <w:b w:val="1"/>
                <w:bCs w:val="1"/>
                <w:color w:val="auto"/>
              </w:rPr>
              <w:t>29,718</w:t>
            </w: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040" w:type="dxa"/>
            <w:vAlign w:val="bottom"/>
          </w:tcPr>
          <w:p>
            <w:pPr>
              <w:jc w:val="right"/>
              <w:ind w:right="22"/>
              <w:spacing w:after="0"/>
              <w:rPr>
                <w:sz w:val="20"/>
                <w:szCs w:val="20"/>
                <w:color w:val="auto"/>
              </w:rPr>
            </w:pPr>
            <w:r>
              <w:rPr>
                <w:rFonts w:ascii="Arial" w:cs="Arial" w:eastAsia="Arial" w:hAnsi="Arial"/>
                <w:sz w:val="16"/>
                <w:szCs w:val="16"/>
                <w:b w:val="1"/>
                <w:bCs w:val="1"/>
                <w:color w:val="auto"/>
              </w:rPr>
              <w:t>(30,849)</w:t>
            </w:r>
          </w:p>
        </w:tc>
        <w:tc>
          <w:tcPr>
            <w:tcW w:w="2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23"/>
              <w:spacing w:after="0"/>
              <w:rPr>
                <w:sz w:val="20"/>
                <w:szCs w:val="20"/>
                <w:color w:val="auto"/>
              </w:rPr>
            </w:pPr>
            <w:r>
              <w:rPr>
                <w:rFonts w:ascii="Arial" w:cs="Arial" w:eastAsia="Arial" w:hAnsi="Arial"/>
                <w:sz w:val="16"/>
                <w:szCs w:val="16"/>
                <w:b w:val="1"/>
                <w:bCs w:val="1"/>
                <w:color w:val="auto"/>
              </w:rPr>
              <w:t>26,723</w:t>
            </w:r>
          </w:p>
        </w:tc>
      </w:tr>
      <w:tr>
        <w:trPr>
          <w:trHeight w:val="262"/>
        </w:trPr>
        <w:tc>
          <w:tcPr>
            <w:tcW w:w="5820" w:type="dxa"/>
            <w:vAlign w:val="bottom"/>
          </w:tcPr>
          <w:p>
            <w:pPr>
              <w:ind w:left="40"/>
              <w:spacing w:after="0"/>
              <w:rPr>
                <w:sz w:val="20"/>
                <w:szCs w:val="20"/>
                <w:color w:val="auto"/>
              </w:rPr>
            </w:pPr>
            <w:r>
              <w:rPr>
                <w:rFonts w:ascii="Arial" w:cs="Arial" w:eastAsia="Arial" w:hAnsi="Arial"/>
                <w:sz w:val="16"/>
                <w:szCs w:val="16"/>
                <w:color w:val="auto"/>
              </w:rPr>
              <w:t>2015</w:t>
            </w: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43"/>
              <w:spacing w:after="0"/>
              <w:rPr>
                <w:sz w:val="20"/>
                <w:szCs w:val="20"/>
                <w:color w:val="auto"/>
              </w:rPr>
            </w:pPr>
            <w:r>
              <w:rPr>
                <w:rFonts w:ascii="Arial" w:cs="Arial" w:eastAsia="Arial" w:hAnsi="Arial"/>
                <w:sz w:val="16"/>
                <w:szCs w:val="16"/>
                <w:color w:val="auto"/>
              </w:rPr>
              <w:t>32,598</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124"/>
              <w:spacing w:after="0"/>
              <w:rPr>
                <w:sz w:val="20"/>
                <w:szCs w:val="20"/>
                <w:color w:val="auto"/>
              </w:rPr>
            </w:pPr>
            <w:r>
              <w:rPr>
                <w:rFonts w:ascii="Arial" w:cs="Arial" w:eastAsia="Arial" w:hAnsi="Arial"/>
                <w:sz w:val="16"/>
                <w:szCs w:val="16"/>
                <w:color w:val="auto"/>
              </w:rPr>
              <w:t>39,982</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22"/>
              <w:spacing w:after="0"/>
              <w:rPr>
                <w:sz w:val="20"/>
                <w:szCs w:val="20"/>
                <w:color w:val="auto"/>
              </w:rPr>
            </w:pPr>
            <w:r>
              <w:rPr>
                <w:rFonts w:ascii="Arial" w:cs="Arial" w:eastAsia="Arial" w:hAnsi="Arial"/>
                <w:sz w:val="16"/>
                <w:szCs w:val="16"/>
                <w:color w:val="auto"/>
              </w:rPr>
              <w:t>(44,726)</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23"/>
              <w:spacing w:after="0"/>
              <w:rPr>
                <w:sz w:val="20"/>
                <w:szCs w:val="20"/>
                <w:color w:val="auto"/>
              </w:rPr>
            </w:pPr>
            <w:r>
              <w:rPr>
                <w:rFonts w:ascii="Arial" w:cs="Arial" w:eastAsia="Arial" w:hAnsi="Arial"/>
                <w:sz w:val="16"/>
                <w:szCs w:val="16"/>
                <w:color w:val="auto"/>
              </w:rPr>
              <w:t>27,854</w:t>
            </w:r>
          </w:p>
        </w:tc>
      </w:tr>
      <w:tr>
        <w:trPr>
          <w:trHeight w:val="270"/>
        </w:trPr>
        <w:tc>
          <w:tcPr>
            <w:tcW w:w="5820" w:type="dxa"/>
            <w:vAlign w:val="bottom"/>
          </w:tcPr>
          <w:p>
            <w:pPr>
              <w:ind w:left="40"/>
              <w:spacing w:after="0"/>
              <w:rPr>
                <w:sz w:val="20"/>
                <w:szCs w:val="20"/>
                <w:color w:val="auto"/>
              </w:rPr>
            </w:pPr>
            <w:r>
              <w:rPr>
                <w:rFonts w:ascii="Arial" w:cs="Arial" w:eastAsia="Arial" w:hAnsi="Arial"/>
                <w:sz w:val="16"/>
                <w:szCs w:val="16"/>
                <w:color w:val="auto"/>
              </w:rPr>
              <w:t>2014</w:t>
            </w: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43"/>
              <w:spacing w:after="0"/>
              <w:rPr>
                <w:sz w:val="20"/>
                <w:szCs w:val="20"/>
                <w:color w:val="auto"/>
              </w:rPr>
            </w:pPr>
            <w:r>
              <w:rPr>
                <w:rFonts w:ascii="Arial" w:cs="Arial" w:eastAsia="Arial" w:hAnsi="Arial"/>
                <w:sz w:val="16"/>
                <w:szCs w:val="16"/>
                <w:color w:val="auto"/>
              </w:rPr>
              <w:t>33,834</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124"/>
              <w:spacing w:after="0"/>
              <w:rPr>
                <w:sz w:val="20"/>
                <w:szCs w:val="20"/>
                <w:color w:val="auto"/>
              </w:rPr>
            </w:pPr>
            <w:r>
              <w:rPr>
                <w:rFonts w:ascii="Arial" w:cs="Arial" w:eastAsia="Arial" w:hAnsi="Arial"/>
                <w:sz w:val="16"/>
                <w:szCs w:val="16"/>
                <w:color w:val="auto"/>
              </w:rPr>
              <w:t>47,356</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22"/>
              <w:spacing w:after="0"/>
              <w:rPr>
                <w:sz w:val="20"/>
                <w:szCs w:val="20"/>
                <w:color w:val="auto"/>
              </w:rPr>
            </w:pPr>
            <w:r>
              <w:rPr>
                <w:rFonts w:ascii="Arial" w:cs="Arial" w:eastAsia="Arial" w:hAnsi="Arial"/>
                <w:sz w:val="16"/>
                <w:szCs w:val="16"/>
                <w:color w:val="auto"/>
              </w:rPr>
              <w:t>(48,592)</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23"/>
              <w:spacing w:after="0"/>
              <w:rPr>
                <w:sz w:val="20"/>
                <w:szCs w:val="20"/>
                <w:color w:val="auto"/>
              </w:rPr>
            </w:pPr>
            <w:r>
              <w:rPr>
                <w:rFonts w:ascii="Arial" w:cs="Arial" w:eastAsia="Arial" w:hAnsi="Arial"/>
                <w:sz w:val="16"/>
                <w:szCs w:val="16"/>
                <w:color w:val="auto"/>
              </w:rPr>
              <w:t>32,598</w:t>
            </w:r>
          </w:p>
        </w:tc>
      </w:tr>
      <w:tr>
        <w:trPr>
          <w:trHeight w:val="384"/>
        </w:trPr>
        <w:tc>
          <w:tcPr>
            <w:tcW w:w="5820" w:type="dxa"/>
            <w:vAlign w:val="bottom"/>
          </w:tcPr>
          <w:p>
            <w:pPr>
              <w:spacing w:after="0"/>
              <w:rPr>
                <w:sz w:val="20"/>
                <w:szCs w:val="20"/>
                <w:color w:val="auto"/>
              </w:rPr>
            </w:pPr>
            <w:r>
              <w:rPr>
                <w:rFonts w:ascii="Arial" w:cs="Arial" w:eastAsia="Arial" w:hAnsi="Arial"/>
                <w:sz w:val="18"/>
                <w:szCs w:val="18"/>
                <w:color w:val="auto"/>
              </w:rPr>
              <w:t>Accounts payable and accrued liabilities consist of the following:</w:t>
            </w:r>
          </w:p>
        </w:tc>
        <w:tc>
          <w:tcPr>
            <w:tcW w:w="8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387"/>
        </w:trPr>
        <w:tc>
          <w:tcPr>
            <w:tcW w:w="58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gridSpan w:val="3"/>
          </w:tcPr>
          <w:p>
            <w:pPr>
              <w:jc w:val="right"/>
              <w:ind w:right="463"/>
              <w:spacing w:after="0"/>
              <w:rPr>
                <w:sz w:val="20"/>
                <w:szCs w:val="20"/>
                <w:color w:val="auto"/>
              </w:rPr>
            </w:pPr>
            <w:r>
              <w:rPr>
                <w:rFonts w:ascii="Arial" w:cs="Arial" w:eastAsia="Arial" w:hAnsi="Arial"/>
                <w:sz w:val="14"/>
                <w:szCs w:val="14"/>
                <w:b w:val="1"/>
                <w:bCs w:val="1"/>
                <w:color w:val="auto"/>
              </w:rPr>
              <w:t>As of December 31</w:t>
            </w:r>
          </w:p>
        </w:tc>
      </w:tr>
      <w:tr>
        <w:trPr>
          <w:trHeight w:val="264"/>
        </w:trPr>
        <w:tc>
          <w:tcPr>
            <w:tcW w:w="58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8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82"/>
              <w:spacing w:after="0"/>
              <w:rPr>
                <w:sz w:val="20"/>
                <w:szCs w:val="20"/>
                <w:color w:val="auto"/>
              </w:rPr>
            </w:pPr>
            <w:r>
              <w:rPr>
                <w:rFonts w:ascii="Arial" w:cs="Arial" w:eastAsia="Arial" w:hAnsi="Arial"/>
                <w:sz w:val="14"/>
                <w:szCs w:val="14"/>
                <w:b w:val="1"/>
                <w:bCs w:val="1"/>
                <w:color w:val="auto"/>
              </w:rPr>
              <w:t>2016</w:t>
            </w:r>
          </w:p>
        </w:tc>
        <w:tc>
          <w:tcPr>
            <w:tcW w:w="2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center"/>
              <w:ind w:right="103"/>
              <w:spacing w:after="0"/>
              <w:rPr>
                <w:sz w:val="20"/>
                <w:szCs w:val="20"/>
                <w:color w:val="auto"/>
              </w:rPr>
            </w:pPr>
            <w:r>
              <w:rPr>
                <w:rFonts w:ascii="Arial" w:cs="Arial" w:eastAsia="Arial" w:hAnsi="Arial"/>
                <w:sz w:val="14"/>
                <w:szCs w:val="14"/>
                <w:color w:val="auto"/>
              </w:rPr>
              <w:t>2015</w:t>
            </w:r>
          </w:p>
        </w:tc>
      </w:tr>
      <w:tr>
        <w:trPr>
          <w:trHeight w:val="257"/>
        </w:trPr>
        <w:tc>
          <w:tcPr>
            <w:tcW w:w="5820" w:type="dxa"/>
            <w:vAlign w:val="bottom"/>
          </w:tcPr>
          <w:p>
            <w:pPr>
              <w:ind w:left="40"/>
              <w:spacing w:after="0"/>
              <w:rPr>
                <w:sz w:val="20"/>
                <w:szCs w:val="20"/>
                <w:color w:val="auto"/>
              </w:rPr>
            </w:pPr>
            <w:r>
              <w:rPr>
                <w:rFonts w:ascii="Arial" w:cs="Arial" w:eastAsia="Arial" w:hAnsi="Arial"/>
                <w:sz w:val="16"/>
                <w:szCs w:val="16"/>
                <w:color w:val="auto"/>
              </w:rPr>
              <w:t>Accounts payable and accrued liabilities</w:t>
            </w:r>
          </w:p>
        </w:tc>
        <w:tc>
          <w:tcPr>
            <w:tcW w:w="8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040" w:type="dxa"/>
            <w:vAlign w:val="bottom"/>
          </w:tcPr>
          <w:p>
            <w:pPr>
              <w:jc w:val="right"/>
              <w:ind w:right="82"/>
              <w:spacing w:after="0"/>
              <w:rPr>
                <w:sz w:val="20"/>
                <w:szCs w:val="20"/>
                <w:color w:val="auto"/>
              </w:rPr>
            </w:pPr>
            <w:r>
              <w:rPr>
                <w:rFonts w:ascii="Arial" w:cs="Arial" w:eastAsia="Arial" w:hAnsi="Arial"/>
                <w:sz w:val="16"/>
                <w:szCs w:val="16"/>
                <w:b w:val="1"/>
                <w:bCs w:val="1"/>
                <w:color w:val="auto"/>
              </w:rPr>
              <w:t>352,356</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23"/>
              <w:spacing w:after="0"/>
              <w:rPr>
                <w:sz w:val="20"/>
                <w:szCs w:val="20"/>
                <w:color w:val="auto"/>
              </w:rPr>
            </w:pPr>
            <w:r>
              <w:rPr>
                <w:rFonts w:ascii="Arial" w:cs="Arial" w:eastAsia="Arial" w:hAnsi="Arial"/>
                <w:sz w:val="16"/>
                <w:szCs w:val="16"/>
                <w:color w:val="auto"/>
              </w:rPr>
              <w:t>285,321</w:t>
            </w:r>
          </w:p>
        </w:tc>
      </w:tr>
      <w:tr>
        <w:trPr>
          <w:trHeight w:val="274"/>
        </w:trPr>
        <w:tc>
          <w:tcPr>
            <w:tcW w:w="5820" w:type="dxa"/>
            <w:vAlign w:val="bottom"/>
          </w:tcPr>
          <w:p>
            <w:pPr>
              <w:ind w:left="40"/>
              <w:spacing w:after="0"/>
              <w:rPr>
                <w:sz w:val="20"/>
                <w:szCs w:val="20"/>
                <w:color w:val="auto"/>
              </w:rPr>
            </w:pPr>
            <w:r>
              <w:rPr>
                <w:rFonts w:ascii="Arial" w:cs="Arial" w:eastAsia="Arial" w:hAnsi="Arial"/>
                <w:sz w:val="16"/>
                <w:szCs w:val="16"/>
                <w:color w:val="auto"/>
              </w:rPr>
              <w:t>Accrued compensation and related benefits</w:t>
            </w:r>
          </w:p>
        </w:tc>
        <w:tc>
          <w:tcPr>
            <w:tcW w:w="8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b w:val="1"/>
                <w:bCs w:val="1"/>
                <w:color w:val="auto"/>
              </w:rPr>
              <w:t>148,370</w:t>
            </w:r>
          </w:p>
        </w:tc>
        <w:tc>
          <w:tcPr>
            <w:tcW w:w="26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142,693</w:t>
            </w:r>
          </w:p>
        </w:tc>
      </w:tr>
      <w:tr>
        <w:trPr>
          <w:trHeight w:val="264"/>
        </w:trPr>
        <w:tc>
          <w:tcPr>
            <w:tcW w:w="58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04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b w:val="1"/>
                <w:bCs w:val="1"/>
                <w:color w:val="auto"/>
              </w:rPr>
              <w:t>500,726</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428,014</w:t>
            </w:r>
          </w:p>
        </w:tc>
      </w:tr>
      <w:tr>
        <w:trPr>
          <w:trHeight w:val="20"/>
        </w:trPr>
        <w:tc>
          <w:tcPr>
            <w:tcW w:w="58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26" w:lineRule="exact"/>
        <w:rPr>
          <w:sz w:val="20"/>
          <w:szCs w:val="20"/>
          <w:color w:val="auto"/>
        </w:rPr>
      </w:pPr>
    </w:p>
    <w:p>
      <w:pPr>
        <w:ind w:right="440"/>
        <w:spacing w:after="0" w:line="260" w:lineRule="auto"/>
        <w:rPr>
          <w:sz w:val="20"/>
          <w:szCs w:val="20"/>
          <w:color w:val="auto"/>
        </w:rPr>
      </w:pPr>
      <w:r>
        <w:rPr>
          <w:rFonts w:ascii="Arial" w:cs="Arial" w:eastAsia="Arial" w:hAnsi="Arial"/>
          <w:sz w:val="18"/>
          <w:szCs w:val="18"/>
          <w:color w:val="auto"/>
        </w:rPr>
        <w:t>Cash overdrafts of $15.5 million and $1.1 million are included in accounts payable and accrued liabilities at December 31, 2016 and 2015, respectively.</w:t>
      </w:r>
    </w:p>
    <w:p>
      <w:pPr>
        <w:spacing w:after="0" w:line="90" w:lineRule="exact"/>
        <w:rPr>
          <w:sz w:val="20"/>
          <w:szCs w:val="20"/>
          <w:color w:val="auto"/>
        </w:rPr>
      </w:pPr>
    </w:p>
    <w:p>
      <w:pPr>
        <w:ind w:left="500" w:hanging="492"/>
        <w:spacing w:after="0"/>
        <w:tabs>
          <w:tab w:leader="none" w:pos="500" w:val="left"/>
        </w:tabs>
        <w:numPr>
          <w:ilvl w:val="0"/>
          <w:numId w:val="61"/>
        </w:numPr>
        <w:rPr>
          <w:rFonts w:ascii="Arial" w:cs="Arial" w:eastAsia="Arial" w:hAnsi="Arial"/>
          <w:sz w:val="18"/>
          <w:szCs w:val="18"/>
          <w:b w:val="1"/>
          <w:bCs w:val="1"/>
          <w:color w:val="auto"/>
        </w:rPr>
      </w:pPr>
      <w:r>
        <w:rPr>
          <w:rFonts w:ascii="Arial" w:cs="Arial" w:eastAsia="Arial" w:hAnsi="Arial"/>
          <w:sz w:val="18"/>
          <w:szCs w:val="18"/>
          <w:b w:val="1"/>
          <w:bCs w:val="1"/>
          <w:color w:val="auto"/>
        </w:rPr>
        <w:t>PROPERTY, PLANT AND EQUIPMENT</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Property, plant and equipment consist of the following:</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90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140" w:type="dxa"/>
            <w:vAlign w:val="bottom"/>
            <w:tcBorders>
              <w:bottom w:val="single" w:sz="8" w:color="auto"/>
            </w:tcBorders>
            <w:gridSpan w:val="3"/>
          </w:tcPr>
          <w:p>
            <w:pPr>
              <w:jc w:val="right"/>
              <w:ind w:right="460"/>
              <w:spacing w:after="0"/>
              <w:rPr>
                <w:sz w:val="20"/>
                <w:szCs w:val="20"/>
                <w:color w:val="auto"/>
              </w:rPr>
            </w:pPr>
            <w:r>
              <w:rPr>
                <w:rFonts w:ascii="Arial" w:cs="Arial" w:eastAsia="Arial" w:hAnsi="Arial"/>
                <w:sz w:val="14"/>
                <w:szCs w:val="14"/>
                <w:b w:val="1"/>
                <w:bCs w:val="1"/>
                <w:color w:val="auto"/>
              </w:rPr>
              <w:t>As of December 31</w:t>
            </w:r>
          </w:p>
        </w:tc>
      </w:tr>
      <w:tr>
        <w:trPr>
          <w:trHeight w:val="264"/>
        </w:trPr>
        <w:tc>
          <w:tcPr>
            <w:tcW w:w="90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2016</w:t>
            </w:r>
          </w:p>
        </w:tc>
        <w:tc>
          <w:tcPr>
            <w:tcW w:w="3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color w:val="auto"/>
              </w:rPr>
              <w:t>2015</w:t>
            </w:r>
          </w:p>
        </w:tc>
      </w:tr>
      <w:tr>
        <w:trPr>
          <w:trHeight w:val="257"/>
        </w:trPr>
        <w:tc>
          <w:tcPr>
            <w:tcW w:w="9020" w:type="dxa"/>
            <w:vAlign w:val="bottom"/>
          </w:tcPr>
          <w:p>
            <w:pPr>
              <w:ind w:left="40"/>
              <w:spacing w:after="0"/>
              <w:rPr>
                <w:sz w:val="20"/>
                <w:szCs w:val="20"/>
                <w:color w:val="auto"/>
              </w:rPr>
            </w:pPr>
            <w:r>
              <w:rPr>
                <w:rFonts w:ascii="Arial" w:cs="Arial" w:eastAsia="Arial" w:hAnsi="Arial"/>
                <w:sz w:val="16"/>
                <w:szCs w:val="16"/>
                <w:color w:val="auto"/>
              </w:rPr>
              <w:t>Land</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81"/>
              <w:spacing w:after="0"/>
              <w:rPr>
                <w:sz w:val="20"/>
                <w:szCs w:val="20"/>
                <w:color w:val="auto"/>
              </w:rPr>
            </w:pPr>
            <w:r>
              <w:rPr>
                <w:rFonts w:ascii="Arial" w:cs="Arial" w:eastAsia="Arial" w:hAnsi="Arial"/>
                <w:sz w:val="16"/>
                <w:szCs w:val="16"/>
                <w:b w:val="1"/>
                <w:bCs w:val="1"/>
                <w:color w:val="auto"/>
              </w:rPr>
              <w:t>10,410</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10,410</w:t>
            </w:r>
          </w:p>
        </w:tc>
      </w:tr>
      <w:tr>
        <w:trPr>
          <w:trHeight w:val="270"/>
        </w:trPr>
        <w:tc>
          <w:tcPr>
            <w:tcW w:w="9020" w:type="dxa"/>
            <w:vAlign w:val="bottom"/>
          </w:tcPr>
          <w:p>
            <w:pPr>
              <w:ind w:left="40"/>
              <w:spacing w:after="0"/>
              <w:rPr>
                <w:sz w:val="20"/>
                <w:szCs w:val="20"/>
                <w:color w:val="auto"/>
              </w:rPr>
            </w:pPr>
            <w:r>
              <w:rPr>
                <w:rFonts w:ascii="Arial" w:cs="Arial" w:eastAsia="Arial" w:hAnsi="Arial"/>
                <w:sz w:val="16"/>
                <w:szCs w:val="16"/>
                <w:color w:val="auto"/>
              </w:rPr>
              <w:t>Buildings</w:t>
            </w:r>
          </w:p>
        </w:tc>
        <w:tc>
          <w:tcPr>
            <w:tcW w:w="260" w:type="dxa"/>
            <w:vAlign w:val="bottom"/>
          </w:tcPr>
          <w:p>
            <w:pPr>
              <w:spacing w:after="0"/>
              <w:rPr>
                <w:sz w:val="23"/>
                <w:szCs w:val="23"/>
                <w:color w:val="auto"/>
              </w:rPr>
            </w:pPr>
          </w:p>
        </w:tc>
        <w:tc>
          <w:tcPr>
            <w:tcW w:w="940" w:type="dxa"/>
            <w:vAlign w:val="bottom"/>
          </w:tcPr>
          <w:p>
            <w:pPr>
              <w:jc w:val="right"/>
              <w:ind w:right="81"/>
              <w:spacing w:after="0"/>
              <w:rPr>
                <w:sz w:val="20"/>
                <w:szCs w:val="20"/>
                <w:color w:val="auto"/>
              </w:rPr>
            </w:pPr>
            <w:r>
              <w:rPr>
                <w:rFonts w:ascii="Arial" w:cs="Arial" w:eastAsia="Arial" w:hAnsi="Arial"/>
                <w:sz w:val="16"/>
                <w:szCs w:val="16"/>
                <w:b w:val="1"/>
                <w:bCs w:val="1"/>
                <w:color w:val="auto"/>
              </w:rPr>
              <w:t>88,256</w:t>
            </w:r>
          </w:p>
        </w:tc>
        <w:tc>
          <w:tcPr>
            <w:tcW w:w="320" w:type="dxa"/>
            <w:vAlign w:val="bottom"/>
          </w:tcPr>
          <w:p>
            <w:pPr>
              <w:spacing w:after="0"/>
              <w:rPr>
                <w:sz w:val="23"/>
                <w:szCs w:val="23"/>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83,642</w:t>
            </w:r>
          </w:p>
        </w:tc>
      </w:tr>
      <w:tr>
        <w:trPr>
          <w:trHeight w:val="270"/>
        </w:trPr>
        <w:tc>
          <w:tcPr>
            <w:tcW w:w="9020" w:type="dxa"/>
            <w:vAlign w:val="bottom"/>
          </w:tcPr>
          <w:p>
            <w:pPr>
              <w:ind w:left="40"/>
              <w:spacing w:after="0"/>
              <w:rPr>
                <w:sz w:val="20"/>
                <w:szCs w:val="20"/>
                <w:color w:val="auto"/>
              </w:rPr>
            </w:pPr>
            <w:r>
              <w:rPr>
                <w:rFonts w:ascii="Arial" w:cs="Arial" w:eastAsia="Arial" w:hAnsi="Arial"/>
                <w:sz w:val="16"/>
                <w:szCs w:val="16"/>
                <w:color w:val="auto"/>
              </w:rPr>
              <w:t>Machinery, equipment and fixtures</w:t>
            </w:r>
          </w:p>
        </w:tc>
        <w:tc>
          <w:tcPr>
            <w:tcW w:w="260" w:type="dxa"/>
            <w:vAlign w:val="bottom"/>
          </w:tcPr>
          <w:p>
            <w:pPr>
              <w:spacing w:after="0"/>
              <w:rPr>
                <w:sz w:val="23"/>
                <w:szCs w:val="23"/>
                <w:color w:val="auto"/>
              </w:rPr>
            </w:pPr>
          </w:p>
        </w:tc>
        <w:tc>
          <w:tcPr>
            <w:tcW w:w="940" w:type="dxa"/>
            <w:vAlign w:val="bottom"/>
          </w:tcPr>
          <w:p>
            <w:pPr>
              <w:jc w:val="right"/>
              <w:ind w:right="81"/>
              <w:spacing w:after="0"/>
              <w:rPr>
                <w:sz w:val="20"/>
                <w:szCs w:val="20"/>
                <w:color w:val="auto"/>
              </w:rPr>
            </w:pPr>
            <w:r>
              <w:rPr>
                <w:rFonts w:ascii="Arial" w:cs="Arial" w:eastAsia="Arial" w:hAnsi="Arial"/>
                <w:sz w:val="16"/>
                <w:szCs w:val="16"/>
                <w:b w:val="1"/>
                <w:bCs w:val="1"/>
                <w:color w:val="auto"/>
              </w:rPr>
              <w:t>433,652</w:t>
            </w:r>
          </w:p>
        </w:tc>
        <w:tc>
          <w:tcPr>
            <w:tcW w:w="320" w:type="dxa"/>
            <w:vAlign w:val="bottom"/>
          </w:tcPr>
          <w:p>
            <w:pPr>
              <w:spacing w:after="0"/>
              <w:rPr>
                <w:sz w:val="23"/>
                <w:szCs w:val="23"/>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438,388</w:t>
            </w:r>
          </w:p>
        </w:tc>
      </w:tr>
      <w:tr>
        <w:trPr>
          <w:trHeight w:val="270"/>
        </w:trPr>
        <w:tc>
          <w:tcPr>
            <w:tcW w:w="9020" w:type="dxa"/>
            <w:vAlign w:val="bottom"/>
          </w:tcPr>
          <w:p>
            <w:pPr>
              <w:ind w:left="40"/>
              <w:spacing w:after="0"/>
              <w:rPr>
                <w:sz w:val="20"/>
                <w:szCs w:val="20"/>
                <w:color w:val="auto"/>
              </w:rPr>
            </w:pPr>
            <w:r>
              <w:rPr>
                <w:rFonts w:ascii="Arial" w:cs="Arial" w:eastAsia="Arial" w:hAnsi="Arial"/>
                <w:sz w:val="16"/>
                <w:szCs w:val="16"/>
                <w:color w:val="auto"/>
              </w:rPr>
              <w:t>Leasehold improvements</w:t>
            </w:r>
          </w:p>
        </w:tc>
        <w:tc>
          <w:tcPr>
            <w:tcW w:w="260" w:type="dxa"/>
            <w:vAlign w:val="bottom"/>
          </w:tcPr>
          <w:p>
            <w:pPr>
              <w:spacing w:after="0"/>
              <w:rPr>
                <w:sz w:val="23"/>
                <w:szCs w:val="23"/>
                <w:color w:val="auto"/>
              </w:rPr>
            </w:pPr>
          </w:p>
        </w:tc>
        <w:tc>
          <w:tcPr>
            <w:tcW w:w="940" w:type="dxa"/>
            <w:vAlign w:val="bottom"/>
          </w:tcPr>
          <w:p>
            <w:pPr>
              <w:jc w:val="right"/>
              <w:ind w:right="81"/>
              <w:spacing w:after="0"/>
              <w:rPr>
                <w:sz w:val="20"/>
                <w:szCs w:val="20"/>
                <w:color w:val="auto"/>
              </w:rPr>
            </w:pPr>
            <w:r>
              <w:rPr>
                <w:rFonts w:ascii="Arial" w:cs="Arial" w:eastAsia="Arial" w:hAnsi="Arial"/>
                <w:sz w:val="16"/>
                <w:szCs w:val="16"/>
                <w:b w:val="1"/>
                <w:bCs w:val="1"/>
                <w:color w:val="auto"/>
              </w:rPr>
              <w:t>209,612</w:t>
            </w:r>
          </w:p>
        </w:tc>
        <w:tc>
          <w:tcPr>
            <w:tcW w:w="320" w:type="dxa"/>
            <w:vAlign w:val="bottom"/>
          </w:tcPr>
          <w:p>
            <w:pPr>
              <w:spacing w:after="0"/>
              <w:rPr>
                <w:sz w:val="23"/>
                <w:szCs w:val="23"/>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205,018</w:t>
            </w:r>
          </w:p>
        </w:tc>
      </w:tr>
      <w:tr>
        <w:trPr>
          <w:trHeight w:val="274"/>
        </w:trPr>
        <w:tc>
          <w:tcPr>
            <w:tcW w:w="9020" w:type="dxa"/>
            <w:vAlign w:val="bottom"/>
          </w:tcPr>
          <w:p>
            <w:pPr>
              <w:ind w:left="40"/>
              <w:spacing w:after="0"/>
              <w:rPr>
                <w:sz w:val="20"/>
                <w:szCs w:val="20"/>
                <w:color w:val="auto"/>
              </w:rPr>
            </w:pPr>
            <w:r>
              <w:rPr>
                <w:rFonts w:ascii="Arial" w:cs="Arial" w:eastAsia="Arial" w:hAnsi="Arial"/>
                <w:sz w:val="16"/>
                <w:szCs w:val="16"/>
                <w:color w:val="auto"/>
              </w:rPr>
              <w:t>Construction in progress</w:t>
            </w:r>
          </w:p>
        </w:tc>
        <w:tc>
          <w:tcPr>
            <w:tcW w:w="26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rPr>
              <w:t>36,728</w:t>
            </w:r>
          </w:p>
        </w:tc>
        <w:tc>
          <w:tcPr>
            <w:tcW w:w="32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13,517</w:t>
            </w:r>
          </w:p>
        </w:tc>
      </w:tr>
      <w:tr>
        <w:trPr>
          <w:trHeight w:val="260"/>
        </w:trPr>
        <w:tc>
          <w:tcPr>
            <w:tcW w:w="90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tcPr>
          <w:p>
            <w:pPr>
              <w:jc w:val="right"/>
              <w:ind w:right="81"/>
              <w:spacing w:after="0"/>
              <w:rPr>
                <w:sz w:val="20"/>
                <w:szCs w:val="20"/>
                <w:color w:val="auto"/>
              </w:rPr>
            </w:pPr>
            <w:r>
              <w:rPr>
                <w:rFonts w:ascii="Arial" w:cs="Arial" w:eastAsia="Arial" w:hAnsi="Arial"/>
                <w:sz w:val="16"/>
                <w:szCs w:val="16"/>
                <w:b w:val="1"/>
                <w:bCs w:val="1"/>
                <w:color w:val="auto"/>
              </w:rPr>
              <w:t>778,658</w:t>
            </w:r>
          </w:p>
        </w:tc>
        <w:tc>
          <w:tcPr>
            <w:tcW w:w="320" w:type="dxa"/>
            <w:vAlign w:val="bottom"/>
          </w:tcPr>
          <w:p>
            <w:pPr>
              <w:spacing w:after="0"/>
              <w:rPr>
                <w:sz w:val="22"/>
                <w:szCs w:val="22"/>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750,975</w:t>
            </w:r>
          </w:p>
        </w:tc>
      </w:tr>
      <w:tr>
        <w:trPr>
          <w:trHeight w:val="274"/>
        </w:trPr>
        <w:tc>
          <w:tcPr>
            <w:tcW w:w="9020" w:type="dxa"/>
            <w:vAlign w:val="bottom"/>
          </w:tcPr>
          <w:p>
            <w:pPr>
              <w:ind w:left="40"/>
              <w:spacing w:after="0"/>
              <w:rPr>
                <w:sz w:val="20"/>
                <w:szCs w:val="20"/>
                <w:color w:val="auto"/>
              </w:rPr>
            </w:pPr>
            <w:r>
              <w:rPr>
                <w:rFonts w:ascii="Arial" w:cs="Arial" w:eastAsia="Arial" w:hAnsi="Arial"/>
                <w:sz w:val="16"/>
                <w:szCs w:val="16"/>
                <w:color w:val="auto"/>
              </w:rPr>
              <w:t>Less accumulated depreciation</w:t>
            </w:r>
          </w:p>
        </w:tc>
        <w:tc>
          <w:tcPr>
            <w:tcW w:w="26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(544,994)</w:t>
            </w:r>
          </w:p>
        </w:tc>
        <w:tc>
          <w:tcPr>
            <w:tcW w:w="32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(519,852)</w:t>
            </w:r>
          </w:p>
        </w:tc>
      </w:tr>
      <w:tr>
        <w:trPr>
          <w:trHeight w:val="264"/>
        </w:trPr>
        <w:tc>
          <w:tcPr>
            <w:tcW w:w="9020" w:type="dxa"/>
            <w:vAlign w:val="bottom"/>
          </w:tcPr>
          <w:p>
            <w:pPr>
              <w:spacing w:after="0"/>
              <w:rPr>
                <w:sz w:val="22"/>
                <w:szCs w:val="22"/>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rPr>
              <w:t>233,664</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231,123</w:t>
            </w:r>
          </w:p>
        </w:tc>
      </w:tr>
      <w:tr>
        <w:trPr>
          <w:trHeight w:val="20"/>
        </w:trPr>
        <w:tc>
          <w:tcPr>
            <w:tcW w:w="90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Depreciation expense was $64.6 million, $77.9 million and $74.9 million in 2016, 2015 and 2014, respectively.</w:t>
      </w:r>
    </w:p>
    <w:p>
      <w:pPr>
        <w:spacing w:after="0" w:line="144" w:lineRule="exact"/>
        <w:rPr>
          <w:sz w:val="20"/>
          <w:szCs w:val="20"/>
          <w:color w:val="auto"/>
        </w:rPr>
      </w:pPr>
    </w:p>
    <w:p>
      <w:pPr>
        <w:ind w:right="200"/>
        <w:spacing w:after="0" w:line="260" w:lineRule="auto"/>
        <w:rPr>
          <w:sz w:val="20"/>
          <w:szCs w:val="20"/>
          <w:color w:val="auto"/>
        </w:rPr>
      </w:pPr>
      <w:r>
        <w:rPr>
          <w:rFonts w:ascii="Arial" w:cs="Arial" w:eastAsia="Arial" w:hAnsi="Arial"/>
          <w:sz w:val="18"/>
          <w:szCs w:val="18"/>
          <w:color w:val="auto"/>
        </w:rPr>
        <w:t>The Company capitalized $0.4 million of interest related to the construction of a building in 2016. No interest expense was capitalized in 2015 and 2014.</w:t>
      </w:r>
    </w:p>
    <w:p>
      <w:pPr>
        <w:sectPr>
          <w:pgSz w:w="11900" w:h="16838" w:orient="portrait"/>
          <w:cols w:equalWidth="0" w:num="1">
            <w:col w:w="11420"/>
          </w:cols>
          <w:pgMar w:left="240" w:top="724" w:right="239" w:bottom="1078" w:gutter="0" w:footer="0" w:header="0"/>
        </w:sect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77</w:t>
      </w:r>
    </w:p>
    <w:p>
      <w:pPr>
        <w:sectPr>
          <w:pgSz w:w="11900" w:h="16838" w:orient="portrait"/>
          <w:cols w:equalWidth="0" w:num="1">
            <w:col w:w="11420"/>
          </w:cols>
          <w:pgMar w:left="240" w:top="724" w:right="239" w:bottom="1078" w:gutter="0" w:footer="0" w:header="0"/>
          <w:type w:val="continuous"/>
        </w:sectPr>
      </w:pPr>
    </w:p>
    <w:bookmarkStart w:id="80" w:name="page81"/>
    <w:bookmarkEnd w:id="80"/>
    <w:p>
      <w:pPr>
        <w:ind w:right="100"/>
        <w:spacing w:after="0"/>
        <w:rPr>
          <w:sz w:val="20"/>
          <w:szCs w:val="20"/>
          <w:color w:val="auto"/>
        </w:rPr>
      </w:pPr>
      <w:r>
        <w:rPr>
          <w:rFonts w:ascii="Arial" w:cs="Arial" w:eastAsia="Arial" w:hAnsi="Arial"/>
          <w:sz w:val="18"/>
          <w:szCs w:val="18"/>
          <w:color w:val="auto"/>
        </w:rPr>
        <w:t>In the second quarter of 2015, as a result of the sale of Kaplan’s KHE Campuses business, Kaplan recorded a $6.9 million impairment charge. In 2014, as a result of restructuring activities at KHE Campuses, Kaplan recorded an impairment charge of $13.6 million. The Company estimated the fair value of the property, plant and equipment using a market approach.</w:t>
      </w:r>
    </w:p>
    <w:p>
      <w:pPr>
        <w:spacing w:after="0" w:line="106" w:lineRule="exact"/>
        <w:rPr>
          <w:sz w:val="20"/>
          <w:szCs w:val="20"/>
          <w:color w:val="auto"/>
        </w:rPr>
      </w:pPr>
    </w:p>
    <w:p>
      <w:pPr>
        <w:ind w:left="500" w:hanging="492"/>
        <w:spacing w:after="0"/>
        <w:tabs>
          <w:tab w:leader="none" w:pos="500" w:val="left"/>
        </w:tabs>
        <w:numPr>
          <w:ilvl w:val="0"/>
          <w:numId w:val="62"/>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ACQUISITIONS AND DISPOSITIONS OF BUSINESSES</w:t>
      </w:r>
    </w:p>
    <w:p>
      <w:pPr>
        <w:spacing w:after="0" w:line="144"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b w:val="1"/>
          <w:bCs w:val="1"/>
          <w:color w:val="auto"/>
        </w:rPr>
        <w:t xml:space="preserve">Acquisitions. </w:t>
      </w:r>
      <w:r>
        <w:rPr>
          <w:rFonts w:ascii="Arial" w:cs="Arial" w:eastAsia="Arial" w:hAnsi="Arial"/>
          <w:sz w:val="18"/>
          <w:szCs w:val="18"/>
          <w:color w:val="auto"/>
        </w:rPr>
        <w:t>In May 2016, Graham Media Group entered into an agreement to acquire two television stations for $60 million in cash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assumption of certain pension obligations. This transaction closed on January 17, 2017.</w:t>
      </w:r>
    </w:p>
    <w:p>
      <w:pPr>
        <w:spacing w:after="0" w:line="89" w:lineRule="exact"/>
        <w:rPr>
          <w:sz w:val="20"/>
          <w:szCs w:val="20"/>
          <w:color w:val="auto"/>
        </w:rPr>
      </w:pPr>
    </w:p>
    <w:p>
      <w:pPr>
        <w:ind w:right="440"/>
        <w:spacing w:after="0" w:line="260" w:lineRule="auto"/>
        <w:rPr>
          <w:sz w:val="20"/>
          <w:szCs w:val="20"/>
          <w:color w:val="auto"/>
        </w:rPr>
      </w:pPr>
      <w:r>
        <w:rPr>
          <w:rFonts w:ascii="Arial" w:cs="Arial" w:eastAsia="Arial" w:hAnsi="Arial"/>
          <w:sz w:val="18"/>
          <w:szCs w:val="18"/>
          <w:color w:val="auto"/>
        </w:rPr>
        <w:t>The Company completed business acquisitions totaling approximately $258.0 million in 2016; $163.3 million in 2015; and $210.2 million in 2014. The assets and liabilities of the companies acquired have been recorded at their estimated fair values at the date of acquisition.</w:t>
      </w:r>
    </w:p>
    <w:p>
      <w:pPr>
        <w:spacing w:after="0" w:line="92" w:lineRule="exact"/>
        <w:rPr>
          <w:sz w:val="20"/>
          <w:szCs w:val="20"/>
          <w:color w:val="auto"/>
        </w:rPr>
      </w:pPr>
    </w:p>
    <w:p>
      <w:pPr>
        <w:spacing w:after="0" w:line="229" w:lineRule="auto"/>
        <w:rPr>
          <w:sz w:val="20"/>
          <w:szCs w:val="20"/>
          <w:color w:val="auto"/>
        </w:rPr>
      </w:pPr>
      <w:r>
        <w:rPr>
          <w:rFonts w:ascii="Arial" w:cs="Arial" w:eastAsia="Arial" w:hAnsi="Arial"/>
          <w:sz w:val="18"/>
          <w:szCs w:val="18"/>
          <w:color w:val="auto"/>
        </w:rPr>
        <w:t>During 2016, the Company acquired five businesses, three businesses included in its education division and two businesses in other businesses. In January 2016, Kaplan acquired a 100% interest in Mander Portman Woodward, a leading provider of high-quality, bespoke education to UK and international students in London, Cambridge and Birmingham, by purchasing all of its issued and outstanding shares. In February 2016, Kaplan acquired a 100% interest in Osborne Books, an educational publisher of learning resources for accounting qualifications in the UK, by purchasing all of its issued and outstanding shares. The primary reason for these acquisitions is based on several strategic benefits expected to be realized in the future. Both of these acquisitions are included in Kaplan International.</w:t>
      </w:r>
    </w:p>
    <w:p>
      <w:pPr>
        <w:spacing w:after="0" w:line="112" w:lineRule="exact"/>
        <w:rPr>
          <w:sz w:val="20"/>
          <w:szCs w:val="20"/>
          <w:color w:val="auto"/>
        </w:rPr>
      </w:pPr>
    </w:p>
    <w:p>
      <w:pPr>
        <w:ind w:right="220"/>
        <w:spacing w:after="0" w:line="234" w:lineRule="auto"/>
        <w:rPr>
          <w:sz w:val="20"/>
          <w:szCs w:val="20"/>
          <w:color w:val="auto"/>
        </w:rPr>
      </w:pPr>
      <w:r>
        <w:rPr>
          <w:rFonts w:ascii="Arial" w:cs="Arial" w:eastAsia="Arial" w:hAnsi="Arial"/>
          <w:sz w:val="18"/>
          <w:szCs w:val="18"/>
          <w:color w:val="auto"/>
        </w:rPr>
        <w:t>In September 2016, Group Dekko, Inc. (Dekko) acquired a 100% interest in Electri-Cable Assemblies (ECA), a Shelton, CT-based manufacturer of power, data and electrical solutions for the office furniture industry, by purchasing all of its issued and outstanding shares. Dekko’s primary reasons for the acquisition were to complement existing product offerings and provide opportunities for synergies across the businesses. This acquisition is included in other businesses.</w:t>
      </w:r>
    </w:p>
    <w:p>
      <w:pPr>
        <w:spacing w:after="0" w:line="111" w:lineRule="exact"/>
        <w:rPr>
          <w:sz w:val="20"/>
          <w:szCs w:val="20"/>
          <w:color w:val="auto"/>
        </w:rPr>
      </w:pPr>
    </w:p>
    <w:p>
      <w:pPr>
        <w:ind w:right="160"/>
        <w:spacing w:after="0" w:line="231" w:lineRule="auto"/>
        <w:rPr>
          <w:sz w:val="20"/>
          <w:szCs w:val="20"/>
          <w:color w:val="auto"/>
        </w:rPr>
      </w:pPr>
      <w:r>
        <w:rPr>
          <w:rFonts w:ascii="Arial" w:cs="Arial" w:eastAsia="Arial" w:hAnsi="Arial"/>
          <w:sz w:val="18"/>
          <w:szCs w:val="18"/>
          <w:color w:val="auto"/>
        </w:rPr>
        <w:t>During 2015, the Company acquired two businesses. On November 13, 2015, the Company acquired a 100% interest in Dekko, a Garrett, IN-based manufacturer of electrical solutions for applications across three business lines: workspace power solutions, architectural lighting and electrical components and assemblies, by purchasing all of the issued and outstanding shares. Dekko is included in other businesses. On December 22, 2015, Kaplan acquired a 100% interest in SmartPros, a provider of accredited professional education and training, primarily in accountancy, which is included in Higher Education.</w:t>
      </w:r>
    </w:p>
    <w:p>
      <w:pPr>
        <w:spacing w:after="0" w:line="111" w:lineRule="exact"/>
        <w:rPr>
          <w:sz w:val="20"/>
          <w:szCs w:val="20"/>
          <w:color w:val="auto"/>
        </w:rPr>
      </w:pPr>
    </w:p>
    <w:p>
      <w:pPr>
        <w:ind w:right="100"/>
        <w:spacing w:after="0" w:line="224" w:lineRule="auto"/>
        <w:rPr>
          <w:sz w:val="20"/>
          <w:szCs w:val="20"/>
          <w:color w:val="auto"/>
        </w:rPr>
      </w:pPr>
      <w:r>
        <w:rPr>
          <w:rFonts w:ascii="Arial" w:cs="Arial" w:eastAsia="Arial" w:hAnsi="Arial"/>
          <w:sz w:val="18"/>
          <w:szCs w:val="18"/>
          <w:color w:val="auto"/>
        </w:rPr>
        <w:t>During 2014, the Company acquired nine businesses. On April 1, 2014, Celtic Healthcare acquired a 100% interest in VNA-TIP Healthcare, a provider of home health and hospice services in Missouri and Illinois. On May 30, 2014, the Company completed its acquisition of a 100% interest in Joyce/Dayton Corp., a Dayton, OH-based manufacturer of screw jacks and other linear motion systems. On July 3, 2014, the Company completed its acquisition of an 80% interest in Residential Healthcare Group, Inc., the parent company of Residential Home Health and Residential Hospice, providers of skilled home health care and hospice services in Michigan and Illinois. Residential Healthcare Group, Inc. has a 40% ownership interest in Residential Home Health Illinois and a 42.5% ownership interest in Residential Hospice Illinois, which are accounted for as investments in affiliates. The fair value of the redeemable noncontrolling interest in Residential Healthcare Group, Inc. was $17.1 million at the acquisition date, determined using a market approach. The minority shareholders had an option to put their shares to the Company starting in 2017, and the Company had an option to buy the shares of some minority shareholders in 2020 and those of the remaining minority shareholders in 2024. The operating results of these businesses are included in other businesses. The Company also acquired three small businesses in its education division, one small business in its broadcasting division and two small businesses in other businesses.</w:t>
      </w: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724" w:right="239" w:bottom="1440" w:gutter="0" w:footer="0" w:header="0"/>
        </w:sectPr>
      </w:pPr>
    </w:p>
    <w:bookmarkStart w:id="81" w:name="page82"/>
    <w:bookmarkEnd w:id="81"/>
    <w:p>
      <w:pPr>
        <w:ind w:right="80"/>
        <w:spacing w:after="0"/>
        <w:rPr>
          <w:sz w:val="20"/>
          <w:szCs w:val="20"/>
          <w:color w:val="auto"/>
        </w:rPr>
      </w:pPr>
      <w:r>
        <w:rPr>
          <w:rFonts w:ascii="Arial" w:cs="Arial" w:eastAsia="Arial" w:hAnsi="Arial"/>
          <w:sz w:val="18"/>
          <w:szCs w:val="18"/>
          <w:color w:val="auto"/>
        </w:rPr>
        <w:t>Acquisition-related costs for 2016 were $1.5 million and expensed as incurred. Acquisition-related costs were not significant for 2015 and 2014 and were expensed as incurred. The aggregate purchase price of these acquisitions was allocated as follows based on acquisition date fair values to the following assets and liabilities (excluding measurement period adjustments recorded in subsequent years):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3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Purchase Price Allocation</w:t>
            </w:r>
          </w:p>
        </w:tc>
        <w:tc>
          <w:tcPr>
            <w:tcW w:w="720" w:type="dxa"/>
            <w:vAlign w:val="bottom"/>
            <w:tcBorders>
              <w:bottom w:val="single" w:sz="8" w:color="auto"/>
            </w:tcBorders>
          </w:tcPr>
          <w:p>
            <w:pPr>
              <w:spacing w:after="0"/>
              <w:rPr>
                <w:sz w:val="17"/>
                <w:szCs w:val="17"/>
                <w:color w:val="auto"/>
              </w:rPr>
            </w:pPr>
          </w:p>
        </w:tc>
      </w:tr>
      <w:tr>
        <w:trPr>
          <w:trHeight w:val="250"/>
        </w:trPr>
        <w:tc>
          <w:tcPr>
            <w:tcW w:w="81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23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720" w:type="dxa"/>
            <w:vAlign w:val="bottom"/>
            <w:tcBorders>
              <w:bottom w:val="single" w:sz="8" w:color="auto"/>
            </w:tcBorders>
          </w:tcPr>
          <w:p>
            <w:pPr>
              <w:spacing w:after="0"/>
              <w:rPr>
                <w:sz w:val="21"/>
                <w:szCs w:val="21"/>
                <w:color w:val="auto"/>
              </w:rPr>
            </w:pPr>
          </w:p>
        </w:tc>
      </w:tr>
      <w:tr>
        <w:trPr>
          <w:trHeight w:val="264"/>
        </w:trPr>
        <w:tc>
          <w:tcPr>
            <w:tcW w:w="81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2016</w:t>
            </w:r>
          </w:p>
        </w:tc>
        <w:tc>
          <w:tcPr>
            <w:tcW w:w="2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color w:val="auto"/>
              </w:rPr>
              <w:t>2015</w:t>
            </w:r>
          </w:p>
        </w:tc>
        <w:tc>
          <w:tcPr>
            <w:tcW w:w="38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color w:val="auto"/>
              </w:rPr>
              <w:t>2014</w:t>
            </w:r>
          </w:p>
        </w:tc>
      </w:tr>
      <w:tr>
        <w:trPr>
          <w:trHeight w:val="257"/>
        </w:trPr>
        <w:tc>
          <w:tcPr>
            <w:tcW w:w="8120" w:type="dxa"/>
            <w:vAlign w:val="bottom"/>
          </w:tcPr>
          <w:p>
            <w:pPr>
              <w:ind w:left="40"/>
              <w:spacing w:after="0"/>
              <w:rPr>
                <w:sz w:val="20"/>
                <w:szCs w:val="20"/>
                <w:color w:val="auto"/>
              </w:rPr>
            </w:pPr>
            <w:r>
              <w:rPr>
                <w:rFonts w:ascii="Arial" w:cs="Arial" w:eastAsia="Arial" w:hAnsi="Arial"/>
                <w:sz w:val="16"/>
                <w:szCs w:val="16"/>
                <w:color w:val="auto"/>
              </w:rPr>
              <w:t>Accounts receivable</w:t>
            </w:r>
          </w:p>
        </w:tc>
        <w:tc>
          <w:tcPr>
            <w:tcW w:w="28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ind w:right="81"/>
              <w:spacing w:after="0"/>
              <w:rPr>
                <w:sz w:val="20"/>
                <w:szCs w:val="20"/>
                <w:color w:val="auto"/>
              </w:rPr>
            </w:pPr>
            <w:r>
              <w:rPr>
                <w:rFonts w:ascii="Arial" w:cs="Arial" w:eastAsia="Arial" w:hAnsi="Arial"/>
                <w:sz w:val="16"/>
                <w:szCs w:val="16"/>
                <w:b w:val="1"/>
                <w:bCs w:val="1"/>
                <w:color w:val="auto"/>
              </w:rPr>
              <w:t>8,538</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60"/>
              <w:spacing w:after="0"/>
              <w:rPr>
                <w:sz w:val="20"/>
                <w:szCs w:val="20"/>
                <w:color w:val="auto"/>
              </w:rPr>
            </w:pPr>
            <w:r>
              <w:rPr>
                <w:rFonts w:ascii="Arial" w:cs="Arial" w:eastAsia="Arial" w:hAnsi="Arial"/>
                <w:sz w:val="16"/>
                <w:szCs w:val="16"/>
                <w:color w:val="auto"/>
              </w:rPr>
              <w:t>30,537</w:t>
            </w:r>
          </w:p>
        </w:tc>
        <w:tc>
          <w:tcPr>
            <w:tcW w:w="38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20"/>
              <w:spacing w:after="0"/>
              <w:rPr>
                <w:sz w:val="20"/>
                <w:szCs w:val="20"/>
                <w:color w:val="auto"/>
              </w:rPr>
            </w:pPr>
            <w:r>
              <w:rPr>
                <w:rFonts w:ascii="Arial" w:cs="Arial" w:eastAsia="Arial" w:hAnsi="Arial"/>
                <w:sz w:val="16"/>
                <w:szCs w:val="16"/>
                <w:color w:val="auto"/>
              </w:rPr>
              <w:t>15,912</w:t>
            </w:r>
          </w:p>
        </w:tc>
      </w:tr>
      <w:tr>
        <w:trPr>
          <w:trHeight w:val="270"/>
        </w:trPr>
        <w:tc>
          <w:tcPr>
            <w:tcW w:w="8120" w:type="dxa"/>
            <w:vAlign w:val="bottom"/>
          </w:tcPr>
          <w:p>
            <w:pPr>
              <w:ind w:left="40"/>
              <w:spacing w:after="0"/>
              <w:rPr>
                <w:sz w:val="20"/>
                <w:szCs w:val="20"/>
                <w:color w:val="auto"/>
              </w:rPr>
            </w:pPr>
            <w:r>
              <w:rPr>
                <w:rFonts w:ascii="Arial" w:cs="Arial" w:eastAsia="Arial" w:hAnsi="Arial"/>
                <w:sz w:val="16"/>
                <w:szCs w:val="16"/>
                <w:color w:val="auto"/>
              </w:rPr>
              <w:t>Other assets</w:t>
            </w:r>
          </w:p>
        </w:tc>
        <w:tc>
          <w:tcPr>
            <w:tcW w:w="280" w:type="dxa"/>
            <w:vAlign w:val="bottom"/>
          </w:tcPr>
          <w:p>
            <w:pPr>
              <w:spacing w:after="0"/>
              <w:rPr>
                <w:sz w:val="23"/>
                <w:szCs w:val="23"/>
                <w:color w:val="auto"/>
              </w:rPr>
            </w:pPr>
          </w:p>
        </w:tc>
        <w:tc>
          <w:tcPr>
            <w:tcW w:w="920" w:type="dxa"/>
            <w:vAlign w:val="bottom"/>
          </w:tcPr>
          <w:p>
            <w:pPr>
              <w:jc w:val="right"/>
              <w:ind w:right="81"/>
              <w:spacing w:after="0"/>
              <w:rPr>
                <w:sz w:val="20"/>
                <w:szCs w:val="20"/>
                <w:color w:val="auto"/>
              </w:rPr>
            </w:pPr>
            <w:r>
              <w:rPr>
                <w:rFonts w:ascii="Arial" w:cs="Arial" w:eastAsia="Arial" w:hAnsi="Arial"/>
                <w:sz w:val="16"/>
                <w:szCs w:val="16"/>
                <w:b w:val="1"/>
                <w:bCs w:val="1"/>
                <w:color w:val="auto"/>
              </w:rPr>
              <w:t>2,298</w:t>
            </w:r>
          </w:p>
        </w:tc>
        <w:tc>
          <w:tcPr>
            <w:tcW w:w="220" w:type="dxa"/>
            <w:vAlign w:val="bottom"/>
          </w:tcPr>
          <w:p>
            <w:pPr>
              <w:spacing w:after="0"/>
              <w:rPr>
                <w:sz w:val="23"/>
                <w:szCs w:val="23"/>
                <w:color w:val="auto"/>
              </w:rPr>
            </w:pPr>
          </w:p>
        </w:tc>
        <w:tc>
          <w:tcPr>
            <w:tcW w:w="780" w:type="dxa"/>
            <w:vAlign w:val="bottom"/>
          </w:tcPr>
          <w:p>
            <w:pPr>
              <w:jc w:val="right"/>
              <w:ind w:right="60"/>
              <w:spacing w:after="0"/>
              <w:rPr>
                <w:sz w:val="20"/>
                <w:szCs w:val="20"/>
                <w:color w:val="auto"/>
              </w:rPr>
            </w:pPr>
            <w:r>
              <w:rPr>
                <w:rFonts w:ascii="Arial" w:cs="Arial" w:eastAsia="Arial" w:hAnsi="Arial"/>
                <w:sz w:val="16"/>
                <w:szCs w:val="16"/>
                <w:color w:val="auto"/>
              </w:rPr>
              <w:t>21,806</w:t>
            </w:r>
          </w:p>
        </w:tc>
        <w:tc>
          <w:tcPr>
            <w:tcW w:w="380" w:type="dxa"/>
            <w:vAlign w:val="bottom"/>
          </w:tcPr>
          <w:p>
            <w:pPr>
              <w:spacing w:after="0"/>
              <w:rPr>
                <w:sz w:val="23"/>
                <w:szCs w:val="23"/>
                <w:color w:val="auto"/>
              </w:rPr>
            </w:pPr>
          </w:p>
        </w:tc>
        <w:tc>
          <w:tcPr>
            <w:tcW w:w="720" w:type="dxa"/>
            <w:vAlign w:val="bottom"/>
          </w:tcPr>
          <w:p>
            <w:pPr>
              <w:jc w:val="right"/>
              <w:ind w:right="20"/>
              <w:spacing w:after="0"/>
              <w:rPr>
                <w:sz w:val="20"/>
                <w:szCs w:val="20"/>
                <w:color w:val="auto"/>
              </w:rPr>
            </w:pPr>
            <w:r>
              <w:rPr>
                <w:rFonts w:ascii="Arial" w:cs="Arial" w:eastAsia="Arial" w:hAnsi="Arial"/>
                <w:sz w:val="16"/>
                <w:szCs w:val="16"/>
                <w:color w:val="auto"/>
              </w:rPr>
              <w:t>16,495</w:t>
            </w:r>
          </w:p>
        </w:tc>
      </w:tr>
      <w:tr>
        <w:trPr>
          <w:trHeight w:val="270"/>
        </w:trPr>
        <w:tc>
          <w:tcPr>
            <w:tcW w:w="8120" w:type="dxa"/>
            <w:vAlign w:val="bottom"/>
          </w:tcPr>
          <w:p>
            <w:pPr>
              <w:ind w:left="40"/>
              <w:spacing w:after="0"/>
              <w:rPr>
                <w:sz w:val="20"/>
                <w:szCs w:val="20"/>
                <w:color w:val="auto"/>
              </w:rPr>
            </w:pPr>
            <w:r>
              <w:rPr>
                <w:rFonts w:ascii="Arial" w:cs="Arial" w:eastAsia="Arial" w:hAnsi="Arial"/>
                <w:sz w:val="16"/>
                <w:szCs w:val="16"/>
                <w:color w:val="auto"/>
              </w:rPr>
              <w:t>Property, plant and equipment</w:t>
            </w:r>
          </w:p>
        </w:tc>
        <w:tc>
          <w:tcPr>
            <w:tcW w:w="280" w:type="dxa"/>
            <w:vAlign w:val="bottom"/>
          </w:tcPr>
          <w:p>
            <w:pPr>
              <w:spacing w:after="0"/>
              <w:rPr>
                <w:sz w:val="23"/>
                <w:szCs w:val="23"/>
                <w:color w:val="auto"/>
              </w:rPr>
            </w:pPr>
          </w:p>
        </w:tc>
        <w:tc>
          <w:tcPr>
            <w:tcW w:w="920" w:type="dxa"/>
            <w:vAlign w:val="bottom"/>
          </w:tcPr>
          <w:p>
            <w:pPr>
              <w:jc w:val="right"/>
              <w:ind w:right="81"/>
              <w:spacing w:after="0"/>
              <w:rPr>
                <w:sz w:val="20"/>
                <w:szCs w:val="20"/>
                <w:color w:val="auto"/>
              </w:rPr>
            </w:pPr>
            <w:r>
              <w:rPr>
                <w:rFonts w:ascii="Arial" w:cs="Arial" w:eastAsia="Arial" w:hAnsi="Arial"/>
                <w:sz w:val="16"/>
                <w:szCs w:val="16"/>
                <w:b w:val="1"/>
                <w:bCs w:val="1"/>
                <w:color w:val="auto"/>
              </w:rPr>
              <w:t>3,940</w:t>
            </w:r>
          </w:p>
        </w:tc>
        <w:tc>
          <w:tcPr>
            <w:tcW w:w="220" w:type="dxa"/>
            <w:vAlign w:val="bottom"/>
          </w:tcPr>
          <w:p>
            <w:pPr>
              <w:spacing w:after="0"/>
              <w:rPr>
                <w:sz w:val="23"/>
                <w:szCs w:val="23"/>
                <w:color w:val="auto"/>
              </w:rPr>
            </w:pPr>
          </w:p>
        </w:tc>
        <w:tc>
          <w:tcPr>
            <w:tcW w:w="780" w:type="dxa"/>
            <w:vAlign w:val="bottom"/>
          </w:tcPr>
          <w:p>
            <w:pPr>
              <w:jc w:val="right"/>
              <w:ind w:right="60"/>
              <w:spacing w:after="0"/>
              <w:rPr>
                <w:sz w:val="20"/>
                <w:szCs w:val="20"/>
                <w:color w:val="auto"/>
              </w:rPr>
            </w:pPr>
            <w:r>
              <w:rPr>
                <w:rFonts w:ascii="Arial" w:cs="Arial" w:eastAsia="Arial" w:hAnsi="Arial"/>
                <w:sz w:val="16"/>
                <w:szCs w:val="16"/>
                <w:color w:val="auto"/>
              </w:rPr>
              <w:t>28,872</w:t>
            </w:r>
          </w:p>
        </w:tc>
        <w:tc>
          <w:tcPr>
            <w:tcW w:w="380" w:type="dxa"/>
            <w:vAlign w:val="bottom"/>
          </w:tcPr>
          <w:p>
            <w:pPr>
              <w:spacing w:after="0"/>
              <w:rPr>
                <w:sz w:val="23"/>
                <w:szCs w:val="23"/>
                <w:color w:val="auto"/>
              </w:rPr>
            </w:pPr>
          </w:p>
        </w:tc>
        <w:tc>
          <w:tcPr>
            <w:tcW w:w="720" w:type="dxa"/>
            <w:vAlign w:val="bottom"/>
          </w:tcPr>
          <w:p>
            <w:pPr>
              <w:jc w:val="right"/>
              <w:ind w:right="20"/>
              <w:spacing w:after="0"/>
              <w:rPr>
                <w:sz w:val="20"/>
                <w:szCs w:val="20"/>
                <w:color w:val="auto"/>
              </w:rPr>
            </w:pPr>
            <w:r>
              <w:rPr>
                <w:rFonts w:ascii="Arial" w:cs="Arial" w:eastAsia="Arial" w:hAnsi="Arial"/>
                <w:sz w:val="16"/>
                <w:szCs w:val="16"/>
                <w:color w:val="auto"/>
              </w:rPr>
              <w:t>12,834</w:t>
            </w:r>
          </w:p>
        </w:tc>
      </w:tr>
      <w:tr>
        <w:trPr>
          <w:trHeight w:val="270"/>
        </w:trPr>
        <w:tc>
          <w:tcPr>
            <w:tcW w:w="8120" w:type="dxa"/>
            <w:vAlign w:val="bottom"/>
          </w:tcPr>
          <w:p>
            <w:pPr>
              <w:ind w:left="40"/>
              <w:spacing w:after="0"/>
              <w:rPr>
                <w:sz w:val="20"/>
                <w:szCs w:val="20"/>
                <w:color w:val="auto"/>
              </w:rPr>
            </w:pPr>
            <w:r>
              <w:rPr>
                <w:rFonts w:ascii="Arial" w:cs="Arial" w:eastAsia="Arial" w:hAnsi="Arial"/>
                <w:sz w:val="16"/>
                <w:szCs w:val="16"/>
                <w:color w:val="auto"/>
              </w:rPr>
              <w:t>Goodwill</w:t>
            </w:r>
          </w:p>
        </w:tc>
        <w:tc>
          <w:tcPr>
            <w:tcW w:w="280" w:type="dxa"/>
            <w:vAlign w:val="bottom"/>
          </w:tcPr>
          <w:p>
            <w:pPr>
              <w:spacing w:after="0"/>
              <w:rPr>
                <w:sz w:val="23"/>
                <w:szCs w:val="23"/>
                <w:color w:val="auto"/>
              </w:rPr>
            </w:pPr>
          </w:p>
        </w:tc>
        <w:tc>
          <w:tcPr>
            <w:tcW w:w="920" w:type="dxa"/>
            <w:vAlign w:val="bottom"/>
          </w:tcPr>
          <w:p>
            <w:pPr>
              <w:jc w:val="right"/>
              <w:ind w:right="81"/>
              <w:spacing w:after="0"/>
              <w:rPr>
                <w:sz w:val="20"/>
                <w:szCs w:val="20"/>
                <w:color w:val="auto"/>
              </w:rPr>
            </w:pPr>
            <w:r>
              <w:rPr>
                <w:rFonts w:ascii="Arial" w:cs="Arial" w:eastAsia="Arial" w:hAnsi="Arial"/>
                <w:sz w:val="16"/>
                <w:szCs w:val="16"/>
                <w:b w:val="1"/>
                <w:bCs w:val="1"/>
                <w:color w:val="auto"/>
              </w:rPr>
              <w:t>184,118</w:t>
            </w:r>
          </w:p>
        </w:tc>
        <w:tc>
          <w:tcPr>
            <w:tcW w:w="220" w:type="dxa"/>
            <w:vAlign w:val="bottom"/>
          </w:tcPr>
          <w:p>
            <w:pPr>
              <w:spacing w:after="0"/>
              <w:rPr>
                <w:sz w:val="23"/>
                <w:szCs w:val="23"/>
                <w:color w:val="auto"/>
              </w:rPr>
            </w:pPr>
          </w:p>
        </w:tc>
        <w:tc>
          <w:tcPr>
            <w:tcW w:w="780" w:type="dxa"/>
            <w:vAlign w:val="bottom"/>
          </w:tcPr>
          <w:p>
            <w:pPr>
              <w:jc w:val="right"/>
              <w:ind w:right="60"/>
              <w:spacing w:after="0"/>
              <w:rPr>
                <w:sz w:val="20"/>
                <w:szCs w:val="20"/>
                <w:color w:val="auto"/>
              </w:rPr>
            </w:pPr>
            <w:r>
              <w:rPr>
                <w:rFonts w:ascii="Arial" w:cs="Arial" w:eastAsia="Arial" w:hAnsi="Arial"/>
                <w:sz w:val="16"/>
                <w:szCs w:val="16"/>
                <w:color w:val="auto"/>
              </w:rPr>
              <w:t>76,156</w:t>
            </w:r>
          </w:p>
        </w:tc>
        <w:tc>
          <w:tcPr>
            <w:tcW w:w="380" w:type="dxa"/>
            <w:vAlign w:val="bottom"/>
          </w:tcPr>
          <w:p>
            <w:pPr>
              <w:spacing w:after="0"/>
              <w:rPr>
                <w:sz w:val="23"/>
                <w:szCs w:val="23"/>
                <w:color w:val="auto"/>
              </w:rPr>
            </w:pPr>
          </w:p>
        </w:tc>
        <w:tc>
          <w:tcPr>
            <w:tcW w:w="720" w:type="dxa"/>
            <w:vAlign w:val="bottom"/>
          </w:tcPr>
          <w:p>
            <w:pPr>
              <w:jc w:val="right"/>
              <w:ind w:right="20"/>
              <w:spacing w:after="0"/>
              <w:rPr>
                <w:sz w:val="20"/>
                <w:szCs w:val="20"/>
                <w:color w:val="auto"/>
              </w:rPr>
            </w:pPr>
            <w:r>
              <w:rPr>
                <w:rFonts w:ascii="Arial" w:cs="Arial" w:eastAsia="Arial" w:hAnsi="Arial"/>
                <w:sz w:val="16"/>
                <w:szCs w:val="16"/>
                <w:color w:val="auto"/>
              </w:rPr>
              <w:t>128,919</w:t>
            </w:r>
          </w:p>
        </w:tc>
      </w:tr>
      <w:tr>
        <w:trPr>
          <w:trHeight w:val="270"/>
        </w:trPr>
        <w:tc>
          <w:tcPr>
            <w:tcW w:w="8120" w:type="dxa"/>
            <w:vAlign w:val="bottom"/>
          </w:tcPr>
          <w:p>
            <w:pPr>
              <w:ind w:left="40"/>
              <w:spacing w:after="0"/>
              <w:rPr>
                <w:sz w:val="20"/>
                <w:szCs w:val="20"/>
                <w:color w:val="auto"/>
              </w:rPr>
            </w:pPr>
            <w:r>
              <w:rPr>
                <w:rFonts w:ascii="Arial" w:cs="Arial" w:eastAsia="Arial" w:hAnsi="Arial"/>
                <w:sz w:val="16"/>
                <w:szCs w:val="16"/>
                <w:color w:val="auto"/>
              </w:rPr>
              <w:t>Indefinite-lived intangible assets</w:t>
            </w:r>
          </w:p>
        </w:tc>
        <w:tc>
          <w:tcPr>
            <w:tcW w:w="280" w:type="dxa"/>
            <w:vAlign w:val="bottom"/>
          </w:tcPr>
          <w:p>
            <w:pPr>
              <w:spacing w:after="0"/>
              <w:rPr>
                <w:sz w:val="23"/>
                <w:szCs w:val="23"/>
                <w:color w:val="auto"/>
              </w:rPr>
            </w:pPr>
          </w:p>
        </w:tc>
        <w:tc>
          <w:tcPr>
            <w:tcW w:w="920" w:type="dxa"/>
            <w:vAlign w:val="bottom"/>
          </w:tcPr>
          <w:p>
            <w:pPr>
              <w:jc w:val="right"/>
              <w:ind w:right="81"/>
              <w:spacing w:after="0"/>
              <w:rPr>
                <w:sz w:val="20"/>
                <w:szCs w:val="20"/>
                <w:color w:val="auto"/>
              </w:rPr>
            </w:pPr>
            <w:r>
              <w:rPr>
                <w:rFonts w:ascii="Arial" w:cs="Arial" w:eastAsia="Arial" w:hAnsi="Arial"/>
                <w:sz w:val="16"/>
                <w:szCs w:val="16"/>
                <w:b w:val="1"/>
                <w:bCs w:val="1"/>
                <w:color w:val="auto"/>
              </w:rPr>
              <w:t>53,110</w:t>
            </w:r>
          </w:p>
        </w:tc>
        <w:tc>
          <w:tcPr>
            <w:tcW w:w="220" w:type="dxa"/>
            <w:vAlign w:val="bottom"/>
          </w:tcPr>
          <w:p>
            <w:pPr>
              <w:spacing w:after="0"/>
              <w:rPr>
                <w:sz w:val="23"/>
                <w:szCs w:val="23"/>
                <w:color w:val="auto"/>
              </w:rPr>
            </w:pPr>
          </w:p>
        </w:tc>
        <w:tc>
          <w:tcPr>
            <w:tcW w:w="780" w:type="dxa"/>
            <w:vAlign w:val="bottom"/>
          </w:tcPr>
          <w:p>
            <w:pPr>
              <w:jc w:val="right"/>
              <w:ind w:right="60"/>
              <w:spacing w:after="0"/>
              <w:rPr>
                <w:sz w:val="20"/>
                <w:szCs w:val="20"/>
                <w:color w:val="auto"/>
              </w:rPr>
            </w:pPr>
            <w:r>
              <w:rPr>
                <w:rFonts w:ascii="Arial" w:cs="Arial" w:eastAsia="Arial" w:hAnsi="Arial"/>
                <w:sz w:val="16"/>
                <w:szCs w:val="16"/>
                <w:color w:val="auto"/>
              </w:rPr>
              <w:t>7,400</w:t>
            </w:r>
          </w:p>
        </w:tc>
        <w:tc>
          <w:tcPr>
            <w:tcW w:w="380" w:type="dxa"/>
            <w:vAlign w:val="bottom"/>
          </w:tcPr>
          <w:p>
            <w:pPr>
              <w:spacing w:after="0"/>
              <w:rPr>
                <w:sz w:val="23"/>
                <w:szCs w:val="23"/>
                <w:color w:val="auto"/>
              </w:rPr>
            </w:pPr>
          </w:p>
        </w:tc>
        <w:tc>
          <w:tcPr>
            <w:tcW w:w="720" w:type="dxa"/>
            <w:vAlign w:val="bottom"/>
          </w:tcPr>
          <w:p>
            <w:pPr>
              <w:jc w:val="right"/>
              <w:ind w:right="20"/>
              <w:spacing w:after="0"/>
              <w:rPr>
                <w:sz w:val="20"/>
                <w:szCs w:val="20"/>
                <w:color w:val="auto"/>
              </w:rPr>
            </w:pPr>
            <w:r>
              <w:rPr>
                <w:rFonts w:ascii="Arial" w:cs="Arial" w:eastAsia="Arial" w:hAnsi="Arial"/>
                <w:sz w:val="16"/>
                <w:szCs w:val="16"/>
                <w:color w:val="auto"/>
              </w:rPr>
              <w:t>12,051</w:t>
            </w:r>
          </w:p>
        </w:tc>
      </w:tr>
      <w:tr>
        <w:trPr>
          <w:trHeight w:val="270"/>
        </w:trPr>
        <w:tc>
          <w:tcPr>
            <w:tcW w:w="8120" w:type="dxa"/>
            <w:vAlign w:val="bottom"/>
          </w:tcPr>
          <w:p>
            <w:pPr>
              <w:ind w:left="40"/>
              <w:spacing w:after="0"/>
              <w:rPr>
                <w:sz w:val="20"/>
                <w:szCs w:val="20"/>
                <w:color w:val="auto"/>
              </w:rPr>
            </w:pPr>
            <w:r>
              <w:rPr>
                <w:rFonts w:ascii="Arial" w:cs="Arial" w:eastAsia="Arial" w:hAnsi="Arial"/>
                <w:sz w:val="16"/>
                <w:szCs w:val="16"/>
                <w:color w:val="auto"/>
              </w:rPr>
              <w:t>Amortized intangible assets</w:t>
            </w:r>
          </w:p>
        </w:tc>
        <w:tc>
          <w:tcPr>
            <w:tcW w:w="280" w:type="dxa"/>
            <w:vAlign w:val="bottom"/>
          </w:tcPr>
          <w:p>
            <w:pPr>
              <w:spacing w:after="0"/>
              <w:rPr>
                <w:sz w:val="23"/>
                <w:szCs w:val="23"/>
                <w:color w:val="auto"/>
              </w:rPr>
            </w:pPr>
          </w:p>
        </w:tc>
        <w:tc>
          <w:tcPr>
            <w:tcW w:w="920" w:type="dxa"/>
            <w:vAlign w:val="bottom"/>
          </w:tcPr>
          <w:p>
            <w:pPr>
              <w:jc w:val="right"/>
              <w:ind w:right="81"/>
              <w:spacing w:after="0"/>
              <w:rPr>
                <w:sz w:val="20"/>
                <w:szCs w:val="20"/>
                <w:color w:val="auto"/>
              </w:rPr>
            </w:pPr>
            <w:r>
              <w:rPr>
                <w:rFonts w:ascii="Arial" w:cs="Arial" w:eastAsia="Arial" w:hAnsi="Arial"/>
                <w:sz w:val="16"/>
                <w:szCs w:val="16"/>
                <w:b w:val="1"/>
                <w:bCs w:val="1"/>
                <w:color w:val="auto"/>
              </w:rPr>
              <w:t>28,267</w:t>
            </w:r>
          </w:p>
        </w:tc>
        <w:tc>
          <w:tcPr>
            <w:tcW w:w="220" w:type="dxa"/>
            <w:vAlign w:val="bottom"/>
          </w:tcPr>
          <w:p>
            <w:pPr>
              <w:spacing w:after="0"/>
              <w:rPr>
                <w:sz w:val="23"/>
                <w:szCs w:val="23"/>
                <w:color w:val="auto"/>
              </w:rPr>
            </w:pPr>
          </w:p>
        </w:tc>
        <w:tc>
          <w:tcPr>
            <w:tcW w:w="780" w:type="dxa"/>
            <w:vAlign w:val="bottom"/>
          </w:tcPr>
          <w:p>
            <w:pPr>
              <w:jc w:val="right"/>
              <w:ind w:right="60"/>
              <w:spacing w:after="0"/>
              <w:rPr>
                <w:sz w:val="20"/>
                <w:szCs w:val="20"/>
                <w:color w:val="auto"/>
              </w:rPr>
            </w:pPr>
            <w:r>
              <w:rPr>
                <w:rFonts w:ascii="Arial" w:cs="Arial" w:eastAsia="Arial" w:hAnsi="Arial"/>
                <w:sz w:val="16"/>
                <w:szCs w:val="16"/>
                <w:color w:val="auto"/>
              </w:rPr>
              <w:t>31,900</w:t>
            </w:r>
          </w:p>
        </w:tc>
        <w:tc>
          <w:tcPr>
            <w:tcW w:w="380" w:type="dxa"/>
            <w:vAlign w:val="bottom"/>
          </w:tcPr>
          <w:p>
            <w:pPr>
              <w:spacing w:after="0"/>
              <w:rPr>
                <w:sz w:val="23"/>
                <w:szCs w:val="23"/>
                <w:color w:val="auto"/>
              </w:rPr>
            </w:pPr>
          </w:p>
        </w:tc>
        <w:tc>
          <w:tcPr>
            <w:tcW w:w="720" w:type="dxa"/>
            <w:vAlign w:val="bottom"/>
          </w:tcPr>
          <w:p>
            <w:pPr>
              <w:jc w:val="right"/>
              <w:ind w:right="20"/>
              <w:spacing w:after="0"/>
              <w:rPr>
                <w:sz w:val="20"/>
                <w:szCs w:val="20"/>
                <w:color w:val="auto"/>
              </w:rPr>
            </w:pPr>
            <w:r>
              <w:rPr>
                <w:rFonts w:ascii="Arial" w:cs="Arial" w:eastAsia="Arial" w:hAnsi="Arial"/>
                <w:sz w:val="16"/>
                <w:szCs w:val="16"/>
                <w:color w:val="auto"/>
              </w:rPr>
              <w:t>73,766</w:t>
            </w:r>
          </w:p>
        </w:tc>
      </w:tr>
      <w:tr>
        <w:trPr>
          <w:trHeight w:val="270"/>
        </w:trPr>
        <w:tc>
          <w:tcPr>
            <w:tcW w:w="8120" w:type="dxa"/>
            <w:vAlign w:val="bottom"/>
          </w:tcPr>
          <w:p>
            <w:pPr>
              <w:ind w:left="40"/>
              <w:spacing w:after="0"/>
              <w:rPr>
                <w:sz w:val="20"/>
                <w:szCs w:val="20"/>
                <w:color w:val="auto"/>
              </w:rPr>
            </w:pPr>
            <w:r>
              <w:rPr>
                <w:rFonts w:ascii="Arial" w:cs="Arial" w:eastAsia="Arial" w:hAnsi="Arial"/>
                <w:sz w:val="16"/>
                <w:szCs w:val="16"/>
                <w:color w:val="auto"/>
              </w:rPr>
              <w:t>Deferred income taxes and other liabilities</w:t>
            </w:r>
          </w:p>
        </w:tc>
        <w:tc>
          <w:tcPr>
            <w:tcW w:w="280" w:type="dxa"/>
            <w:vAlign w:val="bottom"/>
          </w:tcPr>
          <w:p>
            <w:pPr>
              <w:spacing w:after="0"/>
              <w:rPr>
                <w:sz w:val="23"/>
                <w:szCs w:val="23"/>
                <w:color w:val="auto"/>
              </w:rPr>
            </w:pPr>
          </w:p>
        </w:tc>
        <w:tc>
          <w:tcPr>
            <w:tcW w:w="920" w:type="dxa"/>
            <w:vAlign w:val="bottom"/>
          </w:tcPr>
          <w:p>
            <w:pPr>
              <w:jc w:val="right"/>
              <w:ind w:right="21"/>
              <w:spacing w:after="0"/>
              <w:rPr>
                <w:sz w:val="20"/>
                <w:szCs w:val="20"/>
                <w:color w:val="auto"/>
              </w:rPr>
            </w:pPr>
            <w:r>
              <w:rPr>
                <w:rFonts w:ascii="Arial" w:cs="Arial" w:eastAsia="Arial" w:hAnsi="Arial"/>
                <w:sz w:val="16"/>
                <w:szCs w:val="16"/>
                <w:b w:val="1"/>
                <w:bCs w:val="1"/>
                <w:color w:val="auto"/>
              </w:rPr>
              <w:t>(32,901)</w:t>
            </w:r>
          </w:p>
        </w:tc>
        <w:tc>
          <w:tcPr>
            <w:tcW w:w="2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(36,892)</w:t>
            </w:r>
          </w:p>
        </w:tc>
        <w:tc>
          <w:tcPr>
            <w:tcW w:w="38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(36,834)</w:t>
            </w:r>
          </w:p>
        </w:tc>
      </w:tr>
      <w:tr>
        <w:trPr>
          <w:trHeight w:val="274"/>
        </w:trPr>
        <w:tc>
          <w:tcPr>
            <w:tcW w:w="8120" w:type="dxa"/>
            <w:vAlign w:val="bottom"/>
          </w:tcPr>
          <w:p>
            <w:pPr>
              <w:ind w:left="40"/>
              <w:spacing w:after="0"/>
              <w:rPr>
                <w:sz w:val="20"/>
                <w:szCs w:val="20"/>
                <w:color w:val="auto"/>
              </w:rPr>
            </w:pPr>
            <w:r>
              <w:rPr>
                <w:rFonts w:ascii="Arial" w:cs="Arial" w:eastAsia="Arial" w:hAnsi="Arial"/>
                <w:sz w:val="16"/>
                <w:szCs w:val="16"/>
                <w:color w:val="auto"/>
              </w:rPr>
              <w:t>Redeemable noncontrolling interest</w:t>
            </w:r>
          </w:p>
        </w:tc>
        <w:tc>
          <w:tcPr>
            <w:tcW w:w="28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rPr>
              <w:t>—</w:t>
            </w:r>
          </w:p>
        </w:tc>
        <w:tc>
          <w:tcPr>
            <w:tcW w:w="22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(17,108)</w:t>
            </w:r>
          </w:p>
        </w:tc>
      </w:tr>
      <w:tr>
        <w:trPr>
          <w:trHeight w:val="266"/>
        </w:trPr>
        <w:tc>
          <w:tcPr>
            <w:tcW w:w="8120" w:type="dxa"/>
            <w:vAlign w:val="bottom"/>
          </w:tcPr>
          <w:p>
            <w:pPr>
              <w:ind w:left="40"/>
              <w:spacing w:after="0"/>
              <w:rPr>
                <w:sz w:val="20"/>
                <w:szCs w:val="20"/>
                <w:color w:val="auto"/>
              </w:rPr>
            </w:pPr>
            <w:r>
              <w:rPr>
                <w:rFonts w:ascii="Arial" w:cs="Arial" w:eastAsia="Arial" w:hAnsi="Arial"/>
                <w:sz w:val="16"/>
                <w:szCs w:val="16"/>
                <w:color w:val="auto"/>
              </w:rPr>
              <w:t>Aggregate purchase price, net of cash received</w:t>
            </w: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rPr>
              <w:t>247,370</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159,779</w:t>
            </w:r>
          </w:p>
        </w:tc>
        <w:tc>
          <w:tcPr>
            <w:tcW w:w="3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206,035</w:t>
            </w:r>
          </w:p>
        </w:tc>
      </w:tr>
      <w:tr>
        <w:trPr>
          <w:trHeight w:val="20"/>
        </w:trPr>
        <w:tc>
          <w:tcPr>
            <w:tcW w:w="8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126" w:lineRule="exact"/>
        <w:rPr>
          <w:sz w:val="20"/>
          <w:szCs w:val="20"/>
          <w:color w:val="auto"/>
        </w:rPr>
      </w:pPr>
    </w:p>
    <w:p>
      <w:pPr>
        <w:ind w:right="80"/>
        <w:spacing w:after="0" w:line="231" w:lineRule="auto"/>
        <w:rPr>
          <w:sz w:val="20"/>
          <w:szCs w:val="20"/>
          <w:color w:val="auto"/>
        </w:rPr>
      </w:pPr>
      <w:r>
        <w:rPr>
          <w:rFonts w:ascii="Arial" w:cs="Arial" w:eastAsia="Arial" w:hAnsi="Arial"/>
          <w:sz w:val="18"/>
          <w:szCs w:val="18"/>
          <w:color w:val="auto"/>
        </w:rPr>
        <w:t>The fair values recorded were based upon valuations. Goodwill is calculated as the excess of the consideration transferred over the net assets recognized and represents the estimated future economic benefits arising from other assets acquired that could not be individually identified and separately recognized. The goodwill recorded due to these acquisitions is attributable to the assembled workforces of the acquired companies and expected synergies. The Company expects to deduct $22.2 million and $20.0 million of goodwill for income tax purposes for the acquisitions completed in 2016 and 2015, respectively.</w:t>
      </w:r>
    </w:p>
    <w:p>
      <w:pPr>
        <w:spacing w:after="0" w:line="111" w:lineRule="exact"/>
        <w:rPr>
          <w:sz w:val="20"/>
          <w:szCs w:val="20"/>
          <w:color w:val="auto"/>
        </w:rPr>
      </w:pPr>
    </w:p>
    <w:p>
      <w:pPr>
        <w:ind w:right="160"/>
        <w:spacing w:after="0" w:line="260" w:lineRule="auto"/>
        <w:rPr>
          <w:sz w:val="20"/>
          <w:szCs w:val="20"/>
          <w:color w:val="auto"/>
        </w:rPr>
      </w:pPr>
      <w:r>
        <w:rPr>
          <w:rFonts w:ascii="Arial" w:cs="Arial" w:eastAsia="Arial" w:hAnsi="Arial"/>
          <w:sz w:val="18"/>
          <w:szCs w:val="18"/>
          <w:color w:val="auto"/>
        </w:rPr>
        <w:t>In 2016, the Company recorded adjustments to the deferred taxes included in the preliminary accounting of Dekko and SmartPros acquired in the fourth quarter of 2015. These adjustments resulted in a $20.0 million decrease to goodwill.</w:t>
      </w:r>
    </w:p>
    <w:p>
      <w:pPr>
        <w:spacing w:after="0" w:line="92" w:lineRule="exact"/>
        <w:rPr>
          <w:sz w:val="20"/>
          <w:szCs w:val="20"/>
          <w:color w:val="auto"/>
        </w:rPr>
      </w:pPr>
    </w:p>
    <w:p>
      <w:pPr>
        <w:ind w:right="20"/>
        <w:spacing w:after="0" w:line="231" w:lineRule="auto"/>
        <w:rPr>
          <w:sz w:val="20"/>
          <w:szCs w:val="20"/>
          <w:color w:val="auto"/>
        </w:rPr>
      </w:pPr>
      <w:r>
        <w:rPr>
          <w:rFonts w:ascii="Arial" w:cs="Arial" w:eastAsia="Arial" w:hAnsi="Arial"/>
          <w:sz w:val="18"/>
          <w:szCs w:val="18"/>
          <w:color w:val="auto"/>
        </w:rPr>
        <w:t>The acquired companies were consolidated into the Company’s financial statements starting on their respective acquisition dates. The Company’s Consolidated Statements of Operations include aggregate revenues and operating income for the companies acquired in 2016 of $ 47.6 million and $7.2 million, respectively, for 2016. The following unaudited pro forma financial information presents the Company’s results as if the current year acquisitions had occurred at the beginning of 2015. The unaudited pro forma information also includes the 2015 acquisitions as if they occurred at the beginning of 2014:</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5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2520" w:type="dxa"/>
            <w:vAlign w:val="bottom"/>
            <w:tcBorders>
              <w:bottom w:val="single" w:sz="8" w:color="auto"/>
            </w:tcBorders>
            <w:gridSpan w:val="3"/>
          </w:tcPr>
          <w:p>
            <w:pPr>
              <w:jc w:val="right"/>
              <w:ind w:right="402"/>
              <w:spacing w:after="0"/>
              <w:rPr>
                <w:sz w:val="20"/>
                <w:szCs w:val="20"/>
                <w:color w:val="auto"/>
              </w:rPr>
            </w:pPr>
            <w:r>
              <w:rPr>
                <w:rFonts w:ascii="Arial" w:cs="Arial" w:eastAsia="Arial" w:hAnsi="Arial"/>
                <w:sz w:val="14"/>
                <w:szCs w:val="14"/>
                <w:b w:val="1"/>
                <w:bCs w:val="1"/>
                <w:color w:val="auto"/>
              </w:rPr>
              <w:t>Year Ended December 31</w:t>
            </w:r>
          </w:p>
        </w:tc>
      </w:tr>
      <w:tr>
        <w:trPr>
          <w:trHeight w:val="264"/>
        </w:trPr>
        <w:tc>
          <w:tcPr>
            <w:tcW w:w="85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63"/>
              <w:spacing w:after="0"/>
              <w:rPr>
                <w:sz w:val="20"/>
                <w:szCs w:val="20"/>
                <w:color w:val="auto"/>
              </w:rPr>
            </w:pPr>
            <w:r>
              <w:rPr>
                <w:rFonts w:ascii="Arial" w:cs="Arial" w:eastAsia="Arial" w:hAnsi="Arial"/>
                <w:sz w:val="14"/>
                <w:szCs w:val="14"/>
                <w:b w:val="1"/>
                <w:bCs w:val="1"/>
                <w:color w:val="auto"/>
              </w:rPr>
              <w:t>2016</w:t>
            </w:r>
          </w:p>
        </w:tc>
        <w:tc>
          <w:tcPr>
            <w:tcW w:w="4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42"/>
              <w:spacing w:after="0"/>
              <w:rPr>
                <w:sz w:val="20"/>
                <w:szCs w:val="20"/>
                <w:color w:val="auto"/>
              </w:rPr>
            </w:pPr>
            <w:r>
              <w:rPr>
                <w:rFonts w:ascii="Arial" w:cs="Arial" w:eastAsia="Arial" w:hAnsi="Arial"/>
                <w:sz w:val="14"/>
                <w:szCs w:val="14"/>
                <w:color w:val="auto"/>
              </w:rPr>
              <w:t>2015</w:t>
            </w:r>
          </w:p>
        </w:tc>
      </w:tr>
      <w:tr>
        <w:trPr>
          <w:trHeight w:val="257"/>
        </w:trPr>
        <w:tc>
          <w:tcPr>
            <w:tcW w:w="8580" w:type="dxa"/>
            <w:vAlign w:val="bottom"/>
          </w:tcPr>
          <w:p>
            <w:pPr>
              <w:ind w:left="40"/>
              <w:spacing w:after="0"/>
              <w:rPr>
                <w:sz w:val="20"/>
                <w:szCs w:val="20"/>
                <w:color w:val="auto"/>
              </w:rPr>
            </w:pPr>
            <w:r>
              <w:rPr>
                <w:rFonts w:ascii="Arial" w:cs="Arial" w:eastAsia="Arial" w:hAnsi="Arial"/>
                <w:sz w:val="16"/>
                <w:szCs w:val="16"/>
                <w:color w:val="auto"/>
              </w:rPr>
              <w:t>Operating revenues</w:t>
            </w:r>
          </w:p>
        </w:tc>
        <w:tc>
          <w:tcPr>
            <w:tcW w:w="320" w:type="dxa"/>
            <w:vAlign w:val="bottom"/>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1060" w:type="dxa"/>
            <w:vAlign w:val="bottom"/>
          </w:tcPr>
          <w:p>
            <w:pPr>
              <w:jc w:val="right"/>
              <w:ind w:right="43"/>
              <w:spacing w:after="0"/>
              <w:rPr>
                <w:sz w:val="20"/>
                <w:szCs w:val="20"/>
                <w:color w:val="auto"/>
              </w:rPr>
            </w:pPr>
            <w:r>
              <w:rPr>
                <w:rFonts w:ascii="Arial" w:cs="Arial" w:eastAsia="Arial" w:hAnsi="Arial"/>
                <w:sz w:val="16"/>
                <w:szCs w:val="16"/>
                <w:b w:val="1"/>
                <w:bCs w:val="1"/>
                <w:color w:val="auto"/>
              </w:rPr>
              <w:t>2,498,753</w:t>
            </w:r>
          </w:p>
        </w:tc>
        <w:tc>
          <w:tcPr>
            <w:tcW w:w="4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22"/>
              <w:spacing w:after="0"/>
              <w:rPr>
                <w:sz w:val="20"/>
                <w:szCs w:val="20"/>
                <w:color w:val="auto"/>
              </w:rPr>
            </w:pPr>
            <w:r>
              <w:rPr>
                <w:rFonts w:ascii="Arial" w:cs="Arial" w:eastAsia="Arial" w:hAnsi="Arial"/>
                <w:sz w:val="16"/>
                <w:szCs w:val="16"/>
                <w:color w:val="auto"/>
              </w:rPr>
              <w:t>2,804,663</w:t>
            </w:r>
          </w:p>
        </w:tc>
      </w:tr>
      <w:tr>
        <w:trPr>
          <w:trHeight w:val="270"/>
        </w:trPr>
        <w:tc>
          <w:tcPr>
            <w:tcW w:w="8580" w:type="dxa"/>
            <w:vAlign w:val="bottom"/>
          </w:tcPr>
          <w:p>
            <w:pPr>
              <w:ind w:left="40"/>
              <w:spacing w:after="0"/>
              <w:rPr>
                <w:sz w:val="20"/>
                <w:szCs w:val="20"/>
                <w:color w:val="auto"/>
              </w:rPr>
            </w:pPr>
            <w:r>
              <w:rPr>
                <w:rFonts w:ascii="Arial" w:cs="Arial" w:eastAsia="Arial" w:hAnsi="Arial"/>
                <w:sz w:val="16"/>
                <w:szCs w:val="16"/>
                <w:color w:val="auto"/>
              </w:rPr>
              <w:t>Net income (loss)</w:t>
            </w:r>
          </w:p>
        </w:tc>
        <w:tc>
          <w:tcPr>
            <w:tcW w:w="320" w:type="dxa"/>
            <w:vAlign w:val="bottom"/>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1060" w:type="dxa"/>
            <w:vAlign w:val="bottom"/>
          </w:tcPr>
          <w:p>
            <w:pPr>
              <w:jc w:val="right"/>
              <w:ind w:right="43"/>
              <w:spacing w:after="0"/>
              <w:rPr>
                <w:sz w:val="20"/>
                <w:szCs w:val="20"/>
                <w:color w:val="auto"/>
              </w:rPr>
            </w:pPr>
            <w:r>
              <w:rPr>
                <w:rFonts w:ascii="Arial" w:cs="Arial" w:eastAsia="Arial" w:hAnsi="Arial"/>
                <w:sz w:val="16"/>
                <w:szCs w:val="16"/>
                <w:b w:val="1"/>
                <w:bCs w:val="1"/>
                <w:color w:val="auto"/>
              </w:rPr>
              <w:t>172,738</w:t>
            </w:r>
          </w:p>
        </w:tc>
        <w:tc>
          <w:tcPr>
            <w:tcW w:w="4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(84,209)</w:t>
            </w:r>
          </w:p>
        </w:tc>
      </w:tr>
    </w:tbl>
    <w:p>
      <w:pPr>
        <w:spacing w:after="0" w:line="133" w:lineRule="exact"/>
        <w:rPr>
          <w:sz w:val="20"/>
          <w:szCs w:val="20"/>
          <w:color w:val="auto"/>
        </w:rPr>
      </w:pPr>
    </w:p>
    <w:p>
      <w:pPr>
        <w:ind w:right="80"/>
        <w:spacing w:after="0" w:line="229" w:lineRule="auto"/>
        <w:rPr>
          <w:sz w:val="20"/>
          <w:szCs w:val="20"/>
          <w:color w:val="auto"/>
        </w:rPr>
      </w:pPr>
      <w:r>
        <w:rPr>
          <w:rFonts w:ascii="Arial" w:cs="Arial" w:eastAsia="Arial" w:hAnsi="Arial"/>
          <w:sz w:val="18"/>
          <w:szCs w:val="18"/>
          <w:color w:val="auto"/>
        </w:rPr>
        <w:t>These pro forma results were based on estimates and assumptions, which the Company believes are reasonable, and include the historical results of operations of the acquired companies and adjustments for depreciation and amortization of identified assets and the effect of pre-acquisition transaction related expenses incurred by the Company and the acquired entities. The pro forma information does not include efficiencies, cost reductions and synergies expected to result from the acquisitions. They are not the results that would have been realized had these entities been part of the Company during the periods presented and are not necessarily indicative of the Company’s consolidated results of operations in future periods.</w:t>
      </w:r>
    </w:p>
    <w:p>
      <w:pPr>
        <w:spacing w:after="0" w:line="110"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b w:val="1"/>
          <w:bCs w:val="1"/>
          <w:color w:val="auto"/>
        </w:rPr>
        <w:t xml:space="preserve">Spin-Off. </w:t>
      </w:r>
      <w:r>
        <w:rPr>
          <w:rFonts w:ascii="Arial" w:cs="Arial" w:eastAsia="Arial" w:hAnsi="Arial"/>
          <w:sz w:val="18"/>
          <w:szCs w:val="18"/>
          <w:color w:val="auto"/>
        </w:rPr>
        <w:t>On July 1, 2015, the Company completed the spin-off of Cable ONE, by way of a distribution of all the issued and outstanding shares</w:t>
      </w:r>
      <w:r>
        <w:rPr>
          <w:rFonts w:ascii="Arial" w:cs="Arial" w:eastAsia="Arial" w:hAnsi="Arial"/>
          <w:sz w:val="18"/>
          <w:szCs w:val="18"/>
          <w:b w:val="1"/>
          <w:bCs w:val="1"/>
          <w:color w:val="auto"/>
        </w:rPr>
        <w:t xml:space="preserve"> </w:t>
      </w:r>
      <w:r>
        <w:rPr>
          <w:rFonts w:ascii="Arial" w:cs="Arial" w:eastAsia="Arial" w:hAnsi="Arial"/>
          <w:sz w:val="18"/>
          <w:szCs w:val="18"/>
          <w:color w:val="auto"/>
        </w:rPr>
        <w:t>of Cable ONE common stock, on a pro rata basis, to the Company’s stockholders (see Note 3).</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Sale of Businesses. </w:t>
      </w:r>
      <w:r>
        <w:rPr>
          <w:rFonts w:ascii="Arial" w:cs="Arial" w:eastAsia="Arial" w:hAnsi="Arial"/>
          <w:sz w:val="18"/>
          <w:szCs w:val="18"/>
          <w:color w:val="auto"/>
        </w:rPr>
        <w:t>In January 2016, Kaplan completed the sale of Colloquy, which was included in Kaplan Corporate and Other.</w:t>
      </w:r>
    </w:p>
    <w:p>
      <w:pPr>
        <w:spacing w:after="0" w:line="146" w:lineRule="exact"/>
        <w:rPr>
          <w:sz w:val="20"/>
          <w:szCs w:val="20"/>
          <w:color w:val="auto"/>
        </w:rPr>
      </w:pPr>
    </w:p>
    <w:p>
      <w:pPr>
        <w:ind w:right="140"/>
        <w:spacing w:after="0"/>
        <w:rPr>
          <w:sz w:val="20"/>
          <w:szCs w:val="20"/>
          <w:color w:val="auto"/>
        </w:rPr>
      </w:pPr>
      <w:r>
        <w:rPr>
          <w:rFonts w:ascii="Arial" w:cs="Arial" w:eastAsia="Arial" w:hAnsi="Arial"/>
          <w:sz w:val="18"/>
          <w:szCs w:val="18"/>
          <w:color w:val="auto"/>
        </w:rPr>
        <w:t>On September 3, 2015, Kaplan completed the sale of substantially all of the assets of its KHE Campuses business, consisting of 38 nationally accredited ground campuses and certain related assets, in exchange for a preferred equity interest in a vocational school company. KHE Campuses schools that were closed or were in the process of closing were not included in the sale transaction.</w:t>
      </w: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724" w:right="239" w:bottom="1440" w:gutter="0" w:footer="0" w:header="0"/>
        </w:sectPr>
      </w:pPr>
    </w:p>
    <w:bookmarkStart w:id="82" w:name="page83"/>
    <w:bookmarkEnd w:id="82"/>
    <w:p>
      <w:pPr>
        <w:spacing w:after="0"/>
        <w:rPr>
          <w:sz w:val="20"/>
          <w:szCs w:val="20"/>
          <w:color w:val="auto"/>
        </w:rPr>
      </w:pPr>
      <w:r>
        <w:rPr>
          <w:rFonts w:ascii="Arial" w:cs="Arial" w:eastAsia="Arial" w:hAnsi="Arial"/>
          <w:sz w:val="18"/>
          <w:szCs w:val="18"/>
          <w:color w:val="auto"/>
        </w:rPr>
        <w:t>The revenue and operating losses related to schools that were sold as part of the KHE Campuses sale are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90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160" w:type="dxa"/>
            <w:vAlign w:val="bottom"/>
            <w:tcBorders>
              <w:bottom w:val="single" w:sz="8" w:color="auto"/>
            </w:tcBorders>
            <w:gridSpan w:val="3"/>
          </w:tcPr>
          <w:p>
            <w:pPr>
              <w:jc w:val="right"/>
              <w:ind w:right="242"/>
              <w:spacing w:after="0"/>
              <w:rPr>
                <w:sz w:val="20"/>
                <w:szCs w:val="20"/>
                <w:color w:val="auto"/>
              </w:rPr>
            </w:pPr>
            <w:r>
              <w:rPr>
                <w:rFonts w:ascii="Arial" w:cs="Arial" w:eastAsia="Arial" w:hAnsi="Arial"/>
                <w:sz w:val="14"/>
                <w:szCs w:val="14"/>
                <w:b w:val="1"/>
                <w:bCs w:val="1"/>
                <w:color w:val="auto"/>
              </w:rPr>
              <w:t>Year Ended December 31</w:t>
            </w:r>
          </w:p>
        </w:tc>
      </w:tr>
      <w:tr>
        <w:trPr>
          <w:trHeight w:val="261"/>
        </w:trPr>
        <w:tc>
          <w:tcPr>
            <w:tcW w:w="90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83"/>
              <w:spacing w:after="0"/>
              <w:rPr>
                <w:sz w:val="20"/>
                <w:szCs w:val="20"/>
                <w:color w:val="auto"/>
              </w:rPr>
            </w:pPr>
            <w:r>
              <w:rPr>
                <w:rFonts w:ascii="Arial" w:cs="Arial" w:eastAsia="Arial" w:hAnsi="Arial"/>
                <w:sz w:val="14"/>
                <w:szCs w:val="14"/>
                <w:color w:val="auto"/>
              </w:rPr>
              <w:t>2015</w:t>
            </w:r>
          </w:p>
        </w:tc>
        <w:tc>
          <w:tcPr>
            <w:tcW w:w="3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22"/>
              <w:spacing w:after="0"/>
              <w:rPr>
                <w:sz w:val="20"/>
                <w:szCs w:val="20"/>
                <w:color w:val="auto"/>
              </w:rPr>
            </w:pPr>
            <w:r>
              <w:rPr>
                <w:rFonts w:ascii="Arial" w:cs="Arial" w:eastAsia="Arial" w:hAnsi="Arial"/>
                <w:sz w:val="14"/>
                <w:szCs w:val="14"/>
                <w:color w:val="auto"/>
              </w:rPr>
              <w:t>2014</w:t>
            </w:r>
          </w:p>
        </w:tc>
      </w:tr>
      <w:tr>
        <w:trPr>
          <w:trHeight w:val="252"/>
        </w:trPr>
        <w:tc>
          <w:tcPr>
            <w:tcW w:w="9020" w:type="dxa"/>
            <w:vAlign w:val="bottom"/>
          </w:tcPr>
          <w:p>
            <w:pPr>
              <w:ind w:left="40"/>
              <w:spacing w:after="0"/>
              <w:rPr>
                <w:sz w:val="20"/>
                <w:szCs w:val="20"/>
                <w:color w:val="auto"/>
              </w:rPr>
            </w:pPr>
            <w:r>
              <w:rPr>
                <w:rFonts w:ascii="Arial" w:cs="Arial" w:eastAsia="Arial" w:hAnsi="Arial"/>
                <w:sz w:val="16"/>
                <w:szCs w:val="16"/>
                <w:color w:val="auto"/>
              </w:rPr>
              <w:t>Revenue</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83"/>
              <w:spacing w:after="0"/>
              <w:rPr>
                <w:sz w:val="20"/>
                <w:szCs w:val="20"/>
                <w:color w:val="auto"/>
              </w:rPr>
            </w:pPr>
            <w:r>
              <w:rPr>
                <w:rFonts w:ascii="Arial" w:cs="Arial" w:eastAsia="Arial" w:hAnsi="Arial"/>
                <w:sz w:val="16"/>
                <w:szCs w:val="16"/>
                <w:color w:val="auto"/>
              </w:rPr>
              <w:t>167,093</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22"/>
              <w:spacing w:after="0"/>
              <w:rPr>
                <w:sz w:val="20"/>
                <w:szCs w:val="20"/>
                <w:color w:val="auto"/>
              </w:rPr>
            </w:pPr>
            <w:r>
              <w:rPr>
                <w:rFonts w:ascii="Arial" w:cs="Arial" w:eastAsia="Arial" w:hAnsi="Arial"/>
                <w:sz w:val="16"/>
                <w:szCs w:val="16"/>
                <w:color w:val="auto"/>
              </w:rPr>
              <w:t>268,895</w:t>
            </w:r>
          </w:p>
        </w:tc>
      </w:tr>
      <w:tr>
        <w:trPr>
          <w:trHeight w:val="270"/>
        </w:trPr>
        <w:tc>
          <w:tcPr>
            <w:tcW w:w="9020" w:type="dxa"/>
            <w:vAlign w:val="bottom"/>
          </w:tcPr>
          <w:p>
            <w:pPr>
              <w:ind w:left="40"/>
              <w:spacing w:after="0"/>
              <w:rPr>
                <w:sz w:val="20"/>
                <w:szCs w:val="20"/>
                <w:color w:val="auto"/>
              </w:rPr>
            </w:pPr>
            <w:r>
              <w:rPr>
                <w:rFonts w:ascii="Arial" w:cs="Arial" w:eastAsia="Arial" w:hAnsi="Arial"/>
                <w:sz w:val="16"/>
                <w:szCs w:val="16"/>
                <w:color w:val="auto"/>
              </w:rPr>
              <w:t>Operating income (loss)</w:t>
            </w:r>
          </w:p>
        </w:tc>
        <w:tc>
          <w:tcPr>
            <w:tcW w:w="240" w:type="dxa"/>
            <w:vAlign w:val="bottom"/>
          </w:tcPr>
          <w:p>
            <w:pPr>
              <w:spacing w:after="0"/>
              <w:rPr>
                <w:sz w:val="23"/>
                <w:szCs w:val="23"/>
                <w:color w:val="auto"/>
              </w:rPr>
            </w:pPr>
          </w:p>
        </w:tc>
        <w:tc>
          <w:tcPr>
            <w:tcW w:w="960" w:type="dxa"/>
            <w:vAlign w:val="bottom"/>
          </w:tcPr>
          <w:p>
            <w:pPr>
              <w:jc w:val="right"/>
              <w:ind w:right="23"/>
              <w:spacing w:after="0"/>
              <w:rPr>
                <w:sz w:val="20"/>
                <w:szCs w:val="20"/>
                <w:color w:val="auto"/>
              </w:rPr>
            </w:pPr>
            <w:r>
              <w:rPr>
                <w:rFonts w:ascii="Arial" w:cs="Arial" w:eastAsia="Arial" w:hAnsi="Arial"/>
                <w:sz w:val="16"/>
                <w:szCs w:val="16"/>
                <w:color w:val="auto"/>
              </w:rPr>
              <w:t>(6,264)</w:t>
            </w:r>
          </w:p>
        </w:tc>
        <w:tc>
          <w:tcPr>
            <w:tcW w:w="3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(7,748)</w:t>
            </w:r>
          </w:p>
        </w:tc>
      </w:tr>
    </w:tbl>
    <w:p>
      <w:pPr>
        <w:spacing w:after="0" w:line="141" w:lineRule="exact"/>
        <w:rPr>
          <w:sz w:val="20"/>
          <w:szCs w:val="20"/>
          <w:color w:val="auto"/>
        </w:rPr>
      </w:pPr>
    </w:p>
    <w:p>
      <w:pPr>
        <w:ind w:right="100"/>
        <w:spacing w:after="0" w:line="260" w:lineRule="auto"/>
        <w:rPr>
          <w:sz w:val="20"/>
          <w:szCs w:val="20"/>
          <w:color w:val="auto"/>
        </w:rPr>
      </w:pPr>
      <w:r>
        <w:rPr>
          <w:rFonts w:ascii="Arial" w:cs="Arial" w:eastAsia="Arial" w:hAnsi="Arial"/>
          <w:sz w:val="18"/>
          <w:szCs w:val="18"/>
          <w:color w:val="auto"/>
        </w:rPr>
        <w:t>In the second quarter of 2015, Kaplan also recorded a $6.9 million long-lived assets impairment charge in connection with the KHE Campuses business (this amount is included in the above table).</w:t>
      </w:r>
    </w:p>
    <w:p>
      <w:pPr>
        <w:spacing w:after="0" w:line="92" w:lineRule="exact"/>
        <w:rPr>
          <w:sz w:val="20"/>
          <w:szCs w:val="20"/>
          <w:color w:val="auto"/>
        </w:rPr>
      </w:pPr>
    </w:p>
    <w:p>
      <w:pPr>
        <w:jc w:val="both"/>
        <w:ind w:right="80"/>
        <w:spacing w:after="0" w:line="234" w:lineRule="auto"/>
        <w:rPr>
          <w:sz w:val="20"/>
          <w:szCs w:val="20"/>
          <w:color w:val="auto"/>
        </w:rPr>
      </w:pPr>
      <w:r>
        <w:rPr>
          <w:rFonts w:ascii="Arial" w:cs="Arial" w:eastAsia="Arial" w:hAnsi="Arial"/>
          <w:sz w:val="18"/>
          <w:szCs w:val="18"/>
          <w:color w:val="auto"/>
        </w:rPr>
        <w:t>In the third quarter of 2015, Kaplan sold Franklyn Scholar, which was part of Kaplan International. In the second quarter of 2015, the Company sold The Root, a component of Slate, and Kaplan sold two small businesses, Structuralia, which was part of Kaplan International, and Fire and EMS Training, which was part of Kaplan Higher Education. As a result of these sales, the Company reported net losses in other non-operating (expense) income (see Note 15).</w:t>
      </w:r>
    </w:p>
    <w:p>
      <w:pPr>
        <w:spacing w:after="0" w:line="111" w:lineRule="exact"/>
        <w:rPr>
          <w:sz w:val="20"/>
          <w:szCs w:val="20"/>
          <w:color w:val="auto"/>
        </w:rPr>
      </w:pPr>
    </w:p>
    <w:p>
      <w:pPr>
        <w:ind w:right="820"/>
        <w:spacing w:after="0" w:line="260" w:lineRule="auto"/>
        <w:rPr>
          <w:sz w:val="20"/>
          <w:szCs w:val="20"/>
          <w:color w:val="auto"/>
        </w:rPr>
      </w:pPr>
      <w:r>
        <w:rPr>
          <w:rFonts w:ascii="Arial" w:cs="Arial" w:eastAsia="Arial" w:hAnsi="Arial"/>
          <w:sz w:val="18"/>
          <w:szCs w:val="18"/>
          <w:color w:val="auto"/>
        </w:rPr>
        <w:t>In the third quarter of 2014, Kaplan completed the sale of three of its schools in China that were previously included as part of Kaplan International. In January 2015, Kaplan completed the sale of an additional school in China.</w:t>
      </w:r>
    </w:p>
    <w:p>
      <w:pPr>
        <w:spacing w:after="0" w:line="90" w:lineRule="exact"/>
        <w:rPr>
          <w:sz w:val="20"/>
          <w:szCs w:val="20"/>
          <w:color w:val="auto"/>
        </w:rPr>
      </w:pPr>
    </w:p>
    <w:p>
      <w:pPr>
        <w:ind w:right="40"/>
        <w:spacing w:after="0" w:line="230" w:lineRule="auto"/>
        <w:rPr>
          <w:sz w:val="20"/>
          <w:szCs w:val="20"/>
          <w:color w:val="auto"/>
        </w:rPr>
      </w:pPr>
      <w:r>
        <w:rPr>
          <w:rFonts w:ascii="Arial" w:cs="Arial" w:eastAsia="Arial" w:hAnsi="Arial"/>
          <w:sz w:val="18"/>
          <w:szCs w:val="18"/>
          <w:b w:val="1"/>
          <w:bCs w:val="1"/>
          <w:color w:val="auto"/>
        </w:rPr>
        <w:t xml:space="preserve">Exchanges. </w:t>
      </w:r>
      <w:r>
        <w:rPr>
          <w:rFonts w:ascii="Arial" w:cs="Arial" w:eastAsia="Arial" w:hAnsi="Arial"/>
          <w:sz w:val="18"/>
          <w:szCs w:val="18"/>
          <w:color w:val="auto"/>
        </w:rPr>
        <w:t>On June 30, 2014, the Company and Berkshire Hathaway Inc. completed a previously announced transaction in which Berkshire</w:t>
      </w:r>
      <w:r>
        <w:rPr>
          <w:rFonts w:ascii="Arial" w:cs="Arial" w:eastAsia="Arial" w:hAnsi="Arial"/>
          <w:sz w:val="18"/>
          <w:szCs w:val="18"/>
          <w:b w:val="1"/>
          <w:bCs w:val="1"/>
          <w:color w:val="auto"/>
        </w:rPr>
        <w:t xml:space="preserve"> </w:t>
      </w:r>
      <w:r>
        <w:rPr>
          <w:rFonts w:ascii="Arial" w:cs="Arial" w:eastAsia="Arial" w:hAnsi="Arial"/>
          <w:sz w:val="18"/>
          <w:szCs w:val="18"/>
          <w:color w:val="auto"/>
        </w:rPr>
        <w:t>acquired a wholly owned subsidiary of the Company that included, among other things, WPLG, a Miami-based television station, 2,107 Class A Berkshire shares and 1,278 Class B Berkshire shares owned by Graham Holdings and $327.7 million in cash, in exchange for 1,620,190 shares of Graham Holdings Class B common stock owned by Berkshire Hathaway (Berkshire exchange transaction). As a result, income from continuing operations for the second quarter of 2014 includes a $266.7 million gain from the sale of the Berkshire Hathaway shares, and income from discontinued operations for the second quarter of 2014 includes a $375.0 million gain from the WPLG exchange.</w:t>
      </w:r>
    </w:p>
    <w:p>
      <w:pPr>
        <w:spacing w:after="0" w:line="108" w:lineRule="exact"/>
        <w:rPr>
          <w:sz w:val="20"/>
          <w:szCs w:val="20"/>
          <w:color w:val="auto"/>
        </w:rPr>
      </w:pPr>
    </w:p>
    <w:p>
      <w:pPr>
        <w:ind w:right="240"/>
        <w:spacing w:after="0" w:line="260" w:lineRule="auto"/>
        <w:rPr>
          <w:sz w:val="20"/>
          <w:szCs w:val="20"/>
          <w:color w:val="auto"/>
        </w:rPr>
      </w:pPr>
      <w:r>
        <w:rPr>
          <w:rFonts w:ascii="Arial" w:cs="Arial" w:eastAsia="Arial" w:hAnsi="Arial"/>
          <w:sz w:val="18"/>
          <w:szCs w:val="18"/>
          <w:color w:val="auto"/>
        </w:rPr>
        <w:t>The pre-tax gain of $266.7 million related to the disposition of the Berkshire shares was not subject to income tax as the Berkshire exchange transaction qualifies as a tax-free distribution.</w:t>
      </w:r>
    </w:p>
    <w:p>
      <w:pPr>
        <w:spacing w:after="0" w:line="92" w:lineRule="exact"/>
        <w:rPr>
          <w:sz w:val="20"/>
          <w:szCs w:val="20"/>
          <w:color w:val="auto"/>
        </w:rPr>
      </w:pPr>
    </w:p>
    <w:p>
      <w:pPr>
        <w:ind w:right="40"/>
        <w:spacing w:after="0" w:line="234" w:lineRule="auto"/>
        <w:rPr>
          <w:sz w:val="20"/>
          <w:szCs w:val="20"/>
          <w:color w:val="auto"/>
        </w:rPr>
      </w:pPr>
      <w:r>
        <w:rPr>
          <w:rFonts w:ascii="Arial" w:cs="Arial" w:eastAsia="Arial" w:hAnsi="Arial"/>
          <w:sz w:val="18"/>
          <w:szCs w:val="18"/>
          <w:color w:val="auto"/>
        </w:rPr>
        <w:t>As discussed above, this exchange transaction includes significant noncash investing and financing activities. On the date of exchange, the fair value of the Berkshire Class A and B shares was $400.3 million, and the fair value of WPLG was determined to be $438.0 million. In total, the Company recorded an increase in treasury stock of $1,165.4 million in the second quarter of 2014 in connection with the Berkshire exchange transaction.</w:t>
      </w:r>
    </w:p>
    <w:p>
      <w:pPr>
        <w:spacing w:after="0" w:line="109" w:lineRule="exact"/>
        <w:rPr>
          <w:sz w:val="20"/>
          <w:szCs w:val="20"/>
          <w:color w:val="auto"/>
        </w:rPr>
      </w:pPr>
    </w:p>
    <w:p>
      <w:pPr>
        <w:ind w:right="60"/>
        <w:spacing w:after="0" w:line="232" w:lineRule="auto"/>
        <w:rPr>
          <w:sz w:val="20"/>
          <w:szCs w:val="20"/>
          <w:color w:val="auto"/>
        </w:rPr>
      </w:pPr>
      <w:r>
        <w:rPr>
          <w:rFonts w:ascii="Arial" w:cs="Arial" w:eastAsia="Arial" w:hAnsi="Arial"/>
          <w:sz w:val="18"/>
          <w:szCs w:val="18"/>
          <w:b w:val="1"/>
          <w:bCs w:val="1"/>
          <w:color w:val="auto"/>
        </w:rPr>
        <w:t xml:space="preserve">Other. </w:t>
      </w:r>
      <w:r>
        <w:rPr>
          <w:rFonts w:ascii="Arial" w:cs="Arial" w:eastAsia="Arial" w:hAnsi="Arial"/>
          <w:sz w:val="18"/>
          <w:szCs w:val="18"/>
          <w:color w:val="auto"/>
        </w:rPr>
        <w:t>In June 2016, Residential and a Michigan hospital formed a joint venture to provide home health services to patients in western</w:t>
      </w:r>
      <w:r>
        <w:rPr>
          <w:rFonts w:ascii="Arial" w:cs="Arial" w:eastAsia="Arial" w:hAnsi="Arial"/>
          <w:sz w:val="18"/>
          <w:szCs w:val="18"/>
          <w:b w:val="1"/>
          <w:bCs w:val="1"/>
          <w:color w:val="auto"/>
        </w:rPr>
        <w:t xml:space="preserve"> </w:t>
      </w:r>
      <w:r>
        <w:rPr>
          <w:rFonts w:ascii="Arial" w:cs="Arial" w:eastAsia="Arial" w:hAnsi="Arial"/>
          <w:sz w:val="18"/>
          <w:szCs w:val="18"/>
          <w:color w:val="auto"/>
        </w:rPr>
        <w:t>Michigan. In connection with this transaction, Residential contributed its western Michigan home health operations to the joint venture and then sold 60% of the newly formed venture to its Michigan hospital partner. Although Residential manages the operations of the joint venture, Residential holds a 40% interest in the joint venture, so the operating results of the joint venture are not consolidated, and the pro rata operating results are included in the Company's equity in earnings of affiliates.</w:t>
      </w:r>
    </w:p>
    <w:p>
      <w:pPr>
        <w:spacing w:after="0" w:line="109" w:lineRule="exact"/>
        <w:rPr>
          <w:sz w:val="20"/>
          <w:szCs w:val="20"/>
          <w:color w:val="auto"/>
        </w:rPr>
      </w:pPr>
    </w:p>
    <w:p>
      <w:pPr>
        <w:ind w:right="120"/>
        <w:spacing w:after="0" w:line="224" w:lineRule="auto"/>
        <w:rPr>
          <w:sz w:val="20"/>
          <w:szCs w:val="20"/>
          <w:color w:val="auto"/>
        </w:rPr>
      </w:pPr>
      <w:r>
        <w:rPr>
          <w:rFonts w:ascii="Arial" w:cs="Arial" w:eastAsia="Arial" w:hAnsi="Arial"/>
          <w:sz w:val="18"/>
          <w:szCs w:val="18"/>
          <w:color w:val="auto"/>
        </w:rPr>
        <w:t>In June 2016, the Company purchased the outstanding 20% redeemable noncontrolling interest in Residential. At that time, the Company recorded an increase to redeemable noncontrolling interest of $3.0 million, with a corresponding decrease to capital in excess of par value, to reflect the redemption value of the redeemable noncontrolling interest at $24.0 million. Following this transaction, Celtic and Residential combined their business operations to form Graham Healthcare Group (GHG). The redeemable noncontrolling interest shareholders in Celtic exchanged their 20% interest in Celtic for a 10% mandatorily redeemable noncontrolling interest in the combined entity, and the Company recorded a $4.1 million net increase to the mandatorily redeemable noncontrolling interest to reflect the estimated fair value of the mandatorily redeemable noncontrolling interest. The minority shareholders have an option to put their shares to the Company starting in 2020 and are required to put a percentage of their shares in 2022 and 2024, with the remaining shares required to be put by the minority shareholders in 2026. The redemption value is based on an EBITDA multiple, adjusted for working capital and other items, computed annually, with no limit on the amount payable. The Company now owns 90% of GHG. Because the noncontrolling interest is now mandatorily redeemable by the Company by 2026, it is reported as a noncurrent liability at December 31, 2016</w:t>
      </w:r>
      <w:r>
        <w:rPr>
          <w:rFonts w:ascii="Times New Roman" w:cs="Times New Roman" w:eastAsia="Times New Roman" w:hAnsi="Times New Roman"/>
          <w:sz w:val="18"/>
          <w:szCs w:val="18"/>
          <w:color w:val="auto"/>
        </w:rPr>
        <w:t>.</w:t>
      </w:r>
    </w:p>
    <w:p>
      <w:pPr>
        <w:spacing w:after="0" w:line="116" w:lineRule="exact"/>
        <w:rPr>
          <w:sz w:val="20"/>
          <w:szCs w:val="20"/>
          <w:color w:val="auto"/>
        </w:rPr>
      </w:pPr>
    </w:p>
    <w:p>
      <w:pPr>
        <w:ind w:right="140"/>
        <w:spacing w:after="0" w:line="231" w:lineRule="auto"/>
        <w:rPr>
          <w:sz w:val="20"/>
          <w:szCs w:val="20"/>
          <w:color w:val="auto"/>
        </w:rPr>
      </w:pPr>
      <w:r>
        <w:rPr>
          <w:rFonts w:ascii="Arial" w:cs="Arial" w:eastAsia="Arial" w:hAnsi="Arial"/>
          <w:sz w:val="18"/>
          <w:szCs w:val="18"/>
          <w:color w:val="auto"/>
        </w:rPr>
        <w:t>In January 2015, Celtic and Allegheny Health Network closed on the formation of a joint venture to combine each other’s home health and hospice assets in the western Pennsylvania region. Although Celtic manages the operations of the joint venture, Celtic holds a 40% interest in the joint venture, so the operating results of the joint venture are not consolidated, and the pro rata operating results are included in the Company’s equity in earnings of affiliates. Celtic’s revenues from the western Pennsylvania region that are now part of the joint venture made up 29% of total Celtic revenues in 2014.</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724" w:right="239" w:bottom="1440" w:gutter="0" w:footer="0" w:header="0"/>
        </w:sectPr>
      </w:pPr>
    </w:p>
    <w:bookmarkStart w:id="83" w:name="page84"/>
    <w:bookmarkEnd w:id="83"/>
    <w:p>
      <w:pPr>
        <w:ind w:right="720"/>
        <w:spacing w:after="0" w:line="260" w:lineRule="auto"/>
        <w:rPr>
          <w:sz w:val="20"/>
          <w:szCs w:val="20"/>
          <w:color w:val="auto"/>
        </w:rPr>
      </w:pPr>
      <w:r>
        <w:rPr>
          <w:rFonts w:ascii="Arial" w:cs="Arial" w:eastAsia="Arial" w:hAnsi="Arial"/>
          <w:sz w:val="18"/>
          <w:szCs w:val="18"/>
          <w:color w:val="auto"/>
        </w:rPr>
        <w:t>The Company’s income from continuing operations excludes Cable ONE, the sold Kaplan China schools and WPLG, which have been reclassified to discontinued operations (see Note 3).</w:t>
      </w:r>
    </w:p>
    <w:p>
      <w:pPr>
        <w:spacing w:after="0" w:line="90" w:lineRule="exact"/>
        <w:rPr>
          <w:sz w:val="20"/>
          <w:szCs w:val="20"/>
          <w:color w:val="auto"/>
        </w:rPr>
      </w:pPr>
    </w:p>
    <w:p>
      <w:pPr>
        <w:ind w:left="500" w:hanging="492"/>
        <w:spacing w:after="0"/>
        <w:tabs>
          <w:tab w:leader="none" w:pos="500" w:val="left"/>
        </w:tabs>
        <w:numPr>
          <w:ilvl w:val="0"/>
          <w:numId w:val="63"/>
        </w:numPr>
        <w:rPr>
          <w:rFonts w:ascii="Arial" w:cs="Arial" w:eastAsia="Arial" w:hAnsi="Arial"/>
          <w:sz w:val="18"/>
          <w:szCs w:val="18"/>
          <w:b w:val="1"/>
          <w:bCs w:val="1"/>
          <w:color w:val="auto"/>
        </w:rPr>
      </w:pPr>
      <w:r>
        <w:rPr>
          <w:rFonts w:ascii="Arial" w:cs="Arial" w:eastAsia="Arial" w:hAnsi="Arial"/>
          <w:sz w:val="18"/>
          <w:szCs w:val="18"/>
          <w:b w:val="1"/>
          <w:bCs w:val="1"/>
          <w:color w:val="auto"/>
        </w:rPr>
        <w:t>GOODWILL AND OTHER INTANGIBLE ASSETS</w:t>
      </w:r>
    </w:p>
    <w:p>
      <w:pPr>
        <w:spacing w:after="0" w:line="146" w:lineRule="exact"/>
        <w:rPr>
          <w:sz w:val="20"/>
          <w:szCs w:val="20"/>
          <w:color w:val="auto"/>
        </w:rPr>
      </w:pPr>
    </w:p>
    <w:p>
      <w:pPr>
        <w:ind w:right="220"/>
        <w:spacing w:after="0" w:line="260" w:lineRule="auto"/>
        <w:rPr>
          <w:sz w:val="20"/>
          <w:szCs w:val="20"/>
          <w:color w:val="auto"/>
        </w:rPr>
      </w:pPr>
      <w:r>
        <w:rPr>
          <w:rFonts w:ascii="Arial" w:cs="Arial" w:eastAsia="Arial" w:hAnsi="Arial"/>
          <w:sz w:val="18"/>
          <w:szCs w:val="18"/>
          <w:color w:val="auto"/>
        </w:rPr>
        <w:t>In the fourth quarter of 2016, as a result of the challenging industry operating environment and operating losses, one of the businesses in the other businesses segment recorded a goodwill impairment charge of $1.6 million.</w:t>
      </w:r>
    </w:p>
    <w:p>
      <w:pPr>
        <w:spacing w:after="0" w:line="92" w:lineRule="exact"/>
        <w:rPr>
          <w:sz w:val="20"/>
          <w:szCs w:val="20"/>
          <w:color w:val="auto"/>
        </w:rPr>
      </w:pPr>
    </w:p>
    <w:p>
      <w:pPr>
        <w:spacing w:after="0" w:line="229" w:lineRule="auto"/>
        <w:rPr>
          <w:sz w:val="20"/>
          <w:szCs w:val="20"/>
          <w:color w:val="auto"/>
        </w:rPr>
      </w:pPr>
      <w:r>
        <w:rPr>
          <w:rFonts w:ascii="Arial" w:cs="Arial" w:eastAsia="Arial" w:hAnsi="Arial"/>
          <w:sz w:val="18"/>
          <w:szCs w:val="18"/>
          <w:color w:val="auto"/>
        </w:rPr>
        <w:t>In the third quarter of 2015, as a result of continued declines in student enrollments at KHE and the challenging industry operating environment, the Company performed an interim impairment review of its goodwill and long-lived assets at the KHE reporting unit. The KHE reporting unit failed the step one goodwill impairment test. As a result of the step two analysis, the Company recorded a $248.6 million goodwill impairment charge. The Company estimated the fair value of the KHE reporting unit utilizing a discounted cash flow model, supported by a market approach. A substantial portion of the impairment charge is due to the amount of unrecognized intangible assets identified in the step two analysis.</w:t>
      </w:r>
    </w:p>
    <w:p>
      <w:pPr>
        <w:spacing w:after="0" w:line="112" w:lineRule="exact"/>
        <w:rPr>
          <w:sz w:val="20"/>
          <w:szCs w:val="20"/>
          <w:color w:val="auto"/>
        </w:rPr>
      </w:pPr>
    </w:p>
    <w:p>
      <w:pPr>
        <w:ind w:right="60"/>
        <w:spacing w:after="0" w:line="231" w:lineRule="auto"/>
        <w:rPr>
          <w:sz w:val="20"/>
          <w:szCs w:val="20"/>
          <w:color w:val="auto"/>
        </w:rPr>
      </w:pPr>
      <w:r>
        <w:rPr>
          <w:rFonts w:ascii="Arial" w:cs="Arial" w:eastAsia="Arial" w:hAnsi="Arial"/>
          <w:sz w:val="18"/>
          <w:szCs w:val="18"/>
          <w:color w:val="auto"/>
        </w:rPr>
        <w:t>In addition, in the fourth quarter of 2015, Kaplan recorded intangible asset impairment charges of $0.9 million related to one of the Kaplan International businesses and $0.5 million related to a KTP business. The fair values of these intangible assets were estimated using an income approach. In November 2015, the Company announced that Trove, a digital innovation team included in other businesses, would largely be integrated into SocialCode and that Trove’s existing offerings would be discontinued. In connection with this action, the Company recorded a $2.8 million goodwill impairment charge in the fourth quarter of 2015.</w:t>
      </w:r>
    </w:p>
    <w:p>
      <w:pPr>
        <w:spacing w:after="0" w:line="111" w:lineRule="exact"/>
        <w:rPr>
          <w:sz w:val="20"/>
          <w:szCs w:val="20"/>
          <w:color w:val="auto"/>
        </w:rPr>
      </w:pPr>
    </w:p>
    <w:p>
      <w:pPr>
        <w:ind w:right="140"/>
        <w:spacing w:after="0" w:line="229" w:lineRule="auto"/>
        <w:rPr>
          <w:sz w:val="20"/>
          <w:szCs w:val="20"/>
          <w:color w:val="auto"/>
        </w:rPr>
      </w:pPr>
      <w:r>
        <w:rPr>
          <w:rFonts w:ascii="Arial" w:cs="Arial" w:eastAsia="Arial" w:hAnsi="Arial"/>
          <w:sz w:val="18"/>
          <w:szCs w:val="18"/>
          <w:color w:val="auto"/>
        </w:rPr>
        <w:t>In 2014, as a result of regulatory changes impacting Kaplan’s operations in China, Kaplan recorded an intangible asset impairment charge of $7.8 million, reported in discontinued operations. The Company estimated the fair value of the student and customer relationships using an income approach. In addition, Kaplan recorded intangible asset impairment charges of $1.8 million related to a KTP business, $1.1 million related to one of the Kaplan International businesses and $0.7 million related to KHE. The fair value of these intangible assets were estimated using an income approach. One of the businesses in the other businesses segment recorded an intangible asset impairment charge of $0.1 million.</w:t>
      </w:r>
    </w:p>
    <w:p>
      <w:pPr>
        <w:spacing w:after="0" w:line="112" w:lineRule="exact"/>
        <w:rPr>
          <w:sz w:val="20"/>
          <w:szCs w:val="20"/>
          <w:color w:val="auto"/>
        </w:rPr>
      </w:pPr>
    </w:p>
    <w:p>
      <w:pPr>
        <w:ind w:right="240"/>
        <w:spacing w:after="0"/>
        <w:rPr>
          <w:sz w:val="20"/>
          <w:szCs w:val="20"/>
          <w:color w:val="auto"/>
        </w:rPr>
      </w:pPr>
      <w:r>
        <w:rPr>
          <w:rFonts w:ascii="Arial" w:cs="Arial" w:eastAsia="Arial" w:hAnsi="Arial"/>
          <w:sz w:val="18"/>
          <w:szCs w:val="18"/>
          <w:color w:val="auto"/>
        </w:rPr>
        <w:t>Amortization of intangible assets for the years ended December 31, 2016, 2015 and 2014, was $26.7 million, $ 19.0 million and $18.2 million, respectively. Amortization of intangible assets is estimated to be approximately $24 million in 2017, $21 million in 2018, $20 million in 2019, $16 million in 2020, $12 million in 2021 and $15 million thereafter.</w:t>
      </w:r>
    </w:p>
    <w:p>
      <w:pPr>
        <w:spacing w:after="0" w:line="108" w:lineRule="exact"/>
        <w:rPr>
          <w:sz w:val="20"/>
          <w:szCs w:val="20"/>
          <w:color w:val="auto"/>
        </w:rPr>
      </w:pPr>
    </w:p>
    <w:p>
      <w:pPr>
        <w:ind w:right="80"/>
        <w:spacing w:after="0"/>
        <w:rPr>
          <w:sz w:val="20"/>
          <w:szCs w:val="20"/>
          <w:color w:val="auto"/>
        </w:rPr>
      </w:pPr>
      <w:r>
        <w:rPr>
          <w:rFonts w:ascii="Arial" w:cs="Arial" w:eastAsia="Arial" w:hAnsi="Arial"/>
          <w:sz w:val="18"/>
          <w:szCs w:val="18"/>
          <w:color w:val="auto"/>
        </w:rPr>
        <w:t>In July 2014, the cable division sold wireless spectrum licenses that were purchased in 2006; a pre-tax non-operating gain of $75.2 million was recorded in the third quarter of 2014 in connection with these sales. As a result of the Cable ONE spin-off, this gain is now reported in discontinued operations.</w:t>
      </w: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724" w:right="239" w:bottom="1440" w:gutter="0" w:footer="0" w:header="0"/>
        </w:sectPr>
      </w:pPr>
    </w:p>
    <w:bookmarkStart w:id="84" w:name="page85"/>
    <w:bookmarkEnd w:id="84"/>
    <w:p>
      <w:pPr>
        <w:spacing w:after="0"/>
        <w:rPr>
          <w:sz w:val="20"/>
          <w:szCs w:val="20"/>
          <w:color w:val="auto"/>
        </w:rPr>
      </w:pPr>
      <w:r>
        <w:rPr>
          <w:rFonts w:ascii="Arial" w:cs="Arial" w:eastAsia="Arial" w:hAnsi="Arial"/>
          <w:sz w:val="18"/>
          <w:szCs w:val="18"/>
          <w:color w:val="auto"/>
        </w:rPr>
        <w:t>The changes in the carrying amount of goodwill, by segment, were as follows: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Pr>
          <w:p>
            <w:pPr>
              <w:jc w:val="right"/>
              <w:ind w:right="260"/>
              <w:spacing w:after="0"/>
              <w:rPr>
                <w:sz w:val="20"/>
                <w:szCs w:val="20"/>
                <w:color w:val="auto"/>
              </w:rPr>
            </w:pPr>
            <w:r>
              <w:rPr>
                <w:rFonts w:ascii="Arial" w:cs="Arial" w:eastAsia="Arial" w:hAnsi="Arial"/>
                <w:sz w:val="14"/>
                <w:szCs w:val="14"/>
                <w:b w:val="1"/>
                <w:bCs w:val="1"/>
                <w:color w:val="auto"/>
              </w:rPr>
              <w:t>Television</w:t>
            </w:r>
          </w:p>
        </w:tc>
        <w:tc>
          <w:tcPr>
            <w:tcW w:w="280" w:type="dxa"/>
            <w:vAlign w:val="bottom"/>
          </w:tcPr>
          <w:p>
            <w:pPr>
              <w:spacing w:after="0"/>
              <w:rPr>
                <w:sz w:val="14"/>
                <w:szCs w:val="14"/>
                <w:color w:val="auto"/>
              </w:rPr>
            </w:pPr>
          </w:p>
        </w:tc>
        <w:tc>
          <w:tcPr>
            <w:tcW w:w="1120" w:type="dxa"/>
            <w:vAlign w:val="bottom"/>
          </w:tcPr>
          <w:p>
            <w:pPr>
              <w:jc w:val="right"/>
              <w:ind w:right="400"/>
              <w:spacing w:after="0"/>
              <w:rPr>
                <w:sz w:val="20"/>
                <w:szCs w:val="20"/>
                <w:color w:val="auto"/>
              </w:rPr>
            </w:pPr>
            <w:r>
              <w:rPr>
                <w:rFonts w:ascii="Arial" w:cs="Arial" w:eastAsia="Arial" w:hAnsi="Arial"/>
                <w:sz w:val="14"/>
                <w:szCs w:val="14"/>
                <w:b w:val="1"/>
                <w:bCs w:val="1"/>
                <w:color w:val="auto"/>
              </w:rPr>
              <w:t>Other</w:t>
            </w: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203"/>
        </w:trPr>
        <w:tc>
          <w:tcPr>
            <w:tcW w:w="48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auto"/>
              </w:rPr>
              <w:t>Education</w:t>
            </w:r>
          </w:p>
        </w:tc>
        <w:tc>
          <w:tcPr>
            <w:tcW w:w="3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Cable</w:t>
            </w:r>
          </w:p>
        </w:tc>
        <w:tc>
          <w:tcPr>
            <w:tcW w:w="2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140"/>
              <w:spacing w:after="0"/>
              <w:rPr>
                <w:sz w:val="20"/>
                <w:szCs w:val="20"/>
                <w:color w:val="auto"/>
              </w:rPr>
            </w:pPr>
            <w:r>
              <w:rPr>
                <w:rFonts w:ascii="Arial" w:cs="Arial" w:eastAsia="Arial" w:hAnsi="Arial"/>
                <w:sz w:val="14"/>
                <w:szCs w:val="14"/>
                <w:b w:val="1"/>
                <w:bCs w:val="1"/>
                <w:color w:val="auto"/>
              </w:rPr>
              <w:t>Broadcasting</w:t>
            </w:r>
          </w:p>
        </w:tc>
        <w:tc>
          <w:tcPr>
            <w:tcW w:w="2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200"/>
              <w:spacing w:after="0"/>
              <w:rPr>
                <w:sz w:val="20"/>
                <w:szCs w:val="20"/>
                <w:color w:val="auto"/>
              </w:rPr>
            </w:pPr>
            <w:r>
              <w:rPr>
                <w:rFonts w:ascii="Arial" w:cs="Arial" w:eastAsia="Arial" w:hAnsi="Arial"/>
                <w:sz w:val="14"/>
                <w:szCs w:val="14"/>
                <w:b w:val="1"/>
                <w:bCs w:val="1"/>
                <w:color w:val="auto"/>
              </w:rPr>
              <w:t>Businesses</w:t>
            </w: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Total</w:t>
            </w:r>
          </w:p>
        </w:tc>
      </w:tr>
      <w:tr>
        <w:trPr>
          <w:trHeight w:val="249"/>
        </w:trPr>
        <w:tc>
          <w:tcPr>
            <w:tcW w:w="4800" w:type="dxa"/>
            <w:vAlign w:val="bottom"/>
          </w:tcPr>
          <w:p>
            <w:pPr>
              <w:ind w:left="40"/>
              <w:spacing w:after="0"/>
              <w:rPr>
                <w:sz w:val="20"/>
                <w:szCs w:val="20"/>
                <w:color w:val="auto"/>
              </w:rPr>
            </w:pPr>
            <w:r>
              <w:rPr>
                <w:rFonts w:ascii="Arial" w:cs="Arial" w:eastAsia="Arial" w:hAnsi="Arial"/>
                <w:sz w:val="16"/>
                <w:szCs w:val="16"/>
                <w:color w:val="auto"/>
              </w:rPr>
              <w:t>As of December 31, 2014</w:t>
            </w:r>
          </w:p>
        </w:tc>
        <w:tc>
          <w:tcPr>
            <w:tcW w:w="2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70"/>
        </w:trPr>
        <w:tc>
          <w:tcPr>
            <w:tcW w:w="4800" w:type="dxa"/>
            <w:vAlign w:val="bottom"/>
          </w:tcPr>
          <w:p>
            <w:pPr>
              <w:ind w:left="280"/>
              <w:spacing w:after="0"/>
              <w:rPr>
                <w:sz w:val="20"/>
                <w:szCs w:val="20"/>
                <w:color w:val="auto"/>
              </w:rPr>
            </w:pPr>
            <w:r>
              <w:rPr>
                <w:rFonts w:ascii="Arial" w:cs="Arial" w:eastAsia="Arial" w:hAnsi="Arial"/>
                <w:sz w:val="16"/>
                <w:szCs w:val="16"/>
                <w:color w:val="auto"/>
              </w:rPr>
              <w:t>Goodwill</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79"/>
              <w:spacing w:after="0"/>
              <w:rPr>
                <w:sz w:val="20"/>
                <w:szCs w:val="20"/>
                <w:color w:val="auto"/>
              </w:rPr>
            </w:pPr>
            <w:r>
              <w:rPr>
                <w:rFonts w:ascii="Arial" w:cs="Arial" w:eastAsia="Arial" w:hAnsi="Arial"/>
                <w:sz w:val="16"/>
                <w:szCs w:val="16"/>
                <w:color w:val="auto"/>
              </w:rPr>
              <w:t>1,057,226</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59"/>
              <w:spacing w:after="0"/>
              <w:rPr>
                <w:sz w:val="20"/>
                <w:szCs w:val="20"/>
                <w:color w:val="auto"/>
              </w:rPr>
            </w:pPr>
            <w:r>
              <w:rPr>
                <w:rFonts w:ascii="Arial" w:cs="Arial" w:eastAsia="Arial" w:hAnsi="Arial"/>
                <w:sz w:val="16"/>
                <w:szCs w:val="16"/>
                <w:color w:val="auto"/>
              </w:rPr>
              <w:t>85,488</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168,345</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80"/>
              <w:spacing w:after="0"/>
              <w:rPr>
                <w:sz w:val="20"/>
                <w:szCs w:val="20"/>
                <w:color w:val="auto"/>
              </w:rPr>
            </w:pPr>
            <w:r>
              <w:rPr>
                <w:rFonts w:ascii="Arial" w:cs="Arial" w:eastAsia="Arial" w:hAnsi="Arial"/>
                <w:sz w:val="16"/>
                <w:szCs w:val="16"/>
                <w:color w:val="auto"/>
              </w:rPr>
              <w:t>145,992</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1,457,051</w:t>
            </w:r>
          </w:p>
        </w:tc>
      </w:tr>
      <w:tr>
        <w:trPr>
          <w:trHeight w:val="279"/>
        </w:trPr>
        <w:tc>
          <w:tcPr>
            <w:tcW w:w="4800" w:type="dxa"/>
            <w:vAlign w:val="bottom"/>
          </w:tcPr>
          <w:p>
            <w:pPr>
              <w:ind w:left="280"/>
              <w:spacing w:after="0"/>
              <w:rPr>
                <w:sz w:val="20"/>
                <w:szCs w:val="20"/>
                <w:color w:val="auto"/>
              </w:rPr>
            </w:pPr>
            <w:r>
              <w:rPr>
                <w:rFonts w:ascii="Arial" w:cs="Arial" w:eastAsia="Arial" w:hAnsi="Arial"/>
                <w:sz w:val="16"/>
                <w:szCs w:val="16"/>
                <w:color w:val="auto"/>
              </w:rPr>
              <w:t>Accumulated impairment losses</w:t>
            </w: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(102,259)</w:t>
            </w:r>
          </w:p>
        </w:tc>
        <w:tc>
          <w:tcPr>
            <w:tcW w:w="3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(6,082)</w:t>
            </w: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(108,341)</w:t>
            </w:r>
          </w:p>
        </w:tc>
      </w:tr>
      <w:tr>
        <w:trPr>
          <w:trHeight w:val="264"/>
        </w:trPr>
        <w:tc>
          <w:tcPr>
            <w:tcW w:w="48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954,967</w:t>
            </w:r>
          </w:p>
        </w:tc>
        <w:tc>
          <w:tcPr>
            <w:tcW w:w="3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85,488</w:t>
            </w:r>
          </w:p>
        </w:tc>
        <w:tc>
          <w:tcPr>
            <w:tcW w:w="24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168,345</w:t>
            </w:r>
          </w:p>
        </w:tc>
        <w:tc>
          <w:tcPr>
            <w:tcW w:w="2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139,910</w:t>
            </w:r>
          </w:p>
        </w:tc>
        <w:tc>
          <w:tcPr>
            <w:tcW w:w="2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1,348,710</w:t>
            </w:r>
          </w:p>
        </w:tc>
      </w:tr>
      <w:tr>
        <w:trPr>
          <w:trHeight w:val="255"/>
        </w:trPr>
        <w:tc>
          <w:tcPr>
            <w:tcW w:w="4800" w:type="dxa"/>
            <w:vAlign w:val="bottom"/>
          </w:tcPr>
          <w:p>
            <w:pPr>
              <w:ind w:left="40"/>
              <w:spacing w:after="0"/>
              <w:rPr>
                <w:sz w:val="20"/>
                <w:szCs w:val="20"/>
                <w:color w:val="auto"/>
              </w:rPr>
            </w:pPr>
            <w:r>
              <w:rPr>
                <w:rFonts w:ascii="Arial" w:cs="Arial" w:eastAsia="Arial" w:hAnsi="Arial"/>
                <w:sz w:val="16"/>
                <w:szCs w:val="16"/>
                <w:color w:val="auto"/>
              </w:rPr>
              <w:t>Measurement period adjustment</w:t>
            </w:r>
          </w:p>
        </w:tc>
        <w:tc>
          <w:tcPr>
            <w:tcW w:w="220" w:type="dxa"/>
            <w:vAlign w:val="bottom"/>
          </w:tcPr>
          <w:p>
            <w:pPr>
              <w:spacing w:after="0"/>
              <w:rPr>
                <w:sz w:val="22"/>
                <w:szCs w:val="22"/>
                <w:color w:val="auto"/>
              </w:rPr>
            </w:pPr>
          </w:p>
        </w:tc>
        <w:tc>
          <w:tcPr>
            <w:tcW w:w="11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2"/>
                <w:szCs w:val="22"/>
                <w:color w:val="auto"/>
              </w:rPr>
            </w:pPr>
          </w:p>
        </w:tc>
        <w:tc>
          <w:tcPr>
            <w:tcW w:w="9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2"/>
                <w:szCs w:val="22"/>
                <w:color w:val="auto"/>
              </w:rPr>
            </w:pP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2"/>
                <w:szCs w:val="22"/>
                <w:color w:val="auto"/>
              </w:rPr>
            </w:pPr>
          </w:p>
        </w:tc>
        <w:tc>
          <w:tcPr>
            <w:tcW w:w="1120" w:type="dxa"/>
            <w:vAlign w:val="bottom"/>
          </w:tcPr>
          <w:p>
            <w:pPr>
              <w:jc w:val="right"/>
              <w:ind w:right="80"/>
              <w:spacing w:after="0"/>
              <w:rPr>
                <w:sz w:val="20"/>
                <w:szCs w:val="20"/>
                <w:color w:val="auto"/>
              </w:rPr>
            </w:pPr>
            <w:r>
              <w:rPr>
                <w:rFonts w:ascii="Arial" w:cs="Arial" w:eastAsia="Arial" w:hAnsi="Arial"/>
                <w:sz w:val="16"/>
                <w:szCs w:val="16"/>
                <w:color w:val="auto"/>
              </w:rPr>
              <w:t>4,570</w:t>
            </w:r>
          </w:p>
        </w:tc>
        <w:tc>
          <w:tcPr>
            <w:tcW w:w="280" w:type="dxa"/>
            <w:vAlign w:val="bottom"/>
          </w:tcPr>
          <w:p>
            <w:pPr>
              <w:spacing w:after="0"/>
              <w:rPr>
                <w:sz w:val="22"/>
                <w:szCs w:val="22"/>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4,570</w:t>
            </w:r>
          </w:p>
        </w:tc>
      </w:tr>
      <w:tr>
        <w:trPr>
          <w:trHeight w:val="270"/>
        </w:trPr>
        <w:tc>
          <w:tcPr>
            <w:tcW w:w="4800" w:type="dxa"/>
            <w:vAlign w:val="bottom"/>
          </w:tcPr>
          <w:p>
            <w:pPr>
              <w:ind w:left="40"/>
              <w:spacing w:after="0"/>
              <w:rPr>
                <w:sz w:val="20"/>
                <w:szCs w:val="20"/>
                <w:color w:val="auto"/>
              </w:rPr>
            </w:pPr>
            <w:r>
              <w:rPr>
                <w:rFonts w:ascii="Arial" w:cs="Arial" w:eastAsia="Arial" w:hAnsi="Arial"/>
                <w:sz w:val="16"/>
                <w:szCs w:val="16"/>
                <w:color w:val="auto"/>
              </w:rPr>
              <w:t>Acquisitions</w:t>
            </w:r>
          </w:p>
        </w:tc>
        <w:tc>
          <w:tcPr>
            <w:tcW w:w="220" w:type="dxa"/>
            <w:vAlign w:val="bottom"/>
          </w:tcPr>
          <w:p>
            <w:pPr>
              <w:spacing w:after="0"/>
              <w:rPr>
                <w:sz w:val="23"/>
                <w:szCs w:val="23"/>
                <w:color w:val="auto"/>
              </w:rPr>
            </w:pPr>
          </w:p>
        </w:tc>
        <w:tc>
          <w:tcPr>
            <w:tcW w:w="1120" w:type="dxa"/>
            <w:vAlign w:val="bottom"/>
          </w:tcPr>
          <w:p>
            <w:pPr>
              <w:jc w:val="right"/>
              <w:ind w:right="79"/>
              <w:spacing w:after="0"/>
              <w:rPr>
                <w:sz w:val="20"/>
                <w:szCs w:val="20"/>
                <w:color w:val="auto"/>
              </w:rPr>
            </w:pPr>
            <w:r>
              <w:rPr>
                <w:rFonts w:ascii="Arial" w:cs="Arial" w:eastAsia="Arial" w:hAnsi="Arial"/>
                <w:sz w:val="16"/>
                <w:szCs w:val="16"/>
                <w:color w:val="auto"/>
              </w:rPr>
              <w:t>11,515</w:t>
            </w:r>
          </w:p>
        </w:tc>
        <w:tc>
          <w:tcPr>
            <w:tcW w:w="320" w:type="dxa"/>
            <w:vAlign w:val="bottom"/>
          </w:tcPr>
          <w:p>
            <w:pPr>
              <w:spacing w:after="0"/>
              <w:rPr>
                <w:sz w:val="23"/>
                <w:szCs w:val="23"/>
                <w:color w:val="auto"/>
              </w:rPr>
            </w:pPr>
          </w:p>
        </w:tc>
        <w:tc>
          <w:tcPr>
            <w:tcW w:w="9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3"/>
                <w:szCs w:val="23"/>
                <w:color w:val="auto"/>
              </w:rPr>
            </w:pP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3"/>
                <w:szCs w:val="23"/>
                <w:color w:val="auto"/>
              </w:rPr>
            </w:pPr>
          </w:p>
        </w:tc>
        <w:tc>
          <w:tcPr>
            <w:tcW w:w="1120" w:type="dxa"/>
            <w:vAlign w:val="bottom"/>
          </w:tcPr>
          <w:p>
            <w:pPr>
              <w:jc w:val="right"/>
              <w:ind w:right="80"/>
              <w:spacing w:after="0"/>
              <w:rPr>
                <w:sz w:val="20"/>
                <w:szCs w:val="20"/>
                <w:color w:val="auto"/>
              </w:rPr>
            </w:pPr>
            <w:r>
              <w:rPr>
                <w:rFonts w:ascii="Arial" w:cs="Arial" w:eastAsia="Arial" w:hAnsi="Arial"/>
                <w:sz w:val="16"/>
                <w:szCs w:val="16"/>
                <w:color w:val="auto"/>
              </w:rPr>
              <w:t>60,071</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71,586</w:t>
            </w:r>
          </w:p>
        </w:tc>
      </w:tr>
      <w:tr>
        <w:trPr>
          <w:trHeight w:val="270"/>
        </w:trPr>
        <w:tc>
          <w:tcPr>
            <w:tcW w:w="4800" w:type="dxa"/>
            <w:vAlign w:val="bottom"/>
          </w:tcPr>
          <w:p>
            <w:pPr>
              <w:ind w:left="40"/>
              <w:spacing w:after="0"/>
              <w:rPr>
                <w:sz w:val="20"/>
                <w:szCs w:val="20"/>
                <w:color w:val="auto"/>
              </w:rPr>
            </w:pPr>
            <w:r>
              <w:rPr>
                <w:rFonts w:ascii="Arial" w:cs="Arial" w:eastAsia="Arial" w:hAnsi="Arial"/>
                <w:sz w:val="16"/>
                <w:szCs w:val="16"/>
                <w:color w:val="auto"/>
              </w:rPr>
              <w:t>Impairment</w:t>
            </w:r>
          </w:p>
        </w:tc>
        <w:tc>
          <w:tcPr>
            <w:tcW w:w="22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(248,591)</w:t>
            </w:r>
          </w:p>
        </w:tc>
        <w:tc>
          <w:tcPr>
            <w:tcW w:w="320" w:type="dxa"/>
            <w:vAlign w:val="bottom"/>
          </w:tcPr>
          <w:p>
            <w:pPr>
              <w:spacing w:after="0"/>
              <w:rPr>
                <w:sz w:val="23"/>
                <w:szCs w:val="23"/>
                <w:color w:val="auto"/>
              </w:rPr>
            </w:pPr>
          </w:p>
        </w:tc>
        <w:tc>
          <w:tcPr>
            <w:tcW w:w="9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3"/>
                <w:szCs w:val="23"/>
                <w:color w:val="auto"/>
              </w:rPr>
            </w:pP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3"/>
                <w:szCs w:val="23"/>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(2,810)</w:t>
            </w:r>
          </w:p>
        </w:tc>
        <w:tc>
          <w:tcPr>
            <w:tcW w:w="2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(251,401)</w:t>
            </w:r>
          </w:p>
        </w:tc>
      </w:tr>
      <w:tr>
        <w:trPr>
          <w:trHeight w:val="270"/>
        </w:trPr>
        <w:tc>
          <w:tcPr>
            <w:tcW w:w="4800" w:type="dxa"/>
            <w:vAlign w:val="bottom"/>
          </w:tcPr>
          <w:p>
            <w:pPr>
              <w:ind w:left="40"/>
              <w:spacing w:after="0"/>
              <w:rPr>
                <w:sz w:val="20"/>
                <w:szCs w:val="20"/>
                <w:color w:val="auto"/>
              </w:rPr>
            </w:pPr>
            <w:r>
              <w:rPr>
                <w:rFonts w:ascii="Arial" w:cs="Arial" w:eastAsia="Arial" w:hAnsi="Arial"/>
                <w:sz w:val="16"/>
                <w:szCs w:val="16"/>
                <w:color w:val="auto"/>
              </w:rPr>
              <w:t>Dispositions</w:t>
            </w:r>
          </w:p>
        </w:tc>
        <w:tc>
          <w:tcPr>
            <w:tcW w:w="22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(33,502)</w:t>
            </w:r>
          </w:p>
        </w:tc>
        <w:tc>
          <w:tcPr>
            <w:tcW w:w="32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(85,488)</w:t>
            </w:r>
          </w:p>
        </w:tc>
        <w:tc>
          <w:tcPr>
            <w:tcW w:w="240" w:type="dxa"/>
            <w:vAlign w:val="bottom"/>
          </w:tcPr>
          <w:p>
            <w:pPr>
              <w:spacing w:after="0"/>
              <w:rPr>
                <w:sz w:val="23"/>
                <w:szCs w:val="23"/>
                <w:color w:val="auto"/>
              </w:rPr>
            </w:pP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3"/>
                <w:szCs w:val="23"/>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(7,819)</w:t>
            </w:r>
          </w:p>
        </w:tc>
        <w:tc>
          <w:tcPr>
            <w:tcW w:w="2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(126,809)</w:t>
            </w:r>
          </w:p>
        </w:tc>
      </w:tr>
      <w:tr>
        <w:trPr>
          <w:trHeight w:val="279"/>
        </w:trPr>
        <w:tc>
          <w:tcPr>
            <w:tcW w:w="4800" w:type="dxa"/>
            <w:vAlign w:val="bottom"/>
          </w:tcPr>
          <w:p>
            <w:pPr>
              <w:ind w:left="40"/>
              <w:spacing w:after="0"/>
              <w:rPr>
                <w:sz w:val="20"/>
                <w:szCs w:val="20"/>
                <w:color w:val="auto"/>
              </w:rPr>
            </w:pPr>
            <w:r>
              <w:rPr>
                <w:rFonts w:ascii="Arial" w:cs="Arial" w:eastAsia="Arial" w:hAnsi="Arial"/>
                <w:sz w:val="16"/>
                <w:szCs w:val="16"/>
                <w:color w:val="auto"/>
              </w:rPr>
              <w:t>Foreign currency exchange rate changes</w:t>
            </w: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(29,143)</w:t>
            </w:r>
          </w:p>
        </w:tc>
        <w:tc>
          <w:tcPr>
            <w:tcW w:w="3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(29,143)</w:t>
            </w:r>
          </w:p>
        </w:tc>
      </w:tr>
      <w:tr>
        <w:trPr>
          <w:trHeight w:val="255"/>
        </w:trPr>
        <w:tc>
          <w:tcPr>
            <w:tcW w:w="4800" w:type="dxa"/>
            <w:vAlign w:val="bottom"/>
          </w:tcPr>
          <w:p>
            <w:pPr>
              <w:ind w:left="40"/>
              <w:spacing w:after="0"/>
              <w:rPr>
                <w:sz w:val="20"/>
                <w:szCs w:val="20"/>
                <w:color w:val="auto"/>
              </w:rPr>
            </w:pPr>
            <w:r>
              <w:rPr>
                <w:rFonts w:ascii="Arial" w:cs="Arial" w:eastAsia="Arial" w:hAnsi="Arial"/>
                <w:sz w:val="16"/>
                <w:szCs w:val="16"/>
                <w:color w:val="auto"/>
              </w:rPr>
              <w:t>As of December 31, 2015</w:t>
            </w:r>
          </w:p>
        </w:tc>
        <w:tc>
          <w:tcPr>
            <w:tcW w:w="2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spacing w:after="0"/>
              <w:rPr>
                <w:sz w:val="22"/>
                <w:szCs w:val="22"/>
                <w:color w:val="auto"/>
              </w:rPr>
            </w:pPr>
          </w:p>
        </w:tc>
      </w:tr>
      <w:tr>
        <w:trPr>
          <w:trHeight w:val="270"/>
        </w:trPr>
        <w:tc>
          <w:tcPr>
            <w:tcW w:w="4800" w:type="dxa"/>
            <w:vAlign w:val="bottom"/>
          </w:tcPr>
          <w:p>
            <w:pPr>
              <w:ind w:left="280"/>
              <w:spacing w:after="0"/>
              <w:rPr>
                <w:sz w:val="20"/>
                <w:szCs w:val="20"/>
                <w:color w:val="auto"/>
              </w:rPr>
            </w:pPr>
            <w:r>
              <w:rPr>
                <w:rFonts w:ascii="Arial" w:cs="Arial" w:eastAsia="Arial" w:hAnsi="Arial"/>
                <w:sz w:val="16"/>
                <w:szCs w:val="16"/>
                <w:color w:val="auto"/>
              </w:rPr>
              <w:t>Goodwill</w:t>
            </w:r>
          </w:p>
        </w:tc>
        <w:tc>
          <w:tcPr>
            <w:tcW w:w="220" w:type="dxa"/>
            <w:vAlign w:val="bottom"/>
          </w:tcPr>
          <w:p>
            <w:pPr>
              <w:spacing w:after="0"/>
              <w:rPr>
                <w:sz w:val="23"/>
                <w:szCs w:val="23"/>
                <w:color w:val="auto"/>
              </w:rPr>
            </w:pPr>
          </w:p>
        </w:tc>
        <w:tc>
          <w:tcPr>
            <w:tcW w:w="1120" w:type="dxa"/>
            <w:vAlign w:val="bottom"/>
          </w:tcPr>
          <w:p>
            <w:pPr>
              <w:jc w:val="right"/>
              <w:ind w:right="79"/>
              <w:spacing w:after="0"/>
              <w:rPr>
                <w:sz w:val="20"/>
                <w:szCs w:val="20"/>
                <w:color w:val="auto"/>
              </w:rPr>
            </w:pPr>
            <w:r>
              <w:rPr>
                <w:rFonts w:ascii="Arial" w:cs="Arial" w:eastAsia="Arial" w:hAnsi="Arial"/>
                <w:sz w:val="16"/>
                <w:szCs w:val="16"/>
                <w:color w:val="auto"/>
              </w:rPr>
              <w:t>1,006,096</w:t>
            </w:r>
          </w:p>
        </w:tc>
        <w:tc>
          <w:tcPr>
            <w:tcW w:w="320" w:type="dxa"/>
            <w:vAlign w:val="bottom"/>
          </w:tcPr>
          <w:p>
            <w:pPr>
              <w:spacing w:after="0"/>
              <w:rPr>
                <w:sz w:val="23"/>
                <w:szCs w:val="23"/>
                <w:color w:val="auto"/>
              </w:rPr>
            </w:pPr>
          </w:p>
        </w:tc>
        <w:tc>
          <w:tcPr>
            <w:tcW w:w="9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3"/>
                <w:szCs w:val="23"/>
                <w:color w:val="auto"/>
              </w:rPr>
            </w:pP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168,345</w:t>
            </w:r>
          </w:p>
        </w:tc>
        <w:tc>
          <w:tcPr>
            <w:tcW w:w="280" w:type="dxa"/>
            <w:vAlign w:val="bottom"/>
          </w:tcPr>
          <w:p>
            <w:pPr>
              <w:spacing w:after="0"/>
              <w:rPr>
                <w:sz w:val="23"/>
                <w:szCs w:val="23"/>
                <w:color w:val="auto"/>
              </w:rPr>
            </w:pPr>
          </w:p>
        </w:tc>
        <w:tc>
          <w:tcPr>
            <w:tcW w:w="1120" w:type="dxa"/>
            <w:vAlign w:val="bottom"/>
          </w:tcPr>
          <w:p>
            <w:pPr>
              <w:jc w:val="right"/>
              <w:ind w:right="80"/>
              <w:spacing w:after="0"/>
              <w:rPr>
                <w:sz w:val="20"/>
                <w:szCs w:val="20"/>
                <w:color w:val="auto"/>
              </w:rPr>
            </w:pPr>
            <w:r>
              <w:rPr>
                <w:rFonts w:ascii="Arial" w:cs="Arial" w:eastAsia="Arial" w:hAnsi="Arial"/>
                <w:sz w:val="16"/>
                <w:szCs w:val="16"/>
                <w:color w:val="auto"/>
              </w:rPr>
              <w:t>202,814</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1,377,255</w:t>
            </w:r>
          </w:p>
        </w:tc>
      </w:tr>
      <w:tr>
        <w:trPr>
          <w:trHeight w:val="279"/>
        </w:trPr>
        <w:tc>
          <w:tcPr>
            <w:tcW w:w="4800" w:type="dxa"/>
            <w:vAlign w:val="bottom"/>
          </w:tcPr>
          <w:p>
            <w:pPr>
              <w:ind w:left="280"/>
              <w:spacing w:after="0"/>
              <w:rPr>
                <w:sz w:val="20"/>
                <w:szCs w:val="20"/>
                <w:color w:val="auto"/>
              </w:rPr>
            </w:pPr>
            <w:r>
              <w:rPr>
                <w:rFonts w:ascii="Arial" w:cs="Arial" w:eastAsia="Arial" w:hAnsi="Arial"/>
                <w:sz w:val="16"/>
                <w:szCs w:val="16"/>
                <w:color w:val="auto"/>
              </w:rPr>
              <w:t>Accumulated impairment losses</w:t>
            </w: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(350,850)</w:t>
            </w:r>
          </w:p>
        </w:tc>
        <w:tc>
          <w:tcPr>
            <w:tcW w:w="3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(8,892)</w:t>
            </w: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(359,742)</w:t>
            </w:r>
          </w:p>
        </w:tc>
      </w:tr>
      <w:tr>
        <w:trPr>
          <w:trHeight w:val="264"/>
        </w:trPr>
        <w:tc>
          <w:tcPr>
            <w:tcW w:w="48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655,246</w:t>
            </w:r>
          </w:p>
        </w:tc>
        <w:tc>
          <w:tcPr>
            <w:tcW w:w="3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168,345</w:t>
            </w:r>
          </w:p>
        </w:tc>
        <w:tc>
          <w:tcPr>
            <w:tcW w:w="2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193,922</w:t>
            </w:r>
          </w:p>
        </w:tc>
        <w:tc>
          <w:tcPr>
            <w:tcW w:w="2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1,017,513</w:t>
            </w:r>
          </w:p>
        </w:tc>
      </w:tr>
      <w:tr>
        <w:trPr>
          <w:trHeight w:val="263"/>
        </w:trPr>
        <w:tc>
          <w:tcPr>
            <w:tcW w:w="4800" w:type="dxa"/>
            <w:vAlign w:val="bottom"/>
          </w:tcPr>
          <w:p>
            <w:pPr>
              <w:ind w:left="40"/>
              <w:spacing w:after="0"/>
              <w:rPr>
                <w:sz w:val="20"/>
                <w:szCs w:val="20"/>
                <w:color w:val="auto"/>
              </w:rPr>
            </w:pPr>
            <w:r>
              <w:rPr>
                <w:rFonts w:ascii="Arial" w:cs="Arial" w:eastAsia="Arial" w:hAnsi="Arial"/>
                <w:sz w:val="16"/>
                <w:szCs w:val="16"/>
                <w:b w:val="1"/>
                <w:bCs w:val="1"/>
                <w:color w:val="auto"/>
              </w:rPr>
              <w:t>Measurement period adjustment</w:t>
            </w:r>
          </w:p>
        </w:tc>
        <w:tc>
          <w:tcPr>
            <w:tcW w:w="220" w:type="dxa"/>
            <w:vAlign w:val="bottom"/>
          </w:tcPr>
          <w:p>
            <w:pPr>
              <w:spacing w:after="0"/>
              <w:rPr>
                <w:sz w:val="22"/>
                <w:szCs w:val="22"/>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b w:val="1"/>
                <w:bCs w:val="1"/>
                <w:color w:val="auto"/>
              </w:rPr>
              <w:t>(2,781)</w:t>
            </w:r>
          </w:p>
        </w:tc>
        <w:tc>
          <w:tcPr>
            <w:tcW w:w="320" w:type="dxa"/>
            <w:vAlign w:val="bottom"/>
          </w:tcPr>
          <w:p>
            <w:pPr>
              <w:spacing w:after="0"/>
              <w:rPr>
                <w:sz w:val="22"/>
                <w:szCs w:val="22"/>
                <w:color w:val="auto"/>
              </w:rPr>
            </w:pPr>
          </w:p>
        </w:tc>
        <w:tc>
          <w:tcPr>
            <w:tcW w:w="92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240" w:type="dxa"/>
            <w:vAlign w:val="bottom"/>
          </w:tcPr>
          <w:p>
            <w:pPr>
              <w:spacing w:after="0"/>
              <w:rPr>
                <w:sz w:val="22"/>
                <w:szCs w:val="22"/>
                <w:color w:val="auto"/>
              </w:rPr>
            </w:pPr>
          </w:p>
        </w:tc>
        <w:tc>
          <w:tcPr>
            <w:tcW w:w="1200" w:type="dxa"/>
            <w:vAlign w:val="bottom"/>
          </w:tcPr>
          <w:p>
            <w:pPr>
              <w:jc w:val="right"/>
              <w:ind w:right="40"/>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spacing w:after="0"/>
              <w:rPr>
                <w:sz w:val="22"/>
                <w:szCs w:val="22"/>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b w:val="1"/>
                <w:bCs w:val="1"/>
                <w:color w:val="auto"/>
              </w:rPr>
              <w:t>(17,243)</w:t>
            </w:r>
          </w:p>
        </w:tc>
        <w:tc>
          <w:tcPr>
            <w:tcW w:w="2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(20,024)</w:t>
            </w:r>
          </w:p>
        </w:tc>
      </w:tr>
      <w:tr>
        <w:trPr>
          <w:trHeight w:val="270"/>
        </w:trPr>
        <w:tc>
          <w:tcPr>
            <w:tcW w:w="4800" w:type="dxa"/>
            <w:vAlign w:val="bottom"/>
          </w:tcPr>
          <w:p>
            <w:pPr>
              <w:ind w:left="40"/>
              <w:spacing w:after="0"/>
              <w:rPr>
                <w:sz w:val="20"/>
                <w:szCs w:val="20"/>
                <w:color w:val="auto"/>
              </w:rPr>
            </w:pPr>
            <w:r>
              <w:rPr>
                <w:rFonts w:ascii="Arial" w:cs="Arial" w:eastAsia="Arial" w:hAnsi="Arial"/>
                <w:sz w:val="16"/>
                <w:szCs w:val="16"/>
                <w:b w:val="1"/>
                <w:bCs w:val="1"/>
                <w:color w:val="auto"/>
              </w:rPr>
              <w:t>Acquisitions</w:t>
            </w:r>
          </w:p>
        </w:tc>
        <w:tc>
          <w:tcPr>
            <w:tcW w:w="220" w:type="dxa"/>
            <w:vAlign w:val="bottom"/>
          </w:tcPr>
          <w:p>
            <w:pPr>
              <w:spacing w:after="0"/>
              <w:rPr>
                <w:sz w:val="23"/>
                <w:szCs w:val="23"/>
                <w:color w:val="auto"/>
              </w:rPr>
            </w:pPr>
          </w:p>
        </w:tc>
        <w:tc>
          <w:tcPr>
            <w:tcW w:w="1120" w:type="dxa"/>
            <w:vAlign w:val="bottom"/>
          </w:tcPr>
          <w:p>
            <w:pPr>
              <w:jc w:val="right"/>
              <w:ind w:right="79"/>
              <w:spacing w:after="0"/>
              <w:rPr>
                <w:sz w:val="20"/>
                <w:szCs w:val="20"/>
                <w:color w:val="auto"/>
              </w:rPr>
            </w:pPr>
            <w:r>
              <w:rPr>
                <w:rFonts w:ascii="Arial" w:cs="Arial" w:eastAsia="Arial" w:hAnsi="Arial"/>
                <w:sz w:val="16"/>
                <w:szCs w:val="16"/>
                <w:b w:val="1"/>
                <w:bCs w:val="1"/>
                <w:color w:val="auto"/>
              </w:rPr>
              <w:t>161,938</w:t>
            </w:r>
          </w:p>
        </w:tc>
        <w:tc>
          <w:tcPr>
            <w:tcW w:w="320" w:type="dxa"/>
            <w:vAlign w:val="bottom"/>
          </w:tcPr>
          <w:p>
            <w:pPr>
              <w:spacing w:after="0"/>
              <w:rPr>
                <w:sz w:val="23"/>
                <w:szCs w:val="23"/>
                <w:color w:val="auto"/>
              </w:rPr>
            </w:pPr>
          </w:p>
        </w:tc>
        <w:tc>
          <w:tcPr>
            <w:tcW w:w="92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240" w:type="dxa"/>
            <w:vAlign w:val="bottom"/>
          </w:tcPr>
          <w:p>
            <w:pPr>
              <w:spacing w:after="0"/>
              <w:rPr>
                <w:sz w:val="23"/>
                <w:szCs w:val="23"/>
                <w:color w:val="auto"/>
              </w:rPr>
            </w:pPr>
          </w:p>
        </w:tc>
        <w:tc>
          <w:tcPr>
            <w:tcW w:w="1200" w:type="dxa"/>
            <w:vAlign w:val="bottom"/>
          </w:tcPr>
          <w:p>
            <w:pPr>
              <w:jc w:val="right"/>
              <w:ind w:right="40"/>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spacing w:after="0"/>
              <w:rPr>
                <w:sz w:val="23"/>
                <w:szCs w:val="23"/>
                <w:color w:val="auto"/>
              </w:rPr>
            </w:pPr>
          </w:p>
        </w:tc>
        <w:tc>
          <w:tcPr>
            <w:tcW w:w="1120" w:type="dxa"/>
            <w:vAlign w:val="bottom"/>
          </w:tcPr>
          <w:p>
            <w:pPr>
              <w:jc w:val="right"/>
              <w:ind w:right="80"/>
              <w:spacing w:after="0"/>
              <w:rPr>
                <w:sz w:val="20"/>
                <w:szCs w:val="20"/>
                <w:color w:val="auto"/>
              </w:rPr>
            </w:pPr>
            <w:r>
              <w:rPr>
                <w:rFonts w:ascii="Arial" w:cs="Arial" w:eastAsia="Arial" w:hAnsi="Arial"/>
                <w:sz w:val="16"/>
                <w:szCs w:val="16"/>
                <w:b w:val="1"/>
                <w:bCs w:val="1"/>
                <w:color w:val="auto"/>
              </w:rPr>
              <w:t>22,180</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b w:val="1"/>
                <w:bCs w:val="1"/>
                <w:color w:val="auto"/>
              </w:rPr>
              <w:t>184,118</w:t>
            </w:r>
          </w:p>
        </w:tc>
      </w:tr>
      <w:tr>
        <w:trPr>
          <w:trHeight w:val="270"/>
        </w:trPr>
        <w:tc>
          <w:tcPr>
            <w:tcW w:w="4800" w:type="dxa"/>
            <w:vAlign w:val="bottom"/>
          </w:tcPr>
          <w:p>
            <w:pPr>
              <w:ind w:left="40"/>
              <w:spacing w:after="0"/>
              <w:rPr>
                <w:sz w:val="20"/>
                <w:szCs w:val="20"/>
                <w:color w:val="auto"/>
              </w:rPr>
            </w:pPr>
            <w:r>
              <w:rPr>
                <w:rFonts w:ascii="Arial" w:cs="Arial" w:eastAsia="Arial" w:hAnsi="Arial"/>
                <w:sz w:val="16"/>
                <w:szCs w:val="16"/>
                <w:b w:val="1"/>
                <w:bCs w:val="1"/>
                <w:color w:val="auto"/>
              </w:rPr>
              <w:t>Impairment</w:t>
            </w:r>
          </w:p>
        </w:tc>
        <w:tc>
          <w:tcPr>
            <w:tcW w:w="220" w:type="dxa"/>
            <w:vAlign w:val="bottom"/>
          </w:tcPr>
          <w:p>
            <w:pPr>
              <w:spacing w:after="0"/>
              <w:rPr>
                <w:sz w:val="23"/>
                <w:szCs w:val="23"/>
                <w:color w:val="auto"/>
              </w:rPr>
            </w:pPr>
          </w:p>
        </w:tc>
        <w:tc>
          <w:tcPr>
            <w:tcW w:w="112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320" w:type="dxa"/>
            <w:vAlign w:val="bottom"/>
          </w:tcPr>
          <w:p>
            <w:pPr>
              <w:spacing w:after="0"/>
              <w:rPr>
                <w:sz w:val="23"/>
                <w:szCs w:val="23"/>
                <w:color w:val="auto"/>
              </w:rPr>
            </w:pPr>
          </w:p>
        </w:tc>
        <w:tc>
          <w:tcPr>
            <w:tcW w:w="92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240" w:type="dxa"/>
            <w:vAlign w:val="bottom"/>
          </w:tcPr>
          <w:p>
            <w:pPr>
              <w:spacing w:after="0"/>
              <w:rPr>
                <w:sz w:val="23"/>
                <w:szCs w:val="23"/>
                <w:color w:val="auto"/>
              </w:rPr>
            </w:pPr>
          </w:p>
        </w:tc>
        <w:tc>
          <w:tcPr>
            <w:tcW w:w="1200" w:type="dxa"/>
            <w:vAlign w:val="bottom"/>
          </w:tcPr>
          <w:p>
            <w:pPr>
              <w:jc w:val="right"/>
              <w:ind w:right="40"/>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spacing w:after="0"/>
              <w:rPr>
                <w:sz w:val="23"/>
                <w:szCs w:val="23"/>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b w:val="1"/>
                <w:bCs w:val="1"/>
                <w:color w:val="auto"/>
              </w:rPr>
              <w:t>(1,603)</w:t>
            </w:r>
          </w:p>
        </w:tc>
        <w:tc>
          <w:tcPr>
            <w:tcW w:w="2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(1,603)</w:t>
            </w:r>
          </w:p>
        </w:tc>
      </w:tr>
      <w:tr>
        <w:trPr>
          <w:trHeight w:val="270"/>
        </w:trPr>
        <w:tc>
          <w:tcPr>
            <w:tcW w:w="4800" w:type="dxa"/>
            <w:vAlign w:val="bottom"/>
          </w:tcPr>
          <w:p>
            <w:pPr>
              <w:ind w:left="40"/>
              <w:spacing w:after="0"/>
              <w:rPr>
                <w:sz w:val="20"/>
                <w:szCs w:val="20"/>
                <w:color w:val="auto"/>
              </w:rPr>
            </w:pPr>
            <w:r>
              <w:rPr>
                <w:rFonts w:ascii="Arial" w:cs="Arial" w:eastAsia="Arial" w:hAnsi="Arial"/>
                <w:sz w:val="16"/>
                <w:szCs w:val="16"/>
                <w:b w:val="1"/>
                <w:bCs w:val="1"/>
                <w:color w:val="auto"/>
              </w:rPr>
              <w:t>Dispositions</w:t>
            </w:r>
          </w:p>
        </w:tc>
        <w:tc>
          <w:tcPr>
            <w:tcW w:w="220" w:type="dxa"/>
            <w:vAlign w:val="bottom"/>
          </w:tcPr>
          <w:p>
            <w:pPr>
              <w:spacing w:after="0"/>
              <w:rPr>
                <w:sz w:val="23"/>
                <w:szCs w:val="23"/>
                <w:color w:val="auto"/>
              </w:rPr>
            </w:pPr>
          </w:p>
        </w:tc>
        <w:tc>
          <w:tcPr>
            <w:tcW w:w="112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320" w:type="dxa"/>
            <w:vAlign w:val="bottom"/>
          </w:tcPr>
          <w:p>
            <w:pPr>
              <w:spacing w:after="0"/>
              <w:rPr>
                <w:sz w:val="23"/>
                <w:szCs w:val="23"/>
                <w:color w:val="auto"/>
              </w:rPr>
            </w:pPr>
          </w:p>
        </w:tc>
        <w:tc>
          <w:tcPr>
            <w:tcW w:w="92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240" w:type="dxa"/>
            <w:vAlign w:val="bottom"/>
          </w:tcPr>
          <w:p>
            <w:pPr>
              <w:spacing w:after="0"/>
              <w:rPr>
                <w:sz w:val="23"/>
                <w:szCs w:val="23"/>
                <w:color w:val="auto"/>
              </w:rPr>
            </w:pPr>
          </w:p>
        </w:tc>
        <w:tc>
          <w:tcPr>
            <w:tcW w:w="1200" w:type="dxa"/>
            <w:vAlign w:val="bottom"/>
          </w:tcPr>
          <w:p>
            <w:pPr>
              <w:jc w:val="right"/>
              <w:ind w:right="40"/>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spacing w:after="0"/>
              <w:rPr>
                <w:sz w:val="23"/>
                <w:szCs w:val="23"/>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b w:val="1"/>
                <w:bCs w:val="1"/>
                <w:color w:val="auto"/>
              </w:rPr>
              <w:t>(2,800)</w:t>
            </w:r>
          </w:p>
        </w:tc>
        <w:tc>
          <w:tcPr>
            <w:tcW w:w="2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(2,800)</w:t>
            </w:r>
          </w:p>
        </w:tc>
      </w:tr>
      <w:tr>
        <w:trPr>
          <w:trHeight w:val="271"/>
        </w:trPr>
        <w:tc>
          <w:tcPr>
            <w:tcW w:w="4800" w:type="dxa"/>
            <w:vAlign w:val="bottom"/>
          </w:tcPr>
          <w:p>
            <w:pPr>
              <w:ind w:left="40"/>
              <w:spacing w:after="0"/>
              <w:rPr>
                <w:sz w:val="20"/>
                <w:szCs w:val="20"/>
                <w:color w:val="auto"/>
              </w:rPr>
            </w:pPr>
            <w:r>
              <w:rPr>
                <w:rFonts w:ascii="Arial" w:cs="Arial" w:eastAsia="Arial" w:hAnsi="Arial"/>
                <w:sz w:val="16"/>
                <w:szCs w:val="16"/>
                <w:b w:val="1"/>
                <w:bCs w:val="1"/>
                <w:color w:val="auto"/>
              </w:rPr>
              <w:t>Foreign currency exchange rate changes</w:t>
            </w:r>
          </w:p>
        </w:tc>
        <w:tc>
          <w:tcPr>
            <w:tcW w:w="22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(54,250)</w:t>
            </w:r>
          </w:p>
        </w:tc>
        <w:tc>
          <w:tcPr>
            <w:tcW w:w="32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24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w:t>
            </w:r>
          </w:p>
        </w:tc>
        <w:tc>
          <w:tcPr>
            <w:tcW w:w="28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w:t>
            </w:r>
          </w:p>
        </w:tc>
        <w:tc>
          <w:tcPr>
            <w:tcW w:w="28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(54,250)</w:t>
            </w:r>
          </w:p>
        </w:tc>
      </w:tr>
      <w:tr>
        <w:trPr>
          <w:trHeight w:val="263"/>
        </w:trPr>
        <w:tc>
          <w:tcPr>
            <w:tcW w:w="4800" w:type="dxa"/>
            <w:vAlign w:val="bottom"/>
          </w:tcPr>
          <w:p>
            <w:pPr>
              <w:ind w:left="40"/>
              <w:spacing w:after="0"/>
              <w:rPr>
                <w:sz w:val="20"/>
                <w:szCs w:val="20"/>
                <w:color w:val="auto"/>
              </w:rPr>
            </w:pPr>
            <w:r>
              <w:rPr>
                <w:rFonts w:ascii="Arial" w:cs="Arial" w:eastAsia="Arial" w:hAnsi="Arial"/>
                <w:sz w:val="16"/>
                <w:szCs w:val="16"/>
                <w:b w:val="1"/>
                <w:bCs w:val="1"/>
                <w:color w:val="auto"/>
              </w:rPr>
              <w:t>As of December 31, 2016</w:t>
            </w:r>
          </w:p>
        </w:tc>
        <w:tc>
          <w:tcPr>
            <w:tcW w:w="2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spacing w:after="0"/>
              <w:rPr>
                <w:sz w:val="22"/>
                <w:szCs w:val="22"/>
                <w:color w:val="auto"/>
              </w:rPr>
            </w:pPr>
          </w:p>
        </w:tc>
      </w:tr>
      <w:tr>
        <w:trPr>
          <w:trHeight w:val="270"/>
        </w:trPr>
        <w:tc>
          <w:tcPr>
            <w:tcW w:w="4800" w:type="dxa"/>
            <w:vAlign w:val="bottom"/>
          </w:tcPr>
          <w:p>
            <w:pPr>
              <w:ind w:left="280"/>
              <w:spacing w:after="0"/>
              <w:rPr>
                <w:sz w:val="20"/>
                <w:szCs w:val="20"/>
                <w:color w:val="auto"/>
              </w:rPr>
            </w:pPr>
            <w:r>
              <w:rPr>
                <w:rFonts w:ascii="Arial" w:cs="Arial" w:eastAsia="Arial" w:hAnsi="Arial"/>
                <w:sz w:val="16"/>
                <w:szCs w:val="16"/>
                <w:b w:val="1"/>
                <w:bCs w:val="1"/>
                <w:color w:val="auto"/>
              </w:rPr>
              <w:t>Goodwill</w:t>
            </w:r>
          </w:p>
        </w:tc>
        <w:tc>
          <w:tcPr>
            <w:tcW w:w="220" w:type="dxa"/>
            <w:vAlign w:val="bottom"/>
          </w:tcPr>
          <w:p>
            <w:pPr>
              <w:spacing w:after="0"/>
              <w:rPr>
                <w:sz w:val="23"/>
                <w:szCs w:val="23"/>
                <w:color w:val="auto"/>
              </w:rPr>
            </w:pPr>
          </w:p>
        </w:tc>
        <w:tc>
          <w:tcPr>
            <w:tcW w:w="1120" w:type="dxa"/>
            <w:vAlign w:val="bottom"/>
          </w:tcPr>
          <w:p>
            <w:pPr>
              <w:jc w:val="right"/>
              <w:ind w:right="79"/>
              <w:spacing w:after="0"/>
              <w:rPr>
                <w:sz w:val="20"/>
                <w:szCs w:val="20"/>
                <w:color w:val="auto"/>
              </w:rPr>
            </w:pPr>
            <w:r>
              <w:rPr>
                <w:rFonts w:ascii="Arial" w:cs="Arial" w:eastAsia="Arial" w:hAnsi="Arial"/>
                <w:sz w:val="16"/>
                <w:szCs w:val="16"/>
                <w:b w:val="1"/>
                <w:bCs w:val="1"/>
                <w:color w:val="auto"/>
              </w:rPr>
              <w:t>1,111,003</w:t>
            </w:r>
          </w:p>
        </w:tc>
        <w:tc>
          <w:tcPr>
            <w:tcW w:w="320" w:type="dxa"/>
            <w:vAlign w:val="bottom"/>
          </w:tcPr>
          <w:p>
            <w:pPr>
              <w:spacing w:after="0"/>
              <w:rPr>
                <w:sz w:val="23"/>
                <w:szCs w:val="23"/>
                <w:color w:val="auto"/>
              </w:rPr>
            </w:pPr>
          </w:p>
        </w:tc>
        <w:tc>
          <w:tcPr>
            <w:tcW w:w="92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240" w:type="dxa"/>
            <w:vAlign w:val="bottom"/>
          </w:tcPr>
          <w:p>
            <w:pPr>
              <w:spacing w:after="0"/>
              <w:rPr>
                <w:sz w:val="23"/>
                <w:szCs w:val="23"/>
                <w:color w:val="auto"/>
              </w:rPr>
            </w:pPr>
          </w:p>
        </w:tc>
        <w:tc>
          <w:tcPr>
            <w:tcW w:w="1200" w:type="dxa"/>
            <w:vAlign w:val="bottom"/>
          </w:tcPr>
          <w:p>
            <w:pPr>
              <w:jc w:val="right"/>
              <w:ind w:right="40"/>
              <w:spacing w:after="0"/>
              <w:rPr>
                <w:sz w:val="20"/>
                <w:szCs w:val="20"/>
                <w:color w:val="auto"/>
              </w:rPr>
            </w:pPr>
            <w:r>
              <w:rPr>
                <w:rFonts w:ascii="Arial" w:cs="Arial" w:eastAsia="Arial" w:hAnsi="Arial"/>
                <w:sz w:val="16"/>
                <w:szCs w:val="16"/>
                <w:b w:val="1"/>
                <w:bCs w:val="1"/>
                <w:color w:val="auto"/>
              </w:rPr>
              <w:t>168,345</w:t>
            </w:r>
          </w:p>
        </w:tc>
        <w:tc>
          <w:tcPr>
            <w:tcW w:w="280" w:type="dxa"/>
            <w:vAlign w:val="bottom"/>
          </w:tcPr>
          <w:p>
            <w:pPr>
              <w:spacing w:after="0"/>
              <w:rPr>
                <w:sz w:val="23"/>
                <w:szCs w:val="23"/>
                <w:color w:val="auto"/>
              </w:rPr>
            </w:pPr>
          </w:p>
        </w:tc>
        <w:tc>
          <w:tcPr>
            <w:tcW w:w="1120" w:type="dxa"/>
            <w:vAlign w:val="bottom"/>
          </w:tcPr>
          <w:p>
            <w:pPr>
              <w:jc w:val="right"/>
              <w:ind w:right="80"/>
              <w:spacing w:after="0"/>
              <w:rPr>
                <w:sz w:val="20"/>
                <w:szCs w:val="20"/>
                <w:color w:val="auto"/>
              </w:rPr>
            </w:pPr>
            <w:r>
              <w:rPr>
                <w:rFonts w:ascii="Arial" w:cs="Arial" w:eastAsia="Arial" w:hAnsi="Arial"/>
                <w:sz w:val="16"/>
                <w:szCs w:val="16"/>
                <w:b w:val="1"/>
                <w:bCs w:val="1"/>
                <w:color w:val="auto"/>
              </w:rPr>
              <w:t>202,141</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b w:val="1"/>
                <w:bCs w:val="1"/>
                <w:color w:val="auto"/>
              </w:rPr>
              <w:t>1,481,489</w:t>
            </w:r>
          </w:p>
        </w:tc>
      </w:tr>
      <w:tr>
        <w:trPr>
          <w:trHeight w:val="274"/>
        </w:trPr>
        <w:tc>
          <w:tcPr>
            <w:tcW w:w="4800" w:type="dxa"/>
            <w:vAlign w:val="bottom"/>
          </w:tcPr>
          <w:p>
            <w:pPr>
              <w:ind w:left="280"/>
              <w:spacing w:after="0"/>
              <w:rPr>
                <w:sz w:val="20"/>
                <w:szCs w:val="20"/>
                <w:color w:val="auto"/>
              </w:rPr>
            </w:pPr>
            <w:r>
              <w:rPr>
                <w:rFonts w:ascii="Arial" w:cs="Arial" w:eastAsia="Arial" w:hAnsi="Arial"/>
                <w:sz w:val="16"/>
                <w:szCs w:val="16"/>
                <w:b w:val="1"/>
                <w:bCs w:val="1"/>
                <w:color w:val="auto"/>
              </w:rPr>
              <w:t>Accumulated impairment losses</w:t>
            </w:r>
          </w:p>
        </w:tc>
        <w:tc>
          <w:tcPr>
            <w:tcW w:w="22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(350,850)</w:t>
            </w:r>
          </w:p>
        </w:tc>
        <w:tc>
          <w:tcPr>
            <w:tcW w:w="32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24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w:t>
            </w:r>
          </w:p>
        </w:tc>
        <w:tc>
          <w:tcPr>
            <w:tcW w:w="28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(7,685)</w:t>
            </w:r>
          </w:p>
        </w:tc>
        <w:tc>
          <w:tcPr>
            <w:tcW w:w="28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(358,535)</w:t>
            </w:r>
          </w:p>
        </w:tc>
      </w:tr>
      <w:tr>
        <w:trPr>
          <w:trHeight w:val="264"/>
        </w:trPr>
        <w:tc>
          <w:tcPr>
            <w:tcW w:w="4800" w:type="dxa"/>
            <w:vAlign w:val="bottom"/>
          </w:tcPr>
          <w:p>
            <w:pPr>
              <w:spacing w:after="0"/>
              <w:rPr>
                <w:sz w:val="22"/>
                <w:szCs w:val="22"/>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11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760,153</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2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168,345</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1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194,456</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1,122,954</w:t>
            </w:r>
          </w:p>
        </w:tc>
      </w:tr>
      <w:tr>
        <w:trPr>
          <w:trHeight w:val="20"/>
        </w:trPr>
        <w:tc>
          <w:tcPr>
            <w:tcW w:w="48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carrying amount of goodwill at the Company’s education division were as follows: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jc w:val="right"/>
              <w:ind w:right="260"/>
              <w:spacing w:after="0"/>
              <w:rPr>
                <w:sz w:val="20"/>
                <w:szCs w:val="20"/>
                <w:color w:val="auto"/>
              </w:rPr>
            </w:pPr>
            <w:r>
              <w:rPr>
                <w:rFonts w:ascii="Arial" w:cs="Arial" w:eastAsia="Arial" w:hAnsi="Arial"/>
                <w:sz w:val="14"/>
                <w:szCs w:val="14"/>
                <w:b w:val="1"/>
                <w:bCs w:val="1"/>
                <w:color w:val="auto"/>
              </w:rPr>
              <w:t>Higher</w:t>
            </w:r>
          </w:p>
        </w:tc>
        <w:tc>
          <w:tcPr>
            <w:tcW w:w="200" w:type="dxa"/>
            <w:vAlign w:val="bottom"/>
          </w:tcPr>
          <w:p>
            <w:pPr>
              <w:spacing w:after="0"/>
              <w:rPr>
                <w:sz w:val="14"/>
                <w:szCs w:val="14"/>
                <w:color w:val="auto"/>
              </w:rPr>
            </w:pPr>
          </w:p>
        </w:tc>
        <w:tc>
          <w:tcPr>
            <w:tcW w:w="1040" w:type="dxa"/>
            <w:vAlign w:val="bottom"/>
          </w:tcPr>
          <w:p>
            <w:pPr>
              <w:jc w:val="right"/>
              <w:ind w:right="400"/>
              <w:spacing w:after="0"/>
              <w:rPr>
                <w:sz w:val="20"/>
                <w:szCs w:val="20"/>
                <w:color w:val="auto"/>
              </w:rPr>
            </w:pPr>
            <w:r>
              <w:rPr>
                <w:rFonts w:ascii="Arial" w:cs="Arial" w:eastAsia="Arial" w:hAnsi="Arial"/>
                <w:sz w:val="14"/>
                <w:szCs w:val="14"/>
                <w:b w:val="1"/>
                <w:bCs w:val="1"/>
                <w:color w:val="auto"/>
              </w:rPr>
              <w:t>Test</w:t>
            </w:r>
          </w:p>
        </w:tc>
        <w:tc>
          <w:tcPr>
            <w:tcW w:w="220" w:type="dxa"/>
            <w:vAlign w:val="bottom"/>
          </w:tcPr>
          <w:p>
            <w:pPr>
              <w:spacing w:after="0"/>
              <w:rPr>
                <w:sz w:val="14"/>
                <w:szCs w:val="14"/>
                <w:color w:val="auto"/>
              </w:rPr>
            </w:pPr>
          </w:p>
        </w:tc>
        <w:tc>
          <w:tcPr>
            <w:tcW w:w="1140" w:type="dxa"/>
            <w:vAlign w:val="bottom"/>
          </w:tcPr>
          <w:p>
            <w:pPr>
              <w:jc w:val="right"/>
              <w:ind w:right="360"/>
              <w:spacing w:after="0"/>
              <w:rPr>
                <w:sz w:val="20"/>
                <w:szCs w:val="20"/>
                <w:color w:val="auto"/>
              </w:rPr>
            </w:pPr>
            <w:r>
              <w:rPr>
                <w:rFonts w:ascii="Arial" w:cs="Arial" w:eastAsia="Arial" w:hAnsi="Arial"/>
                <w:sz w:val="14"/>
                <w:szCs w:val="14"/>
                <w:b w:val="1"/>
                <w:bCs w:val="1"/>
                <w:color w:val="auto"/>
              </w:rPr>
              <w:t>Kaplan</w:t>
            </w: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203"/>
        </w:trPr>
        <w:tc>
          <w:tcPr>
            <w:tcW w:w="65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140"/>
              <w:spacing w:after="0"/>
              <w:rPr>
                <w:sz w:val="20"/>
                <w:szCs w:val="20"/>
                <w:color w:val="auto"/>
              </w:rPr>
            </w:pPr>
            <w:r>
              <w:rPr>
                <w:rFonts w:ascii="Arial" w:cs="Arial" w:eastAsia="Arial" w:hAnsi="Arial"/>
                <w:sz w:val="14"/>
                <w:szCs w:val="14"/>
                <w:b w:val="1"/>
                <w:bCs w:val="1"/>
                <w:color w:val="auto"/>
              </w:rPr>
              <w:t>Education</w:t>
            </w:r>
          </w:p>
        </w:tc>
        <w:tc>
          <w:tcPr>
            <w:tcW w:w="2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140"/>
              <w:spacing w:after="0"/>
              <w:rPr>
                <w:sz w:val="20"/>
                <w:szCs w:val="20"/>
                <w:color w:val="auto"/>
              </w:rPr>
            </w:pPr>
            <w:r>
              <w:rPr>
                <w:rFonts w:ascii="Arial" w:cs="Arial" w:eastAsia="Arial" w:hAnsi="Arial"/>
                <w:sz w:val="14"/>
                <w:szCs w:val="14"/>
                <w:b w:val="1"/>
                <w:bCs w:val="1"/>
                <w:color w:val="auto"/>
              </w:rPr>
              <w:t>Preparation</w:t>
            </w:r>
          </w:p>
        </w:tc>
        <w:tc>
          <w:tcPr>
            <w:tcW w:w="2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160"/>
              <w:spacing w:after="0"/>
              <w:rPr>
                <w:sz w:val="20"/>
                <w:szCs w:val="20"/>
                <w:color w:val="auto"/>
              </w:rPr>
            </w:pPr>
            <w:r>
              <w:rPr>
                <w:rFonts w:ascii="Arial" w:cs="Arial" w:eastAsia="Arial" w:hAnsi="Arial"/>
                <w:sz w:val="14"/>
                <w:szCs w:val="14"/>
                <w:b w:val="1"/>
                <w:bCs w:val="1"/>
                <w:color w:val="auto"/>
              </w:rPr>
              <w:t>International</w:t>
            </w: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Total</w:t>
            </w:r>
          </w:p>
        </w:tc>
      </w:tr>
      <w:tr>
        <w:trPr>
          <w:trHeight w:val="249"/>
        </w:trPr>
        <w:tc>
          <w:tcPr>
            <w:tcW w:w="6520" w:type="dxa"/>
            <w:vAlign w:val="bottom"/>
          </w:tcPr>
          <w:p>
            <w:pPr>
              <w:ind w:left="40"/>
              <w:spacing w:after="0"/>
              <w:rPr>
                <w:sz w:val="20"/>
                <w:szCs w:val="20"/>
                <w:color w:val="auto"/>
              </w:rPr>
            </w:pPr>
            <w:r>
              <w:rPr>
                <w:rFonts w:ascii="Arial" w:cs="Arial" w:eastAsia="Arial" w:hAnsi="Arial"/>
                <w:sz w:val="16"/>
                <w:szCs w:val="16"/>
                <w:color w:val="auto"/>
              </w:rPr>
              <w:t>As of December 31, 2014</w:t>
            </w:r>
          </w:p>
        </w:tc>
        <w:tc>
          <w:tcPr>
            <w:tcW w:w="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70"/>
        </w:trPr>
        <w:tc>
          <w:tcPr>
            <w:tcW w:w="6520" w:type="dxa"/>
            <w:vAlign w:val="bottom"/>
          </w:tcPr>
          <w:p>
            <w:pPr>
              <w:ind w:left="280"/>
              <w:spacing w:after="0"/>
              <w:rPr>
                <w:sz w:val="20"/>
                <w:szCs w:val="20"/>
                <w:color w:val="auto"/>
              </w:rPr>
            </w:pPr>
            <w:r>
              <w:rPr>
                <w:rFonts w:ascii="Arial" w:cs="Arial" w:eastAsia="Arial" w:hAnsi="Arial"/>
                <w:sz w:val="16"/>
                <w:szCs w:val="16"/>
                <w:color w:val="auto"/>
              </w:rPr>
              <w:t>Goodwill</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80"/>
              <w:spacing w:after="0"/>
              <w:rPr>
                <w:sz w:val="20"/>
                <w:szCs w:val="20"/>
                <w:color w:val="auto"/>
              </w:rPr>
            </w:pPr>
            <w:r>
              <w:rPr>
                <w:rFonts w:ascii="Arial" w:cs="Arial" w:eastAsia="Arial" w:hAnsi="Arial"/>
                <w:sz w:val="16"/>
                <w:szCs w:val="16"/>
                <w:color w:val="auto"/>
              </w:rPr>
              <w:t>409,884</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80"/>
              <w:spacing w:after="0"/>
              <w:rPr>
                <w:sz w:val="20"/>
                <w:szCs w:val="20"/>
                <w:color w:val="auto"/>
              </w:rPr>
            </w:pPr>
            <w:r>
              <w:rPr>
                <w:rFonts w:ascii="Arial" w:cs="Arial" w:eastAsia="Arial" w:hAnsi="Arial"/>
                <w:sz w:val="16"/>
                <w:szCs w:val="16"/>
                <w:color w:val="auto"/>
              </w:rPr>
              <w:t>166,098</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80"/>
              <w:spacing w:after="0"/>
              <w:rPr>
                <w:sz w:val="20"/>
                <w:szCs w:val="20"/>
                <w:color w:val="auto"/>
              </w:rPr>
            </w:pPr>
            <w:r>
              <w:rPr>
                <w:rFonts w:ascii="Arial" w:cs="Arial" w:eastAsia="Arial" w:hAnsi="Arial"/>
                <w:sz w:val="16"/>
                <w:szCs w:val="16"/>
                <w:color w:val="auto"/>
              </w:rPr>
              <w:t>481,244</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1,057,226</w:t>
            </w:r>
          </w:p>
        </w:tc>
      </w:tr>
      <w:tr>
        <w:trPr>
          <w:trHeight w:val="279"/>
        </w:trPr>
        <w:tc>
          <w:tcPr>
            <w:tcW w:w="6520" w:type="dxa"/>
            <w:vAlign w:val="bottom"/>
          </w:tcPr>
          <w:p>
            <w:pPr>
              <w:ind w:left="280"/>
              <w:spacing w:after="0"/>
              <w:rPr>
                <w:sz w:val="20"/>
                <w:szCs w:val="20"/>
                <w:color w:val="auto"/>
              </w:rPr>
            </w:pPr>
            <w:r>
              <w:rPr>
                <w:rFonts w:ascii="Arial" w:cs="Arial" w:eastAsia="Arial" w:hAnsi="Arial"/>
                <w:sz w:val="16"/>
                <w:szCs w:val="16"/>
                <w:color w:val="auto"/>
              </w:rPr>
              <w:t>Accumulated impairment losses</w:t>
            </w: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(102,259)</w:t>
            </w: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(102,259)</w:t>
            </w:r>
          </w:p>
        </w:tc>
      </w:tr>
      <w:tr>
        <w:trPr>
          <w:trHeight w:val="264"/>
        </w:trPr>
        <w:tc>
          <w:tcPr>
            <w:tcW w:w="65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409,884</w:t>
            </w:r>
          </w:p>
        </w:tc>
        <w:tc>
          <w:tcPr>
            <w:tcW w:w="2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63,839</w:t>
            </w:r>
          </w:p>
        </w:tc>
        <w:tc>
          <w:tcPr>
            <w:tcW w:w="2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481,244</w:t>
            </w:r>
          </w:p>
        </w:tc>
        <w:tc>
          <w:tcPr>
            <w:tcW w:w="2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954,967</w:t>
            </w:r>
          </w:p>
        </w:tc>
      </w:tr>
      <w:tr>
        <w:trPr>
          <w:trHeight w:val="255"/>
        </w:trPr>
        <w:tc>
          <w:tcPr>
            <w:tcW w:w="6520" w:type="dxa"/>
            <w:vAlign w:val="bottom"/>
          </w:tcPr>
          <w:p>
            <w:pPr>
              <w:ind w:left="40"/>
              <w:spacing w:after="0"/>
              <w:rPr>
                <w:sz w:val="20"/>
                <w:szCs w:val="20"/>
                <w:color w:val="auto"/>
              </w:rPr>
            </w:pPr>
            <w:r>
              <w:rPr>
                <w:rFonts w:ascii="Arial" w:cs="Arial" w:eastAsia="Arial" w:hAnsi="Arial"/>
                <w:sz w:val="16"/>
                <w:szCs w:val="16"/>
                <w:color w:val="auto"/>
              </w:rPr>
              <w:t>Acquisitions</w:t>
            </w:r>
          </w:p>
        </w:tc>
        <w:tc>
          <w:tcPr>
            <w:tcW w:w="140" w:type="dxa"/>
            <w:vAlign w:val="bottom"/>
          </w:tcPr>
          <w:p>
            <w:pPr>
              <w:spacing w:after="0"/>
              <w:rPr>
                <w:sz w:val="22"/>
                <w:szCs w:val="22"/>
                <w:color w:val="auto"/>
              </w:rPr>
            </w:pPr>
          </w:p>
        </w:tc>
        <w:tc>
          <w:tcPr>
            <w:tcW w:w="960" w:type="dxa"/>
            <w:vAlign w:val="bottom"/>
          </w:tcPr>
          <w:p>
            <w:pPr>
              <w:jc w:val="right"/>
              <w:ind w:right="80"/>
              <w:spacing w:after="0"/>
              <w:rPr>
                <w:sz w:val="20"/>
                <w:szCs w:val="20"/>
                <w:color w:val="auto"/>
              </w:rPr>
            </w:pPr>
            <w:r>
              <w:rPr>
                <w:rFonts w:ascii="Arial" w:cs="Arial" w:eastAsia="Arial" w:hAnsi="Arial"/>
                <w:sz w:val="16"/>
                <w:szCs w:val="16"/>
                <w:color w:val="auto"/>
              </w:rPr>
              <w:t>11,515</w:t>
            </w:r>
          </w:p>
        </w:tc>
        <w:tc>
          <w:tcPr>
            <w:tcW w:w="200" w:type="dxa"/>
            <w:vAlign w:val="bottom"/>
          </w:tcPr>
          <w:p>
            <w:pPr>
              <w:spacing w:after="0"/>
              <w:rPr>
                <w:sz w:val="22"/>
                <w:szCs w:val="22"/>
                <w:color w:val="auto"/>
              </w:rPr>
            </w:pPr>
          </w:p>
        </w:tc>
        <w:tc>
          <w:tcPr>
            <w:tcW w:w="104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2"/>
                <w:szCs w:val="22"/>
                <w:color w:val="auto"/>
              </w:rPr>
            </w:pPr>
          </w:p>
        </w:tc>
        <w:tc>
          <w:tcPr>
            <w:tcW w:w="114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2"/>
                <w:szCs w:val="22"/>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11,515</w:t>
            </w:r>
          </w:p>
        </w:tc>
      </w:tr>
      <w:tr>
        <w:trPr>
          <w:trHeight w:val="270"/>
        </w:trPr>
        <w:tc>
          <w:tcPr>
            <w:tcW w:w="6520" w:type="dxa"/>
            <w:vAlign w:val="bottom"/>
          </w:tcPr>
          <w:p>
            <w:pPr>
              <w:ind w:left="40"/>
              <w:spacing w:after="0"/>
              <w:rPr>
                <w:sz w:val="20"/>
                <w:szCs w:val="20"/>
                <w:color w:val="auto"/>
              </w:rPr>
            </w:pPr>
            <w:r>
              <w:rPr>
                <w:rFonts w:ascii="Arial" w:cs="Arial" w:eastAsia="Arial" w:hAnsi="Arial"/>
                <w:sz w:val="16"/>
                <w:szCs w:val="16"/>
                <w:color w:val="auto"/>
              </w:rPr>
              <w:t>Impairment</w:t>
            </w:r>
          </w:p>
        </w:tc>
        <w:tc>
          <w:tcPr>
            <w:tcW w:w="140" w:type="dxa"/>
            <w:vAlign w:val="bottom"/>
          </w:tcPr>
          <w:p>
            <w:pPr>
              <w:spacing w:after="0"/>
              <w:rPr>
                <w:sz w:val="23"/>
                <w:szCs w:val="23"/>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(248,591)</w:t>
            </w:r>
          </w:p>
        </w:tc>
        <w:tc>
          <w:tcPr>
            <w:tcW w:w="200" w:type="dxa"/>
            <w:vAlign w:val="bottom"/>
          </w:tcPr>
          <w:p>
            <w:pPr>
              <w:spacing w:after="0"/>
              <w:rPr>
                <w:sz w:val="23"/>
                <w:szCs w:val="23"/>
                <w:color w:val="auto"/>
              </w:rPr>
            </w:pPr>
          </w:p>
        </w:tc>
        <w:tc>
          <w:tcPr>
            <w:tcW w:w="104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3"/>
                <w:szCs w:val="23"/>
                <w:color w:val="auto"/>
              </w:rPr>
            </w:pPr>
          </w:p>
        </w:tc>
        <w:tc>
          <w:tcPr>
            <w:tcW w:w="114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(248,591)</w:t>
            </w:r>
          </w:p>
        </w:tc>
      </w:tr>
      <w:tr>
        <w:trPr>
          <w:trHeight w:val="270"/>
        </w:trPr>
        <w:tc>
          <w:tcPr>
            <w:tcW w:w="6520" w:type="dxa"/>
            <w:vAlign w:val="bottom"/>
          </w:tcPr>
          <w:p>
            <w:pPr>
              <w:ind w:left="40"/>
              <w:spacing w:after="0"/>
              <w:rPr>
                <w:sz w:val="20"/>
                <w:szCs w:val="20"/>
                <w:color w:val="auto"/>
              </w:rPr>
            </w:pPr>
            <w:r>
              <w:rPr>
                <w:rFonts w:ascii="Arial" w:cs="Arial" w:eastAsia="Arial" w:hAnsi="Arial"/>
                <w:sz w:val="16"/>
                <w:szCs w:val="16"/>
                <w:color w:val="auto"/>
              </w:rPr>
              <w:t>Dispositions</w:t>
            </w:r>
          </w:p>
        </w:tc>
        <w:tc>
          <w:tcPr>
            <w:tcW w:w="140" w:type="dxa"/>
            <w:vAlign w:val="bottom"/>
          </w:tcPr>
          <w:p>
            <w:pPr>
              <w:spacing w:after="0"/>
              <w:rPr>
                <w:sz w:val="23"/>
                <w:szCs w:val="23"/>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(28,738)</w:t>
            </w:r>
          </w:p>
        </w:tc>
        <w:tc>
          <w:tcPr>
            <w:tcW w:w="200" w:type="dxa"/>
            <w:vAlign w:val="bottom"/>
          </w:tcPr>
          <w:p>
            <w:pPr>
              <w:spacing w:after="0"/>
              <w:rPr>
                <w:sz w:val="23"/>
                <w:szCs w:val="23"/>
                <w:color w:val="auto"/>
              </w:rPr>
            </w:pPr>
          </w:p>
        </w:tc>
        <w:tc>
          <w:tcPr>
            <w:tcW w:w="104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3"/>
                <w:szCs w:val="23"/>
                <w:color w:val="auto"/>
              </w:rPr>
            </w:pP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(4,764)</w:t>
            </w:r>
          </w:p>
        </w:tc>
        <w:tc>
          <w:tcPr>
            <w:tcW w:w="2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(33,502)</w:t>
            </w:r>
          </w:p>
        </w:tc>
      </w:tr>
      <w:tr>
        <w:trPr>
          <w:trHeight w:val="279"/>
        </w:trPr>
        <w:tc>
          <w:tcPr>
            <w:tcW w:w="6520" w:type="dxa"/>
            <w:vAlign w:val="bottom"/>
          </w:tcPr>
          <w:p>
            <w:pPr>
              <w:ind w:left="40"/>
              <w:spacing w:after="0"/>
              <w:rPr>
                <w:sz w:val="20"/>
                <w:szCs w:val="20"/>
                <w:color w:val="auto"/>
              </w:rPr>
            </w:pPr>
            <w:r>
              <w:rPr>
                <w:rFonts w:ascii="Arial" w:cs="Arial" w:eastAsia="Arial" w:hAnsi="Arial"/>
                <w:sz w:val="16"/>
                <w:szCs w:val="16"/>
                <w:color w:val="auto"/>
              </w:rPr>
              <w:t>Foreign currency exchange rate changes</w:t>
            </w: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(204)</w:t>
            </w:r>
          </w:p>
        </w:tc>
        <w:tc>
          <w:tcPr>
            <w:tcW w:w="2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(28,939)</w:t>
            </w: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(29,143)</w:t>
            </w:r>
          </w:p>
        </w:tc>
      </w:tr>
      <w:tr>
        <w:trPr>
          <w:trHeight w:val="255"/>
        </w:trPr>
        <w:tc>
          <w:tcPr>
            <w:tcW w:w="6520" w:type="dxa"/>
            <w:vAlign w:val="bottom"/>
          </w:tcPr>
          <w:p>
            <w:pPr>
              <w:ind w:left="40"/>
              <w:spacing w:after="0"/>
              <w:rPr>
                <w:sz w:val="20"/>
                <w:szCs w:val="20"/>
                <w:color w:val="auto"/>
              </w:rPr>
            </w:pPr>
            <w:r>
              <w:rPr>
                <w:rFonts w:ascii="Arial" w:cs="Arial" w:eastAsia="Arial" w:hAnsi="Arial"/>
                <w:sz w:val="16"/>
                <w:szCs w:val="16"/>
                <w:color w:val="auto"/>
              </w:rPr>
              <w:t>As of December 31, 2015</w:t>
            </w:r>
          </w:p>
        </w:tc>
        <w:tc>
          <w:tcPr>
            <w:tcW w:w="1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spacing w:after="0"/>
              <w:rPr>
                <w:sz w:val="22"/>
                <w:szCs w:val="22"/>
                <w:color w:val="auto"/>
              </w:rPr>
            </w:pPr>
          </w:p>
        </w:tc>
      </w:tr>
      <w:tr>
        <w:trPr>
          <w:trHeight w:val="270"/>
        </w:trPr>
        <w:tc>
          <w:tcPr>
            <w:tcW w:w="6520" w:type="dxa"/>
            <w:vAlign w:val="bottom"/>
          </w:tcPr>
          <w:p>
            <w:pPr>
              <w:ind w:left="280"/>
              <w:spacing w:after="0"/>
              <w:rPr>
                <w:sz w:val="20"/>
                <w:szCs w:val="20"/>
                <w:color w:val="auto"/>
              </w:rPr>
            </w:pPr>
            <w:r>
              <w:rPr>
                <w:rFonts w:ascii="Arial" w:cs="Arial" w:eastAsia="Arial" w:hAnsi="Arial"/>
                <w:sz w:val="16"/>
                <w:szCs w:val="16"/>
                <w:color w:val="auto"/>
              </w:rPr>
              <w:t>Goodwill</w:t>
            </w:r>
          </w:p>
        </w:tc>
        <w:tc>
          <w:tcPr>
            <w:tcW w:w="140" w:type="dxa"/>
            <w:vAlign w:val="bottom"/>
          </w:tcPr>
          <w:p>
            <w:pPr>
              <w:spacing w:after="0"/>
              <w:rPr>
                <w:sz w:val="23"/>
                <w:szCs w:val="23"/>
                <w:color w:val="auto"/>
              </w:rPr>
            </w:pPr>
          </w:p>
        </w:tc>
        <w:tc>
          <w:tcPr>
            <w:tcW w:w="960" w:type="dxa"/>
            <w:vAlign w:val="bottom"/>
          </w:tcPr>
          <w:p>
            <w:pPr>
              <w:jc w:val="right"/>
              <w:ind w:right="80"/>
              <w:spacing w:after="0"/>
              <w:rPr>
                <w:sz w:val="20"/>
                <w:szCs w:val="20"/>
                <w:color w:val="auto"/>
              </w:rPr>
            </w:pPr>
            <w:r>
              <w:rPr>
                <w:rFonts w:ascii="Arial" w:cs="Arial" w:eastAsia="Arial" w:hAnsi="Arial"/>
                <w:sz w:val="16"/>
                <w:szCs w:val="16"/>
                <w:color w:val="auto"/>
              </w:rPr>
              <w:t>392,457</w:t>
            </w:r>
          </w:p>
        </w:tc>
        <w:tc>
          <w:tcPr>
            <w:tcW w:w="200" w:type="dxa"/>
            <w:vAlign w:val="bottom"/>
          </w:tcPr>
          <w:p>
            <w:pPr>
              <w:spacing w:after="0"/>
              <w:rPr>
                <w:sz w:val="23"/>
                <w:szCs w:val="23"/>
                <w:color w:val="auto"/>
              </w:rPr>
            </w:pPr>
          </w:p>
        </w:tc>
        <w:tc>
          <w:tcPr>
            <w:tcW w:w="1040" w:type="dxa"/>
            <w:vAlign w:val="bottom"/>
          </w:tcPr>
          <w:p>
            <w:pPr>
              <w:jc w:val="right"/>
              <w:ind w:right="80"/>
              <w:spacing w:after="0"/>
              <w:rPr>
                <w:sz w:val="20"/>
                <w:szCs w:val="20"/>
                <w:color w:val="auto"/>
              </w:rPr>
            </w:pPr>
            <w:r>
              <w:rPr>
                <w:rFonts w:ascii="Arial" w:cs="Arial" w:eastAsia="Arial" w:hAnsi="Arial"/>
                <w:sz w:val="16"/>
                <w:szCs w:val="16"/>
                <w:color w:val="auto"/>
              </w:rPr>
              <w:t>166,098</w:t>
            </w:r>
          </w:p>
        </w:tc>
        <w:tc>
          <w:tcPr>
            <w:tcW w:w="220" w:type="dxa"/>
            <w:vAlign w:val="bottom"/>
          </w:tcPr>
          <w:p>
            <w:pPr>
              <w:spacing w:after="0"/>
              <w:rPr>
                <w:sz w:val="23"/>
                <w:szCs w:val="23"/>
                <w:color w:val="auto"/>
              </w:rPr>
            </w:pPr>
          </w:p>
        </w:tc>
        <w:tc>
          <w:tcPr>
            <w:tcW w:w="1140" w:type="dxa"/>
            <w:vAlign w:val="bottom"/>
          </w:tcPr>
          <w:p>
            <w:pPr>
              <w:jc w:val="right"/>
              <w:ind w:right="80"/>
              <w:spacing w:after="0"/>
              <w:rPr>
                <w:sz w:val="20"/>
                <w:szCs w:val="20"/>
                <w:color w:val="auto"/>
              </w:rPr>
            </w:pPr>
            <w:r>
              <w:rPr>
                <w:rFonts w:ascii="Arial" w:cs="Arial" w:eastAsia="Arial" w:hAnsi="Arial"/>
                <w:sz w:val="16"/>
                <w:szCs w:val="16"/>
                <w:color w:val="auto"/>
              </w:rPr>
              <w:t>447,541</w:t>
            </w:r>
          </w:p>
        </w:tc>
        <w:tc>
          <w:tcPr>
            <w:tcW w:w="280" w:type="dxa"/>
            <w:vAlign w:val="bottom"/>
          </w:tcPr>
          <w:p>
            <w:pPr>
              <w:spacing w:after="0"/>
              <w:rPr>
                <w:sz w:val="23"/>
                <w:szCs w:val="23"/>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1,006,096</w:t>
            </w:r>
          </w:p>
        </w:tc>
      </w:tr>
      <w:tr>
        <w:trPr>
          <w:trHeight w:val="279"/>
        </w:trPr>
        <w:tc>
          <w:tcPr>
            <w:tcW w:w="6520" w:type="dxa"/>
            <w:vAlign w:val="bottom"/>
          </w:tcPr>
          <w:p>
            <w:pPr>
              <w:ind w:left="280"/>
              <w:spacing w:after="0"/>
              <w:rPr>
                <w:sz w:val="20"/>
                <w:szCs w:val="20"/>
                <w:color w:val="auto"/>
              </w:rPr>
            </w:pPr>
            <w:r>
              <w:rPr>
                <w:rFonts w:ascii="Arial" w:cs="Arial" w:eastAsia="Arial" w:hAnsi="Arial"/>
                <w:sz w:val="16"/>
                <w:szCs w:val="16"/>
                <w:color w:val="auto"/>
              </w:rPr>
              <w:t>Accumulated impairment losses</w:t>
            </w: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(248,591)</w:t>
            </w:r>
          </w:p>
        </w:tc>
        <w:tc>
          <w:tcPr>
            <w:tcW w:w="2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(102,259)</w:t>
            </w: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(350,850)</w:t>
            </w:r>
          </w:p>
        </w:tc>
      </w:tr>
      <w:tr>
        <w:trPr>
          <w:trHeight w:val="264"/>
        </w:trPr>
        <w:tc>
          <w:tcPr>
            <w:tcW w:w="65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143,866</w:t>
            </w:r>
          </w:p>
        </w:tc>
        <w:tc>
          <w:tcPr>
            <w:tcW w:w="2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63,839</w:t>
            </w:r>
          </w:p>
        </w:tc>
        <w:tc>
          <w:tcPr>
            <w:tcW w:w="2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447,541</w:t>
            </w:r>
          </w:p>
        </w:tc>
        <w:tc>
          <w:tcPr>
            <w:tcW w:w="2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655,246</w:t>
            </w:r>
          </w:p>
        </w:tc>
      </w:tr>
      <w:tr>
        <w:trPr>
          <w:trHeight w:val="272"/>
        </w:trPr>
        <w:tc>
          <w:tcPr>
            <w:tcW w:w="6520" w:type="dxa"/>
            <w:vAlign w:val="bottom"/>
          </w:tcPr>
          <w:p>
            <w:pPr>
              <w:ind w:left="40"/>
              <w:spacing w:after="0"/>
              <w:rPr>
                <w:sz w:val="20"/>
                <w:szCs w:val="20"/>
                <w:color w:val="auto"/>
              </w:rPr>
            </w:pPr>
            <w:r>
              <w:rPr>
                <w:rFonts w:ascii="Arial" w:cs="Arial" w:eastAsia="Arial" w:hAnsi="Arial"/>
                <w:sz w:val="15"/>
                <w:szCs w:val="15"/>
                <w:b w:val="1"/>
                <w:bCs w:val="1"/>
                <w:color w:val="auto"/>
              </w:rPr>
              <w:t>Measurement period adjustment</w:t>
            </w:r>
          </w:p>
        </w:tc>
        <w:tc>
          <w:tcPr>
            <w:tcW w:w="140" w:type="dxa"/>
            <w:vAlign w:val="bottom"/>
          </w:tcPr>
          <w:p>
            <w:pPr>
              <w:spacing w:after="0"/>
              <w:rPr>
                <w:sz w:val="23"/>
                <w:szCs w:val="23"/>
                <w:color w:val="auto"/>
              </w:rPr>
            </w:pPr>
          </w:p>
        </w:tc>
        <w:tc>
          <w:tcPr>
            <w:tcW w:w="960" w:type="dxa"/>
            <w:vAlign w:val="bottom"/>
          </w:tcPr>
          <w:p>
            <w:pPr>
              <w:jc w:val="right"/>
              <w:ind w:right="20"/>
              <w:spacing w:after="0"/>
              <w:rPr>
                <w:sz w:val="20"/>
                <w:szCs w:val="20"/>
                <w:color w:val="auto"/>
              </w:rPr>
            </w:pPr>
            <w:r>
              <w:rPr>
                <w:rFonts w:ascii="Arial" w:cs="Arial" w:eastAsia="Arial" w:hAnsi="Arial"/>
                <w:sz w:val="15"/>
                <w:szCs w:val="15"/>
                <w:b w:val="1"/>
                <w:bCs w:val="1"/>
                <w:color w:val="auto"/>
              </w:rPr>
              <w:t>(2,781)</w:t>
            </w:r>
          </w:p>
        </w:tc>
        <w:tc>
          <w:tcPr>
            <w:tcW w:w="200" w:type="dxa"/>
            <w:vAlign w:val="bottom"/>
          </w:tcPr>
          <w:p>
            <w:pPr>
              <w:spacing w:after="0"/>
              <w:rPr>
                <w:sz w:val="23"/>
                <w:szCs w:val="23"/>
                <w:color w:val="auto"/>
              </w:rPr>
            </w:pPr>
          </w:p>
        </w:tc>
        <w:tc>
          <w:tcPr>
            <w:tcW w:w="1040" w:type="dxa"/>
            <w:vAlign w:val="bottom"/>
          </w:tcPr>
          <w:p>
            <w:pPr>
              <w:jc w:val="right"/>
              <w:ind w:right="80"/>
              <w:spacing w:after="0"/>
              <w:rPr>
                <w:sz w:val="20"/>
                <w:szCs w:val="20"/>
                <w:color w:val="auto"/>
              </w:rPr>
            </w:pPr>
            <w:r>
              <w:rPr>
                <w:rFonts w:ascii="Arial" w:cs="Arial" w:eastAsia="Arial" w:hAnsi="Arial"/>
                <w:sz w:val="15"/>
                <w:szCs w:val="15"/>
                <w:b w:val="1"/>
                <w:bCs w:val="1"/>
                <w:color w:val="auto"/>
              </w:rPr>
              <w:t>—</w:t>
            </w:r>
          </w:p>
        </w:tc>
        <w:tc>
          <w:tcPr>
            <w:tcW w:w="220" w:type="dxa"/>
            <w:vAlign w:val="bottom"/>
          </w:tcPr>
          <w:p>
            <w:pPr>
              <w:spacing w:after="0"/>
              <w:rPr>
                <w:sz w:val="23"/>
                <w:szCs w:val="23"/>
                <w:color w:val="auto"/>
              </w:rPr>
            </w:pPr>
          </w:p>
        </w:tc>
        <w:tc>
          <w:tcPr>
            <w:tcW w:w="1140" w:type="dxa"/>
            <w:vAlign w:val="bottom"/>
          </w:tcPr>
          <w:p>
            <w:pPr>
              <w:jc w:val="right"/>
              <w:ind w:right="80"/>
              <w:spacing w:after="0"/>
              <w:rPr>
                <w:sz w:val="20"/>
                <w:szCs w:val="20"/>
                <w:color w:val="auto"/>
              </w:rPr>
            </w:pPr>
            <w:r>
              <w:rPr>
                <w:rFonts w:ascii="Arial" w:cs="Arial" w:eastAsia="Arial" w:hAnsi="Arial"/>
                <w:sz w:val="15"/>
                <w:szCs w:val="15"/>
                <w:b w:val="1"/>
                <w:bCs w:val="1"/>
                <w:color w:val="auto"/>
              </w:rPr>
              <w:t>—</w:t>
            </w:r>
          </w:p>
        </w:tc>
        <w:tc>
          <w:tcPr>
            <w:tcW w:w="2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5"/>
                <w:szCs w:val="15"/>
                <w:b w:val="1"/>
                <w:bCs w:val="1"/>
                <w:color w:val="auto"/>
              </w:rPr>
              <w:t>(2,781)</w:t>
            </w:r>
          </w:p>
        </w:tc>
      </w:tr>
      <w:tr>
        <w:trPr>
          <w:trHeight w:val="261"/>
        </w:trPr>
        <w:tc>
          <w:tcPr>
            <w:tcW w:w="6520" w:type="dxa"/>
            <w:vAlign w:val="bottom"/>
          </w:tcPr>
          <w:p>
            <w:pPr>
              <w:ind w:left="40"/>
              <w:spacing w:after="0"/>
              <w:rPr>
                <w:sz w:val="20"/>
                <w:szCs w:val="20"/>
                <w:color w:val="auto"/>
              </w:rPr>
            </w:pPr>
            <w:r>
              <w:rPr>
                <w:rFonts w:ascii="Arial" w:cs="Arial" w:eastAsia="Arial" w:hAnsi="Arial"/>
                <w:sz w:val="16"/>
                <w:szCs w:val="16"/>
                <w:b w:val="1"/>
                <w:bCs w:val="1"/>
                <w:color w:val="auto"/>
              </w:rPr>
              <w:t>Acquisitions</w:t>
            </w:r>
          </w:p>
        </w:tc>
        <w:tc>
          <w:tcPr>
            <w:tcW w:w="140" w:type="dxa"/>
            <w:vAlign w:val="bottom"/>
          </w:tcPr>
          <w:p>
            <w:pPr>
              <w:spacing w:after="0"/>
              <w:rPr>
                <w:sz w:val="22"/>
                <w:szCs w:val="22"/>
                <w:color w:val="auto"/>
              </w:rPr>
            </w:pPr>
          </w:p>
        </w:tc>
        <w:tc>
          <w:tcPr>
            <w:tcW w:w="960" w:type="dxa"/>
            <w:vAlign w:val="bottom"/>
          </w:tcPr>
          <w:p>
            <w:pPr>
              <w:jc w:val="right"/>
              <w:ind w:right="80"/>
              <w:spacing w:after="0"/>
              <w:rPr>
                <w:sz w:val="20"/>
                <w:szCs w:val="20"/>
                <w:color w:val="auto"/>
              </w:rPr>
            </w:pPr>
            <w:r>
              <w:rPr>
                <w:rFonts w:ascii="Arial" w:cs="Arial" w:eastAsia="Arial" w:hAnsi="Arial"/>
                <w:sz w:val="16"/>
                <w:szCs w:val="16"/>
                <w:b w:val="1"/>
                <w:bCs w:val="1"/>
                <w:color w:val="auto"/>
              </w:rPr>
              <w:t>—</w:t>
            </w:r>
          </w:p>
        </w:tc>
        <w:tc>
          <w:tcPr>
            <w:tcW w:w="200" w:type="dxa"/>
            <w:vAlign w:val="bottom"/>
          </w:tcPr>
          <w:p>
            <w:pPr>
              <w:spacing w:after="0"/>
              <w:rPr>
                <w:sz w:val="22"/>
                <w:szCs w:val="22"/>
                <w:color w:val="auto"/>
              </w:rPr>
            </w:pPr>
          </w:p>
        </w:tc>
        <w:tc>
          <w:tcPr>
            <w:tcW w:w="1040" w:type="dxa"/>
            <w:vAlign w:val="bottom"/>
          </w:tcPr>
          <w:p>
            <w:pPr>
              <w:jc w:val="right"/>
              <w:ind w:right="80"/>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22"/>
                <w:szCs w:val="22"/>
                <w:color w:val="auto"/>
              </w:rPr>
            </w:pPr>
          </w:p>
        </w:tc>
        <w:tc>
          <w:tcPr>
            <w:tcW w:w="1140" w:type="dxa"/>
            <w:vAlign w:val="bottom"/>
          </w:tcPr>
          <w:p>
            <w:pPr>
              <w:jc w:val="right"/>
              <w:ind w:right="80"/>
              <w:spacing w:after="0"/>
              <w:rPr>
                <w:sz w:val="20"/>
                <w:szCs w:val="20"/>
                <w:color w:val="auto"/>
              </w:rPr>
            </w:pPr>
            <w:r>
              <w:rPr>
                <w:rFonts w:ascii="Arial" w:cs="Arial" w:eastAsia="Arial" w:hAnsi="Arial"/>
                <w:sz w:val="16"/>
                <w:szCs w:val="16"/>
                <w:b w:val="1"/>
                <w:bCs w:val="1"/>
                <w:color w:val="auto"/>
              </w:rPr>
              <w:t>161,938</w:t>
            </w:r>
          </w:p>
        </w:tc>
        <w:tc>
          <w:tcPr>
            <w:tcW w:w="280" w:type="dxa"/>
            <w:vAlign w:val="bottom"/>
          </w:tcPr>
          <w:p>
            <w:pPr>
              <w:spacing w:after="0"/>
              <w:rPr>
                <w:sz w:val="22"/>
                <w:szCs w:val="22"/>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b w:val="1"/>
                <w:bCs w:val="1"/>
                <w:color w:val="auto"/>
              </w:rPr>
              <w:t>161,938</w:t>
            </w:r>
          </w:p>
        </w:tc>
      </w:tr>
      <w:tr>
        <w:trPr>
          <w:trHeight w:val="271"/>
        </w:trPr>
        <w:tc>
          <w:tcPr>
            <w:tcW w:w="6520" w:type="dxa"/>
            <w:vAlign w:val="bottom"/>
          </w:tcPr>
          <w:p>
            <w:pPr>
              <w:ind w:left="40"/>
              <w:spacing w:after="0"/>
              <w:rPr>
                <w:sz w:val="20"/>
                <w:szCs w:val="20"/>
                <w:color w:val="auto"/>
              </w:rPr>
            </w:pPr>
            <w:r>
              <w:rPr>
                <w:rFonts w:ascii="Arial" w:cs="Arial" w:eastAsia="Arial" w:hAnsi="Arial"/>
                <w:sz w:val="16"/>
                <w:szCs w:val="16"/>
                <w:b w:val="1"/>
                <w:bCs w:val="1"/>
                <w:color w:val="auto"/>
              </w:rPr>
              <w:t>Foreign currency exchange rate changes</w:t>
            </w:r>
          </w:p>
        </w:tc>
        <w:tc>
          <w:tcPr>
            <w:tcW w:w="14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44</w:t>
            </w:r>
          </w:p>
        </w:tc>
        <w:tc>
          <w:tcPr>
            <w:tcW w:w="20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w:t>
            </w:r>
          </w:p>
        </w:tc>
        <w:tc>
          <w:tcPr>
            <w:tcW w:w="22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(54,294)</w:t>
            </w:r>
          </w:p>
        </w:tc>
        <w:tc>
          <w:tcPr>
            <w:tcW w:w="28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(54,250)</w:t>
            </w:r>
          </w:p>
        </w:tc>
      </w:tr>
      <w:tr>
        <w:trPr>
          <w:trHeight w:val="263"/>
        </w:trPr>
        <w:tc>
          <w:tcPr>
            <w:tcW w:w="6520" w:type="dxa"/>
            <w:vAlign w:val="bottom"/>
          </w:tcPr>
          <w:p>
            <w:pPr>
              <w:ind w:left="40"/>
              <w:spacing w:after="0"/>
              <w:rPr>
                <w:sz w:val="20"/>
                <w:szCs w:val="20"/>
                <w:color w:val="auto"/>
              </w:rPr>
            </w:pPr>
            <w:r>
              <w:rPr>
                <w:rFonts w:ascii="Arial" w:cs="Arial" w:eastAsia="Arial" w:hAnsi="Arial"/>
                <w:sz w:val="16"/>
                <w:szCs w:val="16"/>
                <w:b w:val="1"/>
                <w:bCs w:val="1"/>
                <w:color w:val="auto"/>
              </w:rPr>
              <w:t>As of December 31, 2016</w:t>
            </w:r>
          </w:p>
        </w:tc>
        <w:tc>
          <w:tcPr>
            <w:tcW w:w="1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spacing w:after="0"/>
              <w:rPr>
                <w:sz w:val="22"/>
                <w:szCs w:val="22"/>
                <w:color w:val="auto"/>
              </w:rPr>
            </w:pPr>
          </w:p>
        </w:tc>
      </w:tr>
      <w:tr>
        <w:trPr>
          <w:trHeight w:val="270"/>
        </w:trPr>
        <w:tc>
          <w:tcPr>
            <w:tcW w:w="6520" w:type="dxa"/>
            <w:vAlign w:val="bottom"/>
          </w:tcPr>
          <w:p>
            <w:pPr>
              <w:ind w:left="280"/>
              <w:spacing w:after="0"/>
              <w:rPr>
                <w:sz w:val="20"/>
                <w:szCs w:val="20"/>
                <w:color w:val="auto"/>
              </w:rPr>
            </w:pPr>
            <w:r>
              <w:rPr>
                <w:rFonts w:ascii="Arial" w:cs="Arial" w:eastAsia="Arial" w:hAnsi="Arial"/>
                <w:sz w:val="16"/>
                <w:szCs w:val="16"/>
                <w:b w:val="1"/>
                <w:bCs w:val="1"/>
                <w:color w:val="auto"/>
              </w:rPr>
              <w:t>Goodwill</w:t>
            </w:r>
          </w:p>
        </w:tc>
        <w:tc>
          <w:tcPr>
            <w:tcW w:w="140" w:type="dxa"/>
            <w:vAlign w:val="bottom"/>
          </w:tcPr>
          <w:p>
            <w:pPr>
              <w:spacing w:after="0"/>
              <w:rPr>
                <w:sz w:val="23"/>
                <w:szCs w:val="23"/>
                <w:color w:val="auto"/>
              </w:rPr>
            </w:pPr>
          </w:p>
        </w:tc>
        <w:tc>
          <w:tcPr>
            <w:tcW w:w="960" w:type="dxa"/>
            <w:vAlign w:val="bottom"/>
          </w:tcPr>
          <w:p>
            <w:pPr>
              <w:jc w:val="right"/>
              <w:ind w:right="80"/>
              <w:spacing w:after="0"/>
              <w:rPr>
                <w:sz w:val="20"/>
                <w:szCs w:val="20"/>
                <w:color w:val="auto"/>
              </w:rPr>
            </w:pPr>
            <w:r>
              <w:rPr>
                <w:rFonts w:ascii="Arial" w:cs="Arial" w:eastAsia="Arial" w:hAnsi="Arial"/>
                <w:sz w:val="16"/>
                <w:szCs w:val="16"/>
                <w:b w:val="1"/>
                <w:bCs w:val="1"/>
                <w:color w:val="auto"/>
              </w:rPr>
              <w:t>389,720</w:t>
            </w:r>
          </w:p>
        </w:tc>
        <w:tc>
          <w:tcPr>
            <w:tcW w:w="200" w:type="dxa"/>
            <w:vAlign w:val="bottom"/>
          </w:tcPr>
          <w:p>
            <w:pPr>
              <w:spacing w:after="0"/>
              <w:rPr>
                <w:sz w:val="23"/>
                <w:szCs w:val="23"/>
                <w:color w:val="auto"/>
              </w:rPr>
            </w:pPr>
          </w:p>
        </w:tc>
        <w:tc>
          <w:tcPr>
            <w:tcW w:w="1040" w:type="dxa"/>
            <w:vAlign w:val="bottom"/>
          </w:tcPr>
          <w:p>
            <w:pPr>
              <w:jc w:val="right"/>
              <w:ind w:right="80"/>
              <w:spacing w:after="0"/>
              <w:rPr>
                <w:sz w:val="20"/>
                <w:szCs w:val="20"/>
                <w:color w:val="auto"/>
              </w:rPr>
            </w:pPr>
            <w:r>
              <w:rPr>
                <w:rFonts w:ascii="Arial" w:cs="Arial" w:eastAsia="Arial" w:hAnsi="Arial"/>
                <w:sz w:val="16"/>
                <w:szCs w:val="16"/>
                <w:b w:val="1"/>
                <w:bCs w:val="1"/>
                <w:color w:val="auto"/>
              </w:rPr>
              <w:t>166,098</w:t>
            </w:r>
          </w:p>
        </w:tc>
        <w:tc>
          <w:tcPr>
            <w:tcW w:w="220" w:type="dxa"/>
            <w:vAlign w:val="bottom"/>
          </w:tcPr>
          <w:p>
            <w:pPr>
              <w:spacing w:after="0"/>
              <w:rPr>
                <w:sz w:val="23"/>
                <w:szCs w:val="23"/>
                <w:color w:val="auto"/>
              </w:rPr>
            </w:pPr>
          </w:p>
        </w:tc>
        <w:tc>
          <w:tcPr>
            <w:tcW w:w="1140" w:type="dxa"/>
            <w:vAlign w:val="bottom"/>
          </w:tcPr>
          <w:p>
            <w:pPr>
              <w:jc w:val="right"/>
              <w:ind w:right="80"/>
              <w:spacing w:after="0"/>
              <w:rPr>
                <w:sz w:val="20"/>
                <w:szCs w:val="20"/>
                <w:color w:val="auto"/>
              </w:rPr>
            </w:pPr>
            <w:r>
              <w:rPr>
                <w:rFonts w:ascii="Arial" w:cs="Arial" w:eastAsia="Arial" w:hAnsi="Arial"/>
                <w:sz w:val="16"/>
                <w:szCs w:val="16"/>
                <w:b w:val="1"/>
                <w:bCs w:val="1"/>
                <w:color w:val="auto"/>
              </w:rPr>
              <w:t>555,185</w:t>
            </w:r>
          </w:p>
        </w:tc>
        <w:tc>
          <w:tcPr>
            <w:tcW w:w="280" w:type="dxa"/>
            <w:vAlign w:val="bottom"/>
          </w:tcPr>
          <w:p>
            <w:pPr>
              <w:spacing w:after="0"/>
              <w:rPr>
                <w:sz w:val="23"/>
                <w:szCs w:val="23"/>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b w:val="1"/>
                <w:bCs w:val="1"/>
                <w:color w:val="auto"/>
              </w:rPr>
              <w:t>1,111,003</w:t>
            </w:r>
          </w:p>
        </w:tc>
      </w:tr>
      <w:tr>
        <w:trPr>
          <w:trHeight w:val="274"/>
        </w:trPr>
        <w:tc>
          <w:tcPr>
            <w:tcW w:w="6520" w:type="dxa"/>
            <w:vAlign w:val="bottom"/>
          </w:tcPr>
          <w:p>
            <w:pPr>
              <w:ind w:left="280"/>
              <w:spacing w:after="0"/>
              <w:rPr>
                <w:sz w:val="20"/>
                <w:szCs w:val="20"/>
                <w:color w:val="auto"/>
              </w:rPr>
            </w:pPr>
            <w:r>
              <w:rPr>
                <w:rFonts w:ascii="Arial" w:cs="Arial" w:eastAsia="Arial" w:hAnsi="Arial"/>
                <w:sz w:val="16"/>
                <w:szCs w:val="16"/>
                <w:b w:val="1"/>
                <w:bCs w:val="1"/>
                <w:color w:val="auto"/>
              </w:rPr>
              <w:t>Accumulated impairment losses</w:t>
            </w:r>
          </w:p>
        </w:tc>
        <w:tc>
          <w:tcPr>
            <w:tcW w:w="14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(248,591)</w:t>
            </w:r>
          </w:p>
        </w:tc>
        <w:tc>
          <w:tcPr>
            <w:tcW w:w="20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(102,259)</w:t>
            </w:r>
          </w:p>
        </w:tc>
        <w:tc>
          <w:tcPr>
            <w:tcW w:w="22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w:t>
            </w:r>
          </w:p>
        </w:tc>
        <w:tc>
          <w:tcPr>
            <w:tcW w:w="28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(350,850)</w:t>
            </w:r>
          </w:p>
        </w:tc>
      </w:tr>
      <w:tr>
        <w:trPr>
          <w:trHeight w:val="264"/>
        </w:trPr>
        <w:tc>
          <w:tcPr>
            <w:tcW w:w="652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141,129</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0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63,839</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1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555,185</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760,153</w:t>
            </w:r>
          </w:p>
        </w:tc>
      </w:tr>
      <w:tr>
        <w:trPr>
          <w:trHeight w:val="20"/>
        </w:trPr>
        <w:tc>
          <w:tcPr>
            <w:tcW w:w="65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724" w:right="239" w:bottom="1440" w:gutter="0" w:footer="0" w:header="0"/>
        </w:sect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82</w:t>
      </w:r>
    </w:p>
    <w:p>
      <w:pPr>
        <w:sectPr>
          <w:pgSz w:w="11900" w:h="16838" w:orient="portrait"/>
          <w:cols w:equalWidth="0" w:num="1">
            <w:col w:w="11420"/>
          </w:cols>
          <w:pgMar w:left="240" w:top="724" w:right="239" w:bottom="1440" w:gutter="0" w:footer="0" w:header="0"/>
          <w:type w:val="continuous"/>
        </w:sectPr>
      </w:pPr>
    </w:p>
    <w:bookmarkStart w:id="85" w:name="page86"/>
    <w:bookmarkEnd w:id="85"/>
    <w:p>
      <w:pPr>
        <w:spacing w:after="0"/>
        <w:rPr>
          <w:sz w:val="20"/>
          <w:szCs w:val="20"/>
          <w:color w:val="auto"/>
        </w:rPr>
      </w:pPr>
      <w:r>
        <w:rPr>
          <w:rFonts w:ascii="Arial" w:cs="Arial" w:eastAsia="Arial" w:hAnsi="Arial"/>
          <w:sz w:val="18"/>
          <w:szCs w:val="18"/>
          <w:color w:val="auto"/>
        </w:rPr>
        <w:t>Other intangible assets consist of the following:</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2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rPr>
              <w:t>As of December 31, 2016</w:t>
            </w:r>
          </w:p>
        </w:tc>
        <w:tc>
          <w:tcPr>
            <w:tcW w:w="8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2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color w:val="auto"/>
              </w:rPr>
              <w:t>As of December 31, 2015</w:t>
            </w:r>
          </w:p>
        </w:tc>
        <w:tc>
          <w:tcPr>
            <w:tcW w:w="7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3280" w:type="dxa"/>
            <w:vAlign w:val="bottom"/>
          </w:tcPr>
          <w:p>
            <w:pPr>
              <w:spacing w:after="0"/>
              <w:rPr>
                <w:sz w:val="14"/>
                <w:szCs w:val="14"/>
                <w:color w:val="auto"/>
              </w:rPr>
            </w:pPr>
          </w:p>
        </w:tc>
        <w:tc>
          <w:tcPr>
            <w:tcW w:w="1680" w:type="dxa"/>
            <w:vAlign w:val="bottom"/>
            <w:gridSpan w:val="2"/>
          </w:tcPr>
          <w:p>
            <w:pPr>
              <w:ind w:left="560"/>
              <w:spacing w:after="0"/>
              <w:rPr>
                <w:sz w:val="20"/>
                <w:szCs w:val="20"/>
                <w:color w:val="auto"/>
              </w:rPr>
            </w:pPr>
            <w:r>
              <w:rPr>
                <w:rFonts w:ascii="Arial" w:cs="Arial" w:eastAsia="Arial" w:hAnsi="Arial"/>
                <w:sz w:val="14"/>
                <w:szCs w:val="14"/>
                <w:b w:val="1"/>
                <w:bCs w:val="1"/>
                <w:color w:val="auto"/>
              </w:rPr>
              <w:t>Useful</w:t>
            </w: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rPr>
              <w:t>Gross</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jc w:val="center"/>
              <w:ind w:right="162"/>
              <w:spacing w:after="0"/>
              <w:rPr>
                <w:sz w:val="20"/>
                <w:szCs w:val="20"/>
                <w:color w:val="auto"/>
              </w:rPr>
            </w:pPr>
            <w:r>
              <w:rPr>
                <w:rFonts w:ascii="Arial" w:cs="Arial" w:eastAsia="Arial" w:hAnsi="Arial"/>
                <w:sz w:val="14"/>
                <w:szCs w:val="14"/>
                <w:b w:val="1"/>
                <w:bCs w:val="1"/>
                <w:color w:val="auto"/>
              </w:rPr>
              <w:t>Net</w:t>
            </w:r>
          </w:p>
        </w:tc>
        <w:tc>
          <w:tcPr>
            <w:tcW w:w="140" w:type="dxa"/>
            <w:vAlign w:val="bottom"/>
          </w:tcPr>
          <w:p>
            <w:pPr>
              <w:spacing w:after="0"/>
              <w:rPr>
                <w:sz w:val="14"/>
                <w:szCs w:val="14"/>
                <w:color w:val="auto"/>
              </w:rPr>
            </w:pPr>
          </w:p>
        </w:tc>
        <w:tc>
          <w:tcPr>
            <w:tcW w:w="760" w:type="dxa"/>
            <w:vAlign w:val="bottom"/>
          </w:tcPr>
          <w:p>
            <w:pPr>
              <w:jc w:val="center"/>
              <w:ind w:right="102"/>
              <w:spacing w:after="0"/>
              <w:rPr>
                <w:sz w:val="20"/>
                <w:szCs w:val="20"/>
                <w:color w:val="auto"/>
              </w:rPr>
            </w:pPr>
            <w:r>
              <w:rPr>
                <w:rFonts w:ascii="Arial" w:cs="Arial" w:eastAsia="Arial" w:hAnsi="Arial"/>
                <w:sz w:val="14"/>
                <w:szCs w:val="14"/>
                <w:color w:val="auto"/>
              </w:rPr>
              <w:t>Gross</w:t>
            </w: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jc w:val="center"/>
              <w:ind w:right="122"/>
              <w:spacing w:after="0"/>
              <w:rPr>
                <w:sz w:val="20"/>
                <w:szCs w:val="20"/>
                <w:color w:val="auto"/>
              </w:rPr>
            </w:pPr>
            <w:r>
              <w:rPr>
                <w:rFonts w:ascii="Arial" w:cs="Arial" w:eastAsia="Arial" w:hAnsi="Arial"/>
                <w:sz w:val="14"/>
                <w:szCs w:val="14"/>
                <w:color w:val="auto"/>
              </w:rPr>
              <w:t>Net</w:t>
            </w:r>
          </w:p>
        </w:tc>
        <w:tc>
          <w:tcPr>
            <w:tcW w:w="0" w:type="dxa"/>
            <w:vAlign w:val="bottom"/>
          </w:tcPr>
          <w:p>
            <w:pPr>
              <w:spacing w:after="0"/>
              <w:rPr>
                <w:sz w:val="1"/>
                <w:szCs w:val="1"/>
                <w:color w:val="auto"/>
              </w:rPr>
            </w:pPr>
          </w:p>
        </w:tc>
      </w:tr>
      <w:tr>
        <w:trPr>
          <w:trHeight w:val="162"/>
        </w:trPr>
        <w:tc>
          <w:tcPr>
            <w:tcW w:w="3280" w:type="dxa"/>
            <w:vAlign w:val="bottom"/>
          </w:tcPr>
          <w:p>
            <w:pPr>
              <w:spacing w:after="0"/>
              <w:rPr>
                <w:sz w:val="14"/>
                <w:szCs w:val="14"/>
                <w:color w:val="auto"/>
              </w:rPr>
            </w:pPr>
          </w:p>
        </w:tc>
        <w:tc>
          <w:tcPr>
            <w:tcW w:w="1680" w:type="dxa"/>
            <w:vAlign w:val="bottom"/>
            <w:gridSpan w:val="2"/>
          </w:tcPr>
          <w:p>
            <w:pPr>
              <w:ind w:left="660"/>
              <w:spacing w:after="0"/>
              <w:rPr>
                <w:sz w:val="20"/>
                <w:szCs w:val="20"/>
                <w:color w:val="auto"/>
              </w:rPr>
            </w:pPr>
            <w:r>
              <w:rPr>
                <w:rFonts w:ascii="Arial" w:cs="Arial" w:eastAsia="Arial" w:hAnsi="Arial"/>
                <w:sz w:val="14"/>
                <w:szCs w:val="14"/>
                <w:b w:val="1"/>
                <w:bCs w:val="1"/>
                <w:color w:val="auto"/>
              </w:rPr>
              <w:t>Life</w:t>
            </w: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rPr>
              <w:t>Carrying</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jc w:val="center"/>
              <w:ind w:right="81"/>
              <w:spacing w:after="0"/>
              <w:rPr>
                <w:sz w:val="20"/>
                <w:szCs w:val="20"/>
                <w:color w:val="auto"/>
              </w:rPr>
            </w:pPr>
            <w:r>
              <w:rPr>
                <w:rFonts w:ascii="Arial" w:cs="Arial" w:eastAsia="Arial" w:hAnsi="Arial"/>
                <w:sz w:val="14"/>
                <w:szCs w:val="14"/>
                <w:b w:val="1"/>
                <w:bCs w:val="1"/>
                <w:color w:val="auto"/>
              </w:rPr>
              <w:t>Accumulated</w:t>
            </w:r>
          </w:p>
        </w:tc>
        <w:tc>
          <w:tcPr>
            <w:tcW w:w="220" w:type="dxa"/>
            <w:vAlign w:val="bottom"/>
          </w:tcPr>
          <w:p>
            <w:pPr>
              <w:spacing w:after="0"/>
              <w:rPr>
                <w:sz w:val="14"/>
                <w:szCs w:val="14"/>
                <w:color w:val="auto"/>
              </w:rPr>
            </w:pPr>
          </w:p>
        </w:tc>
        <w:tc>
          <w:tcPr>
            <w:tcW w:w="880" w:type="dxa"/>
            <w:vAlign w:val="bottom"/>
          </w:tcPr>
          <w:p>
            <w:pPr>
              <w:jc w:val="center"/>
              <w:ind w:right="162"/>
              <w:spacing w:after="0"/>
              <w:rPr>
                <w:sz w:val="20"/>
                <w:szCs w:val="20"/>
                <w:color w:val="auto"/>
              </w:rPr>
            </w:pPr>
            <w:r>
              <w:rPr>
                <w:rFonts w:ascii="Arial" w:cs="Arial" w:eastAsia="Arial" w:hAnsi="Arial"/>
                <w:sz w:val="14"/>
                <w:szCs w:val="14"/>
                <w:b w:val="1"/>
                <w:bCs w:val="1"/>
                <w:color w:val="auto"/>
              </w:rPr>
              <w:t>Carrying</w:t>
            </w:r>
          </w:p>
        </w:tc>
        <w:tc>
          <w:tcPr>
            <w:tcW w:w="140" w:type="dxa"/>
            <w:vAlign w:val="bottom"/>
          </w:tcPr>
          <w:p>
            <w:pPr>
              <w:spacing w:after="0"/>
              <w:rPr>
                <w:sz w:val="14"/>
                <w:szCs w:val="14"/>
                <w:color w:val="auto"/>
              </w:rPr>
            </w:pPr>
          </w:p>
        </w:tc>
        <w:tc>
          <w:tcPr>
            <w:tcW w:w="760" w:type="dxa"/>
            <w:vAlign w:val="bottom"/>
          </w:tcPr>
          <w:p>
            <w:pPr>
              <w:jc w:val="center"/>
              <w:ind w:right="102"/>
              <w:spacing w:after="0"/>
              <w:rPr>
                <w:sz w:val="20"/>
                <w:szCs w:val="20"/>
                <w:color w:val="auto"/>
              </w:rPr>
            </w:pPr>
            <w:r>
              <w:rPr>
                <w:rFonts w:ascii="Arial" w:cs="Arial" w:eastAsia="Arial" w:hAnsi="Arial"/>
                <w:sz w:val="14"/>
                <w:szCs w:val="14"/>
                <w:color w:val="auto"/>
              </w:rPr>
              <w:t>Carrying</w:t>
            </w:r>
          </w:p>
        </w:tc>
        <w:tc>
          <w:tcPr>
            <w:tcW w:w="240" w:type="dxa"/>
            <w:vAlign w:val="bottom"/>
          </w:tcPr>
          <w:p>
            <w:pPr>
              <w:spacing w:after="0"/>
              <w:rPr>
                <w:sz w:val="14"/>
                <w:szCs w:val="14"/>
                <w:color w:val="auto"/>
              </w:rPr>
            </w:pPr>
          </w:p>
        </w:tc>
        <w:tc>
          <w:tcPr>
            <w:tcW w:w="1020" w:type="dxa"/>
            <w:vAlign w:val="bottom"/>
          </w:tcPr>
          <w:p>
            <w:pPr>
              <w:jc w:val="right"/>
              <w:ind w:right="101"/>
              <w:spacing w:after="0"/>
              <w:rPr>
                <w:sz w:val="20"/>
                <w:szCs w:val="20"/>
                <w:color w:val="auto"/>
              </w:rPr>
            </w:pPr>
            <w:r>
              <w:rPr>
                <w:rFonts w:ascii="Arial" w:cs="Arial" w:eastAsia="Arial" w:hAnsi="Arial"/>
                <w:sz w:val="14"/>
                <w:szCs w:val="14"/>
                <w:color w:val="auto"/>
              </w:rPr>
              <w:t>Accumulated</w:t>
            </w:r>
          </w:p>
        </w:tc>
        <w:tc>
          <w:tcPr>
            <w:tcW w:w="260" w:type="dxa"/>
            <w:vAlign w:val="bottom"/>
          </w:tcPr>
          <w:p>
            <w:pPr>
              <w:spacing w:after="0"/>
              <w:rPr>
                <w:sz w:val="14"/>
                <w:szCs w:val="14"/>
                <w:color w:val="auto"/>
              </w:rPr>
            </w:pPr>
          </w:p>
        </w:tc>
        <w:tc>
          <w:tcPr>
            <w:tcW w:w="740" w:type="dxa"/>
            <w:vAlign w:val="bottom"/>
          </w:tcPr>
          <w:p>
            <w:pPr>
              <w:jc w:val="center"/>
              <w:ind w:right="122"/>
              <w:spacing w:after="0"/>
              <w:rPr>
                <w:sz w:val="20"/>
                <w:szCs w:val="20"/>
                <w:color w:val="auto"/>
              </w:rPr>
            </w:pPr>
            <w:r>
              <w:rPr>
                <w:rFonts w:ascii="Arial" w:cs="Arial" w:eastAsia="Arial" w:hAnsi="Arial"/>
                <w:sz w:val="14"/>
                <w:szCs w:val="14"/>
                <w:color w:val="auto"/>
              </w:rPr>
              <w:t>Carrying</w:t>
            </w:r>
          </w:p>
        </w:tc>
        <w:tc>
          <w:tcPr>
            <w:tcW w:w="0" w:type="dxa"/>
            <w:vAlign w:val="bottom"/>
          </w:tcPr>
          <w:p>
            <w:pPr>
              <w:spacing w:after="0"/>
              <w:rPr>
                <w:sz w:val="1"/>
                <w:szCs w:val="1"/>
                <w:color w:val="auto"/>
              </w:rPr>
            </w:pPr>
          </w:p>
        </w:tc>
      </w:tr>
      <w:tr>
        <w:trPr>
          <w:trHeight w:val="203"/>
        </w:trPr>
        <w:tc>
          <w:tcPr>
            <w:tcW w:w="32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680" w:type="dxa"/>
            <w:vAlign w:val="bottom"/>
            <w:tcBorders>
              <w:bottom w:val="single" w:sz="8" w:color="auto"/>
            </w:tcBorders>
            <w:gridSpan w:val="2"/>
          </w:tcPr>
          <w:p>
            <w:pPr>
              <w:ind w:left="560"/>
              <w:spacing w:after="0"/>
              <w:rPr>
                <w:sz w:val="20"/>
                <w:szCs w:val="20"/>
                <w:color w:val="auto"/>
              </w:rPr>
            </w:pPr>
            <w:r>
              <w:rPr>
                <w:rFonts w:ascii="Arial" w:cs="Arial" w:eastAsia="Arial" w:hAnsi="Arial"/>
                <w:sz w:val="14"/>
                <w:szCs w:val="14"/>
                <w:b w:val="1"/>
                <w:bCs w:val="1"/>
                <w:color w:val="auto"/>
              </w:rPr>
              <w:t>Range</w:t>
            </w: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Amount</w:t>
            </w:r>
          </w:p>
        </w:tc>
        <w:tc>
          <w:tcPr>
            <w:tcW w:w="1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center"/>
              <w:ind w:right="61"/>
              <w:spacing w:after="0"/>
              <w:rPr>
                <w:sz w:val="20"/>
                <w:szCs w:val="20"/>
                <w:color w:val="auto"/>
              </w:rPr>
            </w:pPr>
            <w:r>
              <w:rPr>
                <w:rFonts w:ascii="Arial" w:cs="Arial" w:eastAsia="Arial" w:hAnsi="Arial"/>
                <w:sz w:val="14"/>
                <w:szCs w:val="14"/>
                <w:b w:val="1"/>
                <w:bCs w:val="1"/>
                <w:color w:val="auto"/>
              </w:rPr>
              <w:t>Amortization</w:t>
            </w:r>
          </w:p>
        </w:tc>
        <w:tc>
          <w:tcPr>
            <w:tcW w:w="2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center"/>
              <w:ind w:right="162"/>
              <w:spacing w:after="0"/>
              <w:rPr>
                <w:sz w:val="20"/>
                <w:szCs w:val="20"/>
                <w:color w:val="auto"/>
              </w:rPr>
            </w:pPr>
            <w:r>
              <w:rPr>
                <w:rFonts w:ascii="Arial" w:cs="Arial" w:eastAsia="Arial" w:hAnsi="Arial"/>
                <w:sz w:val="14"/>
                <w:szCs w:val="14"/>
                <w:b w:val="1"/>
                <w:bCs w:val="1"/>
                <w:color w:val="auto"/>
              </w:rPr>
              <w:t>Amount</w:t>
            </w:r>
          </w:p>
        </w:tc>
        <w:tc>
          <w:tcPr>
            <w:tcW w:w="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center"/>
              <w:ind w:right="62"/>
              <w:spacing w:after="0"/>
              <w:rPr>
                <w:sz w:val="20"/>
                <w:szCs w:val="20"/>
                <w:color w:val="auto"/>
              </w:rPr>
            </w:pPr>
            <w:r>
              <w:rPr>
                <w:rFonts w:ascii="Arial" w:cs="Arial" w:eastAsia="Arial" w:hAnsi="Arial"/>
                <w:sz w:val="14"/>
                <w:szCs w:val="14"/>
                <w:color w:val="auto"/>
              </w:rPr>
              <w:t>Amount</w:t>
            </w:r>
          </w:p>
        </w:tc>
        <w:tc>
          <w:tcPr>
            <w:tcW w:w="2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101"/>
              <w:spacing w:after="0"/>
              <w:rPr>
                <w:sz w:val="20"/>
                <w:szCs w:val="20"/>
                <w:color w:val="auto"/>
              </w:rPr>
            </w:pPr>
            <w:r>
              <w:rPr>
                <w:rFonts w:ascii="Arial" w:cs="Arial" w:eastAsia="Arial" w:hAnsi="Arial"/>
                <w:sz w:val="14"/>
                <w:szCs w:val="14"/>
                <w:color w:val="auto"/>
              </w:rPr>
              <w:t>Amortization</w:t>
            </w:r>
          </w:p>
        </w:tc>
        <w:tc>
          <w:tcPr>
            <w:tcW w:w="2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center"/>
              <w:ind w:right="82"/>
              <w:spacing w:after="0"/>
              <w:rPr>
                <w:sz w:val="20"/>
                <w:szCs w:val="20"/>
                <w:color w:val="auto"/>
              </w:rPr>
            </w:pPr>
            <w:r>
              <w:rPr>
                <w:rFonts w:ascii="Arial" w:cs="Arial" w:eastAsia="Arial" w:hAnsi="Arial"/>
                <w:sz w:val="14"/>
                <w:szCs w:val="14"/>
                <w:color w:val="auto"/>
              </w:rPr>
              <w:t>Amount</w:t>
            </w:r>
          </w:p>
        </w:tc>
        <w:tc>
          <w:tcPr>
            <w:tcW w:w="0" w:type="dxa"/>
            <w:vAlign w:val="bottom"/>
          </w:tcPr>
          <w:p>
            <w:pPr>
              <w:spacing w:after="0"/>
              <w:rPr>
                <w:sz w:val="1"/>
                <w:szCs w:val="1"/>
                <w:color w:val="auto"/>
              </w:rPr>
            </w:pPr>
          </w:p>
        </w:tc>
      </w:tr>
      <w:tr>
        <w:trPr>
          <w:trHeight w:val="257"/>
        </w:trPr>
        <w:tc>
          <w:tcPr>
            <w:tcW w:w="3280" w:type="dxa"/>
            <w:vAlign w:val="bottom"/>
          </w:tcPr>
          <w:p>
            <w:pPr>
              <w:ind w:left="40"/>
              <w:spacing w:after="0"/>
              <w:rPr>
                <w:sz w:val="20"/>
                <w:szCs w:val="20"/>
                <w:color w:val="auto"/>
              </w:rPr>
            </w:pPr>
            <w:r>
              <w:rPr>
                <w:rFonts w:ascii="Arial" w:cs="Arial" w:eastAsia="Arial" w:hAnsi="Arial"/>
                <w:sz w:val="16"/>
                <w:szCs w:val="16"/>
                <w:b w:val="1"/>
                <w:bCs w:val="1"/>
                <w:color w:val="auto"/>
              </w:rPr>
              <w:t>Amortized Intangible Assets</w:t>
            </w:r>
          </w:p>
        </w:tc>
        <w:tc>
          <w:tcPr>
            <w:tcW w:w="15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3280" w:type="dxa"/>
            <w:vAlign w:val="bottom"/>
          </w:tcPr>
          <w:p>
            <w:pPr>
              <w:ind w:left="180"/>
              <w:spacing w:after="0"/>
              <w:rPr>
                <w:sz w:val="20"/>
                <w:szCs w:val="20"/>
                <w:color w:val="auto"/>
              </w:rPr>
            </w:pPr>
            <w:r>
              <w:rPr>
                <w:rFonts w:ascii="Arial" w:cs="Arial" w:eastAsia="Arial" w:hAnsi="Arial"/>
                <w:sz w:val="16"/>
                <w:szCs w:val="16"/>
                <w:color w:val="auto"/>
              </w:rPr>
              <w:t>Student and customer relationships</w:t>
            </w:r>
          </w:p>
        </w:tc>
        <w:tc>
          <w:tcPr>
            <w:tcW w:w="1680" w:type="dxa"/>
            <w:vAlign w:val="bottom"/>
            <w:gridSpan w:val="2"/>
          </w:tcPr>
          <w:p>
            <w:pPr>
              <w:ind w:left="560"/>
              <w:spacing w:after="0"/>
              <w:rPr>
                <w:sz w:val="20"/>
                <w:szCs w:val="20"/>
                <w:color w:val="auto"/>
              </w:rPr>
            </w:pPr>
            <w:r>
              <w:rPr>
                <w:rFonts w:ascii="Arial" w:cs="Arial" w:eastAsia="Arial" w:hAnsi="Arial"/>
                <w:sz w:val="16"/>
                <w:szCs w:val="16"/>
                <w:b w:val="1"/>
                <w:bCs w:val="1"/>
                <w:color w:val="auto"/>
              </w:rPr>
              <w:t>2–10 years  $</w:t>
            </w:r>
          </w:p>
        </w:tc>
        <w:tc>
          <w:tcPr>
            <w:tcW w:w="680" w:type="dxa"/>
            <w:vAlign w:val="bottom"/>
          </w:tcPr>
          <w:p>
            <w:pPr>
              <w:jc w:val="right"/>
              <w:spacing w:after="0"/>
              <w:rPr>
                <w:sz w:val="20"/>
                <w:szCs w:val="20"/>
                <w:color w:val="auto"/>
              </w:rPr>
            </w:pPr>
            <w:r>
              <w:rPr>
                <w:rFonts w:ascii="Arial" w:cs="Arial" w:eastAsia="Arial" w:hAnsi="Arial"/>
                <w:sz w:val="16"/>
                <w:szCs w:val="16"/>
                <w:b w:val="1"/>
                <w:bCs w:val="1"/>
                <w:color w:val="auto"/>
              </w:rPr>
              <w:t>129,616</w:t>
            </w:r>
          </w:p>
        </w:tc>
        <w:tc>
          <w:tcPr>
            <w:tcW w:w="38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w:t>
            </w:r>
          </w:p>
        </w:tc>
        <w:tc>
          <w:tcPr>
            <w:tcW w:w="1140" w:type="dxa"/>
            <w:vAlign w:val="bottom"/>
          </w:tcPr>
          <w:p>
            <w:pPr>
              <w:jc w:val="right"/>
              <w:ind w:right="41"/>
              <w:spacing w:after="0"/>
              <w:rPr>
                <w:sz w:val="20"/>
                <w:szCs w:val="20"/>
                <w:color w:val="auto"/>
              </w:rPr>
            </w:pPr>
            <w:r>
              <w:rPr>
                <w:rFonts w:ascii="Arial" w:cs="Arial" w:eastAsia="Arial" w:hAnsi="Arial"/>
                <w:sz w:val="16"/>
                <w:szCs w:val="16"/>
                <w:b w:val="1"/>
                <w:bCs w:val="1"/>
                <w:color w:val="auto"/>
              </w:rPr>
              <w:t>55,863</w:t>
            </w:r>
          </w:p>
        </w:tc>
        <w:tc>
          <w:tcPr>
            <w:tcW w:w="2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880" w:type="dxa"/>
            <w:vAlign w:val="bottom"/>
          </w:tcPr>
          <w:p>
            <w:pPr>
              <w:jc w:val="right"/>
              <w:ind w:right="142"/>
              <w:spacing w:after="0"/>
              <w:rPr>
                <w:sz w:val="20"/>
                <w:szCs w:val="20"/>
                <w:color w:val="auto"/>
              </w:rPr>
            </w:pPr>
            <w:r>
              <w:rPr>
                <w:rFonts w:ascii="Arial" w:cs="Arial" w:eastAsia="Arial" w:hAnsi="Arial"/>
                <w:sz w:val="16"/>
                <w:szCs w:val="16"/>
                <w:b w:val="1"/>
                <w:bCs w:val="1"/>
                <w:color w:val="auto"/>
              </w:rPr>
              <w:t>73,753</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22"/>
              <w:spacing w:after="0"/>
              <w:rPr>
                <w:sz w:val="20"/>
                <w:szCs w:val="20"/>
                <w:color w:val="auto"/>
              </w:rPr>
            </w:pPr>
            <w:r>
              <w:rPr>
                <w:rFonts w:ascii="Arial" w:cs="Arial" w:eastAsia="Arial" w:hAnsi="Arial"/>
                <w:sz w:val="16"/>
                <w:szCs w:val="16"/>
                <w:color w:val="auto"/>
              </w:rPr>
              <w:t>108,806</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41"/>
              <w:spacing w:after="0"/>
              <w:rPr>
                <w:sz w:val="20"/>
                <w:szCs w:val="20"/>
                <w:color w:val="auto"/>
              </w:rPr>
            </w:pPr>
            <w:r>
              <w:rPr>
                <w:rFonts w:ascii="Arial" w:cs="Arial" w:eastAsia="Arial" w:hAnsi="Arial"/>
                <w:sz w:val="16"/>
                <w:szCs w:val="16"/>
                <w:color w:val="auto"/>
              </w:rPr>
              <w:t>40,280</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22"/>
              <w:spacing w:after="0"/>
              <w:rPr>
                <w:sz w:val="20"/>
                <w:szCs w:val="20"/>
                <w:color w:val="auto"/>
              </w:rPr>
            </w:pPr>
            <w:r>
              <w:rPr>
                <w:rFonts w:ascii="Arial" w:cs="Arial" w:eastAsia="Arial" w:hAnsi="Arial"/>
                <w:sz w:val="16"/>
                <w:szCs w:val="16"/>
                <w:color w:val="auto"/>
              </w:rPr>
              <w:t>68,526</w:t>
            </w:r>
          </w:p>
        </w:tc>
        <w:tc>
          <w:tcPr>
            <w:tcW w:w="0" w:type="dxa"/>
            <w:vAlign w:val="bottom"/>
          </w:tcPr>
          <w:p>
            <w:pPr>
              <w:spacing w:after="0"/>
              <w:rPr>
                <w:sz w:val="1"/>
                <w:szCs w:val="1"/>
                <w:color w:val="auto"/>
              </w:rPr>
            </w:pPr>
          </w:p>
        </w:tc>
      </w:tr>
      <w:tr>
        <w:trPr>
          <w:trHeight w:val="270"/>
        </w:trPr>
        <w:tc>
          <w:tcPr>
            <w:tcW w:w="3280" w:type="dxa"/>
            <w:vAlign w:val="bottom"/>
          </w:tcPr>
          <w:p>
            <w:pPr>
              <w:ind w:left="180"/>
              <w:spacing w:after="0"/>
              <w:rPr>
                <w:sz w:val="20"/>
                <w:szCs w:val="20"/>
                <w:color w:val="auto"/>
              </w:rPr>
            </w:pPr>
            <w:r>
              <w:rPr>
                <w:rFonts w:ascii="Arial" w:cs="Arial" w:eastAsia="Arial" w:hAnsi="Arial"/>
                <w:sz w:val="16"/>
                <w:szCs w:val="16"/>
                <w:color w:val="auto"/>
              </w:rPr>
              <w:t>Trade names and trademarks</w:t>
            </w:r>
          </w:p>
        </w:tc>
        <w:tc>
          <w:tcPr>
            <w:tcW w:w="1680" w:type="dxa"/>
            <w:vAlign w:val="bottom"/>
            <w:gridSpan w:val="2"/>
          </w:tcPr>
          <w:p>
            <w:pPr>
              <w:ind w:left="560"/>
              <w:spacing w:after="0"/>
              <w:rPr>
                <w:sz w:val="20"/>
                <w:szCs w:val="20"/>
                <w:color w:val="auto"/>
              </w:rPr>
            </w:pPr>
            <w:r>
              <w:rPr>
                <w:rFonts w:ascii="Arial" w:cs="Arial" w:eastAsia="Arial" w:hAnsi="Arial"/>
                <w:sz w:val="16"/>
                <w:szCs w:val="16"/>
                <w:b w:val="1"/>
                <w:bCs w:val="1"/>
                <w:color w:val="auto"/>
              </w:rPr>
              <w:t>2–10 years</w:t>
            </w:r>
          </w:p>
        </w:tc>
        <w:tc>
          <w:tcPr>
            <w:tcW w:w="680" w:type="dxa"/>
            <w:vAlign w:val="bottom"/>
          </w:tcPr>
          <w:p>
            <w:pPr>
              <w:jc w:val="right"/>
              <w:spacing w:after="0"/>
              <w:rPr>
                <w:sz w:val="20"/>
                <w:szCs w:val="20"/>
                <w:color w:val="auto"/>
              </w:rPr>
            </w:pPr>
            <w:r>
              <w:rPr>
                <w:rFonts w:ascii="Arial" w:cs="Arial" w:eastAsia="Arial" w:hAnsi="Arial"/>
                <w:sz w:val="16"/>
                <w:szCs w:val="16"/>
                <w:b w:val="1"/>
                <w:bCs w:val="1"/>
                <w:color w:val="auto"/>
              </w:rPr>
              <w:t>55,240</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40" w:type="dxa"/>
            <w:vAlign w:val="bottom"/>
          </w:tcPr>
          <w:p>
            <w:pPr>
              <w:jc w:val="right"/>
              <w:ind w:right="41"/>
              <w:spacing w:after="0"/>
              <w:rPr>
                <w:sz w:val="20"/>
                <w:szCs w:val="20"/>
                <w:color w:val="auto"/>
              </w:rPr>
            </w:pPr>
            <w:r>
              <w:rPr>
                <w:rFonts w:ascii="Arial" w:cs="Arial" w:eastAsia="Arial" w:hAnsi="Arial"/>
                <w:sz w:val="16"/>
                <w:szCs w:val="16"/>
                <w:b w:val="1"/>
                <w:bCs w:val="1"/>
                <w:color w:val="auto"/>
              </w:rPr>
              <w:t>29,670</w:t>
            </w:r>
          </w:p>
        </w:tc>
        <w:tc>
          <w:tcPr>
            <w:tcW w:w="220" w:type="dxa"/>
            <w:vAlign w:val="bottom"/>
          </w:tcPr>
          <w:p>
            <w:pPr>
              <w:spacing w:after="0"/>
              <w:rPr>
                <w:sz w:val="23"/>
                <w:szCs w:val="23"/>
                <w:color w:val="auto"/>
              </w:rPr>
            </w:pPr>
          </w:p>
        </w:tc>
        <w:tc>
          <w:tcPr>
            <w:tcW w:w="880" w:type="dxa"/>
            <w:vAlign w:val="bottom"/>
          </w:tcPr>
          <w:p>
            <w:pPr>
              <w:jc w:val="right"/>
              <w:ind w:right="142"/>
              <w:spacing w:after="0"/>
              <w:rPr>
                <w:sz w:val="20"/>
                <w:szCs w:val="20"/>
                <w:color w:val="auto"/>
              </w:rPr>
            </w:pPr>
            <w:r>
              <w:rPr>
                <w:rFonts w:ascii="Arial" w:cs="Arial" w:eastAsia="Arial" w:hAnsi="Arial"/>
                <w:sz w:val="16"/>
                <w:szCs w:val="16"/>
                <w:b w:val="1"/>
                <w:bCs w:val="1"/>
                <w:color w:val="auto"/>
              </w:rPr>
              <w:t>25,570</w:t>
            </w:r>
          </w:p>
        </w:tc>
        <w:tc>
          <w:tcPr>
            <w:tcW w:w="140" w:type="dxa"/>
            <w:vAlign w:val="bottom"/>
          </w:tcPr>
          <w:p>
            <w:pPr>
              <w:spacing w:after="0"/>
              <w:rPr>
                <w:sz w:val="23"/>
                <w:szCs w:val="23"/>
                <w:color w:val="auto"/>
              </w:rPr>
            </w:pPr>
          </w:p>
        </w:tc>
        <w:tc>
          <w:tcPr>
            <w:tcW w:w="760" w:type="dxa"/>
            <w:vAlign w:val="bottom"/>
          </w:tcPr>
          <w:p>
            <w:pPr>
              <w:jc w:val="right"/>
              <w:ind w:right="22"/>
              <w:spacing w:after="0"/>
              <w:rPr>
                <w:sz w:val="20"/>
                <w:szCs w:val="20"/>
                <w:color w:val="auto"/>
              </w:rPr>
            </w:pPr>
            <w:r>
              <w:rPr>
                <w:rFonts w:ascii="Arial" w:cs="Arial" w:eastAsia="Arial" w:hAnsi="Arial"/>
                <w:sz w:val="16"/>
                <w:szCs w:val="16"/>
                <w:color w:val="auto"/>
              </w:rPr>
              <w:t>53,848</w:t>
            </w:r>
          </w:p>
        </w:tc>
        <w:tc>
          <w:tcPr>
            <w:tcW w:w="240" w:type="dxa"/>
            <w:vAlign w:val="bottom"/>
          </w:tcPr>
          <w:p>
            <w:pPr>
              <w:spacing w:after="0"/>
              <w:rPr>
                <w:sz w:val="23"/>
                <w:szCs w:val="23"/>
                <w:color w:val="auto"/>
              </w:rPr>
            </w:pPr>
          </w:p>
        </w:tc>
        <w:tc>
          <w:tcPr>
            <w:tcW w:w="1020" w:type="dxa"/>
            <w:vAlign w:val="bottom"/>
          </w:tcPr>
          <w:p>
            <w:pPr>
              <w:jc w:val="right"/>
              <w:ind w:right="41"/>
              <w:spacing w:after="0"/>
              <w:rPr>
                <w:sz w:val="20"/>
                <w:szCs w:val="20"/>
                <w:color w:val="auto"/>
              </w:rPr>
            </w:pPr>
            <w:r>
              <w:rPr>
                <w:rFonts w:ascii="Arial" w:cs="Arial" w:eastAsia="Arial" w:hAnsi="Arial"/>
                <w:sz w:val="16"/>
                <w:szCs w:val="16"/>
                <w:color w:val="auto"/>
              </w:rPr>
              <w:t>23,941</w:t>
            </w:r>
          </w:p>
        </w:tc>
        <w:tc>
          <w:tcPr>
            <w:tcW w:w="260" w:type="dxa"/>
            <w:vAlign w:val="bottom"/>
          </w:tcPr>
          <w:p>
            <w:pPr>
              <w:spacing w:after="0"/>
              <w:rPr>
                <w:sz w:val="23"/>
                <w:szCs w:val="23"/>
                <w:color w:val="auto"/>
              </w:rPr>
            </w:pPr>
          </w:p>
        </w:tc>
        <w:tc>
          <w:tcPr>
            <w:tcW w:w="740" w:type="dxa"/>
            <w:vAlign w:val="bottom"/>
          </w:tcPr>
          <w:p>
            <w:pPr>
              <w:jc w:val="right"/>
              <w:ind w:right="22"/>
              <w:spacing w:after="0"/>
              <w:rPr>
                <w:sz w:val="20"/>
                <w:szCs w:val="20"/>
                <w:color w:val="auto"/>
              </w:rPr>
            </w:pPr>
            <w:r>
              <w:rPr>
                <w:rFonts w:ascii="Arial" w:cs="Arial" w:eastAsia="Arial" w:hAnsi="Arial"/>
                <w:sz w:val="16"/>
                <w:szCs w:val="16"/>
                <w:color w:val="auto"/>
              </w:rPr>
              <w:t>29,907</w:t>
            </w:r>
          </w:p>
        </w:tc>
        <w:tc>
          <w:tcPr>
            <w:tcW w:w="0" w:type="dxa"/>
            <w:vAlign w:val="bottom"/>
          </w:tcPr>
          <w:p>
            <w:pPr>
              <w:spacing w:after="0"/>
              <w:rPr>
                <w:sz w:val="1"/>
                <w:szCs w:val="1"/>
                <w:color w:val="auto"/>
              </w:rPr>
            </w:pPr>
          </w:p>
        </w:tc>
      </w:tr>
      <w:tr>
        <w:trPr>
          <w:trHeight w:val="270"/>
        </w:trPr>
        <w:tc>
          <w:tcPr>
            <w:tcW w:w="3280" w:type="dxa"/>
            <w:vAlign w:val="bottom"/>
          </w:tcPr>
          <w:p>
            <w:pPr>
              <w:ind w:left="180"/>
              <w:spacing w:after="0"/>
              <w:rPr>
                <w:sz w:val="20"/>
                <w:szCs w:val="20"/>
                <w:color w:val="auto"/>
              </w:rPr>
            </w:pPr>
            <w:r>
              <w:rPr>
                <w:rFonts w:ascii="Arial" w:cs="Arial" w:eastAsia="Arial" w:hAnsi="Arial"/>
                <w:sz w:val="16"/>
                <w:szCs w:val="16"/>
                <w:color w:val="auto"/>
              </w:rPr>
              <w:t>Databases and technology</w:t>
            </w:r>
          </w:p>
        </w:tc>
        <w:tc>
          <w:tcPr>
            <w:tcW w:w="1680" w:type="dxa"/>
            <w:vAlign w:val="bottom"/>
            <w:gridSpan w:val="2"/>
          </w:tcPr>
          <w:p>
            <w:pPr>
              <w:ind w:left="640"/>
              <w:spacing w:after="0"/>
              <w:rPr>
                <w:sz w:val="20"/>
                <w:szCs w:val="20"/>
                <w:color w:val="auto"/>
              </w:rPr>
            </w:pPr>
            <w:r>
              <w:rPr>
                <w:rFonts w:ascii="Arial" w:cs="Arial" w:eastAsia="Arial" w:hAnsi="Arial"/>
                <w:sz w:val="16"/>
                <w:szCs w:val="16"/>
                <w:b w:val="1"/>
                <w:bCs w:val="1"/>
                <w:color w:val="auto"/>
              </w:rPr>
              <w:t>3–5 years</w:t>
            </w:r>
          </w:p>
        </w:tc>
        <w:tc>
          <w:tcPr>
            <w:tcW w:w="680" w:type="dxa"/>
            <w:vAlign w:val="bottom"/>
          </w:tcPr>
          <w:p>
            <w:pPr>
              <w:jc w:val="right"/>
              <w:spacing w:after="0"/>
              <w:rPr>
                <w:sz w:val="20"/>
                <w:szCs w:val="20"/>
                <w:color w:val="auto"/>
              </w:rPr>
            </w:pPr>
            <w:r>
              <w:rPr>
                <w:rFonts w:ascii="Arial" w:cs="Arial" w:eastAsia="Arial" w:hAnsi="Arial"/>
                <w:sz w:val="16"/>
                <w:szCs w:val="16"/>
                <w:b w:val="1"/>
                <w:bCs w:val="1"/>
                <w:color w:val="auto"/>
              </w:rPr>
              <w:t>5,601</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40" w:type="dxa"/>
            <w:vAlign w:val="bottom"/>
          </w:tcPr>
          <w:p>
            <w:pPr>
              <w:jc w:val="right"/>
              <w:ind w:right="41"/>
              <w:spacing w:after="0"/>
              <w:rPr>
                <w:sz w:val="20"/>
                <w:szCs w:val="20"/>
                <w:color w:val="auto"/>
              </w:rPr>
            </w:pPr>
            <w:r>
              <w:rPr>
                <w:rFonts w:ascii="Arial" w:cs="Arial" w:eastAsia="Arial" w:hAnsi="Arial"/>
                <w:sz w:val="16"/>
                <w:szCs w:val="16"/>
                <w:b w:val="1"/>
                <w:bCs w:val="1"/>
                <w:color w:val="auto"/>
              </w:rPr>
              <w:t>4,368</w:t>
            </w:r>
          </w:p>
        </w:tc>
        <w:tc>
          <w:tcPr>
            <w:tcW w:w="220" w:type="dxa"/>
            <w:vAlign w:val="bottom"/>
          </w:tcPr>
          <w:p>
            <w:pPr>
              <w:spacing w:after="0"/>
              <w:rPr>
                <w:sz w:val="23"/>
                <w:szCs w:val="23"/>
                <w:color w:val="auto"/>
              </w:rPr>
            </w:pPr>
          </w:p>
        </w:tc>
        <w:tc>
          <w:tcPr>
            <w:tcW w:w="880" w:type="dxa"/>
            <w:vAlign w:val="bottom"/>
          </w:tcPr>
          <w:p>
            <w:pPr>
              <w:jc w:val="right"/>
              <w:ind w:right="142"/>
              <w:spacing w:after="0"/>
              <w:rPr>
                <w:sz w:val="20"/>
                <w:szCs w:val="20"/>
                <w:color w:val="auto"/>
              </w:rPr>
            </w:pPr>
            <w:r>
              <w:rPr>
                <w:rFonts w:ascii="Arial" w:cs="Arial" w:eastAsia="Arial" w:hAnsi="Arial"/>
                <w:sz w:val="16"/>
                <w:szCs w:val="16"/>
                <w:b w:val="1"/>
                <w:bCs w:val="1"/>
                <w:color w:val="auto"/>
              </w:rPr>
              <w:t>1,233</w:t>
            </w:r>
          </w:p>
        </w:tc>
        <w:tc>
          <w:tcPr>
            <w:tcW w:w="140" w:type="dxa"/>
            <w:vAlign w:val="bottom"/>
          </w:tcPr>
          <w:p>
            <w:pPr>
              <w:spacing w:after="0"/>
              <w:rPr>
                <w:sz w:val="23"/>
                <w:szCs w:val="23"/>
                <w:color w:val="auto"/>
              </w:rPr>
            </w:pPr>
          </w:p>
        </w:tc>
        <w:tc>
          <w:tcPr>
            <w:tcW w:w="760" w:type="dxa"/>
            <w:vAlign w:val="bottom"/>
          </w:tcPr>
          <w:p>
            <w:pPr>
              <w:jc w:val="right"/>
              <w:ind w:right="22"/>
              <w:spacing w:after="0"/>
              <w:rPr>
                <w:sz w:val="20"/>
                <w:szCs w:val="20"/>
                <w:color w:val="auto"/>
              </w:rPr>
            </w:pPr>
            <w:r>
              <w:rPr>
                <w:rFonts w:ascii="Arial" w:cs="Arial" w:eastAsia="Arial" w:hAnsi="Arial"/>
                <w:sz w:val="16"/>
                <w:szCs w:val="16"/>
                <w:color w:val="auto"/>
              </w:rPr>
              <w:t>4,617</w:t>
            </w:r>
          </w:p>
        </w:tc>
        <w:tc>
          <w:tcPr>
            <w:tcW w:w="240" w:type="dxa"/>
            <w:vAlign w:val="bottom"/>
          </w:tcPr>
          <w:p>
            <w:pPr>
              <w:spacing w:after="0"/>
              <w:rPr>
                <w:sz w:val="23"/>
                <w:szCs w:val="23"/>
                <w:color w:val="auto"/>
              </w:rPr>
            </w:pPr>
          </w:p>
        </w:tc>
        <w:tc>
          <w:tcPr>
            <w:tcW w:w="1020" w:type="dxa"/>
            <w:vAlign w:val="bottom"/>
          </w:tcPr>
          <w:p>
            <w:pPr>
              <w:jc w:val="right"/>
              <w:ind w:right="41"/>
              <w:spacing w:after="0"/>
              <w:rPr>
                <w:sz w:val="20"/>
                <w:szCs w:val="20"/>
                <w:color w:val="auto"/>
              </w:rPr>
            </w:pPr>
            <w:r>
              <w:rPr>
                <w:rFonts w:ascii="Arial" w:cs="Arial" w:eastAsia="Arial" w:hAnsi="Arial"/>
                <w:sz w:val="16"/>
                <w:szCs w:val="16"/>
                <w:color w:val="auto"/>
              </w:rPr>
              <w:t>4,114</w:t>
            </w:r>
          </w:p>
        </w:tc>
        <w:tc>
          <w:tcPr>
            <w:tcW w:w="260" w:type="dxa"/>
            <w:vAlign w:val="bottom"/>
          </w:tcPr>
          <w:p>
            <w:pPr>
              <w:spacing w:after="0"/>
              <w:rPr>
                <w:sz w:val="23"/>
                <w:szCs w:val="23"/>
                <w:color w:val="auto"/>
              </w:rPr>
            </w:pPr>
          </w:p>
        </w:tc>
        <w:tc>
          <w:tcPr>
            <w:tcW w:w="740" w:type="dxa"/>
            <w:vAlign w:val="bottom"/>
          </w:tcPr>
          <w:p>
            <w:pPr>
              <w:jc w:val="right"/>
              <w:ind w:right="22"/>
              <w:spacing w:after="0"/>
              <w:rPr>
                <w:sz w:val="20"/>
                <w:szCs w:val="20"/>
                <w:color w:val="auto"/>
              </w:rPr>
            </w:pPr>
            <w:r>
              <w:rPr>
                <w:rFonts w:ascii="Arial" w:cs="Arial" w:eastAsia="Arial" w:hAnsi="Arial"/>
                <w:sz w:val="16"/>
                <w:szCs w:val="16"/>
                <w:color w:val="auto"/>
              </w:rPr>
              <w:t>503</w:t>
            </w:r>
          </w:p>
        </w:tc>
        <w:tc>
          <w:tcPr>
            <w:tcW w:w="0" w:type="dxa"/>
            <w:vAlign w:val="bottom"/>
          </w:tcPr>
          <w:p>
            <w:pPr>
              <w:spacing w:after="0"/>
              <w:rPr>
                <w:sz w:val="1"/>
                <w:szCs w:val="1"/>
                <w:color w:val="auto"/>
              </w:rPr>
            </w:pPr>
          </w:p>
        </w:tc>
      </w:tr>
      <w:tr>
        <w:trPr>
          <w:trHeight w:val="270"/>
        </w:trPr>
        <w:tc>
          <w:tcPr>
            <w:tcW w:w="3280" w:type="dxa"/>
            <w:vAlign w:val="bottom"/>
          </w:tcPr>
          <w:p>
            <w:pPr>
              <w:ind w:left="180"/>
              <w:spacing w:after="0"/>
              <w:rPr>
                <w:sz w:val="20"/>
                <w:szCs w:val="20"/>
                <w:color w:val="auto"/>
              </w:rPr>
            </w:pPr>
            <w:r>
              <w:rPr>
                <w:rFonts w:ascii="Arial" w:cs="Arial" w:eastAsia="Arial" w:hAnsi="Arial"/>
                <w:sz w:val="16"/>
                <w:szCs w:val="16"/>
                <w:color w:val="auto"/>
              </w:rPr>
              <w:t>Noncompete agreements</w:t>
            </w:r>
          </w:p>
        </w:tc>
        <w:tc>
          <w:tcPr>
            <w:tcW w:w="1680" w:type="dxa"/>
            <w:vAlign w:val="bottom"/>
            <w:gridSpan w:val="2"/>
          </w:tcPr>
          <w:p>
            <w:pPr>
              <w:ind w:left="640"/>
              <w:spacing w:after="0"/>
              <w:rPr>
                <w:sz w:val="20"/>
                <w:szCs w:val="20"/>
                <w:color w:val="auto"/>
              </w:rPr>
            </w:pPr>
            <w:r>
              <w:rPr>
                <w:rFonts w:ascii="Arial" w:cs="Arial" w:eastAsia="Arial" w:hAnsi="Arial"/>
                <w:sz w:val="16"/>
                <w:szCs w:val="16"/>
                <w:b w:val="1"/>
                <w:bCs w:val="1"/>
                <w:color w:val="auto"/>
              </w:rPr>
              <w:t>2–5 years</w:t>
            </w:r>
          </w:p>
        </w:tc>
        <w:tc>
          <w:tcPr>
            <w:tcW w:w="680" w:type="dxa"/>
            <w:vAlign w:val="bottom"/>
          </w:tcPr>
          <w:p>
            <w:pPr>
              <w:jc w:val="right"/>
              <w:spacing w:after="0"/>
              <w:rPr>
                <w:sz w:val="20"/>
                <w:szCs w:val="20"/>
                <w:color w:val="auto"/>
              </w:rPr>
            </w:pPr>
            <w:r>
              <w:rPr>
                <w:rFonts w:ascii="Arial" w:cs="Arial" w:eastAsia="Arial" w:hAnsi="Arial"/>
                <w:sz w:val="16"/>
                <w:szCs w:val="16"/>
                <w:b w:val="1"/>
                <w:bCs w:val="1"/>
                <w:color w:val="auto"/>
              </w:rPr>
              <w:t>1,730</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40" w:type="dxa"/>
            <w:vAlign w:val="bottom"/>
          </w:tcPr>
          <w:p>
            <w:pPr>
              <w:jc w:val="right"/>
              <w:ind w:right="41"/>
              <w:spacing w:after="0"/>
              <w:rPr>
                <w:sz w:val="20"/>
                <w:szCs w:val="20"/>
                <w:color w:val="auto"/>
              </w:rPr>
            </w:pPr>
            <w:r>
              <w:rPr>
                <w:rFonts w:ascii="Arial" w:cs="Arial" w:eastAsia="Arial" w:hAnsi="Arial"/>
                <w:sz w:val="16"/>
                <w:szCs w:val="16"/>
                <w:b w:val="1"/>
                <w:bCs w:val="1"/>
                <w:color w:val="auto"/>
              </w:rPr>
              <w:t>1,404</w:t>
            </w:r>
          </w:p>
        </w:tc>
        <w:tc>
          <w:tcPr>
            <w:tcW w:w="220" w:type="dxa"/>
            <w:vAlign w:val="bottom"/>
          </w:tcPr>
          <w:p>
            <w:pPr>
              <w:spacing w:after="0"/>
              <w:rPr>
                <w:sz w:val="23"/>
                <w:szCs w:val="23"/>
                <w:color w:val="auto"/>
              </w:rPr>
            </w:pPr>
          </w:p>
        </w:tc>
        <w:tc>
          <w:tcPr>
            <w:tcW w:w="880" w:type="dxa"/>
            <w:vAlign w:val="bottom"/>
          </w:tcPr>
          <w:p>
            <w:pPr>
              <w:jc w:val="right"/>
              <w:ind w:right="142"/>
              <w:spacing w:after="0"/>
              <w:rPr>
                <w:sz w:val="20"/>
                <w:szCs w:val="20"/>
                <w:color w:val="auto"/>
              </w:rPr>
            </w:pPr>
            <w:r>
              <w:rPr>
                <w:rFonts w:ascii="Arial" w:cs="Arial" w:eastAsia="Arial" w:hAnsi="Arial"/>
                <w:sz w:val="16"/>
                <w:szCs w:val="16"/>
                <w:b w:val="1"/>
                <w:bCs w:val="1"/>
                <w:color w:val="auto"/>
              </w:rPr>
              <w:t>326</w:t>
            </w:r>
          </w:p>
        </w:tc>
        <w:tc>
          <w:tcPr>
            <w:tcW w:w="140" w:type="dxa"/>
            <w:vAlign w:val="bottom"/>
          </w:tcPr>
          <w:p>
            <w:pPr>
              <w:spacing w:after="0"/>
              <w:rPr>
                <w:sz w:val="23"/>
                <w:szCs w:val="23"/>
                <w:color w:val="auto"/>
              </w:rPr>
            </w:pPr>
          </w:p>
        </w:tc>
        <w:tc>
          <w:tcPr>
            <w:tcW w:w="760" w:type="dxa"/>
            <w:vAlign w:val="bottom"/>
          </w:tcPr>
          <w:p>
            <w:pPr>
              <w:jc w:val="right"/>
              <w:ind w:right="22"/>
              <w:spacing w:after="0"/>
              <w:rPr>
                <w:sz w:val="20"/>
                <w:szCs w:val="20"/>
                <w:color w:val="auto"/>
              </w:rPr>
            </w:pPr>
            <w:r>
              <w:rPr>
                <w:rFonts w:ascii="Arial" w:cs="Arial" w:eastAsia="Arial" w:hAnsi="Arial"/>
                <w:sz w:val="16"/>
                <w:szCs w:val="16"/>
                <w:color w:val="auto"/>
              </w:rPr>
              <w:t>1,381</w:t>
            </w:r>
          </w:p>
        </w:tc>
        <w:tc>
          <w:tcPr>
            <w:tcW w:w="240" w:type="dxa"/>
            <w:vAlign w:val="bottom"/>
          </w:tcPr>
          <w:p>
            <w:pPr>
              <w:spacing w:after="0"/>
              <w:rPr>
                <w:sz w:val="23"/>
                <w:szCs w:val="23"/>
                <w:color w:val="auto"/>
              </w:rPr>
            </w:pPr>
          </w:p>
        </w:tc>
        <w:tc>
          <w:tcPr>
            <w:tcW w:w="1020" w:type="dxa"/>
            <w:vAlign w:val="bottom"/>
          </w:tcPr>
          <w:p>
            <w:pPr>
              <w:jc w:val="right"/>
              <w:ind w:right="41"/>
              <w:spacing w:after="0"/>
              <w:rPr>
                <w:sz w:val="20"/>
                <w:szCs w:val="20"/>
                <w:color w:val="auto"/>
              </w:rPr>
            </w:pPr>
            <w:r>
              <w:rPr>
                <w:rFonts w:ascii="Arial" w:cs="Arial" w:eastAsia="Arial" w:hAnsi="Arial"/>
                <w:sz w:val="16"/>
                <w:szCs w:val="16"/>
                <w:color w:val="auto"/>
              </w:rPr>
              <w:t>1,012</w:t>
            </w:r>
          </w:p>
        </w:tc>
        <w:tc>
          <w:tcPr>
            <w:tcW w:w="260" w:type="dxa"/>
            <w:vAlign w:val="bottom"/>
          </w:tcPr>
          <w:p>
            <w:pPr>
              <w:spacing w:after="0"/>
              <w:rPr>
                <w:sz w:val="23"/>
                <w:szCs w:val="23"/>
                <w:color w:val="auto"/>
              </w:rPr>
            </w:pPr>
          </w:p>
        </w:tc>
        <w:tc>
          <w:tcPr>
            <w:tcW w:w="740" w:type="dxa"/>
            <w:vAlign w:val="bottom"/>
          </w:tcPr>
          <w:p>
            <w:pPr>
              <w:jc w:val="right"/>
              <w:ind w:right="22"/>
              <w:spacing w:after="0"/>
              <w:rPr>
                <w:sz w:val="20"/>
                <w:szCs w:val="20"/>
                <w:color w:val="auto"/>
              </w:rPr>
            </w:pPr>
            <w:r>
              <w:rPr>
                <w:rFonts w:ascii="Arial" w:cs="Arial" w:eastAsia="Arial" w:hAnsi="Arial"/>
                <w:sz w:val="16"/>
                <w:szCs w:val="16"/>
                <w:color w:val="auto"/>
              </w:rPr>
              <w:t>369</w:t>
            </w:r>
          </w:p>
        </w:tc>
        <w:tc>
          <w:tcPr>
            <w:tcW w:w="0" w:type="dxa"/>
            <w:vAlign w:val="bottom"/>
          </w:tcPr>
          <w:p>
            <w:pPr>
              <w:spacing w:after="0"/>
              <w:rPr>
                <w:sz w:val="1"/>
                <w:szCs w:val="1"/>
                <w:color w:val="auto"/>
              </w:rPr>
            </w:pPr>
          </w:p>
        </w:tc>
      </w:tr>
      <w:tr>
        <w:trPr>
          <w:trHeight w:val="274"/>
        </w:trPr>
        <w:tc>
          <w:tcPr>
            <w:tcW w:w="3280" w:type="dxa"/>
            <w:vAlign w:val="bottom"/>
          </w:tcPr>
          <w:p>
            <w:pPr>
              <w:ind w:left="180"/>
              <w:spacing w:after="0"/>
              <w:rPr>
                <w:sz w:val="20"/>
                <w:szCs w:val="20"/>
                <w:color w:val="auto"/>
              </w:rPr>
            </w:pPr>
            <w:r>
              <w:rPr>
                <w:rFonts w:ascii="Arial" w:cs="Arial" w:eastAsia="Arial" w:hAnsi="Arial"/>
                <w:sz w:val="16"/>
                <w:szCs w:val="16"/>
                <w:color w:val="auto"/>
              </w:rPr>
              <w:t>Other</w:t>
            </w:r>
          </w:p>
        </w:tc>
        <w:tc>
          <w:tcPr>
            <w:tcW w:w="1540" w:type="dxa"/>
            <w:vAlign w:val="bottom"/>
          </w:tcPr>
          <w:p>
            <w:pPr>
              <w:ind w:left="640"/>
              <w:spacing w:after="0"/>
              <w:rPr>
                <w:sz w:val="20"/>
                <w:szCs w:val="20"/>
                <w:color w:val="auto"/>
              </w:rPr>
            </w:pPr>
            <w:r>
              <w:rPr>
                <w:rFonts w:ascii="Arial" w:cs="Arial" w:eastAsia="Arial" w:hAnsi="Arial"/>
                <w:sz w:val="16"/>
                <w:szCs w:val="16"/>
                <w:b w:val="1"/>
                <w:bCs w:val="1"/>
                <w:color w:val="auto"/>
              </w:rPr>
              <w:t>1–8 years</w:t>
            </w:r>
          </w:p>
        </w:tc>
        <w:tc>
          <w:tcPr>
            <w:tcW w:w="14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12,030</w:t>
            </w:r>
          </w:p>
        </w:tc>
        <w:tc>
          <w:tcPr>
            <w:tcW w:w="120" w:type="dxa"/>
            <w:vAlign w:val="bottom"/>
            <w:tcBorders>
              <w:bottom w:val="single" w:sz="8" w:color="auto"/>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4,973</w:t>
            </w:r>
          </w:p>
        </w:tc>
        <w:tc>
          <w:tcPr>
            <w:tcW w:w="22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b w:val="1"/>
                <w:bCs w:val="1"/>
                <w:color w:val="auto"/>
              </w:rPr>
              <w:t>7,057</w:t>
            </w:r>
          </w:p>
        </w:tc>
        <w:tc>
          <w:tcPr>
            <w:tcW w:w="14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10,095</w:t>
            </w:r>
          </w:p>
        </w:tc>
        <w:tc>
          <w:tcPr>
            <w:tcW w:w="24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2,209</w:t>
            </w:r>
          </w:p>
        </w:tc>
        <w:tc>
          <w:tcPr>
            <w:tcW w:w="26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7,886</w:t>
            </w:r>
          </w:p>
        </w:tc>
        <w:tc>
          <w:tcPr>
            <w:tcW w:w="0" w:type="dxa"/>
            <w:vAlign w:val="bottom"/>
          </w:tcPr>
          <w:p>
            <w:pPr>
              <w:spacing w:after="0"/>
              <w:rPr>
                <w:sz w:val="1"/>
                <w:szCs w:val="1"/>
                <w:color w:val="auto"/>
              </w:rPr>
            </w:pPr>
          </w:p>
        </w:tc>
      </w:tr>
      <w:tr>
        <w:trPr>
          <w:trHeight w:val="261"/>
        </w:trPr>
        <w:tc>
          <w:tcPr>
            <w:tcW w:w="3280" w:type="dxa"/>
            <w:vAlign w:val="bottom"/>
          </w:tcPr>
          <w:p>
            <w:pPr>
              <w:spacing w:after="0"/>
              <w:rPr>
                <w:sz w:val="22"/>
                <w:szCs w:val="22"/>
                <w:color w:val="auto"/>
              </w:rPr>
            </w:pPr>
          </w:p>
        </w:tc>
        <w:tc>
          <w:tcPr>
            <w:tcW w:w="1680" w:type="dxa"/>
            <w:vAlign w:val="bottom"/>
            <w:gridSpan w:val="2"/>
          </w:tcPr>
          <w:p>
            <w:pPr>
              <w:ind w:left="1560"/>
              <w:spacing w:after="0"/>
              <w:rPr>
                <w:sz w:val="20"/>
                <w:szCs w:val="20"/>
                <w:color w:val="auto"/>
              </w:rPr>
            </w:pPr>
            <w:r>
              <w:rPr>
                <w:rFonts w:ascii="Arial" w:cs="Arial" w:eastAsia="Arial" w:hAnsi="Arial"/>
                <w:sz w:val="16"/>
                <w:szCs w:val="16"/>
                <w:b w:val="1"/>
                <w:bCs w:val="1"/>
                <w:color w:val="auto"/>
              </w:rPr>
              <w:t>$</w:t>
            </w:r>
          </w:p>
        </w:tc>
        <w:tc>
          <w:tcPr>
            <w:tcW w:w="680" w:type="dxa"/>
            <w:vAlign w:val="bottom"/>
          </w:tcPr>
          <w:p>
            <w:pPr>
              <w:jc w:val="right"/>
              <w:spacing w:after="0"/>
              <w:rPr>
                <w:sz w:val="20"/>
                <w:szCs w:val="20"/>
                <w:color w:val="auto"/>
              </w:rPr>
            </w:pPr>
            <w:r>
              <w:rPr>
                <w:rFonts w:ascii="Arial" w:cs="Arial" w:eastAsia="Arial" w:hAnsi="Arial"/>
                <w:sz w:val="16"/>
                <w:szCs w:val="16"/>
                <w:b w:val="1"/>
                <w:bCs w:val="1"/>
                <w:color w:val="auto"/>
              </w:rPr>
              <w:t>204,217</w:t>
            </w:r>
          </w:p>
        </w:tc>
        <w:tc>
          <w:tcPr>
            <w:tcW w:w="38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w:t>
            </w:r>
          </w:p>
        </w:tc>
        <w:tc>
          <w:tcPr>
            <w:tcW w:w="1140" w:type="dxa"/>
            <w:vAlign w:val="bottom"/>
          </w:tcPr>
          <w:p>
            <w:pPr>
              <w:jc w:val="right"/>
              <w:ind w:right="41"/>
              <w:spacing w:after="0"/>
              <w:rPr>
                <w:sz w:val="20"/>
                <w:szCs w:val="20"/>
                <w:color w:val="auto"/>
              </w:rPr>
            </w:pPr>
            <w:r>
              <w:rPr>
                <w:rFonts w:ascii="Arial" w:cs="Arial" w:eastAsia="Arial" w:hAnsi="Arial"/>
                <w:sz w:val="16"/>
                <w:szCs w:val="16"/>
                <w:b w:val="1"/>
                <w:bCs w:val="1"/>
                <w:color w:val="auto"/>
              </w:rPr>
              <w:t>96,278</w:t>
            </w:r>
          </w:p>
        </w:tc>
        <w:tc>
          <w:tcPr>
            <w:tcW w:w="2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880" w:type="dxa"/>
            <w:vAlign w:val="bottom"/>
          </w:tcPr>
          <w:p>
            <w:pPr>
              <w:jc w:val="right"/>
              <w:ind w:right="142"/>
              <w:spacing w:after="0"/>
              <w:rPr>
                <w:sz w:val="20"/>
                <w:szCs w:val="20"/>
                <w:color w:val="auto"/>
              </w:rPr>
            </w:pPr>
            <w:r>
              <w:rPr>
                <w:rFonts w:ascii="Arial" w:cs="Arial" w:eastAsia="Arial" w:hAnsi="Arial"/>
                <w:sz w:val="16"/>
                <w:szCs w:val="16"/>
                <w:b w:val="1"/>
                <w:bCs w:val="1"/>
                <w:color w:val="auto"/>
              </w:rPr>
              <w:t>107,939</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22"/>
              <w:spacing w:after="0"/>
              <w:rPr>
                <w:sz w:val="20"/>
                <w:szCs w:val="20"/>
                <w:color w:val="auto"/>
              </w:rPr>
            </w:pPr>
            <w:r>
              <w:rPr>
                <w:rFonts w:ascii="Arial" w:cs="Arial" w:eastAsia="Arial" w:hAnsi="Arial"/>
                <w:sz w:val="16"/>
                <w:szCs w:val="16"/>
                <w:color w:val="auto"/>
              </w:rPr>
              <w:t>178,747</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41"/>
              <w:spacing w:after="0"/>
              <w:rPr>
                <w:sz w:val="20"/>
                <w:szCs w:val="20"/>
                <w:color w:val="auto"/>
              </w:rPr>
            </w:pPr>
            <w:r>
              <w:rPr>
                <w:rFonts w:ascii="Arial" w:cs="Arial" w:eastAsia="Arial" w:hAnsi="Arial"/>
                <w:sz w:val="16"/>
                <w:szCs w:val="16"/>
                <w:color w:val="auto"/>
              </w:rPr>
              <w:t>71,556</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22"/>
              <w:spacing w:after="0"/>
              <w:rPr>
                <w:sz w:val="20"/>
                <w:szCs w:val="20"/>
                <w:color w:val="auto"/>
              </w:rPr>
            </w:pPr>
            <w:r>
              <w:rPr>
                <w:rFonts w:ascii="Arial" w:cs="Arial" w:eastAsia="Arial" w:hAnsi="Arial"/>
                <w:sz w:val="16"/>
                <w:szCs w:val="16"/>
                <w:color w:val="auto"/>
              </w:rPr>
              <w:t>107,191</w:t>
            </w:r>
          </w:p>
        </w:tc>
        <w:tc>
          <w:tcPr>
            <w:tcW w:w="0" w:type="dxa"/>
            <w:vAlign w:val="bottom"/>
          </w:tcPr>
          <w:p>
            <w:pPr>
              <w:spacing w:after="0"/>
              <w:rPr>
                <w:sz w:val="1"/>
                <w:szCs w:val="1"/>
                <w:color w:val="auto"/>
              </w:rPr>
            </w:pPr>
          </w:p>
        </w:tc>
      </w:tr>
      <w:tr>
        <w:trPr>
          <w:trHeight w:val="20"/>
        </w:trPr>
        <w:tc>
          <w:tcPr>
            <w:tcW w:w="328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Indefinite-Lived Intangible Assets</w:t>
            </w:r>
          </w:p>
        </w:tc>
        <w:tc>
          <w:tcPr>
            <w:tcW w:w="1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280" w:type="dxa"/>
            <w:vAlign w:val="bottom"/>
            <w:vMerge w:val="continue"/>
          </w:tcPr>
          <w:p>
            <w:pPr>
              <w:spacing w:after="0"/>
              <w:rPr>
                <w:sz w:val="21"/>
                <w:szCs w:val="21"/>
                <w:color w:val="auto"/>
              </w:rPr>
            </w:pPr>
          </w:p>
        </w:tc>
        <w:tc>
          <w:tcPr>
            <w:tcW w:w="15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3280" w:type="dxa"/>
            <w:vAlign w:val="bottom"/>
          </w:tcPr>
          <w:p>
            <w:pPr>
              <w:ind w:left="180"/>
              <w:spacing w:after="0"/>
              <w:rPr>
                <w:sz w:val="20"/>
                <w:szCs w:val="20"/>
                <w:color w:val="auto"/>
              </w:rPr>
            </w:pPr>
            <w:r>
              <w:rPr>
                <w:rFonts w:ascii="Arial" w:cs="Arial" w:eastAsia="Arial" w:hAnsi="Arial"/>
                <w:sz w:val="16"/>
                <w:szCs w:val="16"/>
                <w:color w:val="auto"/>
              </w:rPr>
              <w:t>Trade names and trademarks</w:t>
            </w:r>
          </w:p>
        </w:tc>
        <w:tc>
          <w:tcPr>
            <w:tcW w:w="1680" w:type="dxa"/>
            <w:vAlign w:val="bottom"/>
            <w:gridSpan w:val="2"/>
          </w:tcPr>
          <w:p>
            <w:pPr>
              <w:ind w:left="1560"/>
              <w:spacing w:after="0"/>
              <w:rPr>
                <w:sz w:val="20"/>
                <w:szCs w:val="20"/>
                <w:color w:val="auto"/>
              </w:rPr>
            </w:pPr>
            <w:r>
              <w:rPr>
                <w:rFonts w:ascii="Arial" w:cs="Arial" w:eastAsia="Arial" w:hAnsi="Arial"/>
                <w:sz w:val="16"/>
                <w:szCs w:val="16"/>
                <w:b w:val="1"/>
                <w:bCs w:val="1"/>
                <w:color w:val="auto"/>
              </w:rPr>
              <w:t>$</w:t>
            </w:r>
          </w:p>
        </w:tc>
        <w:tc>
          <w:tcPr>
            <w:tcW w:w="680" w:type="dxa"/>
            <w:vAlign w:val="bottom"/>
          </w:tcPr>
          <w:p>
            <w:pPr>
              <w:jc w:val="right"/>
              <w:spacing w:after="0"/>
              <w:rPr>
                <w:sz w:val="20"/>
                <w:szCs w:val="20"/>
                <w:color w:val="auto"/>
              </w:rPr>
            </w:pPr>
            <w:r>
              <w:rPr>
                <w:rFonts w:ascii="Arial" w:cs="Arial" w:eastAsia="Arial" w:hAnsi="Arial"/>
                <w:sz w:val="16"/>
                <w:szCs w:val="16"/>
                <w:b w:val="1"/>
                <w:bCs w:val="1"/>
                <w:color w:val="auto"/>
              </w:rPr>
              <w:t>65,192</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22"/>
              <w:spacing w:after="0"/>
              <w:rPr>
                <w:sz w:val="20"/>
                <w:szCs w:val="20"/>
                <w:color w:val="auto"/>
              </w:rPr>
            </w:pPr>
            <w:r>
              <w:rPr>
                <w:rFonts w:ascii="Arial" w:cs="Arial" w:eastAsia="Arial" w:hAnsi="Arial"/>
                <w:sz w:val="16"/>
                <w:szCs w:val="16"/>
                <w:color w:val="auto"/>
              </w:rPr>
              <w:t>21,051</w:t>
            </w:r>
          </w:p>
        </w:tc>
        <w:tc>
          <w:tcPr>
            <w:tcW w:w="2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4"/>
        </w:trPr>
        <w:tc>
          <w:tcPr>
            <w:tcW w:w="3280" w:type="dxa"/>
            <w:vAlign w:val="bottom"/>
          </w:tcPr>
          <w:p>
            <w:pPr>
              <w:ind w:left="180"/>
              <w:spacing w:after="0"/>
              <w:rPr>
                <w:sz w:val="20"/>
                <w:szCs w:val="20"/>
                <w:color w:val="auto"/>
              </w:rPr>
            </w:pPr>
            <w:r>
              <w:rPr>
                <w:rFonts w:ascii="Arial" w:cs="Arial" w:eastAsia="Arial" w:hAnsi="Arial"/>
                <w:sz w:val="16"/>
                <w:szCs w:val="16"/>
                <w:color w:val="auto"/>
              </w:rPr>
              <w:t>Licensure and accreditation</w:t>
            </w:r>
          </w:p>
        </w:tc>
        <w:tc>
          <w:tcPr>
            <w:tcW w:w="154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834</w:t>
            </w:r>
          </w:p>
        </w:tc>
        <w:tc>
          <w:tcPr>
            <w:tcW w:w="120" w:type="dxa"/>
            <w:vAlign w:val="bottom"/>
            <w:tcBorders>
              <w:bottom w:val="single" w:sz="8" w:color="auto"/>
            </w:tcBorders>
          </w:tcPr>
          <w:p>
            <w:pPr>
              <w:spacing w:after="0"/>
              <w:rPr>
                <w:sz w:val="23"/>
                <w:szCs w:val="23"/>
                <w:color w:val="auto"/>
              </w:rPr>
            </w:pPr>
          </w:p>
        </w:tc>
        <w:tc>
          <w:tcPr>
            <w:tcW w:w="2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834</w:t>
            </w:r>
          </w:p>
        </w:tc>
        <w:tc>
          <w:tcPr>
            <w:tcW w:w="2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3"/>
        </w:trPr>
        <w:tc>
          <w:tcPr>
            <w:tcW w:w="3280" w:type="dxa"/>
            <w:vAlign w:val="bottom"/>
          </w:tcPr>
          <w:p>
            <w:pPr>
              <w:spacing w:after="0"/>
              <w:rPr>
                <w:sz w:val="20"/>
                <w:szCs w:val="20"/>
                <w:color w:val="auto"/>
              </w:rPr>
            </w:pPr>
          </w:p>
        </w:tc>
        <w:tc>
          <w:tcPr>
            <w:tcW w:w="1680" w:type="dxa"/>
            <w:vAlign w:val="bottom"/>
            <w:gridSpan w:val="2"/>
          </w:tcPr>
          <w:p>
            <w:pPr>
              <w:ind w:left="1560"/>
              <w:spacing w:after="0"/>
              <w:rPr>
                <w:sz w:val="20"/>
                <w:szCs w:val="20"/>
                <w:color w:val="auto"/>
              </w:rPr>
            </w:pPr>
            <w:r>
              <w:rPr>
                <w:rFonts w:ascii="Arial" w:cs="Arial" w:eastAsia="Arial" w:hAnsi="Arial"/>
                <w:sz w:val="16"/>
                <w:szCs w:val="16"/>
                <w:b w:val="1"/>
                <w:bCs w:val="1"/>
                <w:color w:val="auto"/>
              </w:rPr>
              <w:t>$</w:t>
            </w:r>
          </w:p>
        </w:tc>
        <w:tc>
          <w:tcPr>
            <w:tcW w:w="680" w:type="dxa"/>
            <w:vAlign w:val="bottom"/>
          </w:tcPr>
          <w:p>
            <w:pPr>
              <w:jc w:val="right"/>
              <w:spacing w:after="0"/>
              <w:rPr>
                <w:sz w:val="20"/>
                <w:szCs w:val="20"/>
                <w:color w:val="auto"/>
              </w:rPr>
            </w:pPr>
            <w:r>
              <w:rPr>
                <w:rFonts w:ascii="Arial" w:cs="Arial" w:eastAsia="Arial" w:hAnsi="Arial"/>
                <w:sz w:val="16"/>
                <w:szCs w:val="16"/>
                <w:b w:val="1"/>
                <w:bCs w:val="1"/>
                <w:color w:val="auto"/>
              </w:rPr>
              <w:t>66,026</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22"/>
              <w:spacing w:after="0"/>
              <w:rPr>
                <w:sz w:val="20"/>
                <w:szCs w:val="20"/>
                <w:color w:val="auto"/>
              </w:rPr>
            </w:pPr>
            <w:r>
              <w:rPr>
                <w:rFonts w:ascii="Arial" w:cs="Arial" w:eastAsia="Arial" w:hAnsi="Arial"/>
                <w:sz w:val="16"/>
                <w:szCs w:val="16"/>
                <w:color w:val="auto"/>
              </w:rPr>
              <w:t>21,885</w:t>
            </w: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5245100</wp:posOffset>
            </wp:positionH>
            <wp:positionV relativeFrom="paragraph">
              <wp:posOffset>5080</wp:posOffset>
            </wp:positionV>
            <wp:extent cx="57467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74675" cy="8890"/>
                    </a:xfrm>
                    <a:prstGeom prst="rect">
                      <a:avLst/>
                    </a:prstGeom>
                    <a:noFill/>
                  </pic:spPr>
                </pic:pic>
              </a:graphicData>
            </a:graphic>
          </wp:anchor>
        </w:drawing>
        <w:drawing>
          <wp:anchor simplePos="0" relativeHeight="251657728" behindDoc="1" locked="0" layoutInCell="0" allowOverlap="1">
            <wp:simplePos x="0" y="0"/>
            <wp:positionH relativeFrom="column">
              <wp:posOffset>3058160</wp:posOffset>
            </wp:positionH>
            <wp:positionV relativeFrom="paragraph">
              <wp:posOffset>5080</wp:posOffset>
            </wp:positionV>
            <wp:extent cx="60007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ind w:left="500" w:hanging="492"/>
        <w:spacing w:after="0"/>
        <w:tabs>
          <w:tab w:leader="none" w:pos="500" w:val="left"/>
        </w:tabs>
        <w:numPr>
          <w:ilvl w:val="0"/>
          <w:numId w:val="64"/>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5245100</wp:posOffset>
            </wp:positionH>
            <wp:positionV relativeFrom="paragraph">
              <wp:posOffset>-114935</wp:posOffset>
            </wp:positionV>
            <wp:extent cx="57467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74675" cy="8890"/>
                    </a:xfrm>
                    <a:prstGeom prst="rect">
                      <a:avLst/>
                    </a:prstGeom>
                    <a:noFill/>
                  </pic:spPr>
                </pic:pic>
              </a:graphicData>
            </a:graphic>
          </wp:anchor>
        </w:drawing>
        <w:drawing>
          <wp:anchor simplePos="0" relativeHeight="251657728" behindDoc="1" locked="0" layoutInCell="0" allowOverlap="1">
            <wp:simplePos x="0" y="0"/>
            <wp:positionH relativeFrom="column">
              <wp:posOffset>3058160</wp:posOffset>
            </wp:positionH>
            <wp:positionV relativeFrom="paragraph">
              <wp:posOffset>-114935</wp:posOffset>
            </wp:positionV>
            <wp:extent cx="60007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Income (loss) from continuing operations before income taxes consists of the following:</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7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540" w:type="dxa"/>
            <w:vAlign w:val="bottom"/>
            <w:tcBorders>
              <w:bottom w:val="single" w:sz="8" w:color="auto"/>
            </w:tcBorders>
            <w:gridSpan w:val="4"/>
          </w:tcPr>
          <w:p>
            <w:pPr>
              <w:jc w:val="center"/>
              <w:ind w:left="620"/>
              <w:spacing w:after="0"/>
              <w:rPr>
                <w:sz w:val="20"/>
                <w:szCs w:val="20"/>
                <w:color w:val="auto"/>
              </w:rPr>
            </w:pPr>
            <w:r>
              <w:rPr>
                <w:rFonts w:ascii="Arial" w:cs="Arial" w:eastAsia="Arial" w:hAnsi="Arial"/>
                <w:sz w:val="14"/>
                <w:szCs w:val="14"/>
                <w:b w:val="1"/>
                <w:bCs w:val="1"/>
                <w:color w:val="auto"/>
              </w:rPr>
              <w:t>Year Ended December 31</w:t>
            </w:r>
          </w:p>
        </w:tc>
        <w:tc>
          <w:tcPr>
            <w:tcW w:w="8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77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2016</w:t>
            </w: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center"/>
              <w:ind w:right="140"/>
              <w:spacing w:after="0"/>
              <w:rPr>
                <w:sz w:val="20"/>
                <w:szCs w:val="20"/>
                <w:color w:val="auto"/>
              </w:rPr>
            </w:pPr>
            <w:r>
              <w:rPr>
                <w:rFonts w:ascii="Arial" w:cs="Arial" w:eastAsia="Arial" w:hAnsi="Arial"/>
                <w:sz w:val="14"/>
                <w:szCs w:val="14"/>
                <w:color w:val="auto"/>
              </w:rPr>
              <w:t>2015</w:t>
            </w:r>
          </w:p>
        </w:tc>
        <w:tc>
          <w:tcPr>
            <w:tcW w:w="3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color w:val="auto"/>
              </w:rPr>
              <w:t>2014</w:t>
            </w:r>
          </w:p>
        </w:tc>
        <w:tc>
          <w:tcPr>
            <w:tcW w:w="0" w:type="dxa"/>
            <w:vAlign w:val="bottom"/>
          </w:tcPr>
          <w:p>
            <w:pPr>
              <w:spacing w:after="0"/>
              <w:rPr>
                <w:sz w:val="1"/>
                <w:szCs w:val="1"/>
                <w:color w:val="auto"/>
              </w:rPr>
            </w:pPr>
          </w:p>
        </w:tc>
      </w:tr>
      <w:tr>
        <w:trPr>
          <w:trHeight w:val="257"/>
        </w:trPr>
        <w:tc>
          <w:tcPr>
            <w:tcW w:w="7780" w:type="dxa"/>
            <w:vAlign w:val="bottom"/>
          </w:tcPr>
          <w:p>
            <w:pPr>
              <w:ind w:left="40"/>
              <w:spacing w:after="0"/>
              <w:rPr>
                <w:sz w:val="20"/>
                <w:szCs w:val="20"/>
                <w:color w:val="auto"/>
              </w:rPr>
            </w:pPr>
            <w:r>
              <w:rPr>
                <w:rFonts w:ascii="Arial" w:cs="Arial" w:eastAsia="Arial" w:hAnsi="Arial"/>
                <w:sz w:val="16"/>
                <w:szCs w:val="16"/>
                <w:color w:val="auto"/>
              </w:rPr>
              <w:t>U.S.</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40"/>
              <w:spacing w:after="0"/>
              <w:rPr>
                <w:sz w:val="20"/>
                <w:szCs w:val="20"/>
                <w:color w:val="auto"/>
              </w:rPr>
            </w:pPr>
            <w:r>
              <w:rPr>
                <w:rFonts w:ascii="Arial" w:cs="Arial" w:eastAsia="Arial" w:hAnsi="Arial"/>
                <w:sz w:val="16"/>
                <w:szCs w:val="16"/>
                <w:b w:val="1"/>
                <w:bCs w:val="1"/>
                <w:color w:val="auto"/>
              </w:rPr>
              <w:t>227,457</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(142,705)</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1,025,101</w:t>
            </w:r>
          </w:p>
        </w:tc>
        <w:tc>
          <w:tcPr>
            <w:tcW w:w="0" w:type="dxa"/>
            <w:vAlign w:val="bottom"/>
          </w:tcPr>
          <w:p>
            <w:pPr>
              <w:spacing w:after="0"/>
              <w:rPr>
                <w:sz w:val="1"/>
                <w:szCs w:val="1"/>
                <w:color w:val="auto"/>
              </w:rPr>
            </w:pPr>
          </w:p>
        </w:tc>
      </w:tr>
      <w:tr>
        <w:trPr>
          <w:trHeight w:val="274"/>
        </w:trPr>
        <w:tc>
          <w:tcPr>
            <w:tcW w:w="7780" w:type="dxa"/>
            <w:vAlign w:val="bottom"/>
          </w:tcPr>
          <w:p>
            <w:pPr>
              <w:ind w:left="40"/>
              <w:spacing w:after="0"/>
              <w:rPr>
                <w:sz w:val="20"/>
                <w:szCs w:val="20"/>
                <w:color w:val="auto"/>
              </w:rPr>
            </w:pPr>
            <w:r>
              <w:rPr>
                <w:rFonts w:ascii="Arial" w:cs="Arial" w:eastAsia="Arial" w:hAnsi="Arial"/>
                <w:sz w:val="16"/>
                <w:szCs w:val="16"/>
                <w:color w:val="auto"/>
              </w:rPr>
              <w:t>Non-U.S.</w:t>
            </w:r>
          </w:p>
        </w:tc>
        <w:tc>
          <w:tcPr>
            <w:tcW w:w="22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23,201</w:t>
            </w:r>
          </w:p>
        </w:tc>
        <w:tc>
          <w:tcPr>
            <w:tcW w:w="30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21,815</w:t>
            </w:r>
          </w:p>
        </w:tc>
        <w:tc>
          <w:tcPr>
            <w:tcW w:w="32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52,602</w:t>
            </w:r>
          </w:p>
        </w:tc>
        <w:tc>
          <w:tcPr>
            <w:tcW w:w="0" w:type="dxa"/>
            <w:vAlign w:val="bottom"/>
          </w:tcPr>
          <w:p>
            <w:pPr>
              <w:spacing w:after="0"/>
              <w:rPr>
                <w:sz w:val="1"/>
                <w:szCs w:val="1"/>
                <w:color w:val="auto"/>
              </w:rPr>
            </w:pPr>
          </w:p>
        </w:tc>
      </w:tr>
      <w:tr>
        <w:trPr>
          <w:trHeight w:val="261"/>
        </w:trPr>
        <w:tc>
          <w:tcPr>
            <w:tcW w:w="7780" w:type="dxa"/>
            <w:vAlign w:val="bottom"/>
          </w:tcPr>
          <w:p>
            <w:pPr>
              <w:spacing w:after="0"/>
              <w:rPr>
                <w:sz w:val="22"/>
                <w:szCs w:val="22"/>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250,658</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(120,890)</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1,077,703</w:t>
            </w:r>
          </w:p>
        </w:tc>
        <w:tc>
          <w:tcPr>
            <w:tcW w:w="0" w:type="dxa"/>
            <w:vAlign w:val="bottom"/>
          </w:tcPr>
          <w:p>
            <w:pPr>
              <w:spacing w:after="0"/>
              <w:rPr>
                <w:sz w:val="1"/>
                <w:szCs w:val="1"/>
                <w:color w:val="auto"/>
              </w:rPr>
            </w:pPr>
          </w:p>
        </w:tc>
      </w:tr>
      <w:tr>
        <w:trPr>
          <w:trHeight w:val="20"/>
        </w:trPr>
        <w:tc>
          <w:tcPr>
            <w:tcW w:w="7780" w:type="dxa"/>
            <w:vAlign w:val="bottom"/>
            <w:vMerge w:val="restart"/>
          </w:tcPr>
          <w:p>
            <w:pPr>
              <w:spacing w:after="0"/>
              <w:rPr>
                <w:sz w:val="20"/>
                <w:szCs w:val="20"/>
                <w:color w:val="auto"/>
              </w:rPr>
            </w:pPr>
            <w:r>
              <w:rPr>
                <w:rFonts w:ascii="Arial" w:cs="Arial" w:eastAsia="Arial" w:hAnsi="Arial"/>
                <w:sz w:val="18"/>
                <w:szCs w:val="18"/>
                <w:color w:val="auto"/>
              </w:rPr>
              <w:t>The provision for income taxes on income from continuing operations consists of the following:</w:t>
            </w: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6"/>
        </w:trPr>
        <w:tc>
          <w:tcPr>
            <w:tcW w:w="778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7"/>
        </w:trPr>
        <w:tc>
          <w:tcPr>
            <w:tcW w:w="77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b w:val="1"/>
                <w:bCs w:val="1"/>
                <w:color w:val="auto"/>
              </w:rPr>
              <w:t>Current</w:t>
            </w:r>
          </w:p>
        </w:tc>
        <w:tc>
          <w:tcPr>
            <w:tcW w:w="3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center"/>
              <w:ind w:right="160"/>
              <w:spacing w:after="0"/>
              <w:rPr>
                <w:sz w:val="20"/>
                <w:szCs w:val="20"/>
                <w:color w:val="auto"/>
              </w:rPr>
            </w:pPr>
            <w:r>
              <w:rPr>
                <w:rFonts w:ascii="Arial" w:cs="Arial" w:eastAsia="Arial" w:hAnsi="Arial"/>
                <w:sz w:val="14"/>
                <w:szCs w:val="14"/>
                <w:b w:val="1"/>
                <w:bCs w:val="1"/>
                <w:color w:val="auto"/>
              </w:rPr>
              <w:t>Deferred</w:t>
            </w:r>
          </w:p>
        </w:tc>
        <w:tc>
          <w:tcPr>
            <w:tcW w:w="3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7"/>
        </w:trPr>
        <w:tc>
          <w:tcPr>
            <w:tcW w:w="7780" w:type="dxa"/>
            <w:vAlign w:val="bottom"/>
          </w:tcPr>
          <w:p>
            <w:pPr>
              <w:ind w:left="40"/>
              <w:spacing w:after="0"/>
              <w:rPr>
                <w:sz w:val="20"/>
                <w:szCs w:val="20"/>
                <w:color w:val="auto"/>
              </w:rPr>
            </w:pPr>
            <w:r>
              <w:rPr>
                <w:rFonts w:ascii="Arial" w:cs="Arial" w:eastAsia="Arial" w:hAnsi="Arial"/>
                <w:sz w:val="16"/>
                <w:szCs w:val="16"/>
                <w:b w:val="1"/>
                <w:bCs w:val="1"/>
                <w:color w:val="auto"/>
              </w:rPr>
              <w:t>Year Ended December 31, 2016</w:t>
            </w:r>
          </w:p>
        </w:tc>
        <w:tc>
          <w:tcPr>
            <w:tcW w:w="2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7780" w:type="dxa"/>
            <w:vAlign w:val="bottom"/>
          </w:tcPr>
          <w:p>
            <w:pPr>
              <w:ind w:left="40"/>
              <w:spacing w:after="0"/>
              <w:rPr>
                <w:sz w:val="20"/>
                <w:szCs w:val="20"/>
                <w:color w:val="auto"/>
              </w:rPr>
            </w:pPr>
            <w:r>
              <w:rPr>
                <w:rFonts w:ascii="Arial" w:cs="Arial" w:eastAsia="Arial" w:hAnsi="Arial"/>
                <w:sz w:val="16"/>
                <w:szCs w:val="16"/>
                <w:b w:val="1"/>
                <w:bCs w:val="1"/>
                <w:color w:val="auto"/>
              </w:rPr>
              <w:t>U.S. Federal</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40"/>
              <w:spacing w:after="0"/>
              <w:rPr>
                <w:sz w:val="20"/>
                <w:szCs w:val="20"/>
                <w:color w:val="auto"/>
              </w:rPr>
            </w:pPr>
            <w:r>
              <w:rPr>
                <w:rFonts w:ascii="Arial" w:cs="Arial" w:eastAsia="Arial" w:hAnsi="Arial"/>
                <w:sz w:val="16"/>
                <w:szCs w:val="16"/>
                <w:b w:val="1"/>
                <w:bCs w:val="1"/>
                <w:color w:val="auto"/>
              </w:rPr>
              <w:t>56,342</w:t>
            </w:r>
          </w:p>
        </w:tc>
        <w:tc>
          <w:tcPr>
            <w:tcW w:w="3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ind w:right="80"/>
              <w:spacing w:after="0"/>
              <w:rPr>
                <w:sz w:val="20"/>
                <w:szCs w:val="20"/>
                <w:color w:val="auto"/>
              </w:rPr>
            </w:pPr>
            <w:r>
              <w:rPr>
                <w:rFonts w:ascii="Arial" w:cs="Arial" w:eastAsia="Arial" w:hAnsi="Arial"/>
                <w:sz w:val="16"/>
                <w:szCs w:val="16"/>
                <w:b w:val="1"/>
                <w:bCs w:val="1"/>
                <w:color w:val="auto"/>
              </w:rPr>
              <w:t>33,959</w:t>
            </w:r>
          </w:p>
        </w:tc>
        <w:tc>
          <w:tcPr>
            <w:tcW w:w="32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880" w:type="dxa"/>
            <w:vAlign w:val="bottom"/>
          </w:tcPr>
          <w:p>
            <w:pPr>
              <w:jc w:val="right"/>
              <w:ind w:right="20"/>
              <w:spacing w:after="0"/>
              <w:rPr>
                <w:sz w:val="20"/>
                <w:szCs w:val="20"/>
                <w:color w:val="auto"/>
              </w:rPr>
            </w:pPr>
            <w:r>
              <w:rPr>
                <w:rFonts w:ascii="Arial" w:cs="Arial" w:eastAsia="Arial" w:hAnsi="Arial"/>
                <w:sz w:val="16"/>
                <w:szCs w:val="16"/>
                <w:b w:val="1"/>
                <w:bCs w:val="1"/>
                <w:color w:val="auto"/>
              </w:rPr>
              <w:t>90,301</w:t>
            </w:r>
          </w:p>
        </w:tc>
        <w:tc>
          <w:tcPr>
            <w:tcW w:w="0" w:type="dxa"/>
            <w:vAlign w:val="bottom"/>
          </w:tcPr>
          <w:p>
            <w:pPr>
              <w:spacing w:after="0"/>
              <w:rPr>
                <w:sz w:val="1"/>
                <w:szCs w:val="1"/>
                <w:color w:val="auto"/>
              </w:rPr>
            </w:pPr>
          </w:p>
        </w:tc>
      </w:tr>
      <w:tr>
        <w:trPr>
          <w:trHeight w:val="270"/>
        </w:trPr>
        <w:tc>
          <w:tcPr>
            <w:tcW w:w="7780" w:type="dxa"/>
            <w:vAlign w:val="bottom"/>
          </w:tcPr>
          <w:p>
            <w:pPr>
              <w:ind w:left="40"/>
              <w:spacing w:after="0"/>
              <w:rPr>
                <w:sz w:val="20"/>
                <w:szCs w:val="20"/>
                <w:color w:val="auto"/>
              </w:rPr>
            </w:pPr>
            <w:r>
              <w:rPr>
                <w:rFonts w:ascii="Arial" w:cs="Arial" w:eastAsia="Arial" w:hAnsi="Arial"/>
                <w:sz w:val="16"/>
                <w:szCs w:val="16"/>
                <w:b w:val="1"/>
                <w:bCs w:val="1"/>
                <w:color w:val="auto"/>
              </w:rPr>
              <w:t>State and Local</w:t>
            </w:r>
          </w:p>
        </w:tc>
        <w:tc>
          <w:tcPr>
            <w:tcW w:w="220" w:type="dxa"/>
            <w:vAlign w:val="bottom"/>
          </w:tcPr>
          <w:p>
            <w:pPr>
              <w:spacing w:after="0"/>
              <w:rPr>
                <w:sz w:val="23"/>
                <w:szCs w:val="23"/>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b w:val="1"/>
                <w:bCs w:val="1"/>
                <w:color w:val="auto"/>
              </w:rPr>
              <w:t>6,325</w:t>
            </w:r>
          </w:p>
        </w:tc>
        <w:tc>
          <w:tcPr>
            <w:tcW w:w="300" w:type="dxa"/>
            <w:vAlign w:val="bottom"/>
          </w:tcPr>
          <w:p>
            <w:pPr>
              <w:spacing w:after="0"/>
              <w:rPr>
                <w:sz w:val="23"/>
                <w:szCs w:val="23"/>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b w:val="1"/>
                <w:bCs w:val="1"/>
                <w:color w:val="auto"/>
              </w:rPr>
              <w:t>(5,164)</w:t>
            </w:r>
          </w:p>
        </w:tc>
        <w:tc>
          <w:tcPr>
            <w:tcW w:w="320" w:type="dxa"/>
            <w:vAlign w:val="bottom"/>
          </w:tcPr>
          <w:p>
            <w:pPr>
              <w:spacing w:after="0"/>
              <w:rPr>
                <w:sz w:val="23"/>
                <w:szCs w:val="23"/>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b w:val="1"/>
                <w:bCs w:val="1"/>
                <w:color w:val="auto"/>
              </w:rPr>
              <w:t>1,161</w:t>
            </w:r>
          </w:p>
        </w:tc>
        <w:tc>
          <w:tcPr>
            <w:tcW w:w="0" w:type="dxa"/>
            <w:vAlign w:val="bottom"/>
          </w:tcPr>
          <w:p>
            <w:pPr>
              <w:spacing w:after="0"/>
              <w:rPr>
                <w:sz w:val="1"/>
                <w:szCs w:val="1"/>
                <w:color w:val="auto"/>
              </w:rPr>
            </w:pPr>
          </w:p>
        </w:tc>
      </w:tr>
      <w:tr>
        <w:trPr>
          <w:trHeight w:val="274"/>
        </w:trPr>
        <w:tc>
          <w:tcPr>
            <w:tcW w:w="7780" w:type="dxa"/>
            <w:vAlign w:val="bottom"/>
          </w:tcPr>
          <w:p>
            <w:pPr>
              <w:ind w:left="40"/>
              <w:spacing w:after="0"/>
              <w:rPr>
                <w:sz w:val="20"/>
                <w:szCs w:val="20"/>
                <w:color w:val="auto"/>
              </w:rPr>
            </w:pPr>
            <w:r>
              <w:rPr>
                <w:rFonts w:ascii="Arial" w:cs="Arial" w:eastAsia="Arial" w:hAnsi="Arial"/>
                <w:sz w:val="16"/>
                <w:szCs w:val="16"/>
                <w:b w:val="1"/>
                <w:bCs w:val="1"/>
                <w:color w:val="auto"/>
              </w:rPr>
              <w:t>Non-U.S.</w:t>
            </w:r>
          </w:p>
        </w:tc>
        <w:tc>
          <w:tcPr>
            <w:tcW w:w="22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8,463</w:t>
            </w:r>
          </w:p>
        </w:tc>
        <w:tc>
          <w:tcPr>
            <w:tcW w:w="30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(18,725)</w:t>
            </w:r>
          </w:p>
        </w:tc>
        <w:tc>
          <w:tcPr>
            <w:tcW w:w="32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(10,262)</w:t>
            </w:r>
          </w:p>
        </w:tc>
        <w:tc>
          <w:tcPr>
            <w:tcW w:w="0" w:type="dxa"/>
            <w:vAlign w:val="bottom"/>
          </w:tcPr>
          <w:p>
            <w:pPr>
              <w:spacing w:after="0"/>
              <w:rPr>
                <w:sz w:val="1"/>
                <w:szCs w:val="1"/>
                <w:color w:val="auto"/>
              </w:rPr>
            </w:pPr>
          </w:p>
        </w:tc>
      </w:tr>
      <w:tr>
        <w:trPr>
          <w:trHeight w:val="261"/>
        </w:trPr>
        <w:tc>
          <w:tcPr>
            <w:tcW w:w="7780" w:type="dxa"/>
            <w:vAlign w:val="bottom"/>
          </w:tcPr>
          <w:p>
            <w:pPr>
              <w:spacing w:after="0"/>
              <w:rPr>
                <w:sz w:val="22"/>
                <w:szCs w:val="22"/>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71,130</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10,070</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81,200</w:t>
            </w:r>
          </w:p>
        </w:tc>
        <w:tc>
          <w:tcPr>
            <w:tcW w:w="0" w:type="dxa"/>
            <w:vAlign w:val="bottom"/>
          </w:tcPr>
          <w:p>
            <w:pPr>
              <w:spacing w:after="0"/>
              <w:rPr>
                <w:sz w:val="1"/>
                <w:szCs w:val="1"/>
                <w:color w:val="auto"/>
              </w:rPr>
            </w:pPr>
          </w:p>
        </w:tc>
      </w:tr>
      <w:tr>
        <w:trPr>
          <w:trHeight w:val="20"/>
        </w:trPr>
        <w:tc>
          <w:tcPr>
            <w:tcW w:w="7780" w:type="dxa"/>
            <w:vAlign w:val="bottom"/>
            <w:vMerge w:val="restart"/>
          </w:tcPr>
          <w:p>
            <w:pPr>
              <w:ind w:left="40"/>
              <w:spacing w:after="0"/>
              <w:rPr>
                <w:sz w:val="20"/>
                <w:szCs w:val="20"/>
                <w:color w:val="auto"/>
              </w:rPr>
            </w:pPr>
            <w:r>
              <w:rPr>
                <w:rFonts w:ascii="Arial" w:cs="Arial" w:eastAsia="Arial" w:hAnsi="Arial"/>
                <w:sz w:val="16"/>
                <w:szCs w:val="16"/>
                <w:color w:val="auto"/>
              </w:rPr>
              <w:t>Year Ended December 31, 2015</w:t>
            </w: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2"/>
        </w:trPr>
        <w:tc>
          <w:tcPr>
            <w:tcW w:w="7780" w:type="dxa"/>
            <w:vAlign w:val="bottom"/>
            <w:vMerge w:val="continue"/>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7780" w:type="dxa"/>
            <w:vAlign w:val="bottom"/>
          </w:tcPr>
          <w:p>
            <w:pPr>
              <w:ind w:left="40"/>
              <w:spacing w:after="0"/>
              <w:rPr>
                <w:sz w:val="20"/>
                <w:szCs w:val="20"/>
                <w:color w:val="auto"/>
              </w:rPr>
            </w:pPr>
            <w:r>
              <w:rPr>
                <w:rFonts w:ascii="Arial" w:cs="Arial" w:eastAsia="Arial" w:hAnsi="Arial"/>
                <w:sz w:val="16"/>
                <w:szCs w:val="16"/>
                <w:color w:val="auto"/>
              </w:rPr>
              <w:t>U.S. Federal</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5,728</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80"/>
              <w:spacing w:after="0"/>
              <w:rPr>
                <w:sz w:val="20"/>
                <w:szCs w:val="20"/>
                <w:color w:val="auto"/>
              </w:rPr>
            </w:pPr>
            <w:r>
              <w:rPr>
                <w:rFonts w:ascii="Arial" w:cs="Arial" w:eastAsia="Arial" w:hAnsi="Arial"/>
                <w:sz w:val="16"/>
                <w:szCs w:val="16"/>
                <w:color w:val="auto"/>
              </w:rPr>
              <w:t>20,890</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26,618</w:t>
            </w:r>
          </w:p>
        </w:tc>
        <w:tc>
          <w:tcPr>
            <w:tcW w:w="0" w:type="dxa"/>
            <w:vAlign w:val="bottom"/>
          </w:tcPr>
          <w:p>
            <w:pPr>
              <w:spacing w:after="0"/>
              <w:rPr>
                <w:sz w:val="1"/>
                <w:szCs w:val="1"/>
                <w:color w:val="auto"/>
              </w:rPr>
            </w:pPr>
          </w:p>
        </w:tc>
      </w:tr>
      <w:tr>
        <w:trPr>
          <w:trHeight w:val="270"/>
        </w:trPr>
        <w:tc>
          <w:tcPr>
            <w:tcW w:w="7780" w:type="dxa"/>
            <w:vAlign w:val="bottom"/>
          </w:tcPr>
          <w:p>
            <w:pPr>
              <w:ind w:left="40"/>
              <w:spacing w:after="0"/>
              <w:rPr>
                <w:sz w:val="20"/>
                <w:szCs w:val="20"/>
                <w:color w:val="auto"/>
              </w:rPr>
            </w:pPr>
            <w:r>
              <w:rPr>
                <w:rFonts w:ascii="Arial" w:cs="Arial" w:eastAsia="Arial" w:hAnsi="Arial"/>
                <w:sz w:val="16"/>
                <w:szCs w:val="16"/>
                <w:color w:val="auto"/>
              </w:rPr>
              <w:t>State and Local</w:t>
            </w:r>
          </w:p>
        </w:tc>
        <w:tc>
          <w:tcPr>
            <w:tcW w:w="220" w:type="dxa"/>
            <w:vAlign w:val="bottom"/>
          </w:tcPr>
          <w:p>
            <w:pPr>
              <w:spacing w:after="0"/>
              <w:rPr>
                <w:sz w:val="23"/>
                <w:szCs w:val="23"/>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402</w:t>
            </w:r>
          </w:p>
        </w:tc>
        <w:tc>
          <w:tcPr>
            <w:tcW w:w="300" w:type="dxa"/>
            <w:vAlign w:val="bottom"/>
          </w:tcPr>
          <w:p>
            <w:pPr>
              <w:spacing w:after="0"/>
              <w:rPr>
                <w:sz w:val="23"/>
                <w:szCs w:val="23"/>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(10,749)</w:t>
            </w:r>
          </w:p>
        </w:tc>
        <w:tc>
          <w:tcPr>
            <w:tcW w:w="3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(10,347)</w:t>
            </w:r>
          </w:p>
        </w:tc>
        <w:tc>
          <w:tcPr>
            <w:tcW w:w="0" w:type="dxa"/>
            <w:vAlign w:val="bottom"/>
          </w:tcPr>
          <w:p>
            <w:pPr>
              <w:spacing w:after="0"/>
              <w:rPr>
                <w:sz w:val="1"/>
                <w:szCs w:val="1"/>
                <w:color w:val="auto"/>
              </w:rPr>
            </w:pPr>
          </w:p>
        </w:tc>
      </w:tr>
      <w:tr>
        <w:trPr>
          <w:trHeight w:val="279"/>
        </w:trPr>
        <w:tc>
          <w:tcPr>
            <w:tcW w:w="7780" w:type="dxa"/>
            <w:vAlign w:val="bottom"/>
          </w:tcPr>
          <w:p>
            <w:pPr>
              <w:ind w:left="40"/>
              <w:spacing w:after="0"/>
              <w:rPr>
                <w:sz w:val="20"/>
                <w:szCs w:val="20"/>
                <w:color w:val="auto"/>
              </w:rPr>
            </w:pPr>
            <w:r>
              <w:rPr>
                <w:rFonts w:ascii="Arial" w:cs="Arial" w:eastAsia="Arial" w:hAnsi="Arial"/>
                <w:sz w:val="16"/>
                <w:szCs w:val="16"/>
                <w:color w:val="auto"/>
              </w:rPr>
              <w:t>Non-U.S.</w:t>
            </w: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2,441</w:t>
            </w:r>
          </w:p>
        </w:tc>
        <w:tc>
          <w:tcPr>
            <w:tcW w:w="3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1,788</w:t>
            </w:r>
          </w:p>
        </w:tc>
        <w:tc>
          <w:tcPr>
            <w:tcW w:w="3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4,229</w:t>
            </w:r>
          </w:p>
        </w:tc>
        <w:tc>
          <w:tcPr>
            <w:tcW w:w="0" w:type="dxa"/>
            <w:vAlign w:val="bottom"/>
          </w:tcPr>
          <w:p>
            <w:pPr>
              <w:spacing w:after="0"/>
              <w:rPr>
                <w:sz w:val="1"/>
                <w:szCs w:val="1"/>
                <w:color w:val="auto"/>
              </w:rPr>
            </w:pPr>
          </w:p>
        </w:tc>
      </w:tr>
      <w:tr>
        <w:trPr>
          <w:trHeight w:val="264"/>
        </w:trPr>
        <w:tc>
          <w:tcPr>
            <w:tcW w:w="7780" w:type="dxa"/>
            <w:vAlign w:val="bottom"/>
          </w:tcPr>
          <w:p>
            <w:pPr>
              <w:spacing w:after="0"/>
              <w:rPr>
                <w:sz w:val="22"/>
                <w:szCs w:val="22"/>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8,571</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11,929</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20,500</w:t>
            </w:r>
          </w:p>
        </w:tc>
        <w:tc>
          <w:tcPr>
            <w:tcW w:w="0" w:type="dxa"/>
            <w:vAlign w:val="bottom"/>
          </w:tcPr>
          <w:p>
            <w:pPr>
              <w:spacing w:after="0"/>
              <w:rPr>
                <w:sz w:val="1"/>
                <w:szCs w:val="1"/>
                <w:color w:val="auto"/>
              </w:rPr>
            </w:pPr>
          </w:p>
        </w:tc>
      </w:tr>
      <w:tr>
        <w:trPr>
          <w:trHeight w:val="20"/>
        </w:trPr>
        <w:tc>
          <w:tcPr>
            <w:tcW w:w="7780" w:type="dxa"/>
            <w:vAlign w:val="bottom"/>
            <w:vMerge w:val="restart"/>
          </w:tcPr>
          <w:p>
            <w:pPr>
              <w:ind w:left="40"/>
              <w:spacing w:after="0"/>
              <w:rPr>
                <w:sz w:val="20"/>
                <w:szCs w:val="20"/>
                <w:color w:val="auto"/>
              </w:rPr>
            </w:pPr>
            <w:r>
              <w:rPr>
                <w:rFonts w:ascii="Arial" w:cs="Arial" w:eastAsia="Arial" w:hAnsi="Arial"/>
                <w:sz w:val="16"/>
                <w:szCs w:val="16"/>
                <w:color w:val="auto"/>
              </w:rPr>
              <w:t>Year Ended December 31, 2014</w:t>
            </w: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2"/>
        </w:trPr>
        <w:tc>
          <w:tcPr>
            <w:tcW w:w="7780" w:type="dxa"/>
            <w:vAlign w:val="bottom"/>
            <w:vMerge w:val="continue"/>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7780" w:type="dxa"/>
            <w:vAlign w:val="bottom"/>
          </w:tcPr>
          <w:p>
            <w:pPr>
              <w:ind w:left="40"/>
              <w:spacing w:after="0"/>
              <w:rPr>
                <w:sz w:val="20"/>
                <w:szCs w:val="20"/>
                <w:color w:val="auto"/>
              </w:rPr>
            </w:pPr>
            <w:r>
              <w:rPr>
                <w:rFonts w:ascii="Arial" w:cs="Arial" w:eastAsia="Arial" w:hAnsi="Arial"/>
                <w:sz w:val="16"/>
                <w:szCs w:val="16"/>
                <w:color w:val="auto"/>
              </w:rPr>
              <w:t>U.S. Federal</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215,450</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80"/>
              <w:spacing w:after="0"/>
              <w:rPr>
                <w:sz w:val="20"/>
                <w:szCs w:val="20"/>
                <w:color w:val="auto"/>
              </w:rPr>
            </w:pPr>
            <w:r>
              <w:rPr>
                <w:rFonts w:ascii="Arial" w:cs="Arial" w:eastAsia="Arial" w:hAnsi="Arial"/>
                <w:sz w:val="16"/>
                <w:szCs w:val="16"/>
                <w:color w:val="auto"/>
              </w:rPr>
              <w:t>38,684</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254,134</w:t>
            </w:r>
          </w:p>
        </w:tc>
        <w:tc>
          <w:tcPr>
            <w:tcW w:w="0" w:type="dxa"/>
            <w:vAlign w:val="bottom"/>
          </w:tcPr>
          <w:p>
            <w:pPr>
              <w:spacing w:after="0"/>
              <w:rPr>
                <w:sz w:val="1"/>
                <w:szCs w:val="1"/>
                <w:color w:val="auto"/>
              </w:rPr>
            </w:pPr>
          </w:p>
        </w:tc>
      </w:tr>
      <w:tr>
        <w:trPr>
          <w:trHeight w:val="270"/>
        </w:trPr>
        <w:tc>
          <w:tcPr>
            <w:tcW w:w="7780" w:type="dxa"/>
            <w:vAlign w:val="bottom"/>
          </w:tcPr>
          <w:p>
            <w:pPr>
              <w:ind w:left="40"/>
              <w:spacing w:after="0"/>
              <w:rPr>
                <w:sz w:val="20"/>
                <w:szCs w:val="20"/>
                <w:color w:val="auto"/>
              </w:rPr>
            </w:pPr>
            <w:r>
              <w:rPr>
                <w:rFonts w:ascii="Arial" w:cs="Arial" w:eastAsia="Arial" w:hAnsi="Arial"/>
                <w:sz w:val="16"/>
                <w:szCs w:val="16"/>
                <w:color w:val="auto"/>
              </w:rPr>
              <w:t>State and Local</w:t>
            </w:r>
          </w:p>
        </w:tc>
        <w:tc>
          <w:tcPr>
            <w:tcW w:w="220" w:type="dxa"/>
            <w:vAlign w:val="bottom"/>
          </w:tcPr>
          <w:p>
            <w:pPr>
              <w:spacing w:after="0"/>
              <w:rPr>
                <w:sz w:val="23"/>
                <w:szCs w:val="23"/>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23,737</w:t>
            </w:r>
          </w:p>
        </w:tc>
        <w:tc>
          <w:tcPr>
            <w:tcW w:w="300" w:type="dxa"/>
            <w:vAlign w:val="bottom"/>
          </w:tcPr>
          <w:p>
            <w:pPr>
              <w:spacing w:after="0"/>
              <w:rPr>
                <w:sz w:val="23"/>
                <w:szCs w:val="23"/>
                <w:color w:val="auto"/>
              </w:rPr>
            </w:pPr>
          </w:p>
        </w:tc>
        <w:tc>
          <w:tcPr>
            <w:tcW w:w="980" w:type="dxa"/>
            <w:vAlign w:val="bottom"/>
          </w:tcPr>
          <w:p>
            <w:pPr>
              <w:jc w:val="right"/>
              <w:ind w:right="80"/>
              <w:spacing w:after="0"/>
              <w:rPr>
                <w:sz w:val="20"/>
                <w:szCs w:val="20"/>
                <w:color w:val="auto"/>
              </w:rPr>
            </w:pPr>
            <w:r>
              <w:rPr>
                <w:rFonts w:ascii="Arial" w:cs="Arial" w:eastAsia="Arial" w:hAnsi="Arial"/>
                <w:sz w:val="16"/>
                <w:szCs w:val="16"/>
                <w:color w:val="auto"/>
              </w:rPr>
              <w:t>27,257</w:t>
            </w:r>
          </w:p>
        </w:tc>
        <w:tc>
          <w:tcPr>
            <w:tcW w:w="320" w:type="dxa"/>
            <w:vAlign w:val="bottom"/>
          </w:tcPr>
          <w:p>
            <w:pPr>
              <w:spacing w:after="0"/>
              <w:rPr>
                <w:sz w:val="23"/>
                <w:szCs w:val="23"/>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50,994</w:t>
            </w:r>
          </w:p>
        </w:tc>
        <w:tc>
          <w:tcPr>
            <w:tcW w:w="0" w:type="dxa"/>
            <w:vAlign w:val="bottom"/>
          </w:tcPr>
          <w:p>
            <w:pPr>
              <w:spacing w:after="0"/>
              <w:rPr>
                <w:sz w:val="1"/>
                <w:szCs w:val="1"/>
                <w:color w:val="auto"/>
              </w:rPr>
            </w:pPr>
          </w:p>
        </w:tc>
      </w:tr>
      <w:tr>
        <w:trPr>
          <w:trHeight w:val="279"/>
        </w:trPr>
        <w:tc>
          <w:tcPr>
            <w:tcW w:w="7780" w:type="dxa"/>
            <w:vAlign w:val="bottom"/>
          </w:tcPr>
          <w:p>
            <w:pPr>
              <w:ind w:left="40"/>
              <w:spacing w:after="0"/>
              <w:rPr>
                <w:sz w:val="20"/>
                <w:szCs w:val="20"/>
                <w:color w:val="auto"/>
              </w:rPr>
            </w:pPr>
            <w:r>
              <w:rPr>
                <w:rFonts w:ascii="Arial" w:cs="Arial" w:eastAsia="Arial" w:hAnsi="Arial"/>
                <w:sz w:val="16"/>
                <w:szCs w:val="16"/>
                <w:color w:val="auto"/>
              </w:rPr>
              <w:t>Non-U.S.</w:t>
            </w: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10,485</w:t>
            </w:r>
          </w:p>
        </w:tc>
        <w:tc>
          <w:tcPr>
            <w:tcW w:w="3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(3,313)</w:t>
            </w:r>
          </w:p>
        </w:tc>
        <w:tc>
          <w:tcPr>
            <w:tcW w:w="3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7,172</w:t>
            </w:r>
          </w:p>
        </w:tc>
        <w:tc>
          <w:tcPr>
            <w:tcW w:w="0" w:type="dxa"/>
            <w:vAlign w:val="bottom"/>
          </w:tcPr>
          <w:p>
            <w:pPr>
              <w:spacing w:after="0"/>
              <w:rPr>
                <w:sz w:val="1"/>
                <w:szCs w:val="1"/>
                <w:color w:val="auto"/>
              </w:rPr>
            </w:pPr>
          </w:p>
        </w:tc>
      </w:tr>
      <w:tr>
        <w:trPr>
          <w:trHeight w:val="264"/>
        </w:trPr>
        <w:tc>
          <w:tcPr>
            <w:tcW w:w="7780" w:type="dxa"/>
            <w:vAlign w:val="bottom"/>
          </w:tcPr>
          <w:p>
            <w:pPr>
              <w:spacing w:after="0"/>
              <w:rPr>
                <w:sz w:val="22"/>
                <w:szCs w:val="22"/>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249,672</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62,628</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312,300</w:t>
            </w:r>
          </w:p>
        </w:tc>
        <w:tc>
          <w:tcPr>
            <w:tcW w:w="0" w:type="dxa"/>
            <w:vAlign w:val="bottom"/>
          </w:tcPr>
          <w:p>
            <w:pPr>
              <w:spacing w:after="0"/>
              <w:rPr>
                <w:sz w:val="1"/>
                <w:szCs w:val="1"/>
                <w:color w:val="auto"/>
              </w:rPr>
            </w:pPr>
          </w:p>
        </w:tc>
      </w:tr>
      <w:tr>
        <w:trPr>
          <w:trHeight w:val="20"/>
        </w:trPr>
        <w:tc>
          <w:tcPr>
            <w:tcW w:w="7780" w:type="dxa"/>
            <w:vAlign w:val="bottom"/>
            <w:vMerge w:val="restart"/>
          </w:tcPr>
          <w:p>
            <w:pPr>
              <w:ind w:left="5620"/>
              <w:spacing w:after="0"/>
              <w:rPr>
                <w:sz w:val="20"/>
                <w:szCs w:val="20"/>
                <w:color w:val="auto"/>
              </w:rPr>
            </w:pPr>
            <w:r>
              <w:rPr>
                <w:rFonts w:ascii="Arial" w:cs="Arial" w:eastAsia="Arial" w:hAnsi="Arial"/>
                <w:sz w:val="18"/>
                <w:szCs w:val="18"/>
                <w:color w:val="auto"/>
              </w:rPr>
              <w:t>83</w:t>
            </w: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20"/>
        </w:trPr>
        <w:tc>
          <w:tcPr>
            <w:tcW w:w="778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38" w:right="239" w:bottom="1440" w:gutter="0" w:footer="0" w:header="0"/>
        </w:sectPr>
      </w:pPr>
    </w:p>
    <w:bookmarkStart w:id="86" w:name="page87"/>
    <w:bookmarkEnd w:id="86"/>
    <w:p>
      <w:pPr>
        <w:ind w:right="660"/>
        <w:spacing w:after="0" w:line="260" w:lineRule="auto"/>
        <w:rPr>
          <w:sz w:val="20"/>
          <w:szCs w:val="20"/>
          <w:color w:val="auto"/>
        </w:rPr>
      </w:pPr>
      <w:r>
        <w:rPr>
          <w:rFonts w:ascii="Arial" w:cs="Arial" w:eastAsia="Arial" w:hAnsi="Arial"/>
          <w:sz w:val="18"/>
          <w:szCs w:val="18"/>
          <w:color w:val="auto"/>
        </w:rPr>
        <w:t>The provision for income taxes on continuing operations differs from the amount of income tax determined by applying the U.S. Federal statutory rate of 35% to the income (loss) from continuing operations before taxes as a result of the following:</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7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540" w:type="dxa"/>
            <w:vAlign w:val="bottom"/>
            <w:tcBorders>
              <w:bottom w:val="single" w:sz="8" w:color="auto"/>
            </w:tcBorders>
            <w:gridSpan w:val="4"/>
          </w:tcPr>
          <w:p>
            <w:pPr>
              <w:jc w:val="right"/>
              <w:ind w:right="19"/>
              <w:spacing w:after="0"/>
              <w:rPr>
                <w:sz w:val="20"/>
                <w:szCs w:val="20"/>
                <w:color w:val="auto"/>
              </w:rPr>
            </w:pPr>
            <w:r>
              <w:rPr>
                <w:rFonts w:ascii="Arial" w:cs="Arial" w:eastAsia="Arial" w:hAnsi="Arial"/>
                <w:sz w:val="14"/>
                <w:szCs w:val="14"/>
                <w:b w:val="1"/>
                <w:bCs w:val="1"/>
                <w:color w:val="auto"/>
              </w:rPr>
              <w:t>Year Ended December 31</w:t>
            </w:r>
          </w:p>
        </w:tc>
        <w:tc>
          <w:tcPr>
            <w:tcW w:w="840" w:type="dxa"/>
            <w:vAlign w:val="bottom"/>
            <w:tcBorders>
              <w:bottom w:val="single" w:sz="8" w:color="auto"/>
            </w:tcBorders>
          </w:tcPr>
          <w:p>
            <w:pPr>
              <w:spacing w:after="0"/>
              <w:rPr>
                <w:sz w:val="17"/>
                <w:szCs w:val="17"/>
                <w:color w:val="auto"/>
              </w:rPr>
            </w:pPr>
          </w:p>
        </w:tc>
      </w:tr>
      <w:tr>
        <w:trPr>
          <w:trHeight w:val="264"/>
        </w:trPr>
        <w:tc>
          <w:tcPr>
            <w:tcW w:w="77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2016</w:t>
            </w:r>
          </w:p>
        </w:tc>
        <w:tc>
          <w:tcPr>
            <w:tcW w:w="3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color w:val="auto"/>
              </w:rPr>
              <w:t>2015</w:t>
            </w:r>
          </w:p>
        </w:tc>
        <w:tc>
          <w:tcPr>
            <w:tcW w:w="3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color w:val="auto"/>
              </w:rPr>
              <w:t>2014</w:t>
            </w:r>
          </w:p>
        </w:tc>
      </w:tr>
      <w:tr>
        <w:trPr>
          <w:trHeight w:val="257"/>
        </w:trPr>
        <w:tc>
          <w:tcPr>
            <w:tcW w:w="7780" w:type="dxa"/>
            <w:vAlign w:val="bottom"/>
          </w:tcPr>
          <w:p>
            <w:pPr>
              <w:ind w:left="40"/>
              <w:spacing w:after="0"/>
              <w:rPr>
                <w:sz w:val="20"/>
                <w:szCs w:val="20"/>
                <w:color w:val="auto"/>
              </w:rPr>
            </w:pPr>
            <w:r>
              <w:rPr>
                <w:rFonts w:ascii="Arial" w:cs="Arial" w:eastAsia="Arial" w:hAnsi="Arial"/>
                <w:sz w:val="16"/>
                <w:szCs w:val="16"/>
                <w:color w:val="auto"/>
              </w:rPr>
              <w:t>U.S. Federal taxes at statutory rate</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80"/>
              <w:spacing w:after="0"/>
              <w:rPr>
                <w:sz w:val="20"/>
                <w:szCs w:val="20"/>
                <w:color w:val="auto"/>
              </w:rPr>
            </w:pPr>
            <w:r>
              <w:rPr>
                <w:rFonts w:ascii="Arial" w:cs="Arial" w:eastAsia="Arial" w:hAnsi="Arial"/>
                <w:sz w:val="16"/>
                <w:szCs w:val="16"/>
                <w:b w:val="1"/>
                <w:bCs w:val="1"/>
                <w:color w:val="auto"/>
              </w:rPr>
              <w:t>87,731</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(42,311)</w:t>
            </w:r>
          </w:p>
        </w:tc>
        <w:tc>
          <w:tcPr>
            <w:tcW w:w="3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377,196</w:t>
            </w:r>
          </w:p>
        </w:tc>
      </w:tr>
      <w:tr>
        <w:trPr>
          <w:trHeight w:val="270"/>
        </w:trPr>
        <w:tc>
          <w:tcPr>
            <w:tcW w:w="7780" w:type="dxa"/>
            <w:vAlign w:val="bottom"/>
          </w:tcPr>
          <w:p>
            <w:pPr>
              <w:ind w:left="40"/>
              <w:spacing w:after="0"/>
              <w:rPr>
                <w:sz w:val="20"/>
                <w:szCs w:val="20"/>
                <w:color w:val="auto"/>
              </w:rPr>
            </w:pPr>
            <w:r>
              <w:rPr>
                <w:rFonts w:ascii="Arial" w:cs="Arial" w:eastAsia="Arial" w:hAnsi="Arial"/>
                <w:sz w:val="16"/>
                <w:szCs w:val="16"/>
                <w:color w:val="auto"/>
              </w:rPr>
              <w:t>State and local taxes, net of U.S. Federal tax</w:t>
            </w:r>
          </w:p>
        </w:tc>
        <w:tc>
          <w:tcPr>
            <w:tcW w:w="260" w:type="dxa"/>
            <w:vAlign w:val="bottom"/>
          </w:tcPr>
          <w:p>
            <w:pPr>
              <w:spacing w:after="0"/>
              <w:rPr>
                <w:sz w:val="23"/>
                <w:szCs w:val="23"/>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b w:val="1"/>
                <w:bCs w:val="1"/>
                <w:color w:val="auto"/>
              </w:rPr>
              <w:t>(2,965)</w:t>
            </w:r>
          </w:p>
        </w:tc>
        <w:tc>
          <w:tcPr>
            <w:tcW w:w="320" w:type="dxa"/>
            <w:vAlign w:val="bottom"/>
          </w:tcPr>
          <w:p>
            <w:pPr>
              <w:spacing w:after="0"/>
              <w:rPr>
                <w:sz w:val="23"/>
                <w:szCs w:val="23"/>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(3,441)</w:t>
            </w:r>
          </w:p>
        </w:tc>
        <w:tc>
          <w:tcPr>
            <w:tcW w:w="360" w:type="dxa"/>
            <w:vAlign w:val="bottom"/>
          </w:tcPr>
          <w:p>
            <w:pPr>
              <w:spacing w:after="0"/>
              <w:rPr>
                <w:sz w:val="23"/>
                <w:szCs w:val="23"/>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38,106</w:t>
            </w:r>
          </w:p>
        </w:tc>
      </w:tr>
      <w:tr>
        <w:trPr>
          <w:trHeight w:val="270"/>
        </w:trPr>
        <w:tc>
          <w:tcPr>
            <w:tcW w:w="7780" w:type="dxa"/>
            <w:vAlign w:val="bottom"/>
          </w:tcPr>
          <w:p>
            <w:pPr>
              <w:ind w:left="40"/>
              <w:spacing w:after="0"/>
              <w:rPr>
                <w:sz w:val="20"/>
                <w:szCs w:val="20"/>
                <w:color w:val="auto"/>
              </w:rPr>
            </w:pPr>
            <w:r>
              <w:rPr>
                <w:rFonts w:ascii="Arial" w:cs="Arial" w:eastAsia="Arial" w:hAnsi="Arial"/>
                <w:sz w:val="16"/>
                <w:szCs w:val="16"/>
                <w:color w:val="auto"/>
              </w:rPr>
              <w:t>Valuation allowances against state tax benefits, net of U.S. Federal tax</w:t>
            </w:r>
          </w:p>
        </w:tc>
        <w:tc>
          <w:tcPr>
            <w:tcW w:w="260" w:type="dxa"/>
            <w:vAlign w:val="bottom"/>
          </w:tcPr>
          <w:p>
            <w:pPr>
              <w:spacing w:after="0"/>
              <w:rPr>
                <w:sz w:val="23"/>
                <w:szCs w:val="23"/>
                <w:color w:val="auto"/>
              </w:rPr>
            </w:pPr>
          </w:p>
        </w:tc>
        <w:tc>
          <w:tcPr>
            <w:tcW w:w="940" w:type="dxa"/>
            <w:vAlign w:val="bottom"/>
          </w:tcPr>
          <w:p>
            <w:pPr>
              <w:jc w:val="right"/>
              <w:ind w:right="80"/>
              <w:spacing w:after="0"/>
              <w:rPr>
                <w:sz w:val="20"/>
                <w:szCs w:val="20"/>
                <w:color w:val="auto"/>
              </w:rPr>
            </w:pPr>
            <w:r>
              <w:rPr>
                <w:rFonts w:ascii="Arial" w:cs="Arial" w:eastAsia="Arial" w:hAnsi="Arial"/>
                <w:sz w:val="16"/>
                <w:szCs w:val="16"/>
                <w:b w:val="1"/>
                <w:bCs w:val="1"/>
                <w:color w:val="auto"/>
              </w:rPr>
              <w:t>3,196</w:t>
            </w:r>
          </w:p>
        </w:tc>
        <w:tc>
          <w:tcPr>
            <w:tcW w:w="320" w:type="dxa"/>
            <w:vAlign w:val="bottom"/>
          </w:tcPr>
          <w:p>
            <w:pPr>
              <w:spacing w:after="0"/>
              <w:rPr>
                <w:sz w:val="23"/>
                <w:szCs w:val="23"/>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(3,285)</w:t>
            </w:r>
          </w:p>
        </w:tc>
        <w:tc>
          <w:tcPr>
            <w:tcW w:w="3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(4,960)</w:t>
            </w:r>
          </w:p>
        </w:tc>
      </w:tr>
      <w:tr>
        <w:trPr>
          <w:trHeight w:val="270"/>
        </w:trPr>
        <w:tc>
          <w:tcPr>
            <w:tcW w:w="7780" w:type="dxa"/>
            <w:vAlign w:val="bottom"/>
          </w:tcPr>
          <w:p>
            <w:pPr>
              <w:ind w:left="40"/>
              <w:spacing w:after="0"/>
              <w:rPr>
                <w:sz w:val="20"/>
                <w:szCs w:val="20"/>
                <w:color w:val="auto"/>
              </w:rPr>
            </w:pPr>
            <w:r>
              <w:rPr>
                <w:rFonts w:ascii="Arial" w:cs="Arial" w:eastAsia="Arial" w:hAnsi="Arial"/>
                <w:sz w:val="16"/>
                <w:szCs w:val="16"/>
                <w:color w:val="auto"/>
              </w:rPr>
              <w:t>Tax-free stock transactions</w:t>
            </w:r>
          </w:p>
        </w:tc>
        <w:tc>
          <w:tcPr>
            <w:tcW w:w="260" w:type="dxa"/>
            <w:vAlign w:val="bottom"/>
          </w:tcPr>
          <w:p>
            <w:pPr>
              <w:spacing w:after="0"/>
              <w:rPr>
                <w:sz w:val="23"/>
                <w:szCs w:val="23"/>
                <w:color w:val="auto"/>
              </w:rPr>
            </w:pPr>
          </w:p>
        </w:tc>
        <w:tc>
          <w:tcPr>
            <w:tcW w:w="940" w:type="dxa"/>
            <w:vAlign w:val="bottom"/>
          </w:tcPr>
          <w:p>
            <w:pPr>
              <w:jc w:val="right"/>
              <w:ind w:right="80"/>
              <w:spacing w:after="0"/>
              <w:rPr>
                <w:sz w:val="20"/>
                <w:szCs w:val="20"/>
                <w:color w:val="auto"/>
              </w:rPr>
            </w:pPr>
            <w:r>
              <w:rPr>
                <w:rFonts w:ascii="Arial" w:cs="Arial" w:eastAsia="Arial" w:hAnsi="Arial"/>
                <w:sz w:val="16"/>
                <w:szCs w:val="16"/>
                <w:b w:val="1"/>
                <w:bCs w:val="1"/>
                <w:color w:val="auto"/>
              </w:rPr>
              <w:t>—</w:t>
            </w:r>
          </w:p>
        </w:tc>
        <w:tc>
          <w:tcPr>
            <w:tcW w:w="320" w:type="dxa"/>
            <w:vAlign w:val="bottom"/>
          </w:tcPr>
          <w:p>
            <w:pPr>
              <w:spacing w:after="0"/>
              <w:rPr>
                <w:sz w:val="23"/>
                <w:szCs w:val="23"/>
                <w:color w:val="auto"/>
              </w:rPr>
            </w:pPr>
          </w:p>
        </w:tc>
        <w:tc>
          <w:tcPr>
            <w:tcW w:w="92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(91,540)</w:t>
            </w:r>
          </w:p>
        </w:tc>
      </w:tr>
      <w:tr>
        <w:trPr>
          <w:trHeight w:val="270"/>
        </w:trPr>
        <w:tc>
          <w:tcPr>
            <w:tcW w:w="7780" w:type="dxa"/>
            <w:vAlign w:val="bottom"/>
          </w:tcPr>
          <w:p>
            <w:pPr>
              <w:ind w:left="40"/>
              <w:spacing w:after="0"/>
              <w:rPr>
                <w:sz w:val="20"/>
                <w:szCs w:val="20"/>
                <w:color w:val="auto"/>
              </w:rPr>
            </w:pPr>
            <w:r>
              <w:rPr>
                <w:rFonts w:ascii="Arial" w:cs="Arial" w:eastAsia="Arial" w:hAnsi="Arial"/>
                <w:sz w:val="16"/>
                <w:szCs w:val="16"/>
                <w:color w:val="auto"/>
              </w:rPr>
              <w:t>Tax provided on non-U.S. subsidiary earnings and distributions</w:t>
            </w:r>
          </w:p>
        </w:tc>
        <w:tc>
          <w:tcPr>
            <w:tcW w:w="260" w:type="dxa"/>
            <w:vAlign w:val="bottom"/>
          </w:tcPr>
          <w:p>
            <w:pPr>
              <w:spacing w:after="0"/>
              <w:rPr>
                <w:sz w:val="23"/>
                <w:szCs w:val="23"/>
                <w:color w:val="auto"/>
              </w:rPr>
            </w:pPr>
          </w:p>
        </w:tc>
        <w:tc>
          <w:tcPr>
            <w:tcW w:w="940" w:type="dxa"/>
            <w:vAlign w:val="bottom"/>
          </w:tcPr>
          <w:p>
            <w:pPr>
              <w:jc w:val="right"/>
              <w:ind w:right="80"/>
              <w:spacing w:after="0"/>
              <w:rPr>
                <w:sz w:val="20"/>
                <w:szCs w:val="20"/>
                <w:color w:val="auto"/>
              </w:rPr>
            </w:pPr>
            <w:r>
              <w:rPr>
                <w:rFonts w:ascii="Arial" w:cs="Arial" w:eastAsia="Arial" w:hAnsi="Arial"/>
                <w:sz w:val="16"/>
                <w:szCs w:val="16"/>
                <w:b w:val="1"/>
                <w:bCs w:val="1"/>
                <w:color w:val="auto"/>
              </w:rPr>
              <w:t>1,993</w:t>
            </w:r>
          </w:p>
        </w:tc>
        <w:tc>
          <w:tcPr>
            <w:tcW w:w="320" w:type="dxa"/>
            <w:vAlign w:val="bottom"/>
          </w:tcPr>
          <w:p>
            <w:pPr>
              <w:spacing w:after="0"/>
              <w:rPr>
                <w:sz w:val="23"/>
                <w:szCs w:val="23"/>
                <w:color w:val="auto"/>
              </w:rPr>
            </w:pPr>
          </w:p>
        </w:tc>
        <w:tc>
          <w:tcPr>
            <w:tcW w:w="920" w:type="dxa"/>
            <w:vAlign w:val="bottom"/>
          </w:tcPr>
          <w:p>
            <w:pPr>
              <w:jc w:val="right"/>
              <w:ind w:right="80"/>
              <w:spacing w:after="0"/>
              <w:rPr>
                <w:sz w:val="20"/>
                <w:szCs w:val="20"/>
                <w:color w:val="auto"/>
              </w:rPr>
            </w:pPr>
            <w:r>
              <w:rPr>
                <w:rFonts w:ascii="Arial" w:cs="Arial" w:eastAsia="Arial" w:hAnsi="Arial"/>
                <w:sz w:val="16"/>
                <w:szCs w:val="16"/>
                <w:color w:val="auto"/>
              </w:rPr>
              <w:t>2,688</w:t>
            </w:r>
          </w:p>
        </w:tc>
        <w:tc>
          <w:tcPr>
            <w:tcW w:w="360" w:type="dxa"/>
            <w:vAlign w:val="bottom"/>
          </w:tcPr>
          <w:p>
            <w:pPr>
              <w:spacing w:after="0"/>
              <w:rPr>
                <w:sz w:val="23"/>
                <w:szCs w:val="23"/>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2,186</w:t>
            </w:r>
          </w:p>
        </w:tc>
      </w:tr>
      <w:tr>
        <w:trPr>
          <w:trHeight w:val="270"/>
        </w:trPr>
        <w:tc>
          <w:tcPr>
            <w:tcW w:w="7780" w:type="dxa"/>
            <w:vAlign w:val="bottom"/>
          </w:tcPr>
          <w:p>
            <w:pPr>
              <w:ind w:left="40"/>
              <w:spacing w:after="0"/>
              <w:rPr>
                <w:sz w:val="20"/>
                <w:szCs w:val="20"/>
                <w:color w:val="auto"/>
              </w:rPr>
            </w:pPr>
            <w:r>
              <w:rPr>
                <w:rFonts w:ascii="Arial" w:cs="Arial" w:eastAsia="Arial" w:hAnsi="Arial"/>
                <w:sz w:val="16"/>
                <w:szCs w:val="16"/>
                <w:color w:val="auto"/>
              </w:rPr>
              <w:t>Valuation allowances against other non-U.S. income tax benefits</w:t>
            </w:r>
          </w:p>
        </w:tc>
        <w:tc>
          <w:tcPr>
            <w:tcW w:w="260" w:type="dxa"/>
            <w:vAlign w:val="bottom"/>
          </w:tcPr>
          <w:p>
            <w:pPr>
              <w:spacing w:after="0"/>
              <w:rPr>
                <w:sz w:val="23"/>
                <w:szCs w:val="23"/>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b w:val="1"/>
                <w:bCs w:val="1"/>
                <w:color w:val="auto"/>
              </w:rPr>
              <w:t>(12,688)</w:t>
            </w:r>
          </w:p>
        </w:tc>
        <w:tc>
          <w:tcPr>
            <w:tcW w:w="320" w:type="dxa"/>
            <w:vAlign w:val="bottom"/>
          </w:tcPr>
          <w:p>
            <w:pPr>
              <w:spacing w:after="0"/>
              <w:rPr>
                <w:sz w:val="23"/>
                <w:szCs w:val="23"/>
                <w:color w:val="auto"/>
              </w:rPr>
            </w:pPr>
          </w:p>
        </w:tc>
        <w:tc>
          <w:tcPr>
            <w:tcW w:w="920" w:type="dxa"/>
            <w:vAlign w:val="bottom"/>
          </w:tcPr>
          <w:p>
            <w:pPr>
              <w:jc w:val="right"/>
              <w:ind w:right="80"/>
              <w:spacing w:after="0"/>
              <w:rPr>
                <w:sz w:val="20"/>
                <w:szCs w:val="20"/>
                <w:color w:val="auto"/>
              </w:rPr>
            </w:pPr>
            <w:r>
              <w:rPr>
                <w:rFonts w:ascii="Arial" w:cs="Arial" w:eastAsia="Arial" w:hAnsi="Arial"/>
                <w:sz w:val="16"/>
                <w:szCs w:val="16"/>
                <w:color w:val="auto"/>
              </w:rPr>
              <w:t>431</w:t>
            </w:r>
          </w:p>
        </w:tc>
        <w:tc>
          <w:tcPr>
            <w:tcW w:w="3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(2,477)</w:t>
            </w:r>
          </w:p>
        </w:tc>
      </w:tr>
      <w:tr>
        <w:trPr>
          <w:trHeight w:val="270"/>
        </w:trPr>
        <w:tc>
          <w:tcPr>
            <w:tcW w:w="7780" w:type="dxa"/>
            <w:vAlign w:val="bottom"/>
          </w:tcPr>
          <w:p>
            <w:pPr>
              <w:ind w:left="40"/>
              <w:spacing w:after="0"/>
              <w:rPr>
                <w:sz w:val="20"/>
                <w:szCs w:val="20"/>
                <w:color w:val="auto"/>
              </w:rPr>
            </w:pPr>
            <w:r>
              <w:rPr>
                <w:rFonts w:ascii="Arial" w:cs="Arial" w:eastAsia="Arial" w:hAnsi="Arial"/>
                <w:sz w:val="16"/>
                <w:szCs w:val="16"/>
                <w:color w:val="auto"/>
              </w:rPr>
              <w:t>Goodwill impairments and dispositions</w:t>
            </w:r>
          </w:p>
        </w:tc>
        <w:tc>
          <w:tcPr>
            <w:tcW w:w="260" w:type="dxa"/>
            <w:vAlign w:val="bottom"/>
          </w:tcPr>
          <w:p>
            <w:pPr>
              <w:spacing w:after="0"/>
              <w:rPr>
                <w:sz w:val="23"/>
                <w:szCs w:val="23"/>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b w:val="1"/>
                <w:bCs w:val="1"/>
                <w:color w:val="auto"/>
              </w:rPr>
              <w:t>(5,631)</w:t>
            </w:r>
          </w:p>
        </w:tc>
        <w:tc>
          <w:tcPr>
            <w:tcW w:w="320" w:type="dxa"/>
            <w:vAlign w:val="bottom"/>
          </w:tcPr>
          <w:p>
            <w:pPr>
              <w:spacing w:after="0"/>
              <w:rPr>
                <w:sz w:val="23"/>
                <w:szCs w:val="23"/>
                <w:color w:val="auto"/>
              </w:rPr>
            </w:pPr>
          </w:p>
        </w:tc>
        <w:tc>
          <w:tcPr>
            <w:tcW w:w="920" w:type="dxa"/>
            <w:vAlign w:val="bottom"/>
          </w:tcPr>
          <w:p>
            <w:pPr>
              <w:jc w:val="right"/>
              <w:ind w:right="80"/>
              <w:spacing w:after="0"/>
              <w:rPr>
                <w:sz w:val="20"/>
                <w:szCs w:val="20"/>
                <w:color w:val="auto"/>
              </w:rPr>
            </w:pPr>
            <w:r>
              <w:rPr>
                <w:rFonts w:ascii="Arial" w:cs="Arial" w:eastAsia="Arial" w:hAnsi="Arial"/>
                <w:sz w:val="16"/>
                <w:szCs w:val="16"/>
                <w:color w:val="auto"/>
              </w:rPr>
              <w:t>63,889</w:t>
            </w:r>
          </w:p>
        </w:tc>
        <w:tc>
          <w:tcPr>
            <w:tcW w:w="360" w:type="dxa"/>
            <w:vAlign w:val="bottom"/>
          </w:tcPr>
          <w:p>
            <w:pPr>
              <w:spacing w:after="0"/>
              <w:rPr>
                <w:sz w:val="23"/>
                <w:szCs w:val="23"/>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70"/>
        </w:trPr>
        <w:tc>
          <w:tcPr>
            <w:tcW w:w="7780" w:type="dxa"/>
            <w:vAlign w:val="bottom"/>
          </w:tcPr>
          <w:p>
            <w:pPr>
              <w:ind w:left="40"/>
              <w:spacing w:after="0"/>
              <w:rPr>
                <w:sz w:val="20"/>
                <w:szCs w:val="20"/>
                <w:color w:val="auto"/>
              </w:rPr>
            </w:pPr>
            <w:r>
              <w:rPr>
                <w:rFonts w:ascii="Arial" w:cs="Arial" w:eastAsia="Arial" w:hAnsi="Arial"/>
                <w:sz w:val="16"/>
                <w:szCs w:val="16"/>
                <w:color w:val="auto"/>
              </w:rPr>
              <w:t>U.S. Federal Manufacturing Deduction tax benefits</w:t>
            </w:r>
          </w:p>
        </w:tc>
        <w:tc>
          <w:tcPr>
            <w:tcW w:w="260" w:type="dxa"/>
            <w:vAlign w:val="bottom"/>
          </w:tcPr>
          <w:p>
            <w:pPr>
              <w:spacing w:after="0"/>
              <w:rPr>
                <w:sz w:val="23"/>
                <w:szCs w:val="23"/>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b w:val="1"/>
                <w:bCs w:val="1"/>
                <w:color w:val="auto"/>
              </w:rPr>
              <w:t>(6,012)</w:t>
            </w:r>
          </w:p>
        </w:tc>
        <w:tc>
          <w:tcPr>
            <w:tcW w:w="320" w:type="dxa"/>
            <w:vAlign w:val="bottom"/>
          </w:tcPr>
          <w:p>
            <w:pPr>
              <w:spacing w:after="0"/>
              <w:rPr>
                <w:sz w:val="23"/>
                <w:szCs w:val="23"/>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(625)</w:t>
            </w:r>
          </w:p>
        </w:tc>
        <w:tc>
          <w:tcPr>
            <w:tcW w:w="3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(6,789)</w:t>
            </w:r>
          </w:p>
        </w:tc>
      </w:tr>
      <w:tr>
        <w:trPr>
          <w:trHeight w:val="270"/>
        </w:trPr>
        <w:tc>
          <w:tcPr>
            <w:tcW w:w="7780" w:type="dxa"/>
            <w:vAlign w:val="bottom"/>
          </w:tcPr>
          <w:p>
            <w:pPr>
              <w:ind w:left="40"/>
              <w:spacing w:after="0"/>
              <w:rPr>
                <w:sz w:val="20"/>
                <w:szCs w:val="20"/>
                <w:color w:val="auto"/>
              </w:rPr>
            </w:pPr>
            <w:r>
              <w:rPr>
                <w:rFonts w:ascii="Arial" w:cs="Arial" w:eastAsia="Arial" w:hAnsi="Arial"/>
                <w:sz w:val="16"/>
                <w:szCs w:val="16"/>
                <w:color w:val="auto"/>
              </w:rPr>
              <w:t>Write-off of deferred taxes related to intercompany loans</w:t>
            </w:r>
          </w:p>
        </w:tc>
        <w:tc>
          <w:tcPr>
            <w:tcW w:w="260" w:type="dxa"/>
            <w:vAlign w:val="bottom"/>
          </w:tcPr>
          <w:p>
            <w:pPr>
              <w:spacing w:after="0"/>
              <w:rPr>
                <w:sz w:val="23"/>
                <w:szCs w:val="23"/>
                <w:color w:val="auto"/>
              </w:rPr>
            </w:pPr>
          </w:p>
        </w:tc>
        <w:tc>
          <w:tcPr>
            <w:tcW w:w="940" w:type="dxa"/>
            <w:vAlign w:val="bottom"/>
          </w:tcPr>
          <w:p>
            <w:pPr>
              <w:jc w:val="right"/>
              <w:ind w:right="80"/>
              <w:spacing w:after="0"/>
              <w:rPr>
                <w:sz w:val="20"/>
                <w:szCs w:val="20"/>
                <w:color w:val="auto"/>
              </w:rPr>
            </w:pPr>
            <w:r>
              <w:rPr>
                <w:rFonts w:ascii="Arial" w:cs="Arial" w:eastAsia="Arial" w:hAnsi="Arial"/>
                <w:sz w:val="16"/>
                <w:szCs w:val="16"/>
                <w:b w:val="1"/>
                <w:bCs w:val="1"/>
                <w:color w:val="auto"/>
              </w:rPr>
              <w:t>10,965</w:t>
            </w:r>
          </w:p>
        </w:tc>
        <w:tc>
          <w:tcPr>
            <w:tcW w:w="320" w:type="dxa"/>
            <w:vAlign w:val="bottom"/>
          </w:tcPr>
          <w:p>
            <w:pPr>
              <w:spacing w:after="0"/>
              <w:rPr>
                <w:sz w:val="23"/>
                <w:szCs w:val="23"/>
                <w:color w:val="auto"/>
              </w:rPr>
            </w:pPr>
          </w:p>
        </w:tc>
        <w:tc>
          <w:tcPr>
            <w:tcW w:w="92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3"/>
                <w:szCs w:val="23"/>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74"/>
        </w:trPr>
        <w:tc>
          <w:tcPr>
            <w:tcW w:w="7780" w:type="dxa"/>
            <w:vAlign w:val="bottom"/>
          </w:tcPr>
          <w:p>
            <w:pPr>
              <w:ind w:left="40"/>
              <w:spacing w:after="0"/>
              <w:rPr>
                <w:sz w:val="20"/>
                <w:szCs w:val="20"/>
                <w:color w:val="auto"/>
              </w:rPr>
            </w:pPr>
            <w:r>
              <w:rPr>
                <w:rFonts w:ascii="Arial" w:cs="Arial" w:eastAsia="Arial" w:hAnsi="Arial"/>
                <w:sz w:val="16"/>
                <w:szCs w:val="16"/>
                <w:color w:val="auto"/>
              </w:rPr>
              <w:t>Other, net</w:t>
            </w:r>
          </w:p>
        </w:tc>
        <w:tc>
          <w:tcPr>
            <w:tcW w:w="26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4,611</w:t>
            </w:r>
          </w:p>
        </w:tc>
        <w:tc>
          <w:tcPr>
            <w:tcW w:w="32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3,154</w:t>
            </w:r>
          </w:p>
        </w:tc>
        <w:tc>
          <w:tcPr>
            <w:tcW w:w="36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578</w:t>
            </w:r>
          </w:p>
        </w:tc>
      </w:tr>
      <w:tr>
        <w:trPr>
          <w:trHeight w:val="267"/>
        </w:trPr>
        <w:tc>
          <w:tcPr>
            <w:tcW w:w="7780" w:type="dxa"/>
            <w:vAlign w:val="bottom"/>
          </w:tcPr>
          <w:p>
            <w:pPr>
              <w:ind w:left="40"/>
              <w:spacing w:after="0"/>
              <w:rPr>
                <w:sz w:val="20"/>
                <w:szCs w:val="20"/>
                <w:color w:val="auto"/>
              </w:rPr>
            </w:pPr>
            <w:r>
              <w:rPr>
                <w:rFonts w:ascii="Arial" w:cs="Arial" w:eastAsia="Arial" w:hAnsi="Arial"/>
                <w:sz w:val="16"/>
                <w:szCs w:val="16"/>
                <w:b w:val="1"/>
                <w:bCs w:val="1"/>
                <w:color w:val="auto"/>
              </w:rPr>
              <w:t>Provision for Income Taxes</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81,200</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20,500</w:t>
            </w:r>
          </w:p>
        </w:tc>
        <w:tc>
          <w:tcPr>
            <w:tcW w:w="3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312,300</w:t>
            </w:r>
          </w:p>
        </w:tc>
      </w:tr>
      <w:tr>
        <w:trPr>
          <w:trHeight w:val="20"/>
        </w:trPr>
        <w:tc>
          <w:tcPr>
            <w:tcW w:w="77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126" w:lineRule="exact"/>
        <w:rPr>
          <w:sz w:val="20"/>
          <w:szCs w:val="20"/>
          <w:color w:val="auto"/>
        </w:rPr>
      </w:pPr>
    </w:p>
    <w:p>
      <w:pPr>
        <w:ind w:right="20"/>
        <w:spacing w:after="0"/>
        <w:rPr>
          <w:sz w:val="20"/>
          <w:szCs w:val="20"/>
          <w:color w:val="auto"/>
        </w:rPr>
      </w:pPr>
      <w:r>
        <w:rPr>
          <w:rFonts w:ascii="Arial" w:cs="Arial" w:eastAsia="Arial" w:hAnsi="Arial"/>
          <w:sz w:val="18"/>
          <w:szCs w:val="18"/>
          <w:color w:val="auto"/>
        </w:rPr>
        <w:t>During 2016, certain intercompany loans were capitalized and other intercompany loans were designated as long-term investments, resulting in the write-off of $11.0 million in U.S. deferred tax assets. Also, the Company benefited from a favorable $5.6 million out of period deferred tax adjustment related to the KHE goodwill impairment recorded in the third quarter of 2015.</w:t>
      </w:r>
    </w:p>
    <w:p>
      <w:pPr>
        <w:spacing w:after="0" w:line="108" w:lineRule="exact"/>
        <w:rPr>
          <w:sz w:val="20"/>
          <w:szCs w:val="20"/>
          <w:color w:val="auto"/>
        </w:rPr>
      </w:pPr>
    </w:p>
    <w:p>
      <w:pPr>
        <w:ind w:right="80"/>
        <w:spacing w:after="0" w:line="251" w:lineRule="auto"/>
        <w:rPr>
          <w:sz w:val="20"/>
          <w:szCs w:val="20"/>
          <w:color w:val="auto"/>
        </w:rPr>
      </w:pPr>
      <w:r>
        <w:rPr>
          <w:rFonts w:ascii="Arial" w:cs="Arial" w:eastAsia="Arial" w:hAnsi="Arial"/>
          <w:sz w:val="17"/>
          <w:szCs w:val="17"/>
          <w:color w:val="auto"/>
        </w:rPr>
        <w:t>During 2015 and 2014, in addition to the income tax provision for continuing operations presented above, the Company also recorded tax expense or benefits on discontinued operations. Income from discontinued operations and net (loss) gain on dispositions of discontinued operations have been reclassified from previously reported income from operations and reported separately as income from discontinued operations, net of tax. Tax expense of $27.8 million and $82.4 million were recorded in discontinued operations in 2015 and 2014, respectively.</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color w:val="auto"/>
        </w:rPr>
        <w:t>Deferred income taxes consist of the following:</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90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120" w:type="dxa"/>
            <w:vAlign w:val="bottom"/>
            <w:tcBorders>
              <w:bottom w:val="single" w:sz="8" w:color="auto"/>
            </w:tcBorders>
            <w:gridSpan w:val="3"/>
          </w:tcPr>
          <w:p>
            <w:pPr>
              <w:jc w:val="right"/>
              <w:ind w:right="459"/>
              <w:spacing w:after="0"/>
              <w:rPr>
                <w:sz w:val="20"/>
                <w:szCs w:val="20"/>
                <w:color w:val="auto"/>
              </w:rPr>
            </w:pPr>
            <w:r>
              <w:rPr>
                <w:rFonts w:ascii="Arial" w:cs="Arial" w:eastAsia="Arial" w:hAnsi="Arial"/>
                <w:sz w:val="14"/>
                <w:szCs w:val="14"/>
                <w:b w:val="1"/>
                <w:bCs w:val="1"/>
                <w:color w:val="auto"/>
              </w:rPr>
              <w:t>As of December 31</w:t>
            </w:r>
          </w:p>
        </w:tc>
      </w:tr>
      <w:tr>
        <w:trPr>
          <w:trHeight w:val="264"/>
        </w:trPr>
        <w:tc>
          <w:tcPr>
            <w:tcW w:w="90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2016</w:t>
            </w:r>
          </w:p>
        </w:tc>
        <w:tc>
          <w:tcPr>
            <w:tcW w:w="3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color w:val="auto"/>
              </w:rPr>
              <w:t>2015</w:t>
            </w:r>
          </w:p>
        </w:tc>
      </w:tr>
      <w:tr>
        <w:trPr>
          <w:trHeight w:val="257"/>
        </w:trPr>
        <w:tc>
          <w:tcPr>
            <w:tcW w:w="9020" w:type="dxa"/>
            <w:vAlign w:val="bottom"/>
          </w:tcPr>
          <w:p>
            <w:pPr>
              <w:ind w:left="40"/>
              <w:spacing w:after="0"/>
              <w:rPr>
                <w:sz w:val="20"/>
                <w:szCs w:val="20"/>
                <w:color w:val="auto"/>
              </w:rPr>
            </w:pPr>
            <w:r>
              <w:rPr>
                <w:rFonts w:ascii="Arial" w:cs="Arial" w:eastAsia="Arial" w:hAnsi="Arial"/>
                <w:sz w:val="16"/>
                <w:szCs w:val="16"/>
                <w:color w:val="auto"/>
              </w:rPr>
              <w:t>Accrued postretirement benefits</w:t>
            </w:r>
          </w:p>
        </w:tc>
        <w:tc>
          <w:tcPr>
            <w:tcW w:w="28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ind w:right="80"/>
              <w:spacing w:after="0"/>
              <w:rPr>
                <w:sz w:val="20"/>
                <w:szCs w:val="20"/>
                <w:color w:val="auto"/>
              </w:rPr>
            </w:pPr>
            <w:r>
              <w:rPr>
                <w:rFonts w:ascii="Arial" w:cs="Arial" w:eastAsia="Arial" w:hAnsi="Arial"/>
                <w:sz w:val="16"/>
                <w:szCs w:val="16"/>
                <w:b w:val="1"/>
                <w:bCs w:val="1"/>
                <w:color w:val="auto"/>
              </w:rPr>
              <w:t>9,444</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13,763</w:t>
            </w:r>
          </w:p>
        </w:tc>
      </w:tr>
      <w:tr>
        <w:trPr>
          <w:trHeight w:val="270"/>
        </w:trPr>
        <w:tc>
          <w:tcPr>
            <w:tcW w:w="9020" w:type="dxa"/>
            <w:vAlign w:val="bottom"/>
          </w:tcPr>
          <w:p>
            <w:pPr>
              <w:ind w:left="40"/>
              <w:spacing w:after="0"/>
              <w:rPr>
                <w:sz w:val="20"/>
                <w:szCs w:val="20"/>
                <w:color w:val="auto"/>
              </w:rPr>
            </w:pPr>
            <w:r>
              <w:rPr>
                <w:rFonts w:ascii="Arial" w:cs="Arial" w:eastAsia="Arial" w:hAnsi="Arial"/>
                <w:sz w:val="16"/>
                <w:szCs w:val="16"/>
                <w:color w:val="auto"/>
              </w:rPr>
              <w:t>Other benefit obligations</w:t>
            </w:r>
          </w:p>
        </w:tc>
        <w:tc>
          <w:tcPr>
            <w:tcW w:w="280" w:type="dxa"/>
            <w:vAlign w:val="bottom"/>
          </w:tcPr>
          <w:p>
            <w:pPr>
              <w:spacing w:after="0"/>
              <w:rPr>
                <w:sz w:val="23"/>
                <w:szCs w:val="23"/>
                <w:color w:val="auto"/>
              </w:rPr>
            </w:pPr>
          </w:p>
        </w:tc>
        <w:tc>
          <w:tcPr>
            <w:tcW w:w="920" w:type="dxa"/>
            <w:vAlign w:val="bottom"/>
          </w:tcPr>
          <w:p>
            <w:pPr>
              <w:jc w:val="right"/>
              <w:ind w:right="80"/>
              <w:spacing w:after="0"/>
              <w:rPr>
                <w:sz w:val="20"/>
                <w:szCs w:val="20"/>
                <w:color w:val="auto"/>
              </w:rPr>
            </w:pPr>
            <w:r>
              <w:rPr>
                <w:rFonts w:ascii="Arial" w:cs="Arial" w:eastAsia="Arial" w:hAnsi="Arial"/>
                <w:sz w:val="16"/>
                <w:szCs w:val="16"/>
                <w:b w:val="1"/>
                <w:bCs w:val="1"/>
                <w:color w:val="auto"/>
              </w:rPr>
              <w:t>120,792</w:t>
            </w:r>
          </w:p>
        </w:tc>
        <w:tc>
          <w:tcPr>
            <w:tcW w:w="32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108,349</w:t>
            </w:r>
          </w:p>
        </w:tc>
      </w:tr>
      <w:tr>
        <w:trPr>
          <w:trHeight w:val="270"/>
        </w:trPr>
        <w:tc>
          <w:tcPr>
            <w:tcW w:w="9020" w:type="dxa"/>
            <w:vAlign w:val="bottom"/>
          </w:tcPr>
          <w:p>
            <w:pPr>
              <w:ind w:left="40"/>
              <w:spacing w:after="0"/>
              <w:rPr>
                <w:sz w:val="20"/>
                <w:szCs w:val="20"/>
                <w:color w:val="auto"/>
              </w:rPr>
            </w:pPr>
            <w:r>
              <w:rPr>
                <w:rFonts w:ascii="Arial" w:cs="Arial" w:eastAsia="Arial" w:hAnsi="Arial"/>
                <w:sz w:val="16"/>
                <w:szCs w:val="16"/>
                <w:color w:val="auto"/>
              </w:rPr>
              <w:t>Accounts receivable</w:t>
            </w:r>
          </w:p>
        </w:tc>
        <w:tc>
          <w:tcPr>
            <w:tcW w:w="280" w:type="dxa"/>
            <w:vAlign w:val="bottom"/>
          </w:tcPr>
          <w:p>
            <w:pPr>
              <w:spacing w:after="0"/>
              <w:rPr>
                <w:sz w:val="23"/>
                <w:szCs w:val="23"/>
                <w:color w:val="auto"/>
              </w:rPr>
            </w:pPr>
          </w:p>
        </w:tc>
        <w:tc>
          <w:tcPr>
            <w:tcW w:w="920" w:type="dxa"/>
            <w:vAlign w:val="bottom"/>
          </w:tcPr>
          <w:p>
            <w:pPr>
              <w:jc w:val="right"/>
              <w:ind w:right="80"/>
              <w:spacing w:after="0"/>
              <w:rPr>
                <w:sz w:val="20"/>
                <w:szCs w:val="20"/>
                <w:color w:val="auto"/>
              </w:rPr>
            </w:pPr>
            <w:r>
              <w:rPr>
                <w:rFonts w:ascii="Arial" w:cs="Arial" w:eastAsia="Arial" w:hAnsi="Arial"/>
                <w:sz w:val="16"/>
                <w:szCs w:val="16"/>
                <w:b w:val="1"/>
                <w:bCs w:val="1"/>
                <w:color w:val="auto"/>
              </w:rPr>
              <w:t>10,780</w:t>
            </w:r>
          </w:p>
        </w:tc>
        <w:tc>
          <w:tcPr>
            <w:tcW w:w="32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12,840</w:t>
            </w:r>
          </w:p>
        </w:tc>
      </w:tr>
      <w:tr>
        <w:trPr>
          <w:trHeight w:val="270"/>
        </w:trPr>
        <w:tc>
          <w:tcPr>
            <w:tcW w:w="9020" w:type="dxa"/>
            <w:vAlign w:val="bottom"/>
          </w:tcPr>
          <w:p>
            <w:pPr>
              <w:ind w:left="40"/>
              <w:spacing w:after="0"/>
              <w:rPr>
                <w:sz w:val="20"/>
                <w:szCs w:val="20"/>
                <w:color w:val="auto"/>
              </w:rPr>
            </w:pPr>
            <w:r>
              <w:rPr>
                <w:rFonts w:ascii="Arial" w:cs="Arial" w:eastAsia="Arial" w:hAnsi="Arial"/>
                <w:sz w:val="16"/>
                <w:szCs w:val="16"/>
                <w:color w:val="auto"/>
              </w:rPr>
              <w:t>State income tax loss carryforwards</w:t>
            </w:r>
          </w:p>
        </w:tc>
        <w:tc>
          <w:tcPr>
            <w:tcW w:w="280" w:type="dxa"/>
            <w:vAlign w:val="bottom"/>
          </w:tcPr>
          <w:p>
            <w:pPr>
              <w:spacing w:after="0"/>
              <w:rPr>
                <w:sz w:val="23"/>
                <w:szCs w:val="23"/>
                <w:color w:val="auto"/>
              </w:rPr>
            </w:pPr>
          </w:p>
        </w:tc>
        <w:tc>
          <w:tcPr>
            <w:tcW w:w="920" w:type="dxa"/>
            <w:vAlign w:val="bottom"/>
          </w:tcPr>
          <w:p>
            <w:pPr>
              <w:jc w:val="right"/>
              <w:ind w:right="80"/>
              <w:spacing w:after="0"/>
              <w:rPr>
                <w:sz w:val="20"/>
                <w:szCs w:val="20"/>
                <w:color w:val="auto"/>
              </w:rPr>
            </w:pPr>
            <w:r>
              <w:rPr>
                <w:rFonts w:ascii="Arial" w:cs="Arial" w:eastAsia="Arial" w:hAnsi="Arial"/>
                <w:sz w:val="16"/>
                <w:szCs w:val="16"/>
                <w:b w:val="1"/>
                <w:bCs w:val="1"/>
                <w:color w:val="auto"/>
              </w:rPr>
              <w:t>23,178</w:t>
            </w:r>
          </w:p>
        </w:tc>
        <w:tc>
          <w:tcPr>
            <w:tcW w:w="32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19,550</w:t>
            </w:r>
          </w:p>
        </w:tc>
      </w:tr>
      <w:tr>
        <w:trPr>
          <w:trHeight w:val="270"/>
        </w:trPr>
        <w:tc>
          <w:tcPr>
            <w:tcW w:w="9020" w:type="dxa"/>
            <w:vAlign w:val="bottom"/>
          </w:tcPr>
          <w:p>
            <w:pPr>
              <w:ind w:left="40"/>
              <w:spacing w:after="0"/>
              <w:rPr>
                <w:sz w:val="20"/>
                <w:szCs w:val="20"/>
                <w:color w:val="auto"/>
              </w:rPr>
            </w:pPr>
            <w:r>
              <w:rPr>
                <w:rFonts w:ascii="Arial" w:cs="Arial" w:eastAsia="Arial" w:hAnsi="Arial"/>
                <w:sz w:val="16"/>
                <w:szCs w:val="16"/>
                <w:color w:val="auto"/>
              </w:rPr>
              <w:t>U.S. Federal income tax loss carryforwards</w:t>
            </w:r>
          </w:p>
        </w:tc>
        <w:tc>
          <w:tcPr>
            <w:tcW w:w="280" w:type="dxa"/>
            <w:vAlign w:val="bottom"/>
          </w:tcPr>
          <w:p>
            <w:pPr>
              <w:spacing w:after="0"/>
              <w:rPr>
                <w:sz w:val="23"/>
                <w:szCs w:val="23"/>
                <w:color w:val="auto"/>
              </w:rPr>
            </w:pPr>
          </w:p>
        </w:tc>
        <w:tc>
          <w:tcPr>
            <w:tcW w:w="920" w:type="dxa"/>
            <w:vAlign w:val="bottom"/>
          </w:tcPr>
          <w:p>
            <w:pPr>
              <w:jc w:val="right"/>
              <w:ind w:right="80"/>
              <w:spacing w:after="0"/>
              <w:rPr>
                <w:sz w:val="20"/>
                <w:szCs w:val="20"/>
                <w:color w:val="auto"/>
              </w:rPr>
            </w:pPr>
            <w:r>
              <w:rPr>
                <w:rFonts w:ascii="Arial" w:cs="Arial" w:eastAsia="Arial" w:hAnsi="Arial"/>
                <w:sz w:val="16"/>
                <w:szCs w:val="16"/>
                <w:b w:val="1"/>
                <w:bCs w:val="1"/>
                <w:color w:val="auto"/>
              </w:rPr>
              <w:t>6,212</w:t>
            </w:r>
          </w:p>
        </w:tc>
        <w:tc>
          <w:tcPr>
            <w:tcW w:w="32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5,007</w:t>
            </w:r>
          </w:p>
        </w:tc>
      </w:tr>
      <w:tr>
        <w:trPr>
          <w:trHeight w:val="270"/>
        </w:trPr>
        <w:tc>
          <w:tcPr>
            <w:tcW w:w="9020" w:type="dxa"/>
            <w:vAlign w:val="bottom"/>
          </w:tcPr>
          <w:p>
            <w:pPr>
              <w:ind w:left="40"/>
              <w:spacing w:after="0"/>
              <w:rPr>
                <w:sz w:val="20"/>
                <w:szCs w:val="20"/>
                <w:color w:val="auto"/>
              </w:rPr>
            </w:pPr>
            <w:r>
              <w:rPr>
                <w:rFonts w:ascii="Arial" w:cs="Arial" w:eastAsia="Arial" w:hAnsi="Arial"/>
                <w:sz w:val="16"/>
                <w:szCs w:val="16"/>
                <w:color w:val="auto"/>
              </w:rPr>
              <w:t>U.S. Federal foreign income tax credit carryforwards</w:t>
            </w:r>
          </w:p>
        </w:tc>
        <w:tc>
          <w:tcPr>
            <w:tcW w:w="280" w:type="dxa"/>
            <w:vAlign w:val="bottom"/>
          </w:tcPr>
          <w:p>
            <w:pPr>
              <w:spacing w:after="0"/>
              <w:rPr>
                <w:sz w:val="23"/>
                <w:szCs w:val="23"/>
                <w:color w:val="auto"/>
              </w:rPr>
            </w:pPr>
          </w:p>
        </w:tc>
        <w:tc>
          <w:tcPr>
            <w:tcW w:w="920" w:type="dxa"/>
            <w:vAlign w:val="bottom"/>
          </w:tcPr>
          <w:p>
            <w:pPr>
              <w:jc w:val="right"/>
              <w:ind w:right="80"/>
              <w:spacing w:after="0"/>
              <w:rPr>
                <w:sz w:val="20"/>
                <w:szCs w:val="20"/>
                <w:color w:val="auto"/>
              </w:rPr>
            </w:pPr>
            <w:r>
              <w:rPr>
                <w:rFonts w:ascii="Arial" w:cs="Arial" w:eastAsia="Arial" w:hAnsi="Arial"/>
                <w:sz w:val="16"/>
                <w:szCs w:val="16"/>
                <w:b w:val="1"/>
                <w:bCs w:val="1"/>
                <w:color w:val="auto"/>
              </w:rPr>
              <w:t>1,921</w:t>
            </w:r>
          </w:p>
        </w:tc>
        <w:tc>
          <w:tcPr>
            <w:tcW w:w="32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1,374</w:t>
            </w:r>
          </w:p>
        </w:tc>
      </w:tr>
      <w:tr>
        <w:trPr>
          <w:trHeight w:val="270"/>
        </w:trPr>
        <w:tc>
          <w:tcPr>
            <w:tcW w:w="9020" w:type="dxa"/>
            <w:vAlign w:val="bottom"/>
          </w:tcPr>
          <w:p>
            <w:pPr>
              <w:ind w:left="40"/>
              <w:spacing w:after="0"/>
              <w:rPr>
                <w:sz w:val="20"/>
                <w:szCs w:val="20"/>
                <w:color w:val="auto"/>
              </w:rPr>
            </w:pPr>
            <w:r>
              <w:rPr>
                <w:rFonts w:ascii="Arial" w:cs="Arial" w:eastAsia="Arial" w:hAnsi="Arial"/>
                <w:sz w:val="16"/>
                <w:szCs w:val="16"/>
                <w:color w:val="auto"/>
              </w:rPr>
              <w:t>Non-U.S. income tax loss carryforwards</w:t>
            </w:r>
          </w:p>
        </w:tc>
        <w:tc>
          <w:tcPr>
            <w:tcW w:w="280" w:type="dxa"/>
            <w:vAlign w:val="bottom"/>
          </w:tcPr>
          <w:p>
            <w:pPr>
              <w:spacing w:after="0"/>
              <w:rPr>
                <w:sz w:val="23"/>
                <w:szCs w:val="23"/>
                <w:color w:val="auto"/>
              </w:rPr>
            </w:pPr>
          </w:p>
        </w:tc>
        <w:tc>
          <w:tcPr>
            <w:tcW w:w="920" w:type="dxa"/>
            <w:vAlign w:val="bottom"/>
          </w:tcPr>
          <w:p>
            <w:pPr>
              <w:jc w:val="right"/>
              <w:ind w:right="80"/>
              <w:spacing w:after="0"/>
              <w:rPr>
                <w:sz w:val="20"/>
                <w:szCs w:val="20"/>
                <w:color w:val="auto"/>
              </w:rPr>
            </w:pPr>
            <w:r>
              <w:rPr>
                <w:rFonts w:ascii="Arial" w:cs="Arial" w:eastAsia="Arial" w:hAnsi="Arial"/>
                <w:sz w:val="16"/>
                <w:szCs w:val="16"/>
                <w:b w:val="1"/>
                <w:bCs w:val="1"/>
                <w:color w:val="auto"/>
              </w:rPr>
              <w:t>19,246</w:t>
            </w:r>
          </w:p>
        </w:tc>
        <w:tc>
          <w:tcPr>
            <w:tcW w:w="32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26,921</w:t>
            </w:r>
          </w:p>
        </w:tc>
      </w:tr>
      <w:tr>
        <w:trPr>
          <w:trHeight w:val="270"/>
        </w:trPr>
        <w:tc>
          <w:tcPr>
            <w:tcW w:w="9020" w:type="dxa"/>
            <w:vAlign w:val="bottom"/>
          </w:tcPr>
          <w:p>
            <w:pPr>
              <w:ind w:left="40"/>
              <w:spacing w:after="0"/>
              <w:rPr>
                <w:sz w:val="20"/>
                <w:szCs w:val="20"/>
                <w:color w:val="auto"/>
              </w:rPr>
            </w:pPr>
            <w:r>
              <w:rPr>
                <w:rFonts w:ascii="Arial" w:cs="Arial" w:eastAsia="Arial" w:hAnsi="Arial"/>
                <w:sz w:val="16"/>
                <w:szCs w:val="16"/>
                <w:color w:val="auto"/>
              </w:rPr>
              <w:t>Non-U.S. capital loss carryforwards</w:t>
            </w:r>
          </w:p>
        </w:tc>
        <w:tc>
          <w:tcPr>
            <w:tcW w:w="280" w:type="dxa"/>
            <w:vAlign w:val="bottom"/>
          </w:tcPr>
          <w:p>
            <w:pPr>
              <w:spacing w:after="0"/>
              <w:rPr>
                <w:sz w:val="23"/>
                <w:szCs w:val="23"/>
                <w:color w:val="auto"/>
              </w:rPr>
            </w:pPr>
          </w:p>
        </w:tc>
        <w:tc>
          <w:tcPr>
            <w:tcW w:w="920" w:type="dxa"/>
            <w:vAlign w:val="bottom"/>
          </w:tcPr>
          <w:p>
            <w:pPr>
              <w:jc w:val="right"/>
              <w:ind w:right="80"/>
              <w:spacing w:after="0"/>
              <w:rPr>
                <w:sz w:val="20"/>
                <w:szCs w:val="20"/>
                <w:color w:val="auto"/>
              </w:rPr>
            </w:pPr>
            <w:r>
              <w:rPr>
                <w:rFonts w:ascii="Arial" w:cs="Arial" w:eastAsia="Arial" w:hAnsi="Arial"/>
                <w:sz w:val="16"/>
                <w:szCs w:val="16"/>
                <w:b w:val="1"/>
                <w:bCs w:val="1"/>
                <w:color w:val="auto"/>
              </w:rPr>
              <w:t>1,929</w:t>
            </w:r>
          </w:p>
        </w:tc>
        <w:tc>
          <w:tcPr>
            <w:tcW w:w="32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10,055</w:t>
            </w:r>
          </w:p>
        </w:tc>
      </w:tr>
      <w:tr>
        <w:trPr>
          <w:trHeight w:val="274"/>
        </w:trPr>
        <w:tc>
          <w:tcPr>
            <w:tcW w:w="9020" w:type="dxa"/>
            <w:vAlign w:val="bottom"/>
          </w:tcPr>
          <w:p>
            <w:pPr>
              <w:ind w:left="40"/>
              <w:spacing w:after="0"/>
              <w:rPr>
                <w:sz w:val="20"/>
                <w:szCs w:val="20"/>
                <w:color w:val="auto"/>
              </w:rPr>
            </w:pPr>
            <w:r>
              <w:rPr>
                <w:rFonts w:ascii="Arial" w:cs="Arial" w:eastAsia="Arial" w:hAnsi="Arial"/>
                <w:sz w:val="16"/>
                <w:szCs w:val="16"/>
                <w:color w:val="auto"/>
              </w:rPr>
              <w:t>Other</w:t>
            </w:r>
          </w:p>
        </w:tc>
        <w:tc>
          <w:tcPr>
            <w:tcW w:w="28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44,401</w:t>
            </w:r>
          </w:p>
        </w:tc>
        <w:tc>
          <w:tcPr>
            <w:tcW w:w="32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44,858</w:t>
            </w:r>
          </w:p>
        </w:tc>
      </w:tr>
      <w:tr>
        <w:trPr>
          <w:trHeight w:val="260"/>
        </w:trPr>
        <w:tc>
          <w:tcPr>
            <w:tcW w:w="9020" w:type="dxa"/>
            <w:vAlign w:val="bottom"/>
          </w:tcPr>
          <w:p>
            <w:pPr>
              <w:ind w:left="40"/>
              <w:spacing w:after="0"/>
              <w:rPr>
                <w:sz w:val="20"/>
                <w:szCs w:val="20"/>
                <w:color w:val="auto"/>
              </w:rPr>
            </w:pPr>
            <w:r>
              <w:rPr>
                <w:rFonts w:ascii="Arial" w:cs="Arial" w:eastAsia="Arial" w:hAnsi="Arial"/>
                <w:sz w:val="16"/>
                <w:szCs w:val="16"/>
                <w:b w:val="1"/>
                <w:bCs w:val="1"/>
                <w:color w:val="auto"/>
              </w:rPr>
              <w:t>Deferred Tax Assets</w:t>
            </w:r>
          </w:p>
        </w:tc>
        <w:tc>
          <w:tcPr>
            <w:tcW w:w="280" w:type="dxa"/>
            <w:vAlign w:val="bottom"/>
          </w:tcPr>
          <w:p>
            <w:pPr>
              <w:spacing w:after="0"/>
              <w:rPr>
                <w:sz w:val="22"/>
                <w:szCs w:val="22"/>
                <w:color w:val="auto"/>
              </w:rPr>
            </w:pPr>
          </w:p>
        </w:tc>
        <w:tc>
          <w:tcPr>
            <w:tcW w:w="920" w:type="dxa"/>
            <w:vAlign w:val="bottom"/>
          </w:tcPr>
          <w:p>
            <w:pPr>
              <w:jc w:val="right"/>
              <w:ind w:right="80"/>
              <w:spacing w:after="0"/>
              <w:rPr>
                <w:sz w:val="20"/>
                <w:szCs w:val="20"/>
                <w:color w:val="auto"/>
              </w:rPr>
            </w:pPr>
            <w:r>
              <w:rPr>
                <w:rFonts w:ascii="Arial" w:cs="Arial" w:eastAsia="Arial" w:hAnsi="Arial"/>
                <w:sz w:val="16"/>
                <w:szCs w:val="16"/>
                <w:b w:val="1"/>
                <w:bCs w:val="1"/>
                <w:color w:val="auto"/>
              </w:rPr>
              <w:t>237,903</w:t>
            </w:r>
          </w:p>
        </w:tc>
        <w:tc>
          <w:tcPr>
            <w:tcW w:w="320" w:type="dxa"/>
            <w:vAlign w:val="bottom"/>
          </w:tcPr>
          <w:p>
            <w:pPr>
              <w:spacing w:after="0"/>
              <w:rPr>
                <w:sz w:val="22"/>
                <w:szCs w:val="22"/>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242,717</w:t>
            </w:r>
          </w:p>
        </w:tc>
      </w:tr>
      <w:tr>
        <w:trPr>
          <w:trHeight w:val="274"/>
        </w:trPr>
        <w:tc>
          <w:tcPr>
            <w:tcW w:w="9020" w:type="dxa"/>
            <w:vAlign w:val="bottom"/>
          </w:tcPr>
          <w:p>
            <w:pPr>
              <w:ind w:left="40"/>
              <w:spacing w:after="0"/>
              <w:rPr>
                <w:sz w:val="20"/>
                <w:szCs w:val="20"/>
                <w:color w:val="auto"/>
              </w:rPr>
            </w:pPr>
            <w:r>
              <w:rPr>
                <w:rFonts w:ascii="Arial" w:cs="Arial" w:eastAsia="Arial" w:hAnsi="Arial"/>
                <w:sz w:val="16"/>
                <w:szCs w:val="16"/>
                <w:color w:val="auto"/>
              </w:rPr>
              <w:t>Valuation allowances</w:t>
            </w:r>
          </w:p>
        </w:tc>
        <w:tc>
          <w:tcPr>
            <w:tcW w:w="28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(41,319)</w:t>
            </w:r>
          </w:p>
        </w:tc>
        <w:tc>
          <w:tcPr>
            <w:tcW w:w="32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(69,545)</w:t>
            </w:r>
          </w:p>
        </w:tc>
      </w:tr>
      <w:tr>
        <w:trPr>
          <w:trHeight w:val="264"/>
        </w:trPr>
        <w:tc>
          <w:tcPr>
            <w:tcW w:w="9020" w:type="dxa"/>
            <w:vAlign w:val="bottom"/>
          </w:tcPr>
          <w:p>
            <w:pPr>
              <w:ind w:left="40"/>
              <w:spacing w:after="0"/>
              <w:rPr>
                <w:sz w:val="20"/>
                <w:szCs w:val="20"/>
                <w:color w:val="auto"/>
              </w:rPr>
            </w:pPr>
            <w:r>
              <w:rPr>
                <w:rFonts w:ascii="Arial" w:cs="Arial" w:eastAsia="Arial" w:hAnsi="Arial"/>
                <w:sz w:val="16"/>
                <w:szCs w:val="16"/>
                <w:b w:val="1"/>
                <w:bCs w:val="1"/>
                <w:color w:val="auto"/>
              </w:rPr>
              <w:t>Deferred Tax Assets, Net</w:t>
            </w: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196,584</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173,172</w:t>
            </w:r>
          </w:p>
        </w:tc>
      </w:tr>
      <w:tr>
        <w:trPr>
          <w:trHeight w:val="260"/>
        </w:trPr>
        <w:tc>
          <w:tcPr>
            <w:tcW w:w="9020" w:type="dxa"/>
            <w:vAlign w:val="bottom"/>
          </w:tcPr>
          <w:p>
            <w:pPr>
              <w:ind w:left="40"/>
              <w:spacing w:after="0"/>
              <w:rPr>
                <w:sz w:val="20"/>
                <w:szCs w:val="20"/>
                <w:color w:val="auto"/>
              </w:rPr>
            </w:pPr>
            <w:r>
              <w:rPr>
                <w:rFonts w:ascii="Arial" w:cs="Arial" w:eastAsia="Arial" w:hAnsi="Arial"/>
                <w:sz w:val="16"/>
                <w:szCs w:val="16"/>
                <w:color w:val="auto"/>
              </w:rPr>
              <w:t>Property, plant and equipment</w:t>
            </w:r>
          </w:p>
        </w:tc>
        <w:tc>
          <w:tcPr>
            <w:tcW w:w="280" w:type="dxa"/>
            <w:vAlign w:val="bottom"/>
          </w:tcPr>
          <w:p>
            <w:pPr>
              <w:spacing w:after="0"/>
              <w:rPr>
                <w:sz w:val="22"/>
                <w:szCs w:val="22"/>
                <w:color w:val="auto"/>
              </w:rPr>
            </w:pPr>
          </w:p>
        </w:tc>
        <w:tc>
          <w:tcPr>
            <w:tcW w:w="920" w:type="dxa"/>
            <w:vAlign w:val="bottom"/>
          </w:tcPr>
          <w:p>
            <w:pPr>
              <w:jc w:val="right"/>
              <w:ind w:right="80"/>
              <w:spacing w:after="0"/>
              <w:rPr>
                <w:sz w:val="20"/>
                <w:szCs w:val="20"/>
                <w:color w:val="auto"/>
              </w:rPr>
            </w:pPr>
            <w:r>
              <w:rPr>
                <w:rFonts w:ascii="Arial" w:cs="Arial" w:eastAsia="Arial" w:hAnsi="Arial"/>
                <w:sz w:val="16"/>
                <w:szCs w:val="16"/>
                <w:b w:val="1"/>
                <w:bCs w:val="1"/>
                <w:color w:val="auto"/>
              </w:rPr>
              <w:t>13,591</w:t>
            </w:r>
          </w:p>
        </w:tc>
        <w:tc>
          <w:tcPr>
            <w:tcW w:w="320" w:type="dxa"/>
            <w:vAlign w:val="bottom"/>
          </w:tcPr>
          <w:p>
            <w:pPr>
              <w:spacing w:after="0"/>
              <w:rPr>
                <w:sz w:val="22"/>
                <w:szCs w:val="22"/>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17,465</w:t>
            </w:r>
          </w:p>
        </w:tc>
      </w:tr>
      <w:tr>
        <w:trPr>
          <w:trHeight w:val="270"/>
        </w:trPr>
        <w:tc>
          <w:tcPr>
            <w:tcW w:w="9020" w:type="dxa"/>
            <w:vAlign w:val="bottom"/>
          </w:tcPr>
          <w:p>
            <w:pPr>
              <w:ind w:left="40"/>
              <w:spacing w:after="0"/>
              <w:rPr>
                <w:sz w:val="20"/>
                <w:szCs w:val="20"/>
                <w:color w:val="auto"/>
              </w:rPr>
            </w:pPr>
            <w:r>
              <w:rPr>
                <w:rFonts w:ascii="Arial" w:cs="Arial" w:eastAsia="Arial" w:hAnsi="Arial"/>
                <w:sz w:val="16"/>
                <w:szCs w:val="16"/>
                <w:color w:val="auto"/>
              </w:rPr>
              <w:t>Prepaid pension cost</w:t>
            </w:r>
          </w:p>
        </w:tc>
        <w:tc>
          <w:tcPr>
            <w:tcW w:w="280" w:type="dxa"/>
            <w:vAlign w:val="bottom"/>
          </w:tcPr>
          <w:p>
            <w:pPr>
              <w:spacing w:after="0"/>
              <w:rPr>
                <w:sz w:val="23"/>
                <w:szCs w:val="23"/>
                <w:color w:val="auto"/>
              </w:rPr>
            </w:pPr>
          </w:p>
        </w:tc>
        <w:tc>
          <w:tcPr>
            <w:tcW w:w="920" w:type="dxa"/>
            <w:vAlign w:val="bottom"/>
          </w:tcPr>
          <w:p>
            <w:pPr>
              <w:jc w:val="right"/>
              <w:ind w:right="80"/>
              <w:spacing w:after="0"/>
              <w:rPr>
                <w:sz w:val="20"/>
                <w:szCs w:val="20"/>
                <w:color w:val="auto"/>
              </w:rPr>
            </w:pPr>
            <w:r>
              <w:rPr>
                <w:rFonts w:ascii="Arial" w:cs="Arial" w:eastAsia="Arial" w:hAnsi="Arial"/>
                <w:sz w:val="16"/>
                <w:szCs w:val="16"/>
                <w:b w:val="1"/>
                <w:bCs w:val="1"/>
                <w:color w:val="auto"/>
              </w:rPr>
              <w:t>349,878</w:t>
            </w:r>
          </w:p>
        </w:tc>
        <w:tc>
          <w:tcPr>
            <w:tcW w:w="32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386,916</w:t>
            </w:r>
          </w:p>
        </w:tc>
      </w:tr>
      <w:tr>
        <w:trPr>
          <w:trHeight w:val="270"/>
        </w:trPr>
        <w:tc>
          <w:tcPr>
            <w:tcW w:w="9020" w:type="dxa"/>
            <w:vAlign w:val="bottom"/>
          </w:tcPr>
          <w:p>
            <w:pPr>
              <w:ind w:left="40"/>
              <w:spacing w:after="0"/>
              <w:rPr>
                <w:sz w:val="20"/>
                <w:szCs w:val="20"/>
                <w:color w:val="auto"/>
              </w:rPr>
            </w:pPr>
            <w:r>
              <w:rPr>
                <w:rFonts w:ascii="Arial" w:cs="Arial" w:eastAsia="Arial" w:hAnsi="Arial"/>
                <w:sz w:val="16"/>
                <w:szCs w:val="16"/>
                <w:color w:val="auto"/>
              </w:rPr>
              <w:t>Unrealized gain on available-for-sale securities</w:t>
            </w:r>
          </w:p>
        </w:tc>
        <w:tc>
          <w:tcPr>
            <w:tcW w:w="280" w:type="dxa"/>
            <w:vAlign w:val="bottom"/>
          </w:tcPr>
          <w:p>
            <w:pPr>
              <w:spacing w:after="0"/>
              <w:rPr>
                <w:sz w:val="23"/>
                <w:szCs w:val="23"/>
                <w:color w:val="auto"/>
              </w:rPr>
            </w:pPr>
          </w:p>
        </w:tc>
        <w:tc>
          <w:tcPr>
            <w:tcW w:w="920" w:type="dxa"/>
            <w:vAlign w:val="bottom"/>
          </w:tcPr>
          <w:p>
            <w:pPr>
              <w:jc w:val="right"/>
              <w:ind w:right="80"/>
              <w:spacing w:after="0"/>
              <w:rPr>
                <w:sz w:val="20"/>
                <w:szCs w:val="20"/>
                <w:color w:val="auto"/>
              </w:rPr>
            </w:pPr>
            <w:r>
              <w:rPr>
                <w:rFonts w:ascii="Arial" w:cs="Arial" w:eastAsia="Arial" w:hAnsi="Arial"/>
                <w:sz w:val="16"/>
                <w:szCs w:val="16"/>
                <w:b w:val="1"/>
                <w:bCs w:val="1"/>
                <w:color w:val="auto"/>
              </w:rPr>
              <w:t>61,964</w:t>
            </w:r>
          </w:p>
        </w:tc>
        <w:tc>
          <w:tcPr>
            <w:tcW w:w="32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39,010</w:t>
            </w:r>
          </w:p>
        </w:tc>
      </w:tr>
      <w:tr>
        <w:trPr>
          <w:trHeight w:val="274"/>
        </w:trPr>
        <w:tc>
          <w:tcPr>
            <w:tcW w:w="9020" w:type="dxa"/>
            <w:vAlign w:val="bottom"/>
          </w:tcPr>
          <w:p>
            <w:pPr>
              <w:ind w:left="40"/>
              <w:spacing w:after="0"/>
              <w:rPr>
                <w:sz w:val="20"/>
                <w:szCs w:val="20"/>
                <w:color w:val="auto"/>
              </w:rPr>
            </w:pPr>
            <w:r>
              <w:rPr>
                <w:rFonts w:ascii="Arial" w:cs="Arial" w:eastAsia="Arial" w:hAnsi="Arial"/>
                <w:sz w:val="16"/>
                <w:szCs w:val="16"/>
                <w:color w:val="auto"/>
              </w:rPr>
              <w:t>Goodwill and other intangible assets</w:t>
            </w:r>
          </w:p>
        </w:tc>
        <w:tc>
          <w:tcPr>
            <w:tcW w:w="28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132,997</w:t>
            </w:r>
          </w:p>
        </w:tc>
        <w:tc>
          <w:tcPr>
            <w:tcW w:w="32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133,097</w:t>
            </w:r>
          </w:p>
        </w:tc>
      </w:tr>
      <w:tr>
        <w:trPr>
          <w:trHeight w:val="264"/>
        </w:trPr>
        <w:tc>
          <w:tcPr>
            <w:tcW w:w="9020" w:type="dxa"/>
            <w:vAlign w:val="bottom"/>
          </w:tcPr>
          <w:p>
            <w:pPr>
              <w:ind w:left="40"/>
              <w:spacing w:after="0"/>
              <w:rPr>
                <w:sz w:val="20"/>
                <w:szCs w:val="20"/>
                <w:color w:val="auto"/>
              </w:rPr>
            </w:pPr>
            <w:r>
              <w:rPr>
                <w:rFonts w:ascii="Arial" w:cs="Arial" w:eastAsia="Arial" w:hAnsi="Arial"/>
                <w:sz w:val="16"/>
                <w:szCs w:val="16"/>
                <w:b w:val="1"/>
                <w:bCs w:val="1"/>
                <w:color w:val="auto"/>
              </w:rPr>
              <w:t>Deferred Tax Liabilities</w:t>
            </w: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558,430</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576,488</w:t>
            </w:r>
          </w:p>
        </w:tc>
      </w:tr>
      <w:tr>
        <w:trPr>
          <w:trHeight w:val="267"/>
        </w:trPr>
        <w:tc>
          <w:tcPr>
            <w:tcW w:w="9020" w:type="dxa"/>
            <w:vAlign w:val="bottom"/>
          </w:tcPr>
          <w:p>
            <w:pPr>
              <w:ind w:left="40"/>
              <w:spacing w:after="0"/>
              <w:rPr>
                <w:sz w:val="20"/>
                <w:szCs w:val="20"/>
                <w:color w:val="auto"/>
              </w:rPr>
            </w:pPr>
            <w:r>
              <w:rPr>
                <w:rFonts w:ascii="Arial" w:cs="Arial" w:eastAsia="Arial" w:hAnsi="Arial"/>
                <w:sz w:val="16"/>
                <w:szCs w:val="16"/>
                <w:b w:val="1"/>
                <w:bCs w:val="1"/>
                <w:color w:val="auto"/>
              </w:rPr>
              <w:t>Deferred Income Tax Liabilities, Net</w:t>
            </w: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361,846</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403,316</w:t>
            </w:r>
          </w:p>
        </w:tc>
      </w:tr>
      <w:tr>
        <w:trPr>
          <w:trHeight w:val="20"/>
        </w:trPr>
        <w:tc>
          <w:tcPr>
            <w:tcW w:w="90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724" w:right="239" w:bottom="1440" w:gutter="0" w:footer="0" w:header="0"/>
        </w:sectPr>
      </w:pPr>
    </w:p>
    <w:bookmarkStart w:id="87" w:name="page88"/>
    <w:bookmarkEnd w:id="87"/>
    <w:p>
      <w:pPr>
        <w:ind w:right="420"/>
        <w:spacing w:after="0" w:line="260" w:lineRule="auto"/>
        <w:rPr>
          <w:sz w:val="20"/>
          <w:szCs w:val="20"/>
          <w:color w:val="auto"/>
        </w:rPr>
      </w:pPr>
      <w:r>
        <w:rPr>
          <w:rFonts w:ascii="Arial" w:cs="Arial" w:eastAsia="Arial" w:hAnsi="Arial"/>
          <w:sz w:val="18"/>
          <w:szCs w:val="18"/>
          <w:color w:val="auto"/>
        </w:rPr>
        <w:t>The Company has $455.6 million of state income tax net operating loss carryforwards available to offset future state taxable income. State income tax loss carryforwards, if unutilized, will start to expire approximately as follows:</w:t>
      </w:r>
    </w:p>
    <w:p>
      <w:pPr>
        <w:spacing w:after="0" w:line="115" w:lineRule="exact"/>
        <w:rPr>
          <w:sz w:val="20"/>
          <w:szCs w:val="20"/>
          <w:color w:val="auto"/>
        </w:rPr>
      </w:pPr>
    </w:p>
    <w:p>
      <w:pPr>
        <w:ind w:left="40"/>
        <w:spacing w:after="0"/>
        <w:rPr>
          <w:sz w:val="20"/>
          <w:szCs w:val="20"/>
          <w:color w:val="auto"/>
        </w:rPr>
      </w:pPr>
      <w:r>
        <w:rPr>
          <w:rFonts w:ascii="Arial" w:cs="Arial" w:eastAsia="Arial" w:hAnsi="Arial"/>
          <w:sz w:val="14"/>
          <w:szCs w:val="14"/>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44" w:lineRule="exact"/>
        <w:rPr>
          <w:sz w:val="20"/>
          <w:szCs w:val="20"/>
          <w:color w:val="auto"/>
        </w:rPr>
      </w:pPr>
    </w:p>
    <w:tbl>
      <w:tblPr>
        <w:tblLayout w:type="fixed"/>
        <w:tblInd w:w="40" w:type="dxa"/>
        <w:tblCellMar>
          <w:top w:w="0" w:type="dxa"/>
          <w:left w:w="0" w:type="dxa"/>
          <w:bottom w:w="0" w:type="dxa"/>
          <w:right w:w="0" w:type="dxa"/>
        </w:tblCellMar>
      </w:tblPr>
      <w:tr>
        <w:trPr>
          <w:trHeight w:val="219"/>
        </w:trPr>
        <w:tc>
          <w:tcPr>
            <w:tcW w:w="10480" w:type="dxa"/>
            <w:vAlign w:val="bottom"/>
          </w:tcPr>
          <w:p>
            <w:pPr>
              <w:spacing w:after="0"/>
              <w:rPr>
                <w:sz w:val="20"/>
                <w:szCs w:val="20"/>
                <w:color w:val="auto"/>
              </w:rPr>
            </w:pPr>
            <w:r>
              <w:rPr>
                <w:rFonts w:ascii="Arial" w:cs="Arial" w:eastAsia="Arial" w:hAnsi="Arial"/>
                <w:sz w:val="16"/>
                <w:szCs w:val="16"/>
                <w:color w:val="auto"/>
              </w:rPr>
              <w:t>2017</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7.3</w:t>
            </w:r>
          </w:p>
        </w:tc>
      </w:tr>
      <w:tr>
        <w:trPr>
          <w:trHeight w:val="243"/>
        </w:trPr>
        <w:tc>
          <w:tcPr>
            <w:tcW w:w="10480" w:type="dxa"/>
            <w:vAlign w:val="bottom"/>
          </w:tcPr>
          <w:p>
            <w:pPr>
              <w:spacing w:after="0"/>
              <w:rPr>
                <w:sz w:val="20"/>
                <w:szCs w:val="20"/>
                <w:color w:val="auto"/>
              </w:rPr>
            </w:pPr>
            <w:r>
              <w:rPr>
                <w:rFonts w:ascii="Arial" w:cs="Arial" w:eastAsia="Arial" w:hAnsi="Arial"/>
                <w:sz w:val="16"/>
                <w:szCs w:val="16"/>
                <w:color w:val="auto"/>
              </w:rPr>
              <w:t>2018</w:t>
            </w:r>
          </w:p>
        </w:tc>
        <w:tc>
          <w:tcPr>
            <w:tcW w:w="240" w:type="dxa"/>
            <w:vAlign w:val="bottom"/>
          </w:tcPr>
          <w:p>
            <w:pPr>
              <w:spacing w:after="0"/>
              <w:rPr>
                <w:sz w:val="21"/>
                <w:szCs w:val="21"/>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9.3</w:t>
            </w:r>
          </w:p>
        </w:tc>
      </w:tr>
      <w:tr>
        <w:trPr>
          <w:trHeight w:val="243"/>
        </w:trPr>
        <w:tc>
          <w:tcPr>
            <w:tcW w:w="10480" w:type="dxa"/>
            <w:vAlign w:val="bottom"/>
          </w:tcPr>
          <w:p>
            <w:pPr>
              <w:spacing w:after="0"/>
              <w:rPr>
                <w:sz w:val="20"/>
                <w:szCs w:val="20"/>
                <w:color w:val="auto"/>
              </w:rPr>
            </w:pPr>
            <w:r>
              <w:rPr>
                <w:rFonts w:ascii="Arial" w:cs="Arial" w:eastAsia="Arial" w:hAnsi="Arial"/>
                <w:sz w:val="16"/>
                <w:szCs w:val="16"/>
                <w:color w:val="auto"/>
              </w:rPr>
              <w:t>2019</w:t>
            </w:r>
          </w:p>
        </w:tc>
        <w:tc>
          <w:tcPr>
            <w:tcW w:w="240" w:type="dxa"/>
            <w:vAlign w:val="bottom"/>
          </w:tcPr>
          <w:p>
            <w:pPr>
              <w:spacing w:after="0"/>
              <w:rPr>
                <w:sz w:val="21"/>
                <w:szCs w:val="21"/>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2.8</w:t>
            </w:r>
          </w:p>
        </w:tc>
      </w:tr>
      <w:tr>
        <w:trPr>
          <w:trHeight w:val="243"/>
        </w:trPr>
        <w:tc>
          <w:tcPr>
            <w:tcW w:w="10480" w:type="dxa"/>
            <w:vAlign w:val="bottom"/>
          </w:tcPr>
          <w:p>
            <w:pPr>
              <w:spacing w:after="0"/>
              <w:rPr>
                <w:sz w:val="20"/>
                <w:szCs w:val="20"/>
                <w:color w:val="auto"/>
              </w:rPr>
            </w:pPr>
            <w:r>
              <w:rPr>
                <w:rFonts w:ascii="Arial" w:cs="Arial" w:eastAsia="Arial" w:hAnsi="Arial"/>
                <w:sz w:val="16"/>
                <w:szCs w:val="16"/>
                <w:color w:val="auto"/>
              </w:rPr>
              <w:t>2020</w:t>
            </w:r>
          </w:p>
        </w:tc>
        <w:tc>
          <w:tcPr>
            <w:tcW w:w="240" w:type="dxa"/>
            <w:vAlign w:val="bottom"/>
          </w:tcPr>
          <w:p>
            <w:pPr>
              <w:spacing w:after="0"/>
              <w:rPr>
                <w:sz w:val="21"/>
                <w:szCs w:val="21"/>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18.3</w:t>
            </w:r>
          </w:p>
        </w:tc>
      </w:tr>
      <w:tr>
        <w:trPr>
          <w:trHeight w:val="243"/>
        </w:trPr>
        <w:tc>
          <w:tcPr>
            <w:tcW w:w="10480" w:type="dxa"/>
            <w:vAlign w:val="bottom"/>
          </w:tcPr>
          <w:p>
            <w:pPr>
              <w:spacing w:after="0"/>
              <w:rPr>
                <w:sz w:val="20"/>
                <w:szCs w:val="20"/>
                <w:color w:val="auto"/>
              </w:rPr>
            </w:pPr>
            <w:r>
              <w:rPr>
                <w:rFonts w:ascii="Arial" w:cs="Arial" w:eastAsia="Arial" w:hAnsi="Arial"/>
                <w:sz w:val="16"/>
                <w:szCs w:val="16"/>
                <w:color w:val="auto"/>
              </w:rPr>
              <w:t>2021</w:t>
            </w:r>
          </w:p>
        </w:tc>
        <w:tc>
          <w:tcPr>
            <w:tcW w:w="240" w:type="dxa"/>
            <w:vAlign w:val="bottom"/>
          </w:tcPr>
          <w:p>
            <w:pPr>
              <w:spacing w:after="0"/>
              <w:rPr>
                <w:sz w:val="21"/>
                <w:szCs w:val="21"/>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19.6</w:t>
            </w:r>
          </w:p>
        </w:tc>
      </w:tr>
      <w:tr>
        <w:trPr>
          <w:trHeight w:val="252"/>
        </w:trPr>
        <w:tc>
          <w:tcPr>
            <w:tcW w:w="10480" w:type="dxa"/>
            <w:vAlign w:val="bottom"/>
          </w:tcPr>
          <w:p>
            <w:pPr>
              <w:spacing w:after="0"/>
              <w:rPr>
                <w:sz w:val="20"/>
                <w:szCs w:val="20"/>
                <w:color w:val="auto"/>
              </w:rPr>
            </w:pPr>
            <w:r>
              <w:rPr>
                <w:rFonts w:ascii="Arial" w:cs="Arial" w:eastAsia="Arial" w:hAnsi="Arial"/>
                <w:sz w:val="16"/>
                <w:szCs w:val="16"/>
                <w:color w:val="auto"/>
              </w:rPr>
              <w:t>2022 and after</w:t>
            </w:r>
          </w:p>
        </w:tc>
        <w:tc>
          <w:tcPr>
            <w:tcW w:w="24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398.3</w:t>
            </w:r>
          </w:p>
        </w:tc>
      </w:tr>
      <w:tr>
        <w:trPr>
          <w:trHeight w:val="243"/>
        </w:trPr>
        <w:tc>
          <w:tcPr>
            <w:tcW w:w="10480" w:type="dxa"/>
            <w:vAlign w:val="bottom"/>
          </w:tcPr>
          <w:p>
            <w:pPr>
              <w:spacing w:after="0"/>
              <w:rPr>
                <w:sz w:val="20"/>
                <w:szCs w:val="20"/>
                <w:color w:val="auto"/>
              </w:rPr>
            </w:pPr>
            <w:r>
              <w:rPr>
                <w:rFonts w:ascii="Arial" w:cs="Arial" w:eastAsia="Arial" w:hAnsi="Arial"/>
                <w:sz w:val="16"/>
                <w:szCs w:val="16"/>
                <w:b w:val="1"/>
                <w:bCs w:val="1"/>
                <w:color w:val="auto"/>
              </w:rPr>
              <w:t>Total</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6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455.6</w:t>
            </w:r>
          </w:p>
        </w:tc>
      </w:tr>
      <w:tr>
        <w:trPr>
          <w:trHeight w:val="20"/>
        </w:trPr>
        <w:tc>
          <w:tcPr>
            <w:tcW w:w="104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126" w:lineRule="exact"/>
        <w:rPr>
          <w:sz w:val="20"/>
          <w:szCs w:val="20"/>
          <w:color w:val="auto"/>
        </w:rPr>
      </w:pPr>
    </w:p>
    <w:p>
      <w:pPr>
        <w:ind w:right="160"/>
        <w:spacing w:after="0" w:line="234" w:lineRule="auto"/>
        <w:rPr>
          <w:sz w:val="20"/>
          <w:szCs w:val="20"/>
          <w:color w:val="auto"/>
        </w:rPr>
      </w:pPr>
      <w:r>
        <w:rPr>
          <w:rFonts w:ascii="Arial" w:cs="Arial" w:eastAsia="Arial" w:hAnsi="Arial"/>
          <w:sz w:val="18"/>
          <w:szCs w:val="18"/>
          <w:color w:val="auto"/>
        </w:rPr>
        <w:t>The Company has recorded at December 31, 2016, $23.2 million in deferred state income tax assets, net of U.S. Federal income tax, with respect to these state income tax loss carryforwards. The Company has established $21.0 million in valuation allowances against these deferred state income tax assets, since the Company has determined that it is more likely than not that some state tax losses may not be fully utilized in the future to reduce state taxable income.</w:t>
      </w:r>
    </w:p>
    <w:p>
      <w:pPr>
        <w:spacing w:after="0" w:line="111" w:lineRule="exact"/>
        <w:rPr>
          <w:sz w:val="20"/>
          <w:szCs w:val="20"/>
          <w:color w:val="auto"/>
        </w:rPr>
      </w:pPr>
    </w:p>
    <w:p>
      <w:pPr>
        <w:ind w:right="380"/>
        <w:spacing w:after="0" w:line="260" w:lineRule="auto"/>
        <w:rPr>
          <w:sz w:val="20"/>
          <w:szCs w:val="20"/>
          <w:color w:val="auto"/>
        </w:rPr>
      </w:pPr>
      <w:r>
        <w:rPr>
          <w:rFonts w:ascii="Arial" w:cs="Arial" w:eastAsia="Arial" w:hAnsi="Arial"/>
          <w:sz w:val="18"/>
          <w:szCs w:val="18"/>
          <w:color w:val="auto"/>
        </w:rPr>
        <w:t>The Company has $17.6 million of U.S. Federal income tax loss carryforwards obtained as a result of prior stock acquisitions. U.S. Federal income tax loss carryforwards are expected to be fully utilized as follows:</w:t>
      </w:r>
    </w:p>
    <w:p>
      <w:pPr>
        <w:spacing w:after="0" w:line="115" w:lineRule="exact"/>
        <w:rPr>
          <w:sz w:val="20"/>
          <w:szCs w:val="20"/>
          <w:color w:val="auto"/>
        </w:rPr>
      </w:pPr>
    </w:p>
    <w:p>
      <w:pPr>
        <w:ind w:left="40"/>
        <w:spacing w:after="0"/>
        <w:rPr>
          <w:sz w:val="20"/>
          <w:szCs w:val="20"/>
          <w:color w:val="auto"/>
        </w:rPr>
      </w:pPr>
      <w:r>
        <w:rPr>
          <w:rFonts w:ascii="Arial" w:cs="Arial" w:eastAsia="Arial" w:hAnsi="Arial"/>
          <w:sz w:val="14"/>
          <w:szCs w:val="14"/>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44" w:lineRule="exact"/>
        <w:rPr>
          <w:sz w:val="20"/>
          <w:szCs w:val="20"/>
          <w:color w:val="auto"/>
        </w:rPr>
      </w:pPr>
    </w:p>
    <w:tbl>
      <w:tblPr>
        <w:tblLayout w:type="fixed"/>
        <w:tblInd w:w="40" w:type="dxa"/>
        <w:tblCellMar>
          <w:top w:w="0" w:type="dxa"/>
          <w:left w:w="0" w:type="dxa"/>
          <w:bottom w:w="0" w:type="dxa"/>
          <w:right w:w="0" w:type="dxa"/>
        </w:tblCellMar>
      </w:tblPr>
      <w:tr>
        <w:trPr>
          <w:trHeight w:val="219"/>
        </w:trPr>
        <w:tc>
          <w:tcPr>
            <w:tcW w:w="10580" w:type="dxa"/>
            <w:vAlign w:val="bottom"/>
          </w:tcPr>
          <w:p>
            <w:pPr>
              <w:spacing w:after="0"/>
              <w:rPr>
                <w:sz w:val="20"/>
                <w:szCs w:val="20"/>
                <w:color w:val="auto"/>
              </w:rPr>
            </w:pPr>
            <w:r>
              <w:rPr>
                <w:rFonts w:ascii="Arial" w:cs="Arial" w:eastAsia="Arial" w:hAnsi="Arial"/>
                <w:sz w:val="16"/>
                <w:szCs w:val="16"/>
                <w:color w:val="auto"/>
              </w:rPr>
              <w:t>2017</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560" w:type="dxa"/>
            <w:vAlign w:val="bottom"/>
          </w:tcPr>
          <w:p>
            <w:pPr>
              <w:jc w:val="right"/>
              <w:ind w:right="19"/>
              <w:spacing w:after="0"/>
              <w:rPr>
                <w:sz w:val="20"/>
                <w:szCs w:val="20"/>
                <w:color w:val="auto"/>
              </w:rPr>
            </w:pPr>
            <w:r>
              <w:rPr>
                <w:rFonts w:ascii="Arial" w:cs="Arial" w:eastAsia="Arial" w:hAnsi="Arial"/>
                <w:sz w:val="16"/>
                <w:szCs w:val="16"/>
                <w:color w:val="auto"/>
              </w:rPr>
              <w:t>4.1</w:t>
            </w:r>
          </w:p>
        </w:tc>
      </w:tr>
      <w:tr>
        <w:trPr>
          <w:trHeight w:val="243"/>
        </w:trPr>
        <w:tc>
          <w:tcPr>
            <w:tcW w:w="10580" w:type="dxa"/>
            <w:vAlign w:val="bottom"/>
          </w:tcPr>
          <w:p>
            <w:pPr>
              <w:spacing w:after="0"/>
              <w:rPr>
                <w:sz w:val="20"/>
                <w:szCs w:val="20"/>
                <w:color w:val="auto"/>
              </w:rPr>
            </w:pPr>
            <w:r>
              <w:rPr>
                <w:rFonts w:ascii="Arial" w:cs="Arial" w:eastAsia="Arial" w:hAnsi="Arial"/>
                <w:sz w:val="16"/>
                <w:szCs w:val="16"/>
                <w:color w:val="auto"/>
              </w:rPr>
              <w:t>2018</w:t>
            </w:r>
          </w:p>
        </w:tc>
        <w:tc>
          <w:tcPr>
            <w:tcW w:w="240" w:type="dxa"/>
            <w:vAlign w:val="bottom"/>
          </w:tcPr>
          <w:p>
            <w:pPr>
              <w:spacing w:after="0"/>
              <w:rPr>
                <w:sz w:val="21"/>
                <w:szCs w:val="21"/>
                <w:color w:val="auto"/>
              </w:rPr>
            </w:pPr>
          </w:p>
        </w:tc>
        <w:tc>
          <w:tcPr>
            <w:tcW w:w="560" w:type="dxa"/>
            <w:vAlign w:val="bottom"/>
          </w:tcPr>
          <w:p>
            <w:pPr>
              <w:jc w:val="right"/>
              <w:ind w:right="19"/>
              <w:spacing w:after="0"/>
              <w:rPr>
                <w:sz w:val="20"/>
                <w:szCs w:val="20"/>
                <w:color w:val="auto"/>
              </w:rPr>
            </w:pPr>
            <w:r>
              <w:rPr>
                <w:rFonts w:ascii="Arial" w:cs="Arial" w:eastAsia="Arial" w:hAnsi="Arial"/>
                <w:sz w:val="16"/>
                <w:szCs w:val="16"/>
                <w:color w:val="auto"/>
              </w:rPr>
              <w:t>3.6</w:t>
            </w:r>
          </w:p>
        </w:tc>
      </w:tr>
      <w:tr>
        <w:trPr>
          <w:trHeight w:val="243"/>
        </w:trPr>
        <w:tc>
          <w:tcPr>
            <w:tcW w:w="10580" w:type="dxa"/>
            <w:vAlign w:val="bottom"/>
          </w:tcPr>
          <w:p>
            <w:pPr>
              <w:spacing w:after="0"/>
              <w:rPr>
                <w:sz w:val="20"/>
                <w:szCs w:val="20"/>
                <w:color w:val="auto"/>
              </w:rPr>
            </w:pPr>
            <w:r>
              <w:rPr>
                <w:rFonts w:ascii="Arial" w:cs="Arial" w:eastAsia="Arial" w:hAnsi="Arial"/>
                <w:sz w:val="16"/>
                <w:szCs w:val="16"/>
                <w:color w:val="auto"/>
              </w:rPr>
              <w:t>2019</w:t>
            </w:r>
          </w:p>
        </w:tc>
        <w:tc>
          <w:tcPr>
            <w:tcW w:w="240" w:type="dxa"/>
            <w:vAlign w:val="bottom"/>
          </w:tcPr>
          <w:p>
            <w:pPr>
              <w:spacing w:after="0"/>
              <w:rPr>
                <w:sz w:val="21"/>
                <w:szCs w:val="21"/>
                <w:color w:val="auto"/>
              </w:rPr>
            </w:pPr>
          </w:p>
        </w:tc>
        <w:tc>
          <w:tcPr>
            <w:tcW w:w="560" w:type="dxa"/>
            <w:vAlign w:val="bottom"/>
          </w:tcPr>
          <w:p>
            <w:pPr>
              <w:jc w:val="right"/>
              <w:ind w:right="19"/>
              <w:spacing w:after="0"/>
              <w:rPr>
                <w:sz w:val="20"/>
                <w:szCs w:val="20"/>
                <w:color w:val="auto"/>
              </w:rPr>
            </w:pPr>
            <w:r>
              <w:rPr>
                <w:rFonts w:ascii="Arial" w:cs="Arial" w:eastAsia="Arial" w:hAnsi="Arial"/>
                <w:sz w:val="16"/>
                <w:szCs w:val="16"/>
                <w:color w:val="auto"/>
              </w:rPr>
              <w:t>3.3</w:t>
            </w:r>
          </w:p>
        </w:tc>
      </w:tr>
      <w:tr>
        <w:trPr>
          <w:trHeight w:val="243"/>
        </w:trPr>
        <w:tc>
          <w:tcPr>
            <w:tcW w:w="10580" w:type="dxa"/>
            <w:vAlign w:val="bottom"/>
          </w:tcPr>
          <w:p>
            <w:pPr>
              <w:spacing w:after="0"/>
              <w:rPr>
                <w:sz w:val="20"/>
                <w:szCs w:val="20"/>
                <w:color w:val="auto"/>
              </w:rPr>
            </w:pPr>
            <w:r>
              <w:rPr>
                <w:rFonts w:ascii="Arial" w:cs="Arial" w:eastAsia="Arial" w:hAnsi="Arial"/>
                <w:sz w:val="16"/>
                <w:szCs w:val="16"/>
                <w:color w:val="auto"/>
              </w:rPr>
              <w:t>2020</w:t>
            </w:r>
          </w:p>
        </w:tc>
        <w:tc>
          <w:tcPr>
            <w:tcW w:w="240" w:type="dxa"/>
            <w:vAlign w:val="bottom"/>
          </w:tcPr>
          <w:p>
            <w:pPr>
              <w:spacing w:after="0"/>
              <w:rPr>
                <w:sz w:val="21"/>
                <w:szCs w:val="21"/>
                <w:color w:val="auto"/>
              </w:rPr>
            </w:pPr>
          </w:p>
        </w:tc>
        <w:tc>
          <w:tcPr>
            <w:tcW w:w="560" w:type="dxa"/>
            <w:vAlign w:val="bottom"/>
          </w:tcPr>
          <w:p>
            <w:pPr>
              <w:jc w:val="right"/>
              <w:ind w:right="19"/>
              <w:spacing w:after="0"/>
              <w:rPr>
                <w:sz w:val="20"/>
                <w:szCs w:val="20"/>
                <w:color w:val="auto"/>
              </w:rPr>
            </w:pPr>
            <w:r>
              <w:rPr>
                <w:rFonts w:ascii="Arial" w:cs="Arial" w:eastAsia="Arial" w:hAnsi="Arial"/>
                <w:sz w:val="16"/>
                <w:szCs w:val="16"/>
                <w:color w:val="auto"/>
              </w:rPr>
              <w:t>3.3</w:t>
            </w:r>
          </w:p>
        </w:tc>
      </w:tr>
      <w:tr>
        <w:trPr>
          <w:trHeight w:val="243"/>
        </w:trPr>
        <w:tc>
          <w:tcPr>
            <w:tcW w:w="10580" w:type="dxa"/>
            <w:vAlign w:val="bottom"/>
          </w:tcPr>
          <w:p>
            <w:pPr>
              <w:spacing w:after="0"/>
              <w:rPr>
                <w:sz w:val="20"/>
                <w:szCs w:val="20"/>
                <w:color w:val="auto"/>
              </w:rPr>
            </w:pPr>
            <w:r>
              <w:rPr>
                <w:rFonts w:ascii="Arial" w:cs="Arial" w:eastAsia="Arial" w:hAnsi="Arial"/>
                <w:sz w:val="16"/>
                <w:szCs w:val="16"/>
                <w:color w:val="auto"/>
              </w:rPr>
              <w:t>2021</w:t>
            </w:r>
          </w:p>
        </w:tc>
        <w:tc>
          <w:tcPr>
            <w:tcW w:w="240" w:type="dxa"/>
            <w:vAlign w:val="bottom"/>
          </w:tcPr>
          <w:p>
            <w:pPr>
              <w:spacing w:after="0"/>
              <w:rPr>
                <w:sz w:val="21"/>
                <w:szCs w:val="21"/>
                <w:color w:val="auto"/>
              </w:rPr>
            </w:pPr>
          </w:p>
        </w:tc>
        <w:tc>
          <w:tcPr>
            <w:tcW w:w="560" w:type="dxa"/>
            <w:vAlign w:val="bottom"/>
          </w:tcPr>
          <w:p>
            <w:pPr>
              <w:jc w:val="right"/>
              <w:ind w:right="19"/>
              <w:spacing w:after="0"/>
              <w:rPr>
                <w:sz w:val="20"/>
                <w:szCs w:val="20"/>
                <w:color w:val="auto"/>
              </w:rPr>
            </w:pPr>
            <w:r>
              <w:rPr>
                <w:rFonts w:ascii="Arial" w:cs="Arial" w:eastAsia="Arial" w:hAnsi="Arial"/>
                <w:sz w:val="16"/>
                <w:szCs w:val="16"/>
                <w:color w:val="auto"/>
              </w:rPr>
              <w:t>1.1</w:t>
            </w:r>
          </w:p>
        </w:tc>
      </w:tr>
      <w:tr>
        <w:trPr>
          <w:trHeight w:val="252"/>
        </w:trPr>
        <w:tc>
          <w:tcPr>
            <w:tcW w:w="10580" w:type="dxa"/>
            <w:vAlign w:val="bottom"/>
          </w:tcPr>
          <w:p>
            <w:pPr>
              <w:spacing w:after="0"/>
              <w:rPr>
                <w:sz w:val="20"/>
                <w:szCs w:val="20"/>
                <w:color w:val="auto"/>
              </w:rPr>
            </w:pPr>
            <w:r>
              <w:rPr>
                <w:rFonts w:ascii="Arial" w:cs="Arial" w:eastAsia="Arial" w:hAnsi="Arial"/>
                <w:sz w:val="16"/>
                <w:szCs w:val="16"/>
                <w:color w:val="auto"/>
              </w:rPr>
              <w:t>2022 and after</w:t>
            </w:r>
          </w:p>
        </w:tc>
        <w:tc>
          <w:tcPr>
            <w:tcW w:w="24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2.2</w:t>
            </w:r>
          </w:p>
        </w:tc>
      </w:tr>
      <w:tr>
        <w:trPr>
          <w:trHeight w:val="243"/>
        </w:trPr>
        <w:tc>
          <w:tcPr>
            <w:tcW w:w="10580" w:type="dxa"/>
            <w:vAlign w:val="bottom"/>
          </w:tcPr>
          <w:p>
            <w:pPr>
              <w:spacing w:after="0"/>
              <w:rPr>
                <w:sz w:val="20"/>
                <w:szCs w:val="20"/>
                <w:color w:val="auto"/>
              </w:rPr>
            </w:pPr>
            <w:r>
              <w:rPr>
                <w:rFonts w:ascii="Arial" w:cs="Arial" w:eastAsia="Arial" w:hAnsi="Arial"/>
                <w:sz w:val="16"/>
                <w:szCs w:val="16"/>
                <w:b w:val="1"/>
                <w:bCs w:val="1"/>
                <w:color w:val="auto"/>
              </w:rPr>
              <w:t>Total</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5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17.6</w:t>
            </w:r>
          </w:p>
        </w:tc>
      </w:tr>
      <w:tr>
        <w:trPr>
          <w:trHeight w:val="20"/>
        </w:trPr>
        <w:tc>
          <w:tcPr>
            <w:tcW w:w="105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bl>
    <w:p>
      <w:pPr>
        <w:spacing w:after="0" w:line="126" w:lineRule="exact"/>
        <w:rPr>
          <w:sz w:val="20"/>
          <w:szCs w:val="20"/>
          <w:color w:val="auto"/>
        </w:rPr>
      </w:pPr>
    </w:p>
    <w:p>
      <w:pPr>
        <w:ind w:right="540"/>
        <w:spacing w:after="0" w:line="260" w:lineRule="auto"/>
        <w:rPr>
          <w:sz w:val="20"/>
          <w:szCs w:val="20"/>
          <w:color w:val="auto"/>
        </w:rPr>
      </w:pPr>
      <w:r>
        <w:rPr>
          <w:rFonts w:ascii="Arial" w:cs="Arial" w:eastAsia="Arial" w:hAnsi="Arial"/>
          <w:sz w:val="18"/>
          <w:szCs w:val="18"/>
          <w:color w:val="auto"/>
        </w:rPr>
        <w:t>The Company has established at December 31, 2016, $6.2 million in U.S. Federal deferred tax assets with respect to these U.S. Federal income tax loss carryforwards.</w:t>
      </w:r>
    </w:p>
    <w:p>
      <w:pPr>
        <w:spacing w:after="0" w:line="92" w:lineRule="exact"/>
        <w:rPr>
          <w:sz w:val="20"/>
          <w:szCs w:val="20"/>
          <w:color w:val="auto"/>
        </w:rPr>
      </w:pPr>
    </w:p>
    <w:p>
      <w:pPr>
        <w:ind w:right="120"/>
        <w:spacing w:after="0" w:line="234" w:lineRule="auto"/>
        <w:rPr>
          <w:sz w:val="20"/>
          <w:szCs w:val="20"/>
          <w:color w:val="auto"/>
        </w:rPr>
      </w:pPr>
      <w:r>
        <w:rPr>
          <w:rFonts w:ascii="Arial" w:cs="Arial" w:eastAsia="Arial" w:hAnsi="Arial"/>
          <w:sz w:val="18"/>
          <w:szCs w:val="18"/>
          <w:color w:val="auto"/>
        </w:rPr>
        <w:t>For U.S. Federal income tax purposes, the Company has $1.9 million of foreign tax credits available to be credited against future U.S. Federal income tax liabilities. These U.S. Federal foreign tax credits are expected to be fully utilized in the future; if unutilized, $0.7 million of these foreign tax credits will expire in 2024, $0.7 million will expire in 2025, and $0.5 million will expire in 2026. The Company has established at December 31, 2016, $1.9 million of U.S. Federal deferred tax assets with respect to these U.S. Federal foreign tax credit carryforwards.</w:t>
      </w:r>
    </w:p>
    <w:p>
      <w:pPr>
        <w:spacing w:after="0" w:line="111" w:lineRule="exact"/>
        <w:rPr>
          <w:sz w:val="20"/>
          <w:szCs w:val="20"/>
          <w:color w:val="auto"/>
        </w:rPr>
      </w:pPr>
    </w:p>
    <w:p>
      <w:pPr>
        <w:ind w:right="80"/>
        <w:spacing w:after="0" w:line="229" w:lineRule="auto"/>
        <w:rPr>
          <w:sz w:val="20"/>
          <w:szCs w:val="20"/>
          <w:color w:val="auto"/>
        </w:rPr>
      </w:pPr>
      <w:r>
        <w:rPr>
          <w:rFonts w:ascii="Arial" w:cs="Arial" w:eastAsia="Arial" w:hAnsi="Arial"/>
          <w:sz w:val="18"/>
          <w:szCs w:val="18"/>
          <w:color w:val="auto"/>
        </w:rPr>
        <w:t>The Company has $69.3 million of non-U.S. income tax loss carryforwards, as a result of operating losses and carryforwards obtained through prior stock acquisitions that are available to offset future non-U.S. taxable income and has recorded, with respect to these losses, $19.2 million in non-U.S. deferred income tax assets. The Company has established $4.9 million in valuation allowances against the deferred tax assets recorded for the portion of non-U.S. tax losses that may not be fully utilized to reduce future non-U.S. taxable income. The $69.3 million of non-U.S. income tax loss carryforwards consist of $60.3 million in losses that may be carried forward indefinitely; $4.8 million of losses that, if unutilized, will expire in varying amounts through 2021; and $4.2 million of losses that, if unutilized, will start to expire after 2021.</w:t>
      </w:r>
    </w:p>
    <w:p>
      <w:pPr>
        <w:spacing w:after="0" w:line="112" w:lineRule="exact"/>
        <w:rPr>
          <w:sz w:val="20"/>
          <w:szCs w:val="20"/>
          <w:color w:val="auto"/>
        </w:rPr>
      </w:pPr>
    </w:p>
    <w:p>
      <w:pPr>
        <w:ind w:right="240"/>
        <w:spacing w:after="0" w:line="234" w:lineRule="auto"/>
        <w:rPr>
          <w:sz w:val="20"/>
          <w:szCs w:val="20"/>
          <w:color w:val="auto"/>
        </w:rPr>
      </w:pPr>
      <w:r>
        <w:rPr>
          <w:rFonts w:ascii="Arial" w:cs="Arial" w:eastAsia="Arial" w:hAnsi="Arial"/>
          <w:sz w:val="18"/>
          <w:szCs w:val="18"/>
          <w:color w:val="auto"/>
        </w:rPr>
        <w:t>The Company has $6.4 million of non-U.S. capital loss carryfowards that may be carried forward indefinitely and are available to offset future non-U.S. capital gains. The Company recorded a $ 1.9 million non-U.S. deferred income tax asset and has established a full valuation allowance against this non-U.S. deferred tax asset since the Company has determined that it is more likely than not that the capital loss carryforwards may not be fully utilized to reduce taxable income in the future.</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Deferred tax valuation allowances and changes in deferred tax valuation allowances were as follows: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880" w:type="dxa"/>
            <w:vAlign w:val="bottom"/>
          </w:tcPr>
          <w:p>
            <w:pPr>
              <w:spacing w:after="0"/>
              <w:rPr>
                <w:sz w:val="14"/>
                <w:szCs w:val="14"/>
                <w:color w:val="auto"/>
              </w:rPr>
            </w:pPr>
          </w:p>
        </w:tc>
        <w:tc>
          <w:tcPr>
            <w:tcW w:w="3140" w:type="dxa"/>
            <w:vAlign w:val="bottom"/>
            <w:gridSpan w:val="2"/>
          </w:tcPr>
          <w:p>
            <w:pPr>
              <w:jc w:val="right"/>
              <w:ind w:right="21"/>
              <w:spacing w:after="0"/>
              <w:rPr>
                <w:sz w:val="20"/>
                <w:szCs w:val="20"/>
                <w:color w:val="auto"/>
              </w:rPr>
            </w:pPr>
            <w:r>
              <w:rPr>
                <w:rFonts w:ascii="Arial" w:cs="Arial" w:eastAsia="Arial" w:hAnsi="Arial"/>
                <w:sz w:val="14"/>
                <w:szCs w:val="14"/>
                <w:b w:val="1"/>
                <w:bCs w:val="1"/>
                <w:color w:val="auto"/>
              </w:rPr>
              <w:t>Balance at Beginning of</w:t>
            </w:r>
          </w:p>
        </w:tc>
        <w:tc>
          <w:tcPr>
            <w:tcW w:w="280" w:type="dxa"/>
            <w:vAlign w:val="bottom"/>
          </w:tcPr>
          <w:p>
            <w:pPr>
              <w:spacing w:after="0"/>
              <w:rPr>
                <w:sz w:val="14"/>
                <w:szCs w:val="14"/>
                <w:color w:val="auto"/>
              </w:rPr>
            </w:pPr>
          </w:p>
        </w:tc>
        <w:tc>
          <w:tcPr>
            <w:tcW w:w="1520" w:type="dxa"/>
            <w:vAlign w:val="bottom"/>
          </w:tcPr>
          <w:p>
            <w:pPr>
              <w:jc w:val="right"/>
              <w:ind w:right="203"/>
              <w:spacing w:after="0"/>
              <w:rPr>
                <w:sz w:val="20"/>
                <w:szCs w:val="20"/>
                <w:color w:val="auto"/>
              </w:rPr>
            </w:pPr>
            <w:r>
              <w:rPr>
                <w:rFonts w:ascii="Arial" w:cs="Arial" w:eastAsia="Arial" w:hAnsi="Arial"/>
                <w:sz w:val="14"/>
                <w:szCs w:val="14"/>
                <w:b w:val="1"/>
                <w:bCs w:val="1"/>
                <w:color w:val="auto"/>
              </w:rPr>
              <w:t>Tax Expense and</w:t>
            </w:r>
          </w:p>
        </w:tc>
        <w:tc>
          <w:tcPr>
            <w:tcW w:w="3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20" w:type="dxa"/>
            <w:vAlign w:val="bottom"/>
          </w:tcPr>
          <w:p>
            <w:pPr>
              <w:jc w:val="right"/>
              <w:ind w:right="163"/>
              <w:spacing w:after="0"/>
              <w:rPr>
                <w:sz w:val="20"/>
                <w:szCs w:val="20"/>
                <w:color w:val="auto"/>
              </w:rPr>
            </w:pPr>
            <w:r>
              <w:rPr>
                <w:rFonts w:ascii="Arial" w:cs="Arial" w:eastAsia="Arial" w:hAnsi="Arial"/>
                <w:sz w:val="14"/>
                <w:szCs w:val="14"/>
                <w:b w:val="1"/>
                <w:bCs w:val="1"/>
                <w:color w:val="auto"/>
              </w:rPr>
              <w:t>Balance at End of</w:t>
            </w:r>
          </w:p>
        </w:tc>
      </w:tr>
      <w:tr>
        <w:trPr>
          <w:trHeight w:val="203"/>
        </w:trPr>
        <w:tc>
          <w:tcPr>
            <w:tcW w:w="28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7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601"/>
              <w:spacing w:after="0"/>
              <w:rPr>
                <w:sz w:val="20"/>
                <w:szCs w:val="20"/>
                <w:color w:val="auto"/>
              </w:rPr>
            </w:pPr>
            <w:r>
              <w:rPr>
                <w:rFonts w:ascii="Arial" w:cs="Arial" w:eastAsia="Arial" w:hAnsi="Arial"/>
                <w:sz w:val="14"/>
                <w:szCs w:val="14"/>
                <w:b w:val="1"/>
                <w:bCs w:val="1"/>
                <w:color w:val="auto"/>
              </w:rPr>
              <w:t>Period</w:t>
            </w:r>
          </w:p>
        </w:tc>
        <w:tc>
          <w:tcPr>
            <w:tcW w:w="28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ind w:right="383"/>
              <w:spacing w:after="0"/>
              <w:rPr>
                <w:sz w:val="20"/>
                <w:szCs w:val="20"/>
                <w:color w:val="auto"/>
              </w:rPr>
            </w:pPr>
            <w:r>
              <w:rPr>
                <w:rFonts w:ascii="Arial" w:cs="Arial" w:eastAsia="Arial" w:hAnsi="Arial"/>
                <w:sz w:val="14"/>
                <w:szCs w:val="14"/>
                <w:b w:val="1"/>
                <w:bCs w:val="1"/>
                <w:color w:val="auto"/>
              </w:rPr>
              <w:t>Revaluation</w:t>
            </w:r>
          </w:p>
        </w:tc>
        <w:tc>
          <w:tcPr>
            <w:tcW w:w="38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b w:val="1"/>
                <w:bCs w:val="1"/>
                <w:color w:val="auto"/>
              </w:rPr>
              <w:t>Deductions</w:t>
            </w:r>
          </w:p>
        </w:tc>
        <w:tc>
          <w:tcPr>
            <w:tcW w:w="24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ind w:right="543"/>
              <w:spacing w:after="0"/>
              <w:rPr>
                <w:sz w:val="20"/>
                <w:szCs w:val="20"/>
                <w:color w:val="auto"/>
              </w:rPr>
            </w:pPr>
            <w:r>
              <w:rPr>
                <w:rFonts w:ascii="Arial" w:cs="Arial" w:eastAsia="Arial" w:hAnsi="Arial"/>
                <w:sz w:val="14"/>
                <w:szCs w:val="14"/>
                <w:b w:val="1"/>
                <w:bCs w:val="1"/>
                <w:color w:val="auto"/>
              </w:rPr>
              <w:t>Period</w:t>
            </w:r>
          </w:p>
        </w:tc>
      </w:tr>
      <w:tr>
        <w:trPr>
          <w:trHeight w:val="257"/>
        </w:trPr>
        <w:tc>
          <w:tcPr>
            <w:tcW w:w="2880" w:type="dxa"/>
            <w:vAlign w:val="bottom"/>
          </w:tcPr>
          <w:p>
            <w:pPr>
              <w:ind w:left="40"/>
              <w:spacing w:after="0"/>
              <w:rPr>
                <w:sz w:val="20"/>
                <w:szCs w:val="20"/>
                <w:color w:val="auto"/>
              </w:rPr>
            </w:pPr>
            <w:r>
              <w:rPr>
                <w:rFonts w:ascii="Arial" w:cs="Arial" w:eastAsia="Arial" w:hAnsi="Arial"/>
                <w:sz w:val="16"/>
                <w:szCs w:val="16"/>
                <w:b w:val="1"/>
                <w:bCs w:val="1"/>
                <w:color w:val="auto"/>
              </w:rPr>
              <w:t>Year ended</w:t>
            </w:r>
          </w:p>
        </w:tc>
        <w:tc>
          <w:tcPr>
            <w:tcW w:w="174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520" w:type="dxa"/>
            <w:vAlign w:val="bottom"/>
          </w:tcPr>
          <w:p>
            <w:pPr>
              <w:spacing w:after="0"/>
              <w:rPr>
                <w:sz w:val="22"/>
                <w:szCs w:val="22"/>
                <w:color w:val="auto"/>
              </w:rPr>
            </w:pPr>
          </w:p>
        </w:tc>
      </w:tr>
      <w:tr>
        <w:trPr>
          <w:trHeight w:val="270"/>
        </w:trPr>
        <w:tc>
          <w:tcPr>
            <w:tcW w:w="2880" w:type="dxa"/>
            <w:vAlign w:val="bottom"/>
          </w:tcPr>
          <w:p>
            <w:pPr>
              <w:ind w:left="40"/>
              <w:spacing w:after="0"/>
              <w:rPr>
                <w:sz w:val="20"/>
                <w:szCs w:val="20"/>
                <w:color w:val="auto"/>
              </w:rPr>
            </w:pPr>
            <w:r>
              <w:rPr>
                <w:rFonts w:ascii="Arial" w:cs="Arial" w:eastAsia="Arial" w:hAnsi="Arial"/>
                <w:sz w:val="16"/>
                <w:szCs w:val="16"/>
                <w:b w:val="1"/>
                <w:bCs w:val="1"/>
                <w:color w:val="auto"/>
              </w:rPr>
              <w:t>December 31, 2016</w:t>
            </w:r>
          </w:p>
        </w:tc>
        <w:tc>
          <w:tcPr>
            <w:tcW w:w="1740" w:type="dxa"/>
            <w:vAlign w:val="bottom"/>
          </w:tcPr>
          <w:p>
            <w:pPr>
              <w:jc w:val="right"/>
              <w:ind w:right="181"/>
              <w:spacing w:after="0"/>
              <w:rPr>
                <w:sz w:val="20"/>
                <w:szCs w:val="20"/>
                <w:color w:val="auto"/>
              </w:rPr>
            </w:pPr>
            <w:r>
              <w:rPr>
                <w:rFonts w:ascii="Arial" w:cs="Arial" w:eastAsia="Arial" w:hAnsi="Arial"/>
                <w:sz w:val="16"/>
                <w:szCs w:val="16"/>
                <w:b w:val="1"/>
                <w:bCs w:val="1"/>
                <w:color w:val="auto"/>
              </w:rPr>
              <w:t>$</w:t>
            </w:r>
          </w:p>
        </w:tc>
        <w:tc>
          <w:tcPr>
            <w:tcW w:w="1400" w:type="dxa"/>
            <w:vAlign w:val="bottom"/>
          </w:tcPr>
          <w:p>
            <w:pPr>
              <w:jc w:val="right"/>
              <w:ind w:right="81"/>
              <w:spacing w:after="0"/>
              <w:rPr>
                <w:sz w:val="20"/>
                <w:szCs w:val="20"/>
                <w:color w:val="auto"/>
              </w:rPr>
            </w:pPr>
            <w:r>
              <w:rPr>
                <w:rFonts w:ascii="Arial" w:cs="Arial" w:eastAsia="Arial" w:hAnsi="Arial"/>
                <w:sz w:val="16"/>
                <w:szCs w:val="16"/>
                <w:b w:val="1"/>
                <w:bCs w:val="1"/>
                <w:color w:val="auto"/>
              </w:rPr>
              <w:t>69,545</w:t>
            </w:r>
          </w:p>
        </w:tc>
        <w:tc>
          <w:tcPr>
            <w:tcW w:w="2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520" w:type="dxa"/>
            <w:vAlign w:val="bottom"/>
          </w:tcPr>
          <w:p>
            <w:pPr>
              <w:jc w:val="right"/>
              <w:ind w:right="43"/>
              <w:spacing w:after="0"/>
              <w:rPr>
                <w:sz w:val="20"/>
                <w:szCs w:val="20"/>
                <w:color w:val="auto"/>
              </w:rPr>
            </w:pPr>
            <w:r>
              <w:rPr>
                <w:rFonts w:ascii="Arial" w:cs="Arial" w:eastAsia="Arial" w:hAnsi="Arial"/>
                <w:sz w:val="16"/>
                <w:szCs w:val="16"/>
                <w:b w:val="1"/>
                <w:bCs w:val="1"/>
                <w:color w:val="auto"/>
              </w:rPr>
              <w:t>4,709</w:t>
            </w:r>
          </w:p>
        </w:tc>
        <w:tc>
          <w:tcPr>
            <w:tcW w:w="380" w:type="dxa"/>
            <w:vAlign w:val="bottom"/>
          </w:tcPr>
          <w:p>
            <w:pPr>
              <w:jc w:val="right"/>
              <w:ind w:right="99"/>
              <w:spacing w:after="0"/>
              <w:rPr>
                <w:sz w:val="20"/>
                <w:szCs w:val="20"/>
                <w:color w:val="auto"/>
              </w:rPr>
            </w:pPr>
            <w:r>
              <w:rPr>
                <w:rFonts w:ascii="Arial" w:cs="Arial" w:eastAsia="Arial" w:hAnsi="Arial"/>
                <w:sz w:val="16"/>
                <w:szCs w:val="16"/>
                <w:b w:val="1"/>
                <w:bCs w:val="1"/>
                <w:color w:val="auto"/>
              </w:rPr>
              <w:t>$</w:t>
            </w:r>
          </w:p>
        </w:tc>
        <w:tc>
          <w:tcPr>
            <w:tcW w:w="1460" w:type="dxa"/>
            <w:vAlign w:val="bottom"/>
          </w:tcPr>
          <w:p>
            <w:pPr>
              <w:jc w:val="right"/>
              <w:ind w:right="21"/>
              <w:spacing w:after="0"/>
              <w:rPr>
                <w:sz w:val="20"/>
                <w:szCs w:val="20"/>
                <w:color w:val="auto"/>
              </w:rPr>
            </w:pPr>
            <w:r>
              <w:rPr>
                <w:rFonts w:ascii="Arial" w:cs="Arial" w:eastAsia="Arial" w:hAnsi="Arial"/>
                <w:sz w:val="16"/>
                <w:szCs w:val="16"/>
                <w:b w:val="1"/>
                <w:bCs w:val="1"/>
                <w:color w:val="auto"/>
              </w:rPr>
              <w:t>(32,935)</w:t>
            </w:r>
          </w:p>
        </w:tc>
        <w:tc>
          <w:tcPr>
            <w:tcW w:w="2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520" w:type="dxa"/>
            <w:vAlign w:val="bottom"/>
          </w:tcPr>
          <w:p>
            <w:pPr>
              <w:jc w:val="right"/>
              <w:ind w:right="23"/>
              <w:spacing w:after="0"/>
              <w:rPr>
                <w:sz w:val="20"/>
                <w:szCs w:val="20"/>
                <w:color w:val="auto"/>
              </w:rPr>
            </w:pPr>
            <w:r>
              <w:rPr>
                <w:rFonts w:ascii="Arial" w:cs="Arial" w:eastAsia="Arial" w:hAnsi="Arial"/>
                <w:sz w:val="16"/>
                <w:szCs w:val="16"/>
                <w:b w:val="1"/>
                <w:bCs w:val="1"/>
                <w:color w:val="auto"/>
              </w:rPr>
              <w:t>41,319</w:t>
            </w:r>
          </w:p>
        </w:tc>
      </w:tr>
      <w:tr>
        <w:trPr>
          <w:trHeight w:val="262"/>
        </w:trPr>
        <w:tc>
          <w:tcPr>
            <w:tcW w:w="2880" w:type="dxa"/>
            <w:vAlign w:val="bottom"/>
          </w:tcPr>
          <w:p>
            <w:pPr>
              <w:ind w:left="40"/>
              <w:spacing w:after="0"/>
              <w:rPr>
                <w:sz w:val="20"/>
                <w:szCs w:val="20"/>
                <w:color w:val="auto"/>
              </w:rPr>
            </w:pPr>
            <w:r>
              <w:rPr>
                <w:rFonts w:ascii="Arial" w:cs="Arial" w:eastAsia="Arial" w:hAnsi="Arial"/>
                <w:sz w:val="16"/>
                <w:szCs w:val="16"/>
                <w:color w:val="auto"/>
              </w:rPr>
              <w:t>December 31, 2015</w:t>
            </w:r>
          </w:p>
        </w:tc>
        <w:tc>
          <w:tcPr>
            <w:tcW w:w="1740" w:type="dxa"/>
            <w:vAlign w:val="bottom"/>
          </w:tcPr>
          <w:p>
            <w:pPr>
              <w:jc w:val="right"/>
              <w:ind w:right="181"/>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81"/>
              <w:spacing w:after="0"/>
              <w:rPr>
                <w:sz w:val="20"/>
                <w:szCs w:val="20"/>
                <w:color w:val="auto"/>
              </w:rPr>
            </w:pPr>
            <w:r>
              <w:rPr>
                <w:rFonts w:ascii="Arial" w:cs="Arial" w:eastAsia="Arial" w:hAnsi="Arial"/>
                <w:sz w:val="16"/>
                <w:szCs w:val="16"/>
                <w:color w:val="auto"/>
              </w:rPr>
              <w:t>65,521</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520" w:type="dxa"/>
            <w:vAlign w:val="bottom"/>
          </w:tcPr>
          <w:p>
            <w:pPr>
              <w:jc w:val="right"/>
              <w:ind w:right="43"/>
              <w:spacing w:after="0"/>
              <w:rPr>
                <w:sz w:val="20"/>
                <w:szCs w:val="20"/>
                <w:color w:val="auto"/>
              </w:rPr>
            </w:pPr>
            <w:r>
              <w:rPr>
                <w:rFonts w:ascii="Arial" w:cs="Arial" w:eastAsia="Arial" w:hAnsi="Arial"/>
                <w:sz w:val="16"/>
                <w:szCs w:val="16"/>
                <w:color w:val="auto"/>
              </w:rPr>
              <w:t>4,024</w:t>
            </w:r>
          </w:p>
        </w:tc>
        <w:tc>
          <w:tcPr>
            <w:tcW w:w="38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81"/>
              <w:spacing w:after="0"/>
              <w:rPr>
                <w:sz w:val="20"/>
                <w:szCs w:val="20"/>
                <w:color w:val="auto"/>
              </w:rPr>
            </w:pPr>
            <w:r>
              <w:rPr>
                <w:rFonts w:ascii="Arial" w:cs="Arial" w:eastAsia="Arial" w:hAnsi="Arial"/>
                <w:sz w:val="16"/>
                <w:szCs w:val="16"/>
                <w:color w:val="auto"/>
              </w:rPr>
              <w:t>—</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520" w:type="dxa"/>
            <w:vAlign w:val="bottom"/>
          </w:tcPr>
          <w:p>
            <w:pPr>
              <w:jc w:val="right"/>
              <w:ind w:right="23"/>
              <w:spacing w:after="0"/>
              <w:rPr>
                <w:sz w:val="20"/>
                <w:szCs w:val="20"/>
                <w:color w:val="auto"/>
              </w:rPr>
            </w:pPr>
            <w:r>
              <w:rPr>
                <w:rFonts w:ascii="Arial" w:cs="Arial" w:eastAsia="Arial" w:hAnsi="Arial"/>
                <w:sz w:val="16"/>
                <w:szCs w:val="16"/>
                <w:color w:val="auto"/>
              </w:rPr>
              <w:t>69,545</w:t>
            </w:r>
          </w:p>
        </w:tc>
      </w:tr>
      <w:tr>
        <w:trPr>
          <w:trHeight w:val="270"/>
        </w:trPr>
        <w:tc>
          <w:tcPr>
            <w:tcW w:w="2880" w:type="dxa"/>
            <w:vAlign w:val="bottom"/>
          </w:tcPr>
          <w:p>
            <w:pPr>
              <w:ind w:left="40"/>
              <w:spacing w:after="0"/>
              <w:rPr>
                <w:sz w:val="20"/>
                <w:szCs w:val="20"/>
                <w:color w:val="auto"/>
              </w:rPr>
            </w:pPr>
            <w:r>
              <w:rPr>
                <w:rFonts w:ascii="Arial" w:cs="Arial" w:eastAsia="Arial" w:hAnsi="Arial"/>
                <w:sz w:val="16"/>
                <w:szCs w:val="16"/>
                <w:color w:val="auto"/>
              </w:rPr>
              <w:t>December 31, 2014</w:t>
            </w:r>
          </w:p>
        </w:tc>
        <w:tc>
          <w:tcPr>
            <w:tcW w:w="1740" w:type="dxa"/>
            <w:vAlign w:val="bottom"/>
          </w:tcPr>
          <w:p>
            <w:pPr>
              <w:jc w:val="right"/>
              <w:ind w:right="181"/>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81"/>
              <w:spacing w:after="0"/>
              <w:rPr>
                <w:sz w:val="20"/>
                <w:szCs w:val="20"/>
                <w:color w:val="auto"/>
              </w:rPr>
            </w:pPr>
            <w:r>
              <w:rPr>
                <w:rFonts w:ascii="Arial" w:cs="Arial" w:eastAsia="Arial" w:hAnsi="Arial"/>
                <w:sz w:val="16"/>
                <w:szCs w:val="16"/>
                <w:color w:val="auto"/>
              </w:rPr>
              <w:t>72,767</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520" w:type="dxa"/>
            <w:vAlign w:val="bottom"/>
          </w:tcPr>
          <w:p>
            <w:pPr>
              <w:jc w:val="right"/>
              <w:ind w:right="43"/>
              <w:spacing w:after="0"/>
              <w:rPr>
                <w:sz w:val="20"/>
                <w:szCs w:val="20"/>
                <w:color w:val="auto"/>
              </w:rPr>
            </w:pPr>
            <w:r>
              <w:rPr>
                <w:rFonts w:ascii="Arial" w:cs="Arial" w:eastAsia="Arial" w:hAnsi="Arial"/>
                <w:sz w:val="16"/>
                <w:szCs w:val="16"/>
                <w:color w:val="auto"/>
              </w:rPr>
              <w:t>889</w:t>
            </w:r>
          </w:p>
        </w:tc>
        <w:tc>
          <w:tcPr>
            <w:tcW w:w="38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21"/>
              <w:spacing w:after="0"/>
              <w:rPr>
                <w:sz w:val="20"/>
                <w:szCs w:val="20"/>
                <w:color w:val="auto"/>
              </w:rPr>
            </w:pPr>
            <w:r>
              <w:rPr>
                <w:rFonts w:ascii="Arial" w:cs="Arial" w:eastAsia="Arial" w:hAnsi="Arial"/>
                <w:sz w:val="16"/>
                <w:szCs w:val="16"/>
                <w:color w:val="auto"/>
              </w:rPr>
              <w:t>(8,135)</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520" w:type="dxa"/>
            <w:vAlign w:val="bottom"/>
          </w:tcPr>
          <w:p>
            <w:pPr>
              <w:jc w:val="right"/>
              <w:ind w:right="23"/>
              <w:spacing w:after="0"/>
              <w:rPr>
                <w:sz w:val="20"/>
                <w:szCs w:val="20"/>
                <w:color w:val="auto"/>
              </w:rPr>
            </w:pPr>
            <w:r>
              <w:rPr>
                <w:rFonts w:ascii="Arial" w:cs="Arial" w:eastAsia="Arial" w:hAnsi="Arial"/>
                <w:sz w:val="16"/>
                <w:szCs w:val="16"/>
                <w:color w:val="auto"/>
              </w:rPr>
              <w:t>65,521</w:t>
            </w:r>
          </w:p>
        </w:tc>
      </w:tr>
    </w:tbl>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20"/>
          </w:cols>
          <w:pgMar w:left="240" w:top="724" w:right="239" w:bottom="1440" w:gutter="0" w:footer="0" w:header="0"/>
        </w:sectPr>
      </w:pPr>
    </w:p>
    <w:bookmarkStart w:id="88" w:name="page89"/>
    <w:bookmarkEnd w:id="88"/>
    <w:p>
      <w:pPr>
        <w:ind w:right="40"/>
        <w:spacing w:after="0" w:line="224" w:lineRule="auto"/>
        <w:rPr>
          <w:sz w:val="20"/>
          <w:szCs w:val="20"/>
          <w:color w:val="auto"/>
        </w:rPr>
      </w:pPr>
      <w:r>
        <w:rPr>
          <w:rFonts w:ascii="Arial" w:cs="Arial" w:eastAsia="Arial" w:hAnsi="Arial"/>
          <w:sz w:val="18"/>
          <w:szCs w:val="18"/>
          <w:color w:val="auto"/>
        </w:rPr>
        <w:t>The Company has established $31.8 million in valuation allowances against deferred state tax assets recognized, net of U.S. Federal tax. As stated above, approximately $21.0 million of the valuation allowances, net of U.S. Federal income tax, relate to state income tax loss carryforwards. The Company has established valuation allowances against deferred state income tax assets, without considering potentially offsetting deferred tax liabilities established with respect to prepaid pension cost and goodwill. Prepaid pension cost and goodwill have not been considered a source of future taxable income for realizing deferred tax assets recognized since these temporary differences are not likely to reverse in the foreseeable future. The valuation allowances established against deferred state income tax assets are recorded at the parent company, the education division and other businesses and may increase or decrease within the next 12 months, based on operating results or the market value of investment holdings. As a result, the Company is unable to estimate the potential tax impact, given the uncertain operating and market environment. The Company will be monitoring future operating results and projected future operating results on a quarterly basis to determine whether the valuation allowances provided against deferred state tax assets should be increased or decreased, as future circumstances warrant.</w:t>
      </w:r>
    </w:p>
    <w:p>
      <w:pPr>
        <w:spacing w:after="0" w:line="117" w:lineRule="exact"/>
        <w:rPr>
          <w:sz w:val="20"/>
          <w:szCs w:val="20"/>
          <w:color w:val="auto"/>
        </w:rPr>
      </w:pPr>
    </w:p>
    <w:p>
      <w:pPr>
        <w:ind w:right="140"/>
        <w:spacing w:after="0"/>
        <w:rPr>
          <w:sz w:val="20"/>
          <w:szCs w:val="20"/>
          <w:color w:val="auto"/>
        </w:rPr>
      </w:pPr>
      <w:r>
        <w:rPr>
          <w:rFonts w:ascii="Arial" w:cs="Arial" w:eastAsia="Arial" w:hAnsi="Arial"/>
          <w:sz w:val="18"/>
          <w:szCs w:val="18"/>
          <w:color w:val="auto"/>
        </w:rPr>
        <w:t>The Company has established $9.5 million in valuation allowances against non-U.S. deferred tax assets, and, as stated above, $4.9 million of the non-U.S. valuation allowances relate to non-U.S. income tax loss carryforwards and $1.9 million relate to non-U.S. capital loss carryforwards.</w:t>
      </w:r>
    </w:p>
    <w:p>
      <w:pPr>
        <w:spacing w:after="0" w:line="108" w:lineRule="exact"/>
        <w:rPr>
          <w:sz w:val="20"/>
          <w:szCs w:val="20"/>
          <w:color w:val="auto"/>
        </w:rPr>
      </w:pPr>
    </w:p>
    <w:p>
      <w:pPr>
        <w:ind w:right="260"/>
        <w:spacing w:after="0" w:line="229" w:lineRule="auto"/>
        <w:rPr>
          <w:sz w:val="20"/>
          <w:szCs w:val="20"/>
          <w:color w:val="auto"/>
        </w:rPr>
      </w:pPr>
      <w:r>
        <w:rPr>
          <w:rFonts w:ascii="Arial" w:cs="Arial" w:eastAsia="Arial" w:hAnsi="Arial"/>
          <w:sz w:val="18"/>
          <w:szCs w:val="18"/>
          <w:color w:val="auto"/>
        </w:rPr>
        <w:t>Deferred U.S. Federal and state income taxes are recorded with respect to undistributed earnings of investments in non-U.S. subsidiaries to the extent taxable dividend income would be recognized if such earnings were distributed. Deferred income taxes recorded with respect to undistributed earnings of investments in non-U.S. subsidiaries are recorded net of foreign tax credits with respect to such undistributed earnings estimated to be creditable against future U.S. Federal tax liabilities. At December 31, 2016 and 2015, net U.S. Federal and state deferred income tax liabilities of about $23.8 million and $17.5 million, respectively, were recorded with respect to undistributed earnings of investments in non-U.S. subsidiaries based on the year-end position.</w:t>
      </w:r>
    </w:p>
    <w:p>
      <w:pPr>
        <w:spacing w:after="0" w:line="112" w:lineRule="exact"/>
        <w:rPr>
          <w:sz w:val="20"/>
          <w:szCs w:val="20"/>
          <w:color w:val="auto"/>
        </w:rPr>
      </w:pPr>
    </w:p>
    <w:p>
      <w:pPr>
        <w:ind w:right="60"/>
        <w:spacing w:after="0" w:line="227" w:lineRule="auto"/>
        <w:rPr>
          <w:sz w:val="20"/>
          <w:szCs w:val="20"/>
          <w:color w:val="auto"/>
        </w:rPr>
      </w:pPr>
      <w:r>
        <w:rPr>
          <w:rFonts w:ascii="Arial" w:cs="Arial" w:eastAsia="Arial" w:hAnsi="Arial"/>
          <w:sz w:val="18"/>
          <w:szCs w:val="18"/>
          <w:color w:val="auto"/>
        </w:rPr>
        <w:t>Deferred U.S. Federal and state income taxes have not been recorded for the full book value and tax basis differences related to investments in non-U.S. subsidiaries because such investments are expected to be indefinitely held. The book value exceeded the tax basis of investments in non-U.S. subsidiaries by approximately $103.3 million and $71.8 million at December 31, 2016 and 2015, respectively; these differences would result in approximately $0.3 million of net additional U.S. Federal and state deferred tax liabilities, net of foreign tax credits related to undistributed earnings and estimated to be creditable against future U.S. Federal tax liabilities, at December 31, 2016, and would not result in any additional U.S. Federal and state deferred tax liabilities at December 31, 2015. If investments in non-U.S. subsidiaries were held for sale instead of expected to be held indefinitely, additional U.S. Federal and state deferred tax liabilities would be required to be recorded, and such deferred tax liabilities, if recorded, may exceed the above estimates.</w:t>
      </w:r>
    </w:p>
    <w:p>
      <w:pPr>
        <w:spacing w:after="0" w:line="108" w:lineRule="exact"/>
        <w:rPr>
          <w:sz w:val="20"/>
          <w:szCs w:val="20"/>
          <w:color w:val="auto"/>
        </w:rPr>
      </w:pPr>
    </w:p>
    <w:p>
      <w:pPr>
        <w:ind w:right="60"/>
        <w:spacing w:after="0" w:line="260" w:lineRule="auto"/>
        <w:rPr>
          <w:sz w:val="20"/>
          <w:szCs w:val="20"/>
          <w:color w:val="auto"/>
        </w:rPr>
      </w:pPr>
      <w:r>
        <w:rPr>
          <w:rFonts w:ascii="Arial" w:cs="Arial" w:eastAsia="Arial" w:hAnsi="Arial"/>
          <w:sz w:val="18"/>
          <w:szCs w:val="18"/>
          <w:color w:val="auto"/>
        </w:rPr>
        <w:t>The Company does not currently anticipate that within the next 12 months there will be any events requiring the establishment of any valuation allowances against U.S. Federal net deferred tax assets.</w:t>
      </w:r>
    </w:p>
    <w:p>
      <w:pPr>
        <w:spacing w:after="0" w:line="92" w:lineRule="exact"/>
        <w:rPr>
          <w:sz w:val="20"/>
          <w:szCs w:val="20"/>
          <w:color w:val="auto"/>
        </w:rPr>
      </w:pPr>
    </w:p>
    <w:p>
      <w:pPr>
        <w:spacing w:after="0" w:line="227" w:lineRule="auto"/>
        <w:rPr>
          <w:sz w:val="20"/>
          <w:szCs w:val="20"/>
          <w:color w:val="auto"/>
        </w:rPr>
      </w:pPr>
      <w:r>
        <w:rPr>
          <w:rFonts w:ascii="Arial" w:cs="Arial" w:eastAsia="Arial" w:hAnsi="Arial"/>
          <w:sz w:val="18"/>
          <w:szCs w:val="18"/>
          <w:color w:val="auto"/>
        </w:rPr>
        <w:t>In the third quarter of 2016, the Company released $19.3 million of valuation allowance previously recorded on its operations in Australia, as the Company determined that it was more likely than not that the benefit of the net deferred tax assets would be realized, based on improved operating results that have recently generated positive ordinary income. The remaining valuation allowances established against non-U.S. deferred tax assets are recorded at the education division and other businesses. The remaining non-U.S. valuation allowances may increase or decrease within the next 12 months, based on operating results. As a result, the Company is unable to estimate the potential tax impact, given the uncertain operating environment. The Company will be monitoring future education division and other businesses' operating results and projected future operating results on a quarterly basis to determine whether the valuation allowances provided against non-U.S. deferred tax assets should be increased or decreased, as future circumstances warrant.</w:t>
      </w:r>
    </w:p>
    <w:p>
      <w:pPr>
        <w:spacing w:after="0" w:line="108" w:lineRule="exact"/>
        <w:rPr>
          <w:sz w:val="20"/>
          <w:szCs w:val="20"/>
          <w:color w:val="auto"/>
        </w:rPr>
      </w:pPr>
    </w:p>
    <w:p>
      <w:pPr>
        <w:spacing w:after="0" w:line="231" w:lineRule="auto"/>
        <w:rPr>
          <w:sz w:val="20"/>
          <w:szCs w:val="20"/>
          <w:color w:val="auto"/>
        </w:rPr>
      </w:pPr>
      <w:r>
        <w:rPr>
          <w:rFonts w:ascii="Arial" w:cs="Arial" w:eastAsia="Arial" w:hAnsi="Arial"/>
          <w:sz w:val="18"/>
          <w:szCs w:val="18"/>
          <w:color w:val="auto"/>
        </w:rPr>
        <w:t>The Company recorded a $10.5 million U.S. Federal income tax receivable with respect to capital loss carryforwards to the 2013 tax year and is currently under examination by the Internal Revenue Service. The Company files income tax returns with the U.S. Federal government and in various state, local and non-U.S. governmental jurisdictions, with the consolidated U.S. Federal tax return filing considered the only major tax jurisdiction. The statute of limitations has expired on all consolidated U.S. Federal corporate income tax returns filed through 2012, though any carryforward adjustment to the 2013 tax year is still subject to examination.</w:t>
      </w:r>
    </w:p>
    <w:p>
      <w:pPr>
        <w:spacing w:after="0" w:line="111" w:lineRule="exact"/>
        <w:rPr>
          <w:sz w:val="20"/>
          <w:szCs w:val="20"/>
          <w:color w:val="auto"/>
        </w:rPr>
      </w:pPr>
    </w:p>
    <w:p>
      <w:pPr>
        <w:ind w:right="320"/>
        <w:spacing w:after="0"/>
        <w:rPr>
          <w:sz w:val="20"/>
          <w:szCs w:val="20"/>
          <w:color w:val="auto"/>
        </w:rPr>
      </w:pPr>
      <w:r>
        <w:rPr>
          <w:rFonts w:ascii="Arial" w:cs="Arial" w:eastAsia="Arial" w:hAnsi="Arial"/>
          <w:sz w:val="18"/>
          <w:szCs w:val="18"/>
          <w:color w:val="auto"/>
        </w:rPr>
        <w:t>The Company endeavors to comply with tax laws and regulations where it does business, but cannot guarantee that, if challenged, the Company’s interpretation of all relevant tax laws and regulations will prevail and that all tax benefits recorded in the financial statements will ultimately be recognized in full.</w:t>
      </w: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00"/>
          </w:cols>
          <w:pgMar w:left="240" w:top="724" w:right="259" w:bottom="1440" w:gutter="0" w:footer="0" w:header="0"/>
        </w:sectPr>
      </w:pPr>
    </w:p>
    <w:bookmarkStart w:id="89" w:name="page90"/>
    <w:bookmarkEnd w:id="89"/>
    <w:p>
      <w:pPr>
        <w:spacing w:after="0"/>
        <w:rPr>
          <w:sz w:val="20"/>
          <w:szCs w:val="20"/>
          <w:color w:val="auto"/>
        </w:rPr>
      </w:pPr>
      <w:r>
        <w:rPr>
          <w:rFonts w:ascii="Arial" w:cs="Arial" w:eastAsia="Arial" w:hAnsi="Arial"/>
          <w:sz w:val="18"/>
          <w:szCs w:val="18"/>
          <w:color w:val="auto"/>
        </w:rPr>
        <w:t>The following summarizes the Company’s unrecognized tax benefits, excluding interest and penalties, for the respective periods:</w:t>
      </w:r>
    </w:p>
    <w:p>
      <w:pPr>
        <w:spacing w:after="0" w:line="219" w:lineRule="exact"/>
        <w:rPr>
          <w:sz w:val="20"/>
          <w:szCs w:val="20"/>
          <w:color w:val="auto"/>
        </w:rPr>
      </w:pPr>
    </w:p>
    <w:p>
      <w:pPr>
        <w:ind w:left="870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4910455</wp:posOffset>
            </wp:positionH>
            <wp:positionV relativeFrom="paragraph">
              <wp:posOffset>27305</wp:posOffset>
            </wp:positionV>
            <wp:extent cx="230695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30695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5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440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2016</w:t>
            </w:r>
          </w:p>
        </w:tc>
        <w:tc>
          <w:tcPr>
            <w:tcW w:w="124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color w:val="auto"/>
              </w:rPr>
              <w:t>2015</w:t>
            </w:r>
          </w:p>
        </w:tc>
        <w:tc>
          <w:tcPr>
            <w:tcW w:w="118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2014</w:t>
            </w:r>
          </w:p>
        </w:tc>
      </w:tr>
    </w:tbl>
    <w:p>
      <w:pPr>
        <w:spacing w:after="0" w:line="34" w:lineRule="exact"/>
        <w:rPr>
          <w:sz w:val="20"/>
          <w:szCs w:val="20"/>
          <w:color w:val="auto"/>
        </w:rPr>
      </w:pPr>
    </w:p>
    <w:p>
      <w:pPr>
        <w:sectPr>
          <w:pgSz w:w="11900" w:h="16838" w:orient="portrait"/>
          <w:cols w:equalWidth="0" w:num="1">
            <w:col w:w="11420"/>
          </w:cols>
          <w:pgMar w:left="240" w:top="724" w:right="239" w:bottom="1440" w:gutter="0" w:footer="0" w:header="0"/>
        </w:sectPr>
      </w:pPr>
    </w:p>
    <w:p>
      <w:pPr>
        <w:ind w:left="40"/>
        <w:spacing w:after="0"/>
        <w:rPr>
          <w:sz w:val="20"/>
          <w:szCs w:val="20"/>
          <w:color w:val="auto"/>
        </w:rPr>
      </w:pPr>
      <w:r>
        <w:rPr>
          <w:rFonts w:ascii="Arial" w:cs="Arial" w:eastAsia="Arial" w:hAnsi="Arial"/>
          <w:sz w:val="16"/>
          <w:szCs w:val="16"/>
          <w:b w:val="1"/>
          <w:bCs w:val="1"/>
          <w:color w:val="auto"/>
        </w:rPr>
        <w:t>Beginning unrecognized tax benefits</w:t>
      </w:r>
    </w:p>
    <w:p>
      <w:pPr>
        <w:spacing w:after="0" w:line="88" w:lineRule="exact"/>
        <w:rPr>
          <w:sz w:val="20"/>
          <w:szCs w:val="20"/>
          <w:color w:val="auto"/>
        </w:rPr>
      </w:pPr>
    </w:p>
    <w:p>
      <w:pPr>
        <w:ind w:left="280"/>
        <w:spacing w:after="0"/>
        <w:rPr>
          <w:sz w:val="20"/>
          <w:szCs w:val="20"/>
          <w:color w:val="auto"/>
        </w:rPr>
      </w:pPr>
      <w:r>
        <w:rPr>
          <w:rFonts w:ascii="Arial" w:cs="Arial" w:eastAsia="Arial" w:hAnsi="Arial"/>
          <w:sz w:val="16"/>
          <w:szCs w:val="16"/>
          <w:color w:val="auto"/>
        </w:rPr>
        <w:t>Increases related to current year tax positions</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Increases related to prior year tax positions</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Decreases related to prior year tax positions</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Decreases related to settlement with tax authorities</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Decreases due to lapse of applicable statutes of limitations</w:t>
      </w:r>
    </w:p>
    <w:p>
      <w:pPr>
        <w:spacing w:after="0" w:line="111"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Ending unrecognized tax benefits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9"/>
        </w:trPr>
        <w:tc>
          <w:tcPr>
            <w:tcW w:w="320" w:type="dxa"/>
            <w:vAlign w:val="bottom"/>
          </w:tcPr>
          <w:p>
            <w:pPr>
              <w:jc w:val="right"/>
              <w:ind w:right="119"/>
              <w:spacing w:after="0"/>
              <w:rPr>
                <w:sz w:val="20"/>
                <w:szCs w:val="20"/>
                <w:color w:val="auto"/>
              </w:rPr>
            </w:pPr>
            <w:r>
              <w:rPr>
                <w:rFonts w:ascii="Arial" w:cs="Arial" w:eastAsia="Arial" w:hAnsi="Arial"/>
                <w:sz w:val="16"/>
                <w:szCs w:val="16"/>
                <w:b w:val="1"/>
                <w:bCs w:val="1"/>
                <w:color w:val="auto"/>
              </w:rPr>
              <w:t>$</w:t>
            </w:r>
          </w:p>
        </w:tc>
        <w:tc>
          <w:tcPr>
            <w:tcW w:w="840" w:type="dxa"/>
            <w:vAlign w:val="bottom"/>
          </w:tcPr>
          <w:p>
            <w:pPr>
              <w:jc w:val="right"/>
              <w:ind w:right="39"/>
              <w:spacing w:after="0"/>
              <w:rPr>
                <w:sz w:val="20"/>
                <w:szCs w:val="20"/>
                <w:color w:val="auto"/>
              </w:rPr>
            </w:pPr>
            <w:r>
              <w:rPr>
                <w:rFonts w:ascii="Arial" w:cs="Arial" w:eastAsia="Arial" w:hAnsi="Arial"/>
                <w:sz w:val="16"/>
                <w:szCs w:val="16"/>
                <w:b w:val="1"/>
                <w:bCs w:val="1"/>
                <w:color w:val="auto"/>
              </w:rPr>
              <w:t>17,331</w:t>
            </w:r>
          </w:p>
        </w:tc>
        <w:tc>
          <w:tcPr>
            <w:tcW w:w="42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59"/>
              <w:spacing w:after="0"/>
              <w:rPr>
                <w:sz w:val="20"/>
                <w:szCs w:val="20"/>
                <w:color w:val="auto"/>
              </w:rPr>
            </w:pPr>
            <w:r>
              <w:rPr>
                <w:rFonts w:ascii="Arial" w:cs="Arial" w:eastAsia="Arial" w:hAnsi="Arial"/>
                <w:sz w:val="16"/>
                <w:szCs w:val="16"/>
                <w:color w:val="auto"/>
              </w:rPr>
              <w:t>19,817</w:t>
            </w:r>
          </w:p>
        </w:tc>
        <w:tc>
          <w:tcPr>
            <w:tcW w:w="4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320" w:type="dxa"/>
            <w:vAlign w:val="bottom"/>
          </w:tcPr>
          <w:p>
            <w:pPr>
              <w:spacing w:after="0"/>
              <w:rPr>
                <w:sz w:val="23"/>
                <w:szCs w:val="23"/>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420" w:type="dxa"/>
            <w:vAlign w:val="bottom"/>
          </w:tcPr>
          <w:p>
            <w:pPr>
              <w:spacing w:after="0"/>
              <w:rPr>
                <w:sz w:val="23"/>
                <w:szCs w:val="23"/>
                <w:color w:val="auto"/>
              </w:rPr>
            </w:pPr>
          </w:p>
        </w:tc>
        <w:tc>
          <w:tcPr>
            <w:tcW w:w="8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19,817</w:t>
            </w:r>
          </w:p>
        </w:tc>
      </w:tr>
      <w:tr>
        <w:trPr>
          <w:trHeight w:val="270"/>
        </w:trPr>
        <w:tc>
          <w:tcPr>
            <w:tcW w:w="320" w:type="dxa"/>
            <w:vAlign w:val="bottom"/>
          </w:tcPr>
          <w:p>
            <w:pPr>
              <w:spacing w:after="0"/>
              <w:rPr>
                <w:sz w:val="23"/>
                <w:szCs w:val="23"/>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420" w:type="dxa"/>
            <w:vAlign w:val="bottom"/>
          </w:tcPr>
          <w:p>
            <w:pPr>
              <w:spacing w:after="0"/>
              <w:rPr>
                <w:sz w:val="23"/>
                <w:szCs w:val="23"/>
                <w:color w:val="auto"/>
              </w:rPr>
            </w:pPr>
          </w:p>
        </w:tc>
        <w:tc>
          <w:tcPr>
            <w:tcW w:w="8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320" w:type="dxa"/>
            <w:vAlign w:val="bottom"/>
          </w:tcPr>
          <w:p>
            <w:pPr>
              <w:spacing w:after="0"/>
              <w:rPr>
                <w:sz w:val="23"/>
                <w:szCs w:val="23"/>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420" w:type="dxa"/>
            <w:vAlign w:val="bottom"/>
          </w:tcPr>
          <w:p>
            <w:pPr>
              <w:spacing w:after="0"/>
              <w:rPr>
                <w:sz w:val="23"/>
                <w:szCs w:val="23"/>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(2,486)</w:t>
            </w:r>
          </w:p>
        </w:tc>
        <w:tc>
          <w:tcPr>
            <w:tcW w:w="40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320" w:type="dxa"/>
            <w:vAlign w:val="bottom"/>
          </w:tcPr>
          <w:p>
            <w:pPr>
              <w:spacing w:after="0"/>
              <w:rPr>
                <w:sz w:val="23"/>
                <w:szCs w:val="23"/>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420" w:type="dxa"/>
            <w:vAlign w:val="bottom"/>
          </w:tcPr>
          <w:p>
            <w:pPr>
              <w:spacing w:after="0"/>
              <w:rPr>
                <w:sz w:val="23"/>
                <w:szCs w:val="23"/>
                <w:color w:val="auto"/>
              </w:rPr>
            </w:pPr>
          </w:p>
        </w:tc>
        <w:tc>
          <w:tcPr>
            <w:tcW w:w="8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4"/>
        </w:trPr>
        <w:tc>
          <w:tcPr>
            <w:tcW w:w="32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42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r>
      <w:tr>
        <w:trPr>
          <w:trHeight w:val="264"/>
        </w:trPr>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w:t>
            </w:r>
          </w:p>
        </w:tc>
        <w:tc>
          <w:tcPr>
            <w:tcW w:w="8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17,331</w:t>
            </w:r>
          </w:p>
        </w:tc>
        <w:tc>
          <w:tcPr>
            <w:tcW w:w="4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17,331</w:t>
            </w:r>
          </w:p>
        </w:tc>
        <w:tc>
          <w:tcPr>
            <w:tcW w:w="4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19,817</w:t>
            </w:r>
          </w:p>
        </w:tc>
      </w:tr>
      <w:tr>
        <w:trPr>
          <w:trHeight w:val="20"/>
        </w:trPr>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126" w:lineRule="exact"/>
        <w:rPr>
          <w:sz w:val="20"/>
          <w:szCs w:val="20"/>
          <w:color w:val="auto"/>
        </w:rPr>
      </w:pPr>
    </w:p>
    <w:p>
      <w:pPr>
        <w:sectPr>
          <w:pgSz w:w="11900" w:h="16838" w:orient="portrait"/>
          <w:cols w:equalWidth="0" w:num="2">
            <w:col w:w="7020" w:space="720"/>
            <w:col w:w="3680"/>
          </w:cols>
          <w:pgMar w:left="240" w:top="724" w:right="239" w:bottom="1440" w:gutter="0" w:footer="0" w:header="0"/>
          <w:type w:val="continuous"/>
        </w:sectPr>
      </w:pPr>
    </w:p>
    <w:p>
      <w:pPr>
        <w:ind w:right="20"/>
        <w:spacing w:after="0" w:line="229" w:lineRule="auto"/>
        <w:rPr>
          <w:sz w:val="20"/>
          <w:szCs w:val="20"/>
          <w:color w:val="auto"/>
        </w:rPr>
      </w:pPr>
      <w:r>
        <w:rPr>
          <w:rFonts w:ascii="Arial" w:cs="Arial" w:eastAsia="Arial" w:hAnsi="Arial"/>
          <w:sz w:val="18"/>
          <w:szCs w:val="18"/>
          <w:color w:val="auto"/>
        </w:rPr>
        <w:t>The unrecognized tax benefits mainly relate to state income tax filing positions applicable to the 2014 tax period. In making these determinations, the Company presumes that taxing authorities pursuing examinations of the Company’s compliance with tax law filing requirements will have full knowledge of all relevant information, and, if necessary, the Company will pursue resolution of disputed tax positions by appeals or litigation. Although the Company cannot predict the timing of resolution with tax authorities, the Company estimates that no portion of unrecognized tax benefits will be reduced in the next 12 months due to settlement with the tax authorities. The Company expects that a $5.1 million state tax benefit, net of $1.8 million federal tax expense, will reduce the effective tax rate in the future if recognized.</w:t>
      </w:r>
    </w:p>
    <w:p>
      <w:pPr>
        <w:spacing w:after="0" w:line="112" w:lineRule="exact"/>
        <w:rPr>
          <w:sz w:val="20"/>
          <w:szCs w:val="20"/>
          <w:color w:val="auto"/>
        </w:rPr>
      </w:pPr>
    </w:p>
    <w:p>
      <w:pPr>
        <w:jc w:val="both"/>
        <w:ind w:right="200"/>
        <w:spacing w:after="0"/>
        <w:rPr>
          <w:sz w:val="20"/>
          <w:szCs w:val="20"/>
          <w:color w:val="auto"/>
        </w:rPr>
      </w:pPr>
      <w:r>
        <w:rPr>
          <w:rFonts w:ascii="Arial" w:cs="Arial" w:eastAsia="Arial" w:hAnsi="Arial"/>
          <w:sz w:val="18"/>
          <w:szCs w:val="18"/>
          <w:color w:val="auto"/>
        </w:rPr>
        <w:t>The Company classifies interest and penalties related to uncertain tax positions as a component of interest and other expenses, respectively. As of December 31, 2016, the Company has accrued $0.7 million of interest related to the unrecognized tax benefits. The Company has not accrued any penalties related to the unrecognized tax benefits.</w:t>
      </w:r>
    </w:p>
    <w:p>
      <w:pPr>
        <w:spacing w:after="0" w:line="106" w:lineRule="exact"/>
        <w:rPr>
          <w:sz w:val="20"/>
          <w:szCs w:val="20"/>
          <w:color w:val="auto"/>
        </w:rPr>
      </w:pPr>
    </w:p>
    <w:p>
      <w:pPr>
        <w:ind w:left="500" w:hanging="492"/>
        <w:spacing w:after="0"/>
        <w:tabs>
          <w:tab w:leader="none" w:pos="500" w:val="left"/>
        </w:tabs>
        <w:numPr>
          <w:ilvl w:val="0"/>
          <w:numId w:val="65"/>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The Company’s borrowings consist of the following:</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90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120" w:type="dxa"/>
            <w:vAlign w:val="bottom"/>
            <w:tcBorders>
              <w:bottom w:val="single" w:sz="8" w:color="auto"/>
            </w:tcBorders>
            <w:gridSpan w:val="3"/>
          </w:tcPr>
          <w:p>
            <w:pPr>
              <w:jc w:val="right"/>
              <w:ind w:right="460"/>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264"/>
        </w:trPr>
        <w:tc>
          <w:tcPr>
            <w:tcW w:w="90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2016</w:t>
            </w:r>
          </w:p>
        </w:tc>
        <w:tc>
          <w:tcPr>
            <w:tcW w:w="3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color w:val="auto"/>
              </w:rPr>
              <w:t>2015</w:t>
            </w:r>
          </w:p>
        </w:tc>
        <w:tc>
          <w:tcPr>
            <w:tcW w:w="0" w:type="dxa"/>
            <w:vAlign w:val="bottom"/>
          </w:tcPr>
          <w:p>
            <w:pPr>
              <w:spacing w:after="0"/>
              <w:rPr>
                <w:sz w:val="1"/>
                <w:szCs w:val="1"/>
                <w:color w:val="auto"/>
              </w:rPr>
            </w:pPr>
          </w:p>
        </w:tc>
      </w:tr>
      <w:tr>
        <w:trPr>
          <w:trHeight w:val="299"/>
        </w:trPr>
        <w:tc>
          <w:tcPr>
            <w:tcW w:w="9020" w:type="dxa"/>
            <w:vAlign w:val="bottom"/>
          </w:tcPr>
          <w:p>
            <w:pPr>
              <w:ind w:left="40"/>
              <w:spacing w:after="0"/>
              <w:rPr>
                <w:sz w:val="20"/>
                <w:szCs w:val="20"/>
                <w:color w:val="auto"/>
              </w:rPr>
            </w:pPr>
            <w:r>
              <w:rPr>
                <w:rFonts w:ascii="Arial" w:cs="Arial" w:eastAsia="Arial" w:hAnsi="Arial"/>
                <w:sz w:val="16"/>
                <w:szCs w:val="16"/>
                <w:color w:val="auto"/>
              </w:rPr>
              <w:t xml:space="preserve">7.25% unsecured notes due February 1, 2019 </w:t>
            </w:r>
            <w:r>
              <w:rPr>
                <w:rFonts w:ascii="Arial" w:cs="Arial" w:eastAsia="Arial" w:hAnsi="Arial"/>
                <w:sz w:val="21"/>
                <w:szCs w:val="21"/>
                <w:color w:val="auto"/>
                <w:vertAlign w:val="superscript"/>
              </w:rPr>
              <w:t>(1)</w:t>
            </w:r>
          </w:p>
        </w:tc>
        <w:tc>
          <w:tcPr>
            <w:tcW w:w="28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ind w:right="81"/>
              <w:spacing w:after="0"/>
              <w:rPr>
                <w:sz w:val="20"/>
                <w:szCs w:val="20"/>
                <w:color w:val="auto"/>
              </w:rPr>
            </w:pPr>
            <w:r>
              <w:rPr>
                <w:rFonts w:ascii="Arial" w:cs="Arial" w:eastAsia="Arial" w:hAnsi="Arial"/>
                <w:sz w:val="16"/>
                <w:szCs w:val="16"/>
                <w:b w:val="1"/>
                <w:bCs w:val="1"/>
                <w:color w:val="auto"/>
              </w:rPr>
              <w:t>399,052</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398,596</w:t>
            </w:r>
          </w:p>
        </w:tc>
        <w:tc>
          <w:tcPr>
            <w:tcW w:w="0" w:type="dxa"/>
            <w:vAlign w:val="bottom"/>
          </w:tcPr>
          <w:p>
            <w:pPr>
              <w:spacing w:after="0"/>
              <w:rPr>
                <w:sz w:val="1"/>
                <w:szCs w:val="1"/>
                <w:color w:val="auto"/>
              </w:rPr>
            </w:pPr>
          </w:p>
        </w:tc>
      </w:tr>
      <w:tr>
        <w:trPr>
          <w:trHeight w:val="270"/>
        </w:trPr>
        <w:tc>
          <w:tcPr>
            <w:tcW w:w="9020" w:type="dxa"/>
            <w:vAlign w:val="bottom"/>
          </w:tcPr>
          <w:p>
            <w:pPr>
              <w:ind w:left="40"/>
              <w:spacing w:after="0"/>
              <w:rPr>
                <w:sz w:val="20"/>
                <w:szCs w:val="20"/>
                <w:color w:val="auto"/>
              </w:rPr>
            </w:pPr>
            <w:r>
              <w:rPr>
                <w:rFonts w:ascii="Arial" w:cs="Arial" w:eastAsia="Arial" w:hAnsi="Arial"/>
                <w:sz w:val="16"/>
                <w:szCs w:val="16"/>
                <w:color w:val="auto"/>
              </w:rPr>
              <w:t xml:space="preserve">UK Credit facility </w:t>
            </w:r>
            <w:r>
              <w:rPr>
                <w:rFonts w:ascii="Arial" w:cs="Arial" w:eastAsia="Arial" w:hAnsi="Arial"/>
                <w:sz w:val="21"/>
                <w:szCs w:val="21"/>
                <w:color w:val="auto"/>
                <w:vertAlign w:val="superscript"/>
              </w:rPr>
              <w:t>(2)</w:t>
            </w:r>
          </w:p>
        </w:tc>
        <w:tc>
          <w:tcPr>
            <w:tcW w:w="280" w:type="dxa"/>
            <w:vAlign w:val="bottom"/>
          </w:tcPr>
          <w:p>
            <w:pPr>
              <w:spacing w:after="0"/>
              <w:rPr>
                <w:sz w:val="23"/>
                <w:szCs w:val="23"/>
                <w:color w:val="auto"/>
              </w:rPr>
            </w:pPr>
          </w:p>
        </w:tc>
        <w:tc>
          <w:tcPr>
            <w:tcW w:w="920" w:type="dxa"/>
            <w:vAlign w:val="bottom"/>
          </w:tcPr>
          <w:p>
            <w:pPr>
              <w:jc w:val="right"/>
              <w:ind w:right="81"/>
              <w:spacing w:after="0"/>
              <w:rPr>
                <w:sz w:val="20"/>
                <w:szCs w:val="20"/>
                <w:color w:val="auto"/>
              </w:rPr>
            </w:pPr>
            <w:r>
              <w:rPr>
                <w:rFonts w:ascii="Arial" w:cs="Arial" w:eastAsia="Arial" w:hAnsi="Arial"/>
                <w:sz w:val="16"/>
                <w:szCs w:val="16"/>
                <w:b w:val="1"/>
                <w:bCs w:val="1"/>
                <w:color w:val="auto"/>
              </w:rPr>
              <w:t>91,316</w:t>
            </w:r>
          </w:p>
        </w:tc>
        <w:tc>
          <w:tcPr>
            <w:tcW w:w="320" w:type="dxa"/>
            <w:vAlign w:val="bottom"/>
          </w:tcPr>
          <w:p>
            <w:pPr>
              <w:spacing w:after="0"/>
              <w:rPr>
                <w:sz w:val="23"/>
                <w:szCs w:val="23"/>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2"/>
        </w:trPr>
        <w:tc>
          <w:tcPr>
            <w:tcW w:w="9020" w:type="dxa"/>
            <w:vAlign w:val="bottom"/>
          </w:tcPr>
          <w:p>
            <w:pPr>
              <w:ind w:left="40"/>
              <w:spacing w:after="0"/>
              <w:rPr>
                <w:sz w:val="20"/>
                <w:szCs w:val="20"/>
                <w:color w:val="auto"/>
              </w:rPr>
            </w:pPr>
            <w:r>
              <w:rPr>
                <w:rFonts w:ascii="Arial" w:cs="Arial" w:eastAsia="Arial" w:hAnsi="Arial"/>
                <w:sz w:val="16"/>
                <w:szCs w:val="16"/>
                <w:color w:val="auto"/>
              </w:rPr>
              <w:t>Other indebtedness</w:t>
            </w:r>
          </w:p>
        </w:tc>
        <w:tc>
          <w:tcPr>
            <w:tcW w:w="2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rPr>
              <w:t>1,479</w:t>
            </w:r>
          </w:p>
        </w:tc>
        <w:tc>
          <w:tcPr>
            <w:tcW w:w="3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1,204</w:t>
            </w:r>
          </w:p>
        </w:tc>
        <w:tc>
          <w:tcPr>
            <w:tcW w:w="0" w:type="dxa"/>
            <w:vAlign w:val="bottom"/>
          </w:tcPr>
          <w:p>
            <w:pPr>
              <w:spacing w:after="0"/>
              <w:rPr>
                <w:sz w:val="1"/>
                <w:szCs w:val="1"/>
                <w:color w:val="auto"/>
              </w:rPr>
            </w:pPr>
          </w:p>
        </w:tc>
      </w:tr>
      <w:tr>
        <w:trPr>
          <w:trHeight w:val="260"/>
        </w:trPr>
        <w:tc>
          <w:tcPr>
            <w:tcW w:w="9020" w:type="dxa"/>
            <w:vAlign w:val="bottom"/>
          </w:tcPr>
          <w:p>
            <w:pPr>
              <w:ind w:left="40"/>
              <w:spacing w:after="0"/>
              <w:rPr>
                <w:sz w:val="20"/>
                <w:szCs w:val="20"/>
                <w:color w:val="auto"/>
              </w:rPr>
            </w:pPr>
            <w:r>
              <w:rPr>
                <w:rFonts w:ascii="Arial" w:cs="Arial" w:eastAsia="Arial" w:hAnsi="Arial"/>
                <w:sz w:val="16"/>
                <w:szCs w:val="16"/>
                <w:b w:val="1"/>
                <w:bCs w:val="1"/>
                <w:color w:val="auto"/>
              </w:rPr>
              <w:t>Total Debt</w:t>
            </w:r>
          </w:p>
        </w:tc>
        <w:tc>
          <w:tcPr>
            <w:tcW w:w="280" w:type="dxa"/>
            <w:vAlign w:val="bottom"/>
          </w:tcPr>
          <w:p>
            <w:pPr>
              <w:spacing w:after="0"/>
              <w:rPr>
                <w:sz w:val="22"/>
                <w:szCs w:val="22"/>
                <w:color w:val="auto"/>
              </w:rPr>
            </w:pPr>
          </w:p>
        </w:tc>
        <w:tc>
          <w:tcPr>
            <w:tcW w:w="920" w:type="dxa"/>
            <w:vAlign w:val="bottom"/>
          </w:tcPr>
          <w:p>
            <w:pPr>
              <w:jc w:val="right"/>
              <w:ind w:right="81"/>
              <w:spacing w:after="0"/>
              <w:rPr>
                <w:sz w:val="20"/>
                <w:szCs w:val="20"/>
                <w:color w:val="auto"/>
              </w:rPr>
            </w:pPr>
            <w:r>
              <w:rPr>
                <w:rFonts w:ascii="Arial" w:cs="Arial" w:eastAsia="Arial" w:hAnsi="Arial"/>
                <w:sz w:val="16"/>
                <w:szCs w:val="16"/>
                <w:b w:val="1"/>
                <w:bCs w:val="1"/>
                <w:color w:val="auto"/>
              </w:rPr>
              <w:t>491,847</w:t>
            </w:r>
          </w:p>
        </w:tc>
        <w:tc>
          <w:tcPr>
            <w:tcW w:w="320" w:type="dxa"/>
            <w:vAlign w:val="bottom"/>
          </w:tcPr>
          <w:p>
            <w:pPr>
              <w:spacing w:after="0"/>
              <w:rPr>
                <w:sz w:val="22"/>
                <w:szCs w:val="22"/>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399,800</w:t>
            </w:r>
          </w:p>
        </w:tc>
        <w:tc>
          <w:tcPr>
            <w:tcW w:w="0" w:type="dxa"/>
            <w:vAlign w:val="bottom"/>
          </w:tcPr>
          <w:p>
            <w:pPr>
              <w:spacing w:after="0"/>
              <w:rPr>
                <w:sz w:val="1"/>
                <w:szCs w:val="1"/>
                <w:color w:val="auto"/>
              </w:rPr>
            </w:pPr>
          </w:p>
        </w:tc>
      </w:tr>
      <w:tr>
        <w:trPr>
          <w:trHeight w:val="274"/>
        </w:trPr>
        <w:tc>
          <w:tcPr>
            <w:tcW w:w="9020" w:type="dxa"/>
            <w:vAlign w:val="bottom"/>
          </w:tcPr>
          <w:p>
            <w:pPr>
              <w:ind w:left="40"/>
              <w:spacing w:after="0"/>
              <w:rPr>
                <w:sz w:val="20"/>
                <w:szCs w:val="20"/>
                <w:color w:val="auto"/>
              </w:rPr>
            </w:pPr>
            <w:r>
              <w:rPr>
                <w:rFonts w:ascii="Arial" w:cs="Arial" w:eastAsia="Arial" w:hAnsi="Arial"/>
                <w:sz w:val="16"/>
                <w:szCs w:val="16"/>
                <w:color w:val="auto"/>
              </w:rPr>
              <w:t>Less: current portion</w:t>
            </w:r>
          </w:p>
        </w:tc>
        <w:tc>
          <w:tcPr>
            <w:tcW w:w="28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(6,128)</w:t>
            </w:r>
          </w:p>
        </w:tc>
        <w:tc>
          <w:tcPr>
            <w:tcW w:w="32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7"/>
        </w:trPr>
        <w:tc>
          <w:tcPr>
            <w:tcW w:w="9020" w:type="dxa"/>
            <w:vAlign w:val="bottom"/>
          </w:tcPr>
          <w:p>
            <w:pPr>
              <w:ind w:left="40"/>
              <w:spacing w:after="0"/>
              <w:rPr>
                <w:sz w:val="20"/>
                <w:szCs w:val="20"/>
                <w:color w:val="auto"/>
              </w:rPr>
            </w:pPr>
            <w:r>
              <w:rPr>
                <w:rFonts w:ascii="Arial" w:cs="Arial" w:eastAsia="Arial" w:hAnsi="Arial"/>
                <w:sz w:val="16"/>
                <w:szCs w:val="16"/>
                <w:b w:val="1"/>
                <w:bCs w:val="1"/>
                <w:color w:val="auto"/>
              </w:rPr>
              <w:t>Total Long-Term Debt</w:t>
            </w: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rPr>
              <w:t>485,719</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399,800</w:t>
            </w:r>
          </w:p>
        </w:tc>
        <w:tc>
          <w:tcPr>
            <w:tcW w:w="0" w:type="dxa"/>
            <w:vAlign w:val="bottom"/>
          </w:tcPr>
          <w:p>
            <w:pPr>
              <w:spacing w:after="0"/>
              <w:rPr>
                <w:sz w:val="1"/>
                <w:szCs w:val="1"/>
                <w:color w:val="auto"/>
              </w:rPr>
            </w:pPr>
          </w:p>
        </w:tc>
      </w:tr>
      <w:tr>
        <w:trPr>
          <w:trHeight w:val="20"/>
        </w:trPr>
        <w:tc>
          <w:tcPr>
            <w:tcW w:w="9020" w:type="dxa"/>
            <w:vAlign w:val="bottom"/>
            <w:vMerge w:val="restart"/>
          </w:tcPr>
          <w:p>
            <w:pPr>
              <w:spacing w:after="0"/>
              <w:rPr>
                <w:sz w:val="20"/>
                <w:szCs w:val="20"/>
                <w:color w:val="auto"/>
              </w:rPr>
            </w:pPr>
            <w:r>
              <w:rPr>
                <w:rFonts w:ascii="Arial" w:cs="Arial" w:eastAsia="Arial" w:hAnsi="Arial"/>
                <w:sz w:val="11"/>
                <w:szCs w:val="11"/>
                <w:color w:val="auto"/>
              </w:rPr>
              <w:t>____________</w:t>
            </w: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902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74" w:lineRule="exact"/>
        <w:rPr>
          <w:sz w:val="20"/>
          <w:szCs w:val="20"/>
          <w:color w:val="auto"/>
        </w:rPr>
      </w:pPr>
    </w:p>
    <w:p>
      <w:pPr>
        <w:ind w:left="260" w:hanging="252"/>
        <w:spacing w:after="0"/>
        <w:tabs>
          <w:tab w:leader="none" w:pos="260" w:val="left"/>
        </w:tabs>
        <w:numPr>
          <w:ilvl w:val="0"/>
          <w:numId w:val="66"/>
        </w:numPr>
        <w:rPr>
          <w:rFonts w:ascii="Arial" w:cs="Arial" w:eastAsia="Arial" w:hAnsi="Arial"/>
          <w:sz w:val="13"/>
          <w:szCs w:val="13"/>
          <w:color w:val="auto"/>
        </w:rPr>
      </w:pPr>
      <w:r>
        <w:rPr>
          <w:rFonts w:ascii="Arial" w:cs="Arial" w:eastAsia="Arial" w:hAnsi="Arial"/>
          <w:sz w:val="13"/>
          <w:szCs w:val="13"/>
          <w:color w:val="auto"/>
        </w:rPr>
        <w:t>The carrying value is net of $0.1 million of unamortized debt issuance costs as of December 31, 2016 and 2015, respectively.</w:t>
      </w:r>
    </w:p>
    <w:p>
      <w:pPr>
        <w:spacing w:after="0" w:line="39" w:lineRule="exact"/>
        <w:rPr>
          <w:rFonts w:ascii="Arial" w:cs="Arial" w:eastAsia="Arial" w:hAnsi="Arial"/>
          <w:sz w:val="13"/>
          <w:szCs w:val="13"/>
          <w:color w:val="auto"/>
        </w:rPr>
      </w:pPr>
    </w:p>
    <w:p>
      <w:pPr>
        <w:ind w:left="260" w:hanging="252"/>
        <w:spacing w:after="0"/>
        <w:tabs>
          <w:tab w:leader="none" w:pos="260" w:val="left"/>
        </w:tabs>
        <w:numPr>
          <w:ilvl w:val="0"/>
          <w:numId w:val="66"/>
        </w:numPr>
        <w:rPr>
          <w:rFonts w:ascii="Arial" w:cs="Arial" w:eastAsia="Arial" w:hAnsi="Arial"/>
          <w:sz w:val="13"/>
          <w:szCs w:val="13"/>
          <w:color w:val="auto"/>
        </w:rPr>
      </w:pPr>
      <w:r>
        <w:rPr>
          <w:rFonts w:ascii="Arial" w:cs="Arial" w:eastAsia="Arial" w:hAnsi="Arial"/>
          <w:sz w:val="13"/>
          <w:szCs w:val="13"/>
          <w:color w:val="auto"/>
        </w:rPr>
        <w:t>The carrying value is net of $0.5 million of unamortized debt issuance costs as of December 31, 2016.</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The Company did not borrow funds under its USD revolving credit facility in 2016 or 2015. The Company’s other indebtedness at December 31, 2016, is at interest rates of 2% to 6% and matures between 2019 and 2025. The Company's other indebtedness at December 31, 2015, is at an interest rate of 6% and matures in 2019.</w:t>
      </w:r>
    </w:p>
    <w:p>
      <w:pPr>
        <w:spacing w:after="0" w:line="20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On July 14, 2016, Kaplan entered into a credit agreement (the Kaplan Credit Agreement) among Kaplan International Holdings Limited, as borrower, the lenders party thereto, HSBC BANK PLC as Facility Agent, and other agents party thereto. The Kaplan Credit Agreement provides for a four-year credit facility in an aggregate principal amount of £75 million. Borrowings bear interest at a rate per annum of LIBOR plus an applicable interest rate margin between 1.25% and 1.75%, in each case determined on a quarterly basis by reference to a pricing grid based upon the Company's total leverage ratio. The Kaplan Credit Agreement requires that 6.66% of the amount of the loan be repaid on the first three anniversaries of funding, with the remaining balance due on July 1, 2020. The Kaplan Credit Agreement contains terms and conditions, including remedies in the event of a default by the Company, typical of facilities of this type and requires the Company to maintain a leverage ratio of not greater than 3.5 to 1.0 and a consolidated interest coverage ratio of at least 3.5 to 1.0 based upon the ratio of consolidated adjusted EBITDA to consolidated interest expense as determined pursuant to the Kaplan Credit Agreement. As of December 31, 2016, the Company is in compliance with all financial covenants.</w:t>
      </w:r>
    </w:p>
    <w:p>
      <w:pPr>
        <w:spacing w:after="0" w:line="124" w:lineRule="exact"/>
        <w:rPr>
          <w:sz w:val="20"/>
          <w:szCs w:val="20"/>
          <w:color w:val="auto"/>
        </w:rPr>
      </w:pPr>
    </w:p>
    <w:p>
      <w:pPr>
        <w:ind w:right="40"/>
        <w:spacing w:after="0" w:line="271" w:lineRule="auto"/>
        <w:rPr>
          <w:sz w:val="20"/>
          <w:szCs w:val="20"/>
          <w:color w:val="auto"/>
        </w:rPr>
      </w:pPr>
      <w:r>
        <w:rPr>
          <w:rFonts w:ascii="Arial" w:cs="Arial" w:eastAsia="Arial" w:hAnsi="Arial"/>
          <w:sz w:val="18"/>
          <w:szCs w:val="18"/>
          <w:color w:val="auto"/>
        </w:rPr>
        <w:t>On July 25, 2016, Kaplan borrowed £75 million under the Kaplan Credit Agreement. On the same date, Kaplan entered into an interest rate swap agreement with a total notional value of £75 million and a maturity date of July 1, 2020. The interest rate swap agreement will pay Kaplan variable interest on the £75 million notional amount at the</w:t>
      </w:r>
    </w:p>
    <w:p>
      <w:pPr>
        <w:sectPr>
          <w:pgSz w:w="11900" w:h="16838" w:orient="portrait"/>
          <w:cols w:equalWidth="0" w:num="1">
            <w:col w:w="11420"/>
          </w:cols>
          <w:pgMar w:left="240" w:top="724" w:right="239" w:bottom="1440" w:gutter="0" w:footer="0" w:header="0"/>
          <w:type w:val="continuous"/>
        </w:sectPr>
      </w:pP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87</w:t>
      </w:r>
    </w:p>
    <w:p>
      <w:pPr>
        <w:sectPr>
          <w:pgSz w:w="11900" w:h="16838" w:orient="portrait"/>
          <w:cols w:equalWidth="0" w:num="1">
            <w:col w:w="11420"/>
          </w:cols>
          <w:pgMar w:left="240" w:top="724" w:right="239" w:bottom="1440" w:gutter="0" w:footer="0" w:header="0"/>
          <w:type w:val="continuous"/>
        </w:sectPr>
      </w:pPr>
    </w:p>
    <w:bookmarkStart w:id="90" w:name="page91"/>
    <w:bookmarkEnd w:id="90"/>
    <w:p>
      <w:pPr>
        <w:ind w:right="20"/>
        <w:spacing w:after="0" w:line="257" w:lineRule="auto"/>
        <w:rPr>
          <w:sz w:val="20"/>
          <w:szCs w:val="20"/>
          <w:color w:val="auto"/>
        </w:rPr>
      </w:pPr>
      <w:r>
        <w:rPr>
          <w:rFonts w:ascii="Arial" w:cs="Arial" w:eastAsia="Arial" w:hAnsi="Arial"/>
          <w:sz w:val="18"/>
          <w:szCs w:val="18"/>
          <w:color w:val="auto"/>
        </w:rPr>
        <w:t>three-month LIBOR, and Kaplan will pay the counterparties a fixed rate of 0.51%, effectively resulting in a total fixed interest rate of 2.01% on the outstanding borrowings at the current applicable margin of 1.50%. The interest rate swap agreement was entered into to convert the variable rate British pound borrowing under the Kaplan Credit Agreement into a fixed rate borrowing. The Company provided a guarantee on any borrowings under the Kaplan Credit Agreement. Based on the terms of the interest rate swap agreement and the underlying borrowing, the interest rate swap agreement was determined to be effective and thus qualifies as a cash flow hedge. As such, changes in the fair value of the interest rate swap are recorded in other comprehensive income on the accompanying Condensed Consolidated Balance Sheets until earnings are affected by the variability of cash flows.</w:t>
      </w:r>
    </w:p>
    <w:p>
      <w:pPr>
        <w:spacing w:after="0" w:line="29" w:lineRule="exact"/>
        <w:rPr>
          <w:sz w:val="20"/>
          <w:szCs w:val="20"/>
          <w:color w:val="auto"/>
        </w:rPr>
      </w:pPr>
    </w:p>
    <w:p>
      <w:pPr>
        <w:ind w:right="40"/>
        <w:spacing w:after="0" w:line="231" w:lineRule="auto"/>
        <w:rPr>
          <w:sz w:val="20"/>
          <w:szCs w:val="20"/>
          <w:color w:val="auto"/>
        </w:rPr>
      </w:pPr>
      <w:r>
        <w:rPr>
          <w:rFonts w:ascii="Arial" w:cs="Arial" w:eastAsia="Arial" w:hAnsi="Arial"/>
          <w:sz w:val="18"/>
          <w:szCs w:val="18"/>
          <w:color w:val="auto"/>
        </w:rPr>
        <w:t>In January 2009, the Company issued $400 million in unsecured ten-year fixed-rate notes due February 1, 2019 (the Notes). The Notes have a coupon rate of 7.25% per annum, payable semiannually on February 1 and August 1. Under the terms of the Notes, unless the Company has exercised its right to redeem the Notes, the Company is required to offer to repurchase the Notes in cash at 101% of the principal amount, plus accrued and unpaid interest, upon the occurrence of both a Change of Control and Below Investment Grade Rating Events as described in the Prospectus Supplement of January 27, 2009.</w:t>
      </w:r>
    </w:p>
    <w:p>
      <w:pPr>
        <w:spacing w:after="0" w:line="111" w:lineRule="exact"/>
        <w:rPr>
          <w:sz w:val="20"/>
          <w:szCs w:val="20"/>
          <w:color w:val="auto"/>
        </w:rPr>
      </w:pPr>
    </w:p>
    <w:p>
      <w:pPr>
        <w:ind w:right="140"/>
        <w:spacing w:after="0" w:line="260" w:lineRule="auto"/>
        <w:rPr>
          <w:sz w:val="20"/>
          <w:szCs w:val="20"/>
          <w:color w:val="auto"/>
        </w:rPr>
      </w:pPr>
      <w:r>
        <w:rPr>
          <w:rFonts w:ascii="Arial" w:cs="Arial" w:eastAsia="Arial" w:hAnsi="Arial"/>
          <w:sz w:val="18"/>
          <w:szCs w:val="18"/>
          <w:color w:val="auto"/>
        </w:rPr>
        <w:t>In June 2015, Cable ONE issued $550 million in debt. With the Cable ONE spin-off effective on July 1, 2015, the Cable ONE debt is no longer an obligation of the Company.</w:t>
      </w:r>
    </w:p>
    <w:p>
      <w:pPr>
        <w:spacing w:after="0" w:line="92" w:lineRule="exact"/>
        <w:rPr>
          <w:sz w:val="20"/>
          <w:szCs w:val="20"/>
          <w:color w:val="auto"/>
        </w:rPr>
      </w:pPr>
    </w:p>
    <w:p>
      <w:pPr>
        <w:spacing w:after="0" w:line="223" w:lineRule="auto"/>
        <w:rPr>
          <w:sz w:val="20"/>
          <w:szCs w:val="20"/>
          <w:color w:val="auto"/>
        </w:rPr>
      </w:pPr>
      <w:r>
        <w:rPr>
          <w:rFonts w:ascii="Arial" w:cs="Arial" w:eastAsia="Arial" w:hAnsi="Arial"/>
          <w:sz w:val="18"/>
          <w:szCs w:val="18"/>
          <w:color w:val="auto"/>
        </w:rPr>
        <w:t>On June 17, 2015, the Company terminated its U.S. $450 million, AUD 50 million four-year revolving credit facility dated June 17, 2011. No borrowings were outstanding under the 2011 Credit Agreement at the time of termination. On June 29, 2015, the Company entered into a credit agreement (the Credit Agreement) providing for a U.S. $200 million five-year revolving credit facility (the Facility) with each of the lenders party thereto, Wells Fargo Bank, National Association as Administrative Agent (Wells Fargo), JPMorgan Chase Bank, N.A., as Syndication Agent, and HSBC Bank USA, National Association, as Documentation Agent (the Credit Agreement). The Company is required to pay a commitment fee on a quarterly basis, based on the Company’s leverage ratio, of between 0.15% and 0.25% of the amount of the Facility. Any borrowings are made on an unsecured basis and bear interest at the Company’s option, either at (a) a fluctuating interest rate equal to the highest of Wells Fargo’s prime rate, 0.50 percent above the Federal funds rate or the one-month Eurodollar rate plus 1%, or (b) the Eurodollar rate for the applicable interest period as defined in the Credit Agreement, which is generally a periodic rate equal to LIBOR, in each case plus an applicable margin that depends on the Company’s consolidated debt to consolidated adjusted EBITDA (as determined pursuant to the Credit Agreement, “leverage ratio”). The Company may draw on the Facility for general corporate purposes. The Facility will expire on July 1, 2020, unless the Company and the banks agree to extend the term. Any outstanding borrowings must be repaid on or prior to the final termination date. The Credit Agreement contains terms and conditions, including remedies in the event of a default by the Company, typical of facilities of this type and requires the Company to maintain a leverage ratio of not greater than 3.5 to 1.0 and a consolidated interest coverage ratio of at least 3.5 to 1.0 based upon the ratio of consolidated adjusted EBITDA to consolidated interest expense as determined pursuant to the Credit Agreement. As of December 31, 2016, the Company is in compliance with all financial covenants.</w:t>
      </w:r>
    </w:p>
    <w:p>
      <w:pPr>
        <w:spacing w:after="0" w:line="110"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On September 7, 2011, the Company borrowed AUD 50 million under its revolving credit facility. On the same date, the Company entered into interest rate swap agreements with a total notional value of AUD 50 million and a maturity date of March 7, 2015. These interest rate swap agreements paid the Company variable interest on the AUD 50 million notional amount at the three-month bank bill rate, and the Company paid the counterparties a fixed rate of 4.5275%. These interest rate swap agreements were entered into to convert the variable rate Australian dollar borrowing under the revolving credit facility into a fixed-rate borrowing. Based on the terms of the interest rate swap agreements and the underlying borrowing, these interest rate swap agreements were determined to be effective and thus qualified as a cash flow hedge. As such, any changes in the fair value of these interest rate swaps were recorded in other comprehensive income on the Consolidated Balance Sheets until earnings were affected by the variability of cash flows. On March 9, 2015, the Company repaid the AUD 50 million borrowed under its revolving credit facility. On the same day, the AUD 50 million interest rate swap agreements matured.</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color w:val="auto"/>
        </w:rPr>
        <w:t>During 2016 and 2015, the Company had average borrowings outstanding of approximately $443.9 million and $428.0 million, respectively, at</w:t>
      </w:r>
    </w:p>
    <w:p>
      <w:pPr>
        <w:spacing w:after="0" w:line="223" w:lineRule="auto"/>
        <w:rPr>
          <w:sz w:val="20"/>
          <w:szCs w:val="20"/>
          <w:color w:val="auto"/>
        </w:rPr>
      </w:pPr>
      <w:r>
        <w:rPr>
          <w:rFonts w:ascii="Arial" w:cs="Arial" w:eastAsia="Arial" w:hAnsi="Arial"/>
          <w:sz w:val="18"/>
          <w:szCs w:val="18"/>
          <w:color w:val="auto"/>
        </w:rPr>
        <w:t>average annual interest rates of approximately 6.7% and 7.1%, respectively. The Company incurred net interest expense of $32.3 million,</w:t>
      </w:r>
    </w:p>
    <w:p>
      <w:pPr>
        <w:spacing w:after="0" w:line="220" w:lineRule="auto"/>
        <w:rPr>
          <w:sz w:val="20"/>
          <w:szCs w:val="20"/>
          <w:color w:val="auto"/>
        </w:rPr>
      </w:pPr>
      <w:r>
        <w:rPr>
          <w:rFonts w:ascii="Arial" w:cs="Arial" w:eastAsia="Arial" w:hAnsi="Arial"/>
          <w:sz w:val="18"/>
          <w:szCs w:val="18"/>
          <w:color w:val="auto"/>
        </w:rPr>
        <w:t>$30.7 million and $33.4 million during 2016, 2015 and 2014, respectively. Included in interest expense for the year ended December 31, 2016,</w:t>
      </w:r>
    </w:p>
    <w:p>
      <w:pPr>
        <w:spacing w:after="0" w:line="219" w:lineRule="auto"/>
        <w:rPr>
          <w:sz w:val="20"/>
          <w:szCs w:val="20"/>
          <w:color w:val="auto"/>
        </w:rPr>
      </w:pPr>
      <w:r>
        <w:rPr>
          <w:rFonts w:ascii="Arial" w:cs="Arial" w:eastAsia="Arial" w:hAnsi="Arial"/>
          <w:sz w:val="18"/>
          <w:szCs w:val="18"/>
          <w:color w:val="auto"/>
        </w:rPr>
        <w:t>is a $2.7 million charge to adjust the fair value of the Company's mandatorily redeemable noncontrolling interest (see Note 7). The fair value of</w:t>
      </w:r>
    </w:p>
    <w:p>
      <w:pPr>
        <w:spacing w:after="0" w:line="219" w:lineRule="auto"/>
        <w:rPr>
          <w:sz w:val="20"/>
          <w:szCs w:val="20"/>
          <w:color w:val="auto"/>
        </w:rPr>
      </w:pPr>
      <w:r>
        <w:rPr>
          <w:rFonts w:ascii="Arial" w:cs="Arial" w:eastAsia="Arial" w:hAnsi="Arial"/>
          <w:sz w:val="18"/>
          <w:szCs w:val="18"/>
          <w:color w:val="auto"/>
        </w:rPr>
        <w:t>the mandatorily redeemable noncontrolling interest is based on an EBITDA multiple, adjusted for working capital and other items, which</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approximates fair value (Level 3 fair value assessment).</w:t>
      </w:r>
    </w:p>
    <w:p>
      <w:pPr>
        <w:spacing w:after="0" w:line="122" w:lineRule="exact"/>
        <w:rPr>
          <w:sz w:val="20"/>
          <w:szCs w:val="20"/>
          <w:color w:val="auto"/>
        </w:rPr>
      </w:pPr>
    </w:p>
    <w:p>
      <w:pPr>
        <w:jc w:val="both"/>
        <w:ind w:right="180"/>
        <w:spacing w:after="0"/>
        <w:rPr>
          <w:sz w:val="20"/>
          <w:szCs w:val="20"/>
          <w:color w:val="auto"/>
        </w:rPr>
      </w:pPr>
      <w:r>
        <w:rPr>
          <w:rFonts w:ascii="Arial" w:cs="Arial" w:eastAsia="Arial" w:hAnsi="Arial"/>
          <w:sz w:val="18"/>
          <w:szCs w:val="18"/>
          <w:color w:val="auto"/>
        </w:rPr>
        <w:t>At December 31, 2016 and 2015, the fair value of the Company’s 7.25% unsecured notes, based on quoted market prices (Level 2 fair value assessment), totaled $438.7 million and $436.6 million, respectively, compared with the carrying amount of $399.1 million and $398.6 million. The carrying value of the Company’s other unsecured debt at December 31, 2016, approximates fair value.</w:t>
      </w: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00"/>
          </w:cols>
          <w:pgMar w:left="240" w:top="819" w:right="259" w:bottom="1440" w:gutter="0" w:footer="0" w:header="0"/>
        </w:sectPr>
      </w:pPr>
    </w:p>
    <w:bookmarkStart w:id="91" w:name="page92"/>
    <w:bookmarkEnd w:id="91"/>
    <w:p>
      <w:pPr>
        <w:ind w:left="500" w:hanging="492"/>
        <w:spacing w:after="0"/>
        <w:tabs>
          <w:tab w:leader="none" w:pos="500" w:val="left"/>
        </w:tabs>
        <w:numPr>
          <w:ilvl w:val="0"/>
          <w:numId w:val="67"/>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The Company’s financial assets and liabilities measured at fair value on a recurring basis were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5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180" w:type="dxa"/>
            <w:vAlign w:val="bottom"/>
            <w:tcBorders>
              <w:bottom w:val="single" w:sz="8" w:color="auto"/>
            </w:tcBorders>
            <w:gridSpan w:val="3"/>
          </w:tcPr>
          <w:p>
            <w:pPr>
              <w:ind w:left="120"/>
              <w:spacing w:after="0"/>
              <w:rPr>
                <w:sz w:val="20"/>
                <w:szCs w:val="20"/>
                <w:color w:val="auto"/>
              </w:rPr>
            </w:pPr>
            <w:r>
              <w:rPr>
                <w:rFonts w:ascii="Arial" w:cs="Arial" w:eastAsia="Arial" w:hAnsi="Arial"/>
                <w:sz w:val="14"/>
                <w:szCs w:val="14"/>
                <w:b w:val="1"/>
                <w:bCs w:val="1"/>
                <w:color w:val="auto"/>
              </w:rPr>
              <w:t>As of December 31, 2016</w:t>
            </w:r>
          </w:p>
        </w:tc>
        <w:tc>
          <w:tcPr>
            <w:tcW w:w="3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65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Level 1</w:t>
            </w:r>
          </w:p>
        </w:tc>
        <w:tc>
          <w:tcPr>
            <w:tcW w:w="2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Level 2</w:t>
            </w:r>
          </w:p>
        </w:tc>
        <w:tc>
          <w:tcPr>
            <w:tcW w:w="3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center"/>
              <w:ind w:right="160"/>
              <w:spacing w:after="0"/>
              <w:rPr>
                <w:sz w:val="20"/>
                <w:szCs w:val="20"/>
                <w:color w:val="auto"/>
              </w:rPr>
            </w:pPr>
            <w:r>
              <w:rPr>
                <w:rFonts w:ascii="Arial" w:cs="Arial" w:eastAsia="Arial" w:hAnsi="Arial"/>
                <w:sz w:val="14"/>
                <w:szCs w:val="14"/>
                <w:b w:val="1"/>
                <w:bCs w:val="1"/>
                <w:color w:val="auto"/>
              </w:rPr>
              <w:t>Level 3</w:t>
            </w:r>
          </w:p>
        </w:tc>
        <w:tc>
          <w:tcPr>
            <w:tcW w:w="3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7"/>
        </w:trPr>
        <w:tc>
          <w:tcPr>
            <w:tcW w:w="6520" w:type="dxa"/>
            <w:vAlign w:val="bottom"/>
          </w:tcPr>
          <w:p>
            <w:pPr>
              <w:ind w:left="40"/>
              <w:spacing w:after="0"/>
              <w:rPr>
                <w:sz w:val="20"/>
                <w:szCs w:val="20"/>
                <w:color w:val="auto"/>
              </w:rPr>
            </w:pPr>
            <w:r>
              <w:rPr>
                <w:rFonts w:ascii="Arial" w:cs="Arial" w:eastAsia="Arial" w:hAnsi="Arial"/>
                <w:sz w:val="16"/>
                <w:szCs w:val="16"/>
                <w:b w:val="1"/>
                <w:bCs w:val="1"/>
                <w:color w:val="auto"/>
              </w:rPr>
              <w:t>Assets</w:t>
            </w:r>
          </w:p>
        </w:tc>
        <w:tc>
          <w:tcPr>
            <w:tcW w:w="2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12"/>
        </w:trPr>
        <w:tc>
          <w:tcPr>
            <w:tcW w:w="6520" w:type="dxa"/>
            <w:vAlign w:val="bottom"/>
          </w:tcPr>
          <w:p>
            <w:pPr>
              <w:ind w:left="40"/>
              <w:spacing w:after="0"/>
              <w:rPr>
                <w:sz w:val="20"/>
                <w:szCs w:val="20"/>
                <w:color w:val="auto"/>
              </w:rPr>
            </w:pPr>
            <w:r>
              <w:rPr>
                <w:rFonts w:ascii="Arial" w:cs="Arial" w:eastAsia="Arial" w:hAnsi="Arial"/>
                <w:sz w:val="16"/>
                <w:szCs w:val="16"/>
                <w:b w:val="1"/>
                <w:bCs w:val="1"/>
                <w:color w:val="auto"/>
              </w:rPr>
              <w:t>Money market investments</w:t>
            </w:r>
            <w:r>
              <w:rPr>
                <w:rFonts w:ascii="Arial" w:cs="Arial" w:eastAsia="Arial" w:hAnsi="Arial"/>
                <w:sz w:val="21"/>
                <w:szCs w:val="21"/>
                <w:b w:val="1"/>
                <w:bCs w:val="1"/>
                <w:color w:val="auto"/>
                <w:vertAlign w:val="superscript"/>
              </w:rPr>
              <w:t>(1)</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1040" w:type="dxa"/>
            <w:vAlign w:val="bottom"/>
          </w:tcPr>
          <w:p>
            <w:pPr>
              <w:jc w:val="right"/>
              <w:ind w:right="120"/>
              <w:spacing w:after="0"/>
              <w:rPr>
                <w:sz w:val="20"/>
                <w:szCs w:val="20"/>
                <w:color w:val="auto"/>
              </w:rPr>
            </w:pPr>
            <w:r>
              <w:rPr>
                <w:rFonts w:ascii="Arial" w:cs="Arial" w:eastAsia="Arial" w:hAnsi="Arial"/>
                <w:sz w:val="16"/>
                <w:szCs w:val="16"/>
                <w:b w:val="1"/>
                <w:bCs w:val="1"/>
                <w:color w:val="auto"/>
              </w:rPr>
              <w:t>—</w:t>
            </w:r>
          </w:p>
        </w:tc>
        <w:tc>
          <w:tcPr>
            <w:tcW w:w="24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ind w:right="41"/>
              <w:spacing w:after="0"/>
              <w:rPr>
                <w:sz w:val="20"/>
                <w:szCs w:val="20"/>
                <w:color w:val="auto"/>
              </w:rPr>
            </w:pPr>
            <w:r>
              <w:rPr>
                <w:rFonts w:ascii="Arial" w:cs="Arial" w:eastAsia="Arial" w:hAnsi="Arial"/>
                <w:sz w:val="16"/>
                <w:szCs w:val="16"/>
                <w:b w:val="1"/>
                <w:bCs w:val="1"/>
                <w:color w:val="auto"/>
              </w:rPr>
              <w:t>435,258</w:t>
            </w:r>
          </w:p>
        </w:tc>
        <w:tc>
          <w:tcPr>
            <w:tcW w:w="3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60"/>
              <w:spacing w:after="0"/>
              <w:rPr>
                <w:sz w:val="20"/>
                <w:szCs w:val="20"/>
                <w:color w:val="auto"/>
              </w:rPr>
            </w:pPr>
            <w:r>
              <w:rPr>
                <w:rFonts w:ascii="Arial" w:cs="Arial" w:eastAsia="Arial" w:hAnsi="Arial"/>
                <w:sz w:val="16"/>
                <w:szCs w:val="16"/>
                <w:b w:val="1"/>
                <w:bCs w:val="1"/>
                <w:color w:val="auto"/>
              </w:rPr>
              <w:t>—</w:t>
            </w:r>
          </w:p>
        </w:tc>
        <w:tc>
          <w:tcPr>
            <w:tcW w:w="36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860" w:type="dxa"/>
            <w:vAlign w:val="bottom"/>
          </w:tcPr>
          <w:p>
            <w:pPr>
              <w:jc w:val="right"/>
              <w:ind w:right="20"/>
              <w:spacing w:after="0"/>
              <w:rPr>
                <w:sz w:val="20"/>
                <w:szCs w:val="20"/>
                <w:color w:val="auto"/>
              </w:rPr>
            </w:pPr>
            <w:r>
              <w:rPr>
                <w:rFonts w:ascii="Arial" w:cs="Arial" w:eastAsia="Arial" w:hAnsi="Arial"/>
                <w:sz w:val="16"/>
                <w:szCs w:val="16"/>
                <w:b w:val="1"/>
                <w:bCs w:val="1"/>
                <w:color w:val="auto"/>
              </w:rPr>
              <w:t>435,258</w:t>
            </w:r>
          </w:p>
        </w:tc>
        <w:tc>
          <w:tcPr>
            <w:tcW w:w="0" w:type="dxa"/>
            <w:vAlign w:val="bottom"/>
          </w:tcPr>
          <w:p>
            <w:pPr>
              <w:spacing w:after="0"/>
              <w:rPr>
                <w:sz w:val="1"/>
                <w:szCs w:val="1"/>
                <w:color w:val="auto"/>
              </w:rPr>
            </w:pPr>
          </w:p>
        </w:tc>
      </w:tr>
      <w:tr>
        <w:trPr>
          <w:trHeight w:val="270"/>
        </w:trPr>
        <w:tc>
          <w:tcPr>
            <w:tcW w:w="6520" w:type="dxa"/>
            <w:vAlign w:val="bottom"/>
          </w:tcPr>
          <w:p>
            <w:pPr>
              <w:ind w:left="40"/>
              <w:spacing w:after="0"/>
              <w:rPr>
                <w:sz w:val="20"/>
                <w:szCs w:val="20"/>
                <w:color w:val="auto"/>
              </w:rPr>
            </w:pPr>
            <w:r>
              <w:rPr>
                <w:rFonts w:ascii="Arial" w:cs="Arial" w:eastAsia="Arial" w:hAnsi="Arial"/>
                <w:sz w:val="16"/>
                <w:szCs w:val="16"/>
                <w:b w:val="1"/>
                <w:bCs w:val="1"/>
                <w:color w:val="auto"/>
              </w:rPr>
              <w:t>Commercial paper</w:t>
            </w:r>
            <w:r>
              <w:rPr>
                <w:rFonts w:ascii="Arial" w:cs="Arial" w:eastAsia="Arial" w:hAnsi="Arial"/>
                <w:sz w:val="21"/>
                <w:szCs w:val="21"/>
                <w:b w:val="1"/>
                <w:bCs w:val="1"/>
                <w:color w:val="auto"/>
                <w:vertAlign w:val="superscript"/>
              </w:rPr>
              <w:t>(2)</w:t>
            </w:r>
          </w:p>
        </w:tc>
        <w:tc>
          <w:tcPr>
            <w:tcW w:w="220" w:type="dxa"/>
            <w:vAlign w:val="bottom"/>
          </w:tcPr>
          <w:p>
            <w:pPr>
              <w:spacing w:after="0"/>
              <w:rPr>
                <w:sz w:val="23"/>
                <w:szCs w:val="23"/>
                <w:color w:val="auto"/>
              </w:rPr>
            </w:pPr>
          </w:p>
        </w:tc>
        <w:tc>
          <w:tcPr>
            <w:tcW w:w="1040" w:type="dxa"/>
            <w:vAlign w:val="bottom"/>
          </w:tcPr>
          <w:p>
            <w:pPr>
              <w:jc w:val="right"/>
              <w:ind w:right="120"/>
              <w:spacing w:after="0"/>
              <w:rPr>
                <w:sz w:val="20"/>
                <w:szCs w:val="20"/>
                <w:color w:val="auto"/>
              </w:rPr>
            </w:pPr>
            <w:r>
              <w:rPr>
                <w:rFonts w:ascii="Arial" w:cs="Arial" w:eastAsia="Arial" w:hAnsi="Arial"/>
                <w:sz w:val="16"/>
                <w:szCs w:val="16"/>
                <w:b w:val="1"/>
                <w:bCs w:val="1"/>
                <w:color w:val="auto"/>
              </w:rPr>
              <w:t>49,882</w:t>
            </w:r>
          </w:p>
        </w:tc>
        <w:tc>
          <w:tcPr>
            <w:tcW w:w="240" w:type="dxa"/>
            <w:vAlign w:val="bottom"/>
          </w:tcPr>
          <w:p>
            <w:pPr>
              <w:spacing w:after="0"/>
              <w:rPr>
                <w:sz w:val="23"/>
                <w:szCs w:val="23"/>
                <w:color w:val="auto"/>
              </w:rPr>
            </w:pPr>
          </w:p>
        </w:tc>
        <w:tc>
          <w:tcPr>
            <w:tcW w:w="920" w:type="dxa"/>
            <w:vAlign w:val="bottom"/>
          </w:tcPr>
          <w:p>
            <w:pPr>
              <w:jc w:val="right"/>
              <w:ind w:right="41"/>
              <w:spacing w:after="0"/>
              <w:rPr>
                <w:sz w:val="20"/>
                <w:szCs w:val="20"/>
                <w:color w:val="auto"/>
              </w:rPr>
            </w:pPr>
            <w:r>
              <w:rPr>
                <w:rFonts w:ascii="Arial" w:cs="Arial" w:eastAsia="Arial" w:hAnsi="Arial"/>
                <w:sz w:val="16"/>
                <w:szCs w:val="16"/>
                <w:b w:val="1"/>
                <w:bCs w:val="1"/>
                <w:color w:val="auto"/>
              </w:rPr>
              <w:t>—</w:t>
            </w:r>
          </w:p>
        </w:tc>
        <w:tc>
          <w:tcPr>
            <w:tcW w:w="320" w:type="dxa"/>
            <w:vAlign w:val="bottom"/>
          </w:tcPr>
          <w:p>
            <w:pPr>
              <w:spacing w:after="0"/>
              <w:rPr>
                <w:sz w:val="23"/>
                <w:szCs w:val="23"/>
                <w:color w:val="auto"/>
              </w:rPr>
            </w:pPr>
          </w:p>
        </w:tc>
        <w:tc>
          <w:tcPr>
            <w:tcW w:w="940" w:type="dxa"/>
            <w:vAlign w:val="bottom"/>
          </w:tcPr>
          <w:p>
            <w:pPr>
              <w:jc w:val="right"/>
              <w:ind w:right="60"/>
              <w:spacing w:after="0"/>
              <w:rPr>
                <w:sz w:val="20"/>
                <w:szCs w:val="20"/>
                <w:color w:val="auto"/>
              </w:rPr>
            </w:pPr>
            <w:r>
              <w:rPr>
                <w:rFonts w:ascii="Arial" w:cs="Arial" w:eastAsia="Arial" w:hAnsi="Arial"/>
                <w:sz w:val="16"/>
                <w:szCs w:val="16"/>
                <w:b w:val="1"/>
                <w:bCs w:val="1"/>
                <w:color w:val="auto"/>
              </w:rPr>
              <w:t>—</w:t>
            </w:r>
          </w:p>
        </w:tc>
        <w:tc>
          <w:tcPr>
            <w:tcW w:w="360" w:type="dxa"/>
            <w:vAlign w:val="bottom"/>
          </w:tcPr>
          <w:p>
            <w:pPr>
              <w:spacing w:after="0"/>
              <w:rPr>
                <w:sz w:val="23"/>
                <w:szCs w:val="23"/>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b w:val="1"/>
                <w:bCs w:val="1"/>
                <w:color w:val="auto"/>
              </w:rPr>
              <w:t>49,882</w:t>
            </w:r>
          </w:p>
        </w:tc>
        <w:tc>
          <w:tcPr>
            <w:tcW w:w="0" w:type="dxa"/>
            <w:vAlign w:val="bottom"/>
          </w:tcPr>
          <w:p>
            <w:pPr>
              <w:spacing w:after="0"/>
              <w:rPr>
                <w:sz w:val="1"/>
                <w:szCs w:val="1"/>
                <w:color w:val="auto"/>
              </w:rPr>
            </w:pPr>
          </w:p>
        </w:tc>
      </w:tr>
      <w:tr>
        <w:trPr>
          <w:trHeight w:val="270"/>
        </w:trPr>
        <w:tc>
          <w:tcPr>
            <w:tcW w:w="6520" w:type="dxa"/>
            <w:vAlign w:val="bottom"/>
          </w:tcPr>
          <w:p>
            <w:pPr>
              <w:ind w:left="40"/>
              <w:spacing w:after="0"/>
              <w:rPr>
                <w:sz w:val="20"/>
                <w:szCs w:val="20"/>
                <w:color w:val="auto"/>
              </w:rPr>
            </w:pPr>
            <w:r>
              <w:rPr>
                <w:rFonts w:ascii="Arial" w:cs="Arial" w:eastAsia="Arial" w:hAnsi="Arial"/>
                <w:sz w:val="16"/>
                <w:szCs w:val="16"/>
                <w:b w:val="1"/>
                <w:bCs w:val="1"/>
                <w:color w:val="auto"/>
              </w:rPr>
              <w:t>Marketable equity securities</w:t>
            </w:r>
            <w:r>
              <w:rPr>
                <w:rFonts w:ascii="Arial" w:cs="Arial" w:eastAsia="Arial" w:hAnsi="Arial"/>
                <w:sz w:val="21"/>
                <w:szCs w:val="21"/>
                <w:b w:val="1"/>
                <w:bCs w:val="1"/>
                <w:color w:val="auto"/>
                <w:vertAlign w:val="superscript"/>
              </w:rPr>
              <w:t>(3)</w:t>
            </w:r>
          </w:p>
        </w:tc>
        <w:tc>
          <w:tcPr>
            <w:tcW w:w="220" w:type="dxa"/>
            <w:vAlign w:val="bottom"/>
          </w:tcPr>
          <w:p>
            <w:pPr>
              <w:spacing w:after="0"/>
              <w:rPr>
                <w:sz w:val="23"/>
                <w:szCs w:val="23"/>
                <w:color w:val="auto"/>
              </w:rPr>
            </w:pPr>
          </w:p>
        </w:tc>
        <w:tc>
          <w:tcPr>
            <w:tcW w:w="1040" w:type="dxa"/>
            <w:vAlign w:val="bottom"/>
          </w:tcPr>
          <w:p>
            <w:pPr>
              <w:jc w:val="right"/>
              <w:ind w:right="120"/>
              <w:spacing w:after="0"/>
              <w:rPr>
                <w:sz w:val="20"/>
                <w:szCs w:val="20"/>
                <w:color w:val="auto"/>
              </w:rPr>
            </w:pPr>
            <w:r>
              <w:rPr>
                <w:rFonts w:ascii="Arial" w:cs="Arial" w:eastAsia="Arial" w:hAnsi="Arial"/>
                <w:sz w:val="16"/>
                <w:szCs w:val="16"/>
                <w:b w:val="1"/>
                <w:bCs w:val="1"/>
                <w:color w:val="auto"/>
              </w:rPr>
              <w:t>424,229</w:t>
            </w:r>
          </w:p>
        </w:tc>
        <w:tc>
          <w:tcPr>
            <w:tcW w:w="240" w:type="dxa"/>
            <w:vAlign w:val="bottom"/>
          </w:tcPr>
          <w:p>
            <w:pPr>
              <w:spacing w:after="0"/>
              <w:rPr>
                <w:sz w:val="23"/>
                <w:szCs w:val="23"/>
                <w:color w:val="auto"/>
              </w:rPr>
            </w:pPr>
          </w:p>
        </w:tc>
        <w:tc>
          <w:tcPr>
            <w:tcW w:w="920" w:type="dxa"/>
            <w:vAlign w:val="bottom"/>
          </w:tcPr>
          <w:p>
            <w:pPr>
              <w:jc w:val="right"/>
              <w:ind w:right="41"/>
              <w:spacing w:after="0"/>
              <w:rPr>
                <w:sz w:val="20"/>
                <w:szCs w:val="20"/>
                <w:color w:val="auto"/>
              </w:rPr>
            </w:pPr>
            <w:r>
              <w:rPr>
                <w:rFonts w:ascii="Arial" w:cs="Arial" w:eastAsia="Arial" w:hAnsi="Arial"/>
                <w:sz w:val="16"/>
                <w:szCs w:val="16"/>
                <w:b w:val="1"/>
                <w:bCs w:val="1"/>
                <w:color w:val="auto"/>
              </w:rPr>
              <w:t>—</w:t>
            </w:r>
          </w:p>
        </w:tc>
        <w:tc>
          <w:tcPr>
            <w:tcW w:w="320" w:type="dxa"/>
            <w:vAlign w:val="bottom"/>
          </w:tcPr>
          <w:p>
            <w:pPr>
              <w:spacing w:after="0"/>
              <w:rPr>
                <w:sz w:val="23"/>
                <w:szCs w:val="23"/>
                <w:color w:val="auto"/>
              </w:rPr>
            </w:pPr>
          </w:p>
        </w:tc>
        <w:tc>
          <w:tcPr>
            <w:tcW w:w="940" w:type="dxa"/>
            <w:vAlign w:val="bottom"/>
          </w:tcPr>
          <w:p>
            <w:pPr>
              <w:jc w:val="right"/>
              <w:ind w:right="60"/>
              <w:spacing w:after="0"/>
              <w:rPr>
                <w:sz w:val="20"/>
                <w:szCs w:val="20"/>
                <w:color w:val="auto"/>
              </w:rPr>
            </w:pPr>
            <w:r>
              <w:rPr>
                <w:rFonts w:ascii="Arial" w:cs="Arial" w:eastAsia="Arial" w:hAnsi="Arial"/>
                <w:sz w:val="16"/>
                <w:szCs w:val="16"/>
                <w:b w:val="1"/>
                <w:bCs w:val="1"/>
                <w:color w:val="auto"/>
              </w:rPr>
              <w:t>—</w:t>
            </w:r>
          </w:p>
        </w:tc>
        <w:tc>
          <w:tcPr>
            <w:tcW w:w="360" w:type="dxa"/>
            <w:vAlign w:val="bottom"/>
          </w:tcPr>
          <w:p>
            <w:pPr>
              <w:spacing w:after="0"/>
              <w:rPr>
                <w:sz w:val="23"/>
                <w:szCs w:val="23"/>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b w:val="1"/>
                <w:bCs w:val="1"/>
                <w:color w:val="auto"/>
              </w:rPr>
              <w:t>424,229</w:t>
            </w:r>
          </w:p>
        </w:tc>
        <w:tc>
          <w:tcPr>
            <w:tcW w:w="0" w:type="dxa"/>
            <w:vAlign w:val="bottom"/>
          </w:tcPr>
          <w:p>
            <w:pPr>
              <w:spacing w:after="0"/>
              <w:rPr>
                <w:sz w:val="1"/>
                <w:szCs w:val="1"/>
                <w:color w:val="auto"/>
              </w:rPr>
            </w:pPr>
          </w:p>
        </w:tc>
      </w:tr>
      <w:tr>
        <w:trPr>
          <w:trHeight w:val="236"/>
        </w:trPr>
        <w:tc>
          <w:tcPr>
            <w:tcW w:w="6520" w:type="dxa"/>
            <w:vAlign w:val="bottom"/>
          </w:tcPr>
          <w:p>
            <w:pPr>
              <w:ind w:left="40"/>
              <w:spacing w:after="0" w:line="236" w:lineRule="exact"/>
              <w:rPr>
                <w:sz w:val="20"/>
                <w:szCs w:val="20"/>
                <w:color w:val="auto"/>
              </w:rPr>
            </w:pPr>
            <w:r>
              <w:rPr>
                <w:rFonts w:ascii="Arial" w:cs="Arial" w:eastAsia="Arial" w:hAnsi="Arial"/>
                <w:sz w:val="16"/>
                <w:szCs w:val="16"/>
                <w:b w:val="1"/>
                <w:bCs w:val="1"/>
                <w:color w:val="auto"/>
              </w:rPr>
              <w:t>Other current investments</w:t>
            </w:r>
            <w:r>
              <w:rPr>
                <w:rFonts w:ascii="Arial" w:cs="Arial" w:eastAsia="Arial" w:hAnsi="Arial"/>
                <w:sz w:val="21"/>
                <w:szCs w:val="21"/>
                <w:b w:val="1"/>
                <w:bCs w:val="1"/>
                <w:color w:val="auto"/>
                <w:vertAlign w:val="superscript"/>
              </w:rPr>
              <w:t>(4)</w:t>
            </w: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b w:val="1"/>
                <w:bCs w:val="1"/>
                <w:color w:val="auto"/>
              </w:rPr>
              <w:t>6,957</w:t>
            </w: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17,055</w:t>
            </w:r>
          </w:p>
        </w:tc>
        <w:tc>
          <w:tcPr>
            <w:tcW w:w="3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w:t>
            </w:r>
          </w:p>
        </w:tc>
        <w:tc>
          <w:tcPr>
            <w:tcW w:w="3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24,012</w:t>
            </w:r>
          </w:p>
        </w:tc>
        <w:tc>
          <w:tcPr>
            <w:tcW w:w="0" w:type="dxa"/>
            <w:vAlign w:val="bottom"/>
          </w:tcPr>
          <w:p>
            <w:pPr>
              <w:spacing w:after="0"/>
              <w:rPr>
                <w:sz w:val="1"/>
                <w:szCs w:val="1"/>
                <w:color w:val="auto"/>
              </w:rPr>
            </w:pPr>
          </w:p>
        </w:tc>
      </w:tr>
      <w:tr>
        <w:trPr>
          <w:trHeight w:val="264"/>
        </w:trPr>
        <w:tc>
          <w:tcPr>
            <w:tcW w:w="6520" w:type="dxa"/>
            <w:vAlign w:val="bottom"/>
          </w:tcPr>
          <w:p>
            <w:pPr>
              <w:ind w:left="280"/>
              <w:spacing w:after="0"/>
              <w:rPr>
                <w:sz w:val="20"/>
                <w:szCs w:val="20"/>
                <w:color w:val="auto"/>
              </w:rPr>
            </w:pPr>
            <w:r>
              <w:rPr>
                <w:rFonts w:ascii="Arial" w:cs="Arial" w:eastAsia="Arial" w:hAnsi="Arial"/>
                <w:sz w:val="16"/>
                <w:szCs w:val="16"/>
                <w:b w:val="1"/>
                <w:bCs w:val="1"/>
                <w:color w:val="auto"/>
              </w:rPr>
              <w:t>Total Financial Assets</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104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b w:val="1"/>
                <w:bCs w:val="1"/>
                <w:color w:val="auto"/>
              </w:rPr>
              <w:t>481,068</w:t>
            </w:r>
          </w:p>
        </w:tc>
        <w:tc>
          <w:tcPr>
            <w:tcW w:w="2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452,313</w:t>
            </w:r>
          </w:p>
        </w:tc>
        <w:tc>
          <w:tcPr>
            <w:tcW w:w="3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w:t>
            </w:r>
          </w:p>
        </w:tc>
        <w:tc>
          <w:tcPr>
            <w:tcW w:w="3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8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933,381</w:t>
            </w:r>
          </w:p>
        </w:tc>
        <w:tc>
          <w:tcPr>
            <w:tcW w:w="0" w:type="dxa"/>
            <w:vAlign w:val="bottom"/>
          </w:tcPr>
          <w:p>
            <w:pPr>
              <w:spacing w:after="0"/>
              <w:rPr>
                <w:sz w:val="1"/>
                <w:szCs w:val="1"/>
                <w:color w:val="auto"/>
              </w:rPr>
            </w:pPr>
          </w:p>
        </w:tc>
      </w:tr>
      <w:tr>
        <w:trPr>
          <w:trHeight w:val="20"/>
        </w:trPr>
        <w:tc>
          <w:tcPr>
            <w:tcW w:w="652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Liabilities</w:t>
            </w: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6520" w:type="dxa"/>
            <w:vAlign w:val="bottom"/>
            <w:vMerge w:val="continue"/>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12"/>
        </w:trPr>
        <w:tc>
          <w:tcPr>
            <w:tcW w:w="6520" w:type="dxa"/>
            <w:vAlign w:val="bottom"/>
          </w:tcPr>
          <w:p>
            <w:pPr>
              <w:ind w:left="40"/>
              <w:spacing w:after="0"/>
              <w:rPr>
                <w:sz w:val="20"/>
                <w:szCs w:val="20"/>
                <w:color w:val="auto"/>
              </w:rPr>
            </w:pPr>
            <w:r>
              <w:rPr>
                <w:rFonts w:ascii="Arial" w:cs="Arial" w:eastAsia="Arial" w:hAnsi="Arial"/>
                <w:sz w:val="16"/>
                <w:szCs w:val="16"/>
                <w:b w:val="1"/>
                <w:bCs w:val="1"/>
                <w:color w:val="auto"/>
              </w:rPr>
              <w:t>Deferred compensation plan liabilities</w:t>
            </w:r>
            <w:r>
              <w:rPr>
                <w:rFonts w:ascii="Arial" w:cs="Arial" w:eastAsia="Arial" w:hAnsi="Arial"/>
                <w:sz w:val="21"/>
                <w:szCs w:val="21"/>
                <w:b w:val="1"/>
                <w:bCs w:val="1"/>
                <w:color w:val="auto"/>
                <w:vertAlign w:val="superscript"/>
              </w:rPr>
              <w:t>(5)</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1040" w:type="dxa"/>
            <w:vAlign w:val="bottom"/>
          </w:tcPr>
          <w:p>
            <w:pPr>
              <w:jc w:val="right"/>
              <w:ind w:right="120"/>
              <w:spacing w:after="0"/>
              <w:rPr>
                <w:sz w:val="20"/>
                <w:szCs w:val="20"/>
                <w:color w:val="auto"/>
              </w:rPr>
            </w:pPr>
            <w:r>
              <w:rPr>
                <w:rFonts w:ascii="Arial" w:cs="Arial" w:eastAsia="Arial" w:hAnsi="Arial"/>
                <w:sz w:val="16"/>
                <w:szCs w:val="16"/>
                <w:b w:val="1"/>
                <w:bCs w:val="1"/>
                <w:color w:val="auto"/>
              </w:rPr>
              <w:t>—</w:t>
            </w:r>
          </w:p>
        </w:tc>
        <w:tc>
          <w:tcPr>
            <w:tcW w:w="24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ind w:right="41"/>
              <w:spacing w:after="0"/>
              <w:rPr>
                <w:sz w:val="20"/>
                <w:szCs w:val="20"/>
                <w:color w:val="auto"/>
              </w:rPr>
            </w:pPr>
            <w:r>
              <w:rPr>
                <w:rFonts w:ascii="Arial" w:cs="Arial" w:eastAsia="Arial" w:hAnsi="Arial"/>
                <w:sz w:val="16"/>
                <w:szCs w:val="16"/>
                <w:b w:val="1"/>
                <w:bCs w:val="1"/>
                <w:color w:val="auto"/>
              </w:rPr>
              <w:t>46,300</w:t>
            </w:r>
          </w:p>
        </w:tc>
        <w:tc>
          <w:tcPr>
            <w:tcW w:w="3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60"/>
              <w:spacing w:after="0"/>
              <w:rPr>
                <w:sz w:val="20"/>
                <w:szCs w:val="20"/>
                <w:color w:val="auto"/>
              </w:rPr>
            </w:pPr>
            <w:r>
              <w:rPr>
                <w:rFonts w:ascii="Arial" w:cs="Arial" w:eastAsia="Arial" w:hAnsi="Arial"/>
                <w:sz w:val="16"/>
                <w:szCs w:val="16"/>
                <w:b w:val="1"/>
                <w:bCs w:val="1"/>
                <w:color w:val="auto"/>
              </w:rPr>
              <w:t>—</w:t>
            </w:r>
          </w:p>
        </w:tc>
        <w:tc>
          <w:tcPr>
            <w:tcW w:w="36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860" w:type="dxa"/>
            <w:vAlign w:val="bottom"/>
          </w:tcPr>
          <w:p>
            <w:pPr>
              <w:jc w:val="right"/>
              <w:ind w:right="20"/>
              <w:spacing w:after="0"/>
              <w:rPr>
                <w:sz w:val="20"/>
                <w:szCs w:val="20"/>
                <w:color w:val="auto"/>
              </w:rPr>
            </w:pPr>
            <w:r>
              <w:rPr>
                <w:rFonts w:ascii="Arial" w:cs="Arial" w:eastAsia="Arial" w:hAnsi="Arial"/>
                <w:sz w:val="16"/>
                <w:szCs w:val="16"/>
                <w:b w:val="1"/>
                <w:bCs w:val="1"/>
                <w:color w:val="auto"/>
              </w:rPr>
              <w:t>46,300</w:t>
            </w:r>
          </w:p>
        </w:tc>
        <w:tc>
          <w:tcPr>
            <w:tcW w:w="0" w:type="dxa"/>
            <w:vAlign w:val="bottom"/>
          </w:tcPr>
          <w:p>
            <w:pPr>
              <w:spacing w:after="0"/>
              <w:rPr>
                <w:sz w:val="1"/>
                <w:szCs w:val="1"/>
                <w:color w:val="auto"/>
              </w:rPr>
            </w:pPr>
          </w:p>
        </w:tc>
      </w:tr>
      <w:tr>
        <w:trPr>
          <w:trHeight w:val="270"/>
        </w:trPr>
        <w:tc>
          <w:tcPr>
            <w:tcW w:w="6520" w:type="dxa"/>
            <w:vAlign w:val="bottom"/>
          </w:tcPr>
          <w:p>
            <w:pPr>
              <w:ind w:left="40"/>
              <w:spacing w:after="0"/>
              <w:rPr>
                <w:sz w:val="20"/>
                <w:szCs w:val="20"/>
                <w:color w:val="auto"/>
              </w:rPr>
            </w:pPr>
            <w:r>
              <w:rPr>
                <w:rFonts w:ascii="Arial" w:cs="Arial" w:eastAsia="Arial" w:hAnsi="Arial"/>
                <w:sz w:val="16"/>
                <w:szCs w:val="16"/>
                <w:b w:val="1"/>
                <w:bCs w:val="1"/>
                <w:color w:val="auto"/>
              </w:rPr>
              <w:t>Interest rate swap</w:t>
            </w:r>
            <w:r>
              <w:rPr>
                <w:rFonts w:ascii="Arial" w:cs="Arial" w:eastAsia="Arial" w:hAnsi="Arial"/>
                <w:sz w:val="21"/>
                <w:szCs w:val="21"/>
                <w:b w:val="1"/>
                <w:bCs w:val="1"/>
                <w:color w:val="auto"/>
                <w:vertAlign w:val="superscript"/>
              </w:rPr>
              <w:t>(6)</w:t>
            </w:r>
          </w:p>
        </w:tc>
        <w:tc>
          <w:tcPr>
            <w:tcW w:w="220" w:type="dxa"/>
            <w:vAlign w:val="bottom"/>
          </w:tcPr>
          <w:p>
            <w:pPr>
              <w:spacing w:after="0"/>
              <w:rPr>
                <w:sz w:val="23"/>
                <w:szCs w:val="23"/>
                <w:color w:val="auto"/>
              </w:rPr>
            </w:pPr>
          </w:p>
        </w:tc>
        <w:tc>
          <w:tcPr>
            <w:tcW w:w="1040" w:type="dxa"/>
            <w:vAlign w:val="bottom"/>
          </w:tcPr>
          <w:p>
            <w:pPr>
              <w:jc w:val="right"/>
              <w:ind w:right="120"/>
              <w:spacing w:after="0"/>
              <w:rPr>
                <w:sz w:val="20"/>
                <w:szCs w:val="20"/>
                <w:color w:val="auto"/>
              </w:rPr>
            </w:pPr>
            <w:r>
              <w:rPr>
                <w:rFonts w:ascii="Arial" w:cs="Arial" w:eastAsia="Arial" w:hAnsi="Arial"/>
                <w:sz w:val="16"/>
                <w:szCs w:val="16"/>
                <w:b w:val="1"/>
                <w:bCs w:val="1"/>
                <w:color w:val="auto"/>
              </w:rPr>
              <w:t>—</w:t>
            </w:r>
          </w:p>
        </w:tc>
        <w:tc>
          <w:tcPr>
            <w:tcW w:w="240" w:type="dxa"/>
            <w:vAlign w:val="bottom"/>
          </w:tcPr>
          <w:p>
            <w:pPr>
              <w:spacing w:after="0"/>
              <w:rPr>
                <w:sz w:val="23"/>
                <w:szCs w:val="23"/>
                <w:color w:val="auto"/>
              </w:rPr>
            </w:pPr>
          </w:p>
        </w:tc>
        <w:tc>
          <w:tcPr>
            <w:tcW w:w="920" w:type="dxa"/>
            <w:vAlign w:val="bottom"/>
          </w:tcPr>
          <w:p>
            <w:pPr>
              <w:jc w:val="right"/>
              <w:ind w:right="41"/>
              <w:spacing w:after="0"/>
              <w:rPr>
                <w:sz w:val="20"/>
                <w:szCs w:val="20"/>
                <w:color w:val="auto"/>
              </w:rPr>
            </w:pPr>
            <w:r>
              <w:rPr>
                <w:rFonts w:ascii="Arial" w:cs="Arial" w:eastAsia="Arial" w:hAnsi="Arial"/>
                <w:sz w:val="16"/>
                <w:szCs w:val="16"/>
                <w:b w:val="1"/>
                <w:bCs w:val="1"/>
                <w:color w:val="auto"/>
              </w:rPr>
              <w:t>365</w:t>
            </w:r>
          </w:p>
        </w:tc>
        <w:tc>
          <w:tcPr>
            <w:tcW w:w="320" w:type="dxa"/>
            <w:vAlign w:val="bottom"/>
          </w:tcPr>
          <w:p>
            <w:pPr>
              <w:spacing w:after="0"/>
              <w:rPr>
                <w:sz w:val="23"/>
                <w:szCs w:val="23"/>
                <w:color w:val="auto"/>
              </w:rPr>
            </w:pPr>
          </w:p>
        </w:tc>
        <w:tc>
          <w:tcPr>
            <w:tcW w:w="940" w:type="dxa"/>
            <w:vAlign w:val="bottom"/>
          </w:tcPr>
          <w:p>
            <w:pPr>
              <w:jc w:val="right"/>
              <w:ind w:right="60"/>
              <w:spacing w:after="0"/>
              <w:rPr>
                <w:sz w:val="20"/>
                <w:szCs w:val="20"/>
                <w:color w:val="auto"/>
              </w:rPr>
            </w:pPr>
            <w:r>
              <w:rPr>
                <w:rFonts w:ascii="Arial" w:cs="Arial" w:eastAsia="Arial" w:hAnsi="Arial"/>
                <w:sz w:val="16"/>
                <w:szCs w:val="16"/>
                <w:b w:val="1"/>
                <w:bCs w:val="1"/>
                <w:color w:val="auto"/>
              </w:rPr>
              <w:t>—</w:t>
            </w:r>
          </w:p>
        </w:tc>
        <w:tc>
          <w:tcPr>
            <w:tcW w:w="360" w:type="dxa"/>
            <w:vAlign w:val="bottom"/>
          </w:tcPr>
          <w:p>
            <w:pPr>
              <w:spacing w:after="0"/>
              <w:rPr>
                <w:sz w:val="23"/>
                <w:szCs w:val="23"/>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b w:val="1"/>
                <w:bCs w:val="1"/>
                <w:color w:val="auto"/>
              </w:rPr>
              <w:t>365</w:t>
            </w:r>
          </w:p>
        </w:tc>
        <w:tc>
          <w:tcPr>
            <w:tcW w:w="0" w:type="dxa"/>
            <w:vAlign w:val="bottom"/>
          </w:tcPr>
          <w:p>
            <w:pPr>
              <w:spacing w:after="0"/>
              <w:rPr>
                <w:sz w:val="1"/>
                <w:szCs w:val="1"/>
                <w:color w:val="auto"/>
              </w:rPr>
            </w:pPr>
          </w:p>
        </w:tc>
      </w:tr>
      <w:tr>
        <w:trPr>
          <w:trHeight w:val="236"/>
        </w:trPr>
        <w:tc>
          <w:tcPr>
            <w:tcW w:w="6520" w:type="dxa"/>
            <w:vAlign w:val="bottom"/>
          </w:tcPr>
          <w:p>
            <w:pPr>
              <w:ind w:left="40"/>
              <w:spacing w:after="0" w:line="236" w:lineRule="exact"/>
              <w:rPr>
                <w:sz w:val="20"/>
                <w:szCs w:val="20"/>
                <w:color w:val="auto"/>
              </w:rPr>
            </w:pPr>
            <w:r>
              <w:rPr>
                <w:rFonts w:ascii="Arial" w:cs="Arial" w:eastAsia="Arial" w:hAnsi="Arial"/>
                <w:sz w:val="16"/>
                <w:szCs w:val="16"/>
                <w:b w:val="1"/>
                <w:bCs w:val="1"/>
                <w:color w:val="auto"/>
              </w:rPr>
              <w:t>Mandatorily redeemable noncontrolling interest</w:t>
            </w:r>
            <w:r>
              <w:rPr>
                <w:rFonts w:ascii="Arial" w:cs="Arial" w:eastAsia="Arial" w:hAnsi="Arial"/>
                <w:sz w:val="21"/>
                <w:szCs w:val="21"/>
                <w:b w:val="1"/>
                <w:bCs w:val="1"/>
                <w:color w:val="auto"/>
                <w:vertAlign w:val="superscript"/>
              </w:rPr>
              <w:t>(7)</w:t>
            </w: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b w:val="1"/>
                <w:bCs w:val="1"/>
                <w:color w:val="auto"/>
              </w:rPr>
              <w:t>—</w:t>
            </w: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w:t>
            </w:r>
          </w:p>
        </w:tc>
        <w:tc>
          <w:tcPr>
            <w:tcW w:w="3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12,584</w:t>
            </w:r>
          </w:p>
        </w:tc>
        <w:tc>
          <w:tcPr>
            <w:tcW w:w="3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12,584</w:t>
            </w:r>
          </w:p>
        </w:tc>
        <w:tc>
          <w:tcPr>
            <w:tcW w:w="0" w:type="dxa"/>
            <w:vAlign w:val="bottom"/>
          </w:tcPr>
          <w:p>
            <w:pPr>
              <w:spacing w:after="0"/>
              <w:rPr>
                <w:sz w:val="1"/>
                <w:szCs w:val="1"/>
                <w:color w:val="auto"/>
              </w:rPr>
            </w:pPr>
          </w:p>
        </w:tc>
      </w:tr>
      <w:tr>
        <w:trPr>
          <w:trHeight w:val="264"/>
        </w:trPr>
        <w:tc>
          <w:tcPr>
            <w:tcW w:w="6520" w:type="dxa"/>
            <w:vAlign w:val="bottom"/>
          </w:tcPr>
          <w:p>
            <w:pPr>
              <w:ind w:left="280"/>
              <w:spacing w:after="0"/>
              <w:rPr>
                <w:sz w:val="20"/>
                <w:szCs w:val="20"/>
                <w:color w:val="auto"/>
              </w:rPr>
            </w:pPr>
            <w:r>
              <w:rPr>
                <w:rFonts w:ascii="Arial" w:cs="Arial" w:eastAsia="Arial" w:hAnsi="Arial"/>
                <w:sz w:val="16"/>
                <w:szCs w:val="16"/>
                <w:b w:val="1"/>
                <w:bCs w:val="1"/>
                <w:color w:val="auto"/>
              </w:rPr>
              <w:t>Total Financial Liabilities</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104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b w:val="1"/>
                <w:bCs w:val="1"/>
                <w:color w:val="auto"/>
              </w:rPr>
              <w:t>—</w:t>
            </w:r>
          </w:p>
        </w:tc>
        <w:tc>
          <w:tcPr>
            <w:tcW w:w="2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46,665</w:t>
            </w:r>
          </w:p>
        </w:tc>
        <w:tc>
          <w:tcPr>
            <w:tcW w:w="3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12,584</w:t>
            </w:r>
          </w:p>
        </w:tc>
        <w:tc>
          <w:tcPr>
            <w:tcW w:w="3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8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59,249</w:t>
            </w: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540" w:type="dxa"/>
            <w:vAlign w:val="bottom"/>
            <w:tcBorders>
              <w:bottom w:val="single" w:sz="8" w:color="auto"/>
            </w:tcBorders>
            <w:gridSpan w:val="4"/>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2"/>
        </w:trPr>
        <w:tc>
          <w:tcPr>
            <w:tcW w:w="6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gridSpan w:val="4"/>
          </w:tcPr>
          <w:p>
            <w:pPr>
              <w:jc w:val="center"/>
              <w:ind w:left="561"/>
              <w:spacing w:after="0"/>
              <w:rPr>
                <w:sz w:val="20"/>
                <w:szCs w:val="20"/>
                <w:color w:val="auto"/>
              </w:rPr>
            </w:pPr>
            <w:r>
              <w:rPr>
                <w:rFonts w:ascii="Arial" w:cs="Arial" w:eastAsia="Arial" w:hAnsi="Arial"/>
                <w:sz w:val="14"/>
                <w:szCs w:val="14"/>
                <w:color w:val="auto"/>
              </w:rPr>
              <w:t>As of December 31, 2015</w:t>
            </w: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65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Level 1</w:t>
            </w:r>
          </w:p>
        </w:tc>
        <w:tc>
          <w:tcPr>
            <w:tcW w:w="3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center"/>
              <w:ind w:right="160"/>
              <w:spacing w:after="0"/>
              <w:rPr>
                <w:sz w:val="20"/>
                <w:szCs w:val="20"/>
                <w:color w:val="auto"/>
              </w:rPr>
            </w:pPr>
            <w:r>
              <w:rPr>
                <w:rFonts w:ascii="Arial" w:cs="Arial" w:eastAsia="Arial" w:hAnsi="Arial"/>
                <w:sz w:val="14"/>
                <w:szCs w:val="14"/>
                <w:color w:val="auto"/>
              </w:rPr>
              <w:t>Level 2</w:t>
            </w:r>
          </w:p>
        </w:tc>
        <w:tc>
          <w:tcPr>
            <w:tcW w:w="3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260"/>
        </w:trPr>
        <w:tc>
          <w:tcPr>
            <w:tcW w:w="6520" w:type="dxa"/>
            <w:vAlign w:val="bottom"/>
          </w:tcPr>
          <w:p>
            <w:pPr>
              <w:ind w:left="40"/>
              <w:spacing w:after="0"/>
              <w:rPr>
                <w:sz w:val="20"/>
                <w:szCs w:val="20"/>
                <w:color w:val="auto"/>
              </w:rPr>
            </w:pPr>
            <w:r>
              <w:rPr>
                <w:rFonts w:ascii="Arial" w:cs="Arial" w:eastAsia="Arial" w:hAnsi="Arial"/>
                <w:sz w:val="16"/>
                <w:szCs w:val="16"/>
                <w:b w:val="1"/>
                <w:bCs w:val="1"/>
                <w:color w:val="auto"/>
              </w:rPr>
              <w:t>Assets</w:t>
            </w:r>
          </w:p>
        </w:tc>
        <w:tc>
          <w:tcPr>
            <w:tcW w:w="2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14"/>
        </w:trPr>
        <w:tc>
          <w:tcPr>
            <w:tcW w:w="6520" w:type="dxa"/>
            <w:vAlign w:val="bottom"/>
          </w:tcPr>
          <w:p>
            <w:pPr>
              <w:ind w:left="40"/>
              <w:spacing w:after="0"/>
              <w:rPr>
                <w:sz w:val="20"/>
                <w:szCs w:val="20"/>
                <w:color w:val="auto"/>
              </w:rPr>
            </w:pPr>
            <w:r>
              <w:rPr>
                <w:rFonts w:ascii="Arial" w:cs="Arial" w:eastAsia="Arial" w:hAnsi="Arial"/>
                <w:sz w:val="16"/>
                <w:szCs w:val="16"/>
                <w:color w:val="auto"/>
              </w:rPr>
              <w:t>Money market investments</w:t>
            </w:r>
            <w:r>
              <w:rPr>
                <w:rFonts w:ascii="Arial" w:cs="Arial" w:eastAsia="Arial" w:hAnsi="Arial"/>
                <w:sz w:val="21"/>
                <w:szCs w:val="21"/>
                <w:color w:val="auto"/>
                <w:vertAlign w:val="superscript"/>
              </w:rPr>
              <w:t>(1)</w:t>
            </w: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3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60"/>
              <w:spacing w:after="0"/>
              <w:rPr>
                <w:sz w:val="20"/>
                <w:szCs w:val="20"/>
                <w:color w:val="auto"/>
              </w:rPr>
            </w:pPr>
            <w:r>
              <w:rPr>
                <w:rFonts w:ascii="Arial" w:cs="Arial" w:eastAsia="Arial" w:hAnsi="Arial"/>
                <w:sz w:val="16"/>
                <w:szCs w:val="16"/>
                <w:color w:val="auto"/>
              </w:rPr>
              <w:t>433,040</w:t>
            </w:r>
          </w:p>
        </w:tc>
        <w:tc>
          <w:tcPr>
            <w:tcW w:w="3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433,040</w:t>
            </w:r>
          </w:p>
        </w:tc>
        <w:tc>
          <w:tcPr>
            <w:tcW w:w="0" w:type="dxa"/>
            <w:vAlign w:val="bottom"/>
          </w:tcPr>
          <w:p>
            <w:pPr>
              <w:spacing w:after="0"/>
              <w:rPr>
                <w:sz w:val="1"/>
                <w:szCs w:val="1"/>
                <w:color w:val="auto"/>
              </w:rPr>
            </w:pPr>
          </w:p>
        </w:tc>
      </w:tr>
      <w:tr>
        <w:trPr>
          <w:trHeight w:val="270"/>
        </w:trPr>
        <w:tc>
          <w:tcPr>
            <w:tcW w:w="6520" w:type="dxa"/>
            <w:vAlign w:val="bottom"/>
          </w:tcPr>
          <w:p>
            <w:pPr>
              <w:ind w:left="40"/>
              <w:spacing w:after="0"/>
              <w:rPr>
                <w:sz w:val="20"/>
                <w:szCs w:val="20"/>
                <w:color w:val="auto"/>
              </w:rPr>
            </w:pPr>
            <w:r>
              <w:rPr>
                <w:rFonts w:ascii="Arial" w:cs="Arial" w:eastAsia="Arial" w:hAnsi="Arial"/>
                <w:sz w:val="16"/>
                <w:szCs w:val="16"/>
                <w:color w:val="auto"/>
              </w:rPr>
              <w:t>Marketable equity securities</w:t>
            </w:r>
            <w:r>
              <w:rPr>
                <w:rFonts w:ascii="Arial" w:cs="Arial" w:eastAsia="Arial" w:hAnsi="Arial"/>
                <w:sz w:val="21"/>
                <w:szCs w:val="21"/>
                <w:color w:val="auto"/>
                <w:vertAlign w:val="superscript"/>
              </w:rPr>
              <w:t>(3)</w:t>
            </w:r>
          </w:p>
        </w:tc>
        <w:tc>
          <w:tcPr>
            <w:tcW w:w="2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20" w:type="dxa"/>
            <w:vAlign w:val="bottom"/>
          </w:tcPr>
          <w:p>
            <w:pPr>
              <w:jc w:val="right"/>
              <w:ind w:right="41"/>
              <w:spacing w:after="0"/>
              <w:rPr>
                <w:sz w:val="20"/>
                <w:szCs w:val="20"/>
                <w:color w:val="auto"/>
              </w:rPr>
            </w:pPr>
            <w:r>
              <w:rPr>
                <w:rFonts w:ascii="Arial" w:cs="Arial" w:eastAsia="Arial" w:hAnsi="Arial"/>
                <w:sz w:val="16"/>
                <w:szCs w:val="16"/>
                <w:color w:val="auto"/>
              </w:rPr>
              <w:t>350,563</w:t>
            </w:r>
          </w:p>
        </w:tc>
        <w:tc>
          <w:tcPr>
            <w:tcW w:w="320" w:type="dxa"/>
            <w:vAlign w:val="bottom"/>
          </w:tcPr>
          <w:p>
            <w:pPr>
              <w:spacing w:after="0"/>
              <w:rPr>
                <w:sz w:val="23"/>
                <w:szCs w:val="23"/>
                <w:color w:val="auto"/>
              </w:rPr>
            </w:pPr>
          </w:p>
        </w:tc>
        <w:tc>
          <w:tcPr>
            <w:tcW w:w="94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3"/>
                <w:szCs w:val="23"/>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350,563</w:t>
            </w:r>
          </w:p>
        </w:tc>
        <w:tc>
          <w:tcPr>
            <w:tcW w:w="0" w:type="dxa"/>
            <w:vAlign w:val="bottom"/>
          </w:tcPr>
          <w:p>
            <w:pPr>
              <w:spacing w:after="0"/>
              <w:rPr>
                <w:sz w:val="1"/>
                <w:szCs w:val="1"/>
                <w:color w:val="auto"/>
              </w:rPr>
            </w:pPr>
          </w:p>
        </w:tc>
      </w:tr>
      <w:tr>
        <w:trPr>
          <w:trHeight w:val="234"/>
        </w:trPr>
        <w:tc>
          <w:tcPr>
            <w:tcW w:w="6520" w:type="dxa"/>
            <w:vAlign w:val="bottom"/>
          </w:tcPr>
          <w:p>
            <w:pPr>
              <w:ind w:left="40"/>
              <w:spacing w:after="0" w:line="234" w:lineRule="exact"/>
              <w:rPr>
                <w:sz w:val="20"/>
                <w:szCs w:val="20"/>
                <w:color w:val="auto"/>
              </w:rPr>
            </w:pPr>
            <w:r>
              <w:rPr>
                <w:rFonts w:ascii="Arial" w:cs="Arial" w:eastAsia="Arial" w:hAnsi="Arial"/>
                <w:sz w:val="16"/>
                <w:szCs w:val="16"/>
                <w:color w:val="auto"/>
              </w:rPr>
              <w:t>Other current investments</w:t>
            </w:r>
            <w:r>
              <w:rPr>
                <w:rFonts w:ascii="Arial" w:cs="Arial" w:eastAsia="Arial" w:hAnsi="Arial"/>
                <w:sz w:val="21"/>
                <w:szCs w:val="21"/>
                <w:color w:val="auto"/>
                <w:vertAlign w:val="superscript"/>
              </w:rPr>
              <w:t>(4)</w:t>
            </w: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12,822</w:t>
            </w:r>
          </w:p>
        </w:tc>
        <w:tc>
          <w:tcPr>
            <w:tcW w:w="3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16,060</w:t>
            </w:r>
          </w:p>
        </w:tc>
        <w:tc>
          <w:tcPr>
            <w:tcW w:w="3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28,882</w:t>
            </w:r>
          </w:p>
        </w:tc>
        <w:tc>
          <w:tcPr>
            <w:tcW w:w="0" w:type="dxa"/>
            <w:vAlign w:val="bottom"/>
          </w:tcPr>
          <w:p>
            <w:pPr>
              <w:spacing w:after="0"/>
              <w:rPr>
                <w:sz w:val="1"/>
                <w:szCs w:val="1"/>
                <w:color w:val="auto"/>
              </w:rPr>
            </w:pPr>
          </w:p>
        </w:tc>
      </w:tr>
      <w:tr>
        <w:trPr>
          <w:trHeight w:val="264"/>
        </w:trPr>
        <w:tc>
          <w:tcPr>
            <w:tcW w:w="6520" w:type="dxa"/>
            <w:vAlign w:val="bottom"/>
          </w:tcPr>
          <w:p>
            <w:pPr>
              <w:ind w:left="280"/>
              <w:spacing w:after="0"/>
              <w:rPr>
                <w:sz w:val="20"/>
                <w:szCs w:val="20"/>
                <w:color w:val="auto"/>
              </w:rPr>
            </w:pPr>
            <w:r>
              <w:rPr>
                <w:rFonts w:ascii="Arial" w:cs="Arial" w:eastAsia="Arial" w:hAnsi="Arial"/>
                <w:sz w:val="16"/>
                <w:szCs w:val="16"/>
                <w:b w:val="1"/>
                <w:bCs w:val="1"/>
                <w:color w:val="auto"/>
              </w:rPr>
              <w:t>Total Financial Assets</w:t>
            </w:r>
          </w:p>
        </w:tc>
        <w:tc>
          <w:tcPr>
            <w:tcW w:w="2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363,385</w:t>
            </w:r>
          </w:p>
        </w:tc>
        <w:tc>
          <w:tcPr>
            <w:tcW w:w="3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449,100</w:t>
            </w:r>
          </w:p>
        </w:tc>
        <w:tc>
          <w:tcPr>
            <w:tcW w:w="3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812,485</w:t>
            </w:r>
          </w:p>
        </w:tc>
        <w:tc>
          <w:tcPr>
            <w:tcW w:w="0" w:type="dxa"/>
            <w:vAlign w:val="bottom"/>
          </w:tcPr>
          <w:p>
            <w:pPr>
              <w:spacing w:after="0"/>
              <w:rPr>
                <w:sz w:val="1"/>
                <w:szCs w:val="1"/>
                <w:color w:val="auto"/>
              </w:rPr>
            </w:pPr>
          </w:p>
        </w:tc>
      </w:tr>
      <w:tr>
        <w:trPr>
          <w:trHeight w:val="20"/>
        </w:trPr>
        <w:tc>
          <w:tcPr>
            <w:tcW w:w="652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Liabilities</w:t>
            </w: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6520" w:type="dxa"/>
            <w:vAlign w:val="bottom"/>
            <w:vMerge w:val="continue"/>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8"/>
        </w:trPr>
        <w:tc>
          <w:tcPr>
            <w:tcW w:w="6520" w:type="dxa"/>
            <w:vAlign w:val="bottom"/>
          </w:tcPr>
          <w:p>
            <w:pPr>
              <w:ind w:left="40"/>
              <w:spacing w:after="0"/>
              <w:rPr>
                <w:sz w:val="20"/>
                <w:szCs w:val="20"/>
                <w:color w:val="auto"/>
              </w:rPr>
            </w:pPr>
            <w:r>
              <w:rPr>
                <w:rFonts w:ascii="Arial" w:cs="Arial" w:eastAsia="Arial" w:hAnsi="Arial"/>
                <w:sz w:val="16"/>
                <w:szCs w:val="16"/>
                <w:color w:val="auto"/>
              </w:rPr>
              <w:t>Deferred compensation plan liabilities</w:t>
            </w:r>
            <w:r>
              <w:rPr>
                <w:rFonts w:ascii="Arial" w:cs="Arial" w:eastAsia="Arial" w:hAnsi="Arial"/>
                <w:sz w:val="21"/>
                <w:szCs w:val="21"/>
                <w:color w:val="auto"/>
                <w:vertAlign w:val="superscript"/>
              </w:rPr>
              <w:t>(5)</w:t>
            </w: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3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60"/>
              <w:spacing w:after="0"/>
              <w:rPr>
                <w:sz w:val="20"/>
                <w:szCs w:val="20"/>
                <w:color w:val="auto"/>
              </w:rPr>
            </w:pPr>
            <w:r>
              <w:rPr>
                <w:rFonts w:ascii="Arial" w:cs="Arial" w:eastAsia="Arial" w:hAnsi="Arial"/>
                <w:sz w:val="16"/>
                <w:szCs w:val="16"/>
                <w:color w:val="auto"/>
              </w:rPr>
              <w:t>48,055</w:t>
            </w:r>
          </w:p>
        </w:tc>
        <w:tc>
          <w:tcPr>
            <w:tcW w:w="3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48,055</w:t>
            </w:r>
          </w:p>
        </w:tc>
        <w:tc>
          <w:tcPr>
            <w:tcW w:w="0" w:type="dxa"/>
            <w:vAlign w:val="bottom"/>
          </w:tcPr>
          <w:p>
            <w:pPr>
              <w:spacing w:after="0"/>
              <w:rPr>
                <w:sz w:val="1"/>
                <w:szCs w:val="1"/>
                <w:color w:val="auto"/>
              </w:rPr>
            </w:pPr>
          </w:p>
        </w:tc>
      </w:tr>
      <w:tr>
        <w:trPr>
          <w:trHeight w:val="194"/>
        </w:trPr>
        <w:tc>
          <w:tcPr>
            <w:tcW w:w="6520" w:type="dxa"/>
            <w:vAlign w:val="bottom"/>
          </w:tcPr>
          <w:p>
            <w:pPr>
              <w:spacing w:after="0"/>
              <w:rPr>
                <w:sz w:val="20"/>
                <w:szCs w:val="20"/>
                <w:color w:val="auto"/>
              </w:rPr>
            </w:pPr>
            <w:r>
              <w:rPr>
                <w:rFonts w:ascii="Arial" w:cs="Arial" w:eastAsia="Arial" w:hAnsi="Arial"/>
                <w:sz w:val="14"/>
                <w:szCs w:val="14"/>
                <w:color w:val="auto"/>
              </w:rPr>
              <w:t>____________</w:t>
            </w: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260" w:hanging="252"/>
        <w:spacing w:after="0"/>
        <w:tabs>
          <w:tab w:leader="none" w:pos="260" w:val="left"/>
        </w:tabs>
        <w:numPr>
          <w:ilvl w:val="0"/>
          <w:numId w:val="68"/>
        </w:numPr>
        <w:rPr>
          <w:rFonts w:ascii="Arial" w:cs="Arial" w:eastAsia="Arial" w:hAnsi="Arial"/>
          <w:sz w:val="13"/>
          <w:szCs w:val="13"/>
          <w:color w:val="auto"/>
        </w:rPr>
      </w:pPr>
      <w:r>
        <w:rPr>
          <w:rFonts w:ascii="Arial" w:cs="Arial" w:eastAsia="Arial" w:hAnsi="Arial"/>
          <w:sz w:val="13"/>
          <w:szCs w:val="13"/>
          <w:color w:val="auto"/>
        </w:rPr>
        <w:t>The Company’s money market investments are included in cash, cash equivalents and restricted cash.</w:t>
      </w:r>
    </w:p>
    <w:p>
      <w:pPr>
        <w:spacing w:after="0" w:line="26" w:lineRule="exact"/>
        <w:rPr>
          <w:rFonts w:ascii="Arial" w:cs="Arial" w:eastAsia="Arial" w:hAnsi="Arial"/>
          <w:sz w:val="13"/>
          <w:szCs w:val="13"/>
          <w:color w:val="auto"/>
        </w:rPr>
      </w:pPr>
    </w:p>
    <w:p>
      <w:pPr>
        <w:ind w:left="260" w:hanging="252"/>
        <w:spacing w:after="0"/>
        <w:tabs>
          <w:tab w:leader="none" w:pos="260" w:val="left"/>
        </w:tabs>
        <w:numPr>
          <w:ilvl w:val="0"/>
          <w:numId w:val="68"/>
        </w:numPr>
        <w:rPr>
          <w:rFonts w:ascii="Arial" w:cs="Arial" w:eastAsia="Arial" w:hAnsi="Arial"/>
          <w:sz w:val="13"/>
          <w:szCs w:val="13"/>
          <w:color w:val="auto"/>
        </w:rPr>
      </w:pPr>
      <w:r>
        <w:rPr>
          <w:rFonts w:ascii="Arial" w:cs="Arial" w:eastAsia="Arial" w:hAnsi="Arial"/>
          <w:sz w:val="13"/>
          <w:szCs w:val="13"/>
          <w:color w:val="auto"/>
        </w:rPr>
        <w:t>The Company’s commercial paper investments with original maturities of three months or less are included in cash and cash equivalents.</w:t>
      </w:r>
    </w:p>
    <w:p>
      <w:pPr>
        <w:spacing w:after="0" w:line="26" w:lineRule="exact"/>
        <w:rPr>
          <w:rFonts w:ascii="Arial" w:cs="Arial" w:eastAsia="Arial" w:hAnsi="Arial"/>
          <w:sz w:val="13"/>
          <w:szCs w:val="13"/>
          <w:color w:val="auto"/>
        </w:rPr>
      </w:pPr>
    </w:p>
    <w:p>
      <w:pPr>
        <w:ind w:left="260" w:hanging="252"/>
        <w:spacing w:after="0"/>
        <w:tabs>
          <w:tab w:leader="none" w:pos="260" w:val="left"/>
        </w:tabs>
        <w:numPr>
          <w:ilvl w:val="0"/>
          <w:numId w:val="68"/>
        </w:numPr>
        <w:rPr>
          <w:rFonts w:ascii="Arial" w:cs="Arial" w:eastAsia="Arial" w:hAnsi="Arial"/>
          <w:sz w:val="13"/>
          <w:szCs w:val="13"/>
          <w:color w:val="auto"/>
        </w:rPr>
      </w:pPr>
      <w:r>
        <w:rPr>
          <w:rFonts w:ascii="Arial" w:cs="Arial" w:eastAsia="Arial" w:hAnsi="Arial"/>
          <w:sz w:val="13"/>
          <w:szCs w:val="13"/>
          <w:color w:val="auto"/>
        </w:rPr>
        <w:t>The Company’s investments in marketable equity securities are classified as available-for-sale.</w:t>
      </w:r>
    </w:p>
    <w:p>
      <w:pPr>
        <w:spacing w:after="0" w:line="26" w:lineRule="exact"/>
        <w:rPr>
          <w:rFonts w:ascii="Arial" w:cs="Arial" w:eastAsia="Arial" w:hAnsi="Arial"/>
          <w:sz w:val="13"/>
          <w:szCs w:val="13"/>
          <w:color w:val="auto"/>
        </w:rPr>
      </w:pPr>
    </w:p>
    <w:p>
      <w:pPr>
        <w:ind w:left="260" w:right="200" w:hanging="252"/>
        <w:spacing w:after="0" w:line="234" w:lineRule="auto"/>
        <w:tabs>
          <w:tab w:leader="none" w:pos="260" w:val="left"/>
        </w:tabs>
        <w:numPr>
          <w:ilvl w:val="0"/>
          <w:numId w:val="68"/>
        </w:numPr>
        <w:rPr>
          <w:rFonts w:ascii="Arial" w:cs="Arial" w:eastAsia="Arial" w:hAnsi="Arial"/>
          <w:sz w:val="13"/>
          <w:szCs w:val="13"/>
          <w:color w:val="auto"/>
        </w:rPr>
      </w:pPr>
      <w:r>
        <w:rPr>
          <w:rFonts w:ascii="Arial" w:cs="Arial" w:eastAsia="Arial" w:hAnsi="Arial"/>
          <w:sz w:val="13"/>
          <w:szCs w:val="13"/>
          <w:color w:val="auto"/>
        </w:rPr>
        <w:t>Includes U.S. Government Securities, corporate bonds, mutual funds and time deposits. These investments are valued using a market approach based on the quoted market prices of the security or inputs that include quoted market prices for similar instruments and are classified as either Level 1 or Level 2 in the valuation hierarchy.</w:t>
      </w:r>
    </w:p>
    <w:p>
      <w:pPr>
        <w:spacing w:after="0" w:line="5" w:lineRule="exact"/>
        <w:rPr>
          <w:rFonts w:ascii="Arial" w:cs="Arial" w:eastAsia="Arial" w:hAnsi="Arial"/>
          <w:sz w:val="13"/>
          <w:szCs w:val="13"/>
          <w:color w:val="auto"/>
        </w:rPr>
      </w:pPr>
    </w:p>
    <w:p>
      <w:pPr>
        <w:ind w:left="260" w:right="160" w:hanging="252"/>
        <w:spacing w:after="0" w:line="214" w:lineRule="auto"/>
        <w:tabs>
          <w:tab w:leader="none" w:pos="260" w:val="left"/>
        </w:tabs>
        <w:numPr>
          <w:ilvl w:val="0"/>
          <w:numId w:val="68"/>
        </w:numPr>
        <w:rPr>
          <w:rFonts w:ascii="Arial" w:cs="Arial" w:eastAsia="Arial" w:hAnsi="Arial"/>
          <w:sz w:val="13"/>
          <w:szCs w:val="13"/>
          <w:color w:val="auto"/>
        </w:rPr>
      </w:pPr>
      <w:r>
        <w:rPr>
          <w:rFonts w:ascii="Arial" w:cs="Arial" w:eastAsia="Arial" w:hAnsi="Arial"/>
          <w:sz w:val="13"/>
          <w:szCs w:val="13"/>
          <w:color w:val="auto"/>
        </w:rPr>
        <w:t>Includes Graham Holdings Company’s Deferred Compensation Plan and supplemental savings plan benefits under the Graham Holdings Company’s Supplemental Executive Retirement Plan, which are included in accrued compensation and related benefits. These plans measure the market value of a participant’s balance in a notional investment account that is comprised primarily of mutual funds, which are based on observable market prices. However, since the deferred compensation obligations are not exchanged in an active market, they are classified as Level 2 in the fair value hierarchy. Realized and unrealized gains (losses) on deferred compensation are included in operating income.</w:t>
      </w:r>
    </w:p>
    <w:p>
      <w:pPr>
        <w:spacing w:after="0" w:line="7" w:lineRule="exact"/>
        <w:rPr>
          <w:rFonts w:ascii="Arial" w:cs="Arial" w:eastAsia="Arial" w:hAnsi="Arial"/>
          <w:sz w:val="13"/>
          <w:szCs w:val="13"/>
          <w:color w:val="auto"/>
        </w:rPr>
      </w:pPr>
    </w:p>
    <w:p>
      <w:pPr>
        <w:ind w:left="260" w:right="420" w:hanging="252"/>
        <w:spacing w:after="0" w:line="234" w:lineRule="auto"/>
        <w:tabs>
          <w:tab w:leader="none" w:pos="260" w:val="left"/>
        </w:tabs>
        <w:numPr>
          <w:ilvl w:val="0"/>
          <w:numId w:val="68"/>
        </w:numPr>
        <w:rPr>
          <w:rFonts w:ascii="Arial" w:cs="Arial" w:eastAsia="Arial" w:hAnsi="Arial"/>
          <w:sz w:val="13"/>
          <w:szCs w:val="13"/>
          <w:color w:val="auto"/>
        </w:rPr>
      </w:pPr>
      <w:r>
        <w:rPr>
          <w:rFonts w:ascii="Arial" w:cs="Arial" w:eastAsia="Arial" w:hAnsi="Arial"/>
          <w:sz w:val="13"/>
          <w:szCs w:val="13"/>
          <w:color w:val="auto"/>
        </w:rPr>
        <w:t>Included in Other liabilities. The Company utilized a market approach model using the notional amount of the interest rate swap multiplied by the observable inputs of time to maturity and market interest rates.</w:t>
      </w:r>
    </w:p>
    <w:p>
      <w:pPr>
        <w:spacing w:after="0" w:line="5" w:lineRule="exact"/>
        <w:rPr>
          <w:rFonts w:ascii="Arial" w:cs="Arial" w:eastAsia="Arial" w:hAnsi="Arial"/>
          <w:sz w:val="13"/>
          <w:szCs w:val="13"/>
          <w:color w:val="auto"/>
        </w:rPr>
      </w:pPr>
    </w:p>
    <w:p>
      <w:pPr>
        <w:ind w:left="260" w:hanging="252"/>
        <w:spacing w:after="0"/>
        <w:tabs>
          <w:tab w:leader="none" w:pos="260" w:val="left"/>
        </w:tabs>
        <w:numPr>
          <w:ilvl w:val="0"/>
          <w:numId w:val="68"/>
        </w:numPr>
        <w:rPr>
          <w:rFonts w:ascii="Arial" w:cs="Arial" w:eastAsia="Arial" w:hAnsi="Arial"/>
          <w:sz w:val="13"/>
          <w:szCs w:val="13"/>
          <w:color w:val="auto"/>
        </w:rPr>
      </w:pPr>
      <w:r>
        <w:rPr>
          <w:rFonts w:ascii="Arial" w:cs="Arial" w:eastAsia="Arial" w:hAnsi="Arial"/>
          <w:sz w:val="13"/>
          <w:szCs w:val="13"/>
          <w:color w:val="auto"/>
        </w:rPr>
        <w:t>The fair value of the mandatorily redeemable noncontrolling interest is based on an EBITDA multiple, adjusted for working capital and other items, which approximates fair value.</w:t>
      </w:r>
    </w:p>
    <w:p>
      <w:pPr>
        <w:spacing w:after="0" w:line="133" w:lineRule="exact"/>
        <w:rPr>
          <w:sz w:val="20"/>
          <w:szCs w:val="20"/>
          <w:color w:val="auto"/>
        </w:rPr>
      </w:pPr>
    </w:p>
    <w:p>
      <w:pPr>
        <w:ind w:right="180"/>
        <w:spacing w:after="0" w:line="229" w:lineRule="auto"/>
        <w:rPr>
          <w:sz w:val="20"/>
          <w:szCs w:val="20"/>
          <w:color w:val="auto"/>
        </w:rPr>
      </w:pPr>
      <w:r>
        <w:rPr>
          <w:rFonts w:ascii="Arial" w:cs="Arial" w:eastAsia="Arial" w:hAnsi="Arial"/>
          <w:sz w:val="18"/>
          <w:szCs w:val="18"/>
          <w:color w:val="auto"/>
        </w:rPr>
        <w:t>For the year ended December 31, 2016, the Company recorded impairment charges totaling $27.0 million to its cost method investment relating to a preferred equity interest in a vocational school company due to a decline in business conditions. The measurement of the preferred equity interest is classified as a Level 3 fair value assessment due to the significance of unobservable inputs developed in the determination of the fair value. The Company used a discounted cash flow model to determine the estimated fair value of the preferred equity interest and made estimates and assumption regarding future cash flows, discount rates, long-term growth rates and market values to determine the estimated fair value.</w:t>
      </w:r>
    </w:p>
    <w:p>
      <w:pPr>
        <w:spacing w:after="0" w:line="112" w:lineRule="exact"/>
        <w:rPr>
          <w:sz w:val="20"/>
          <w:szCs w:val="20"/>
          <w:color w:val="auto"/>
        </w:rPr>
      </w:pPr>
    </w:p>
    <w:p>
      <w:pPr>
        <w:ind w:right="20"/>
        <w:spacing w:after="0" w:line="227" w:lineRule="auto"/>
        <w:rPr>
          <w:sz w:val="20"/>
          <w:szCs w:val="20"/>
          <w:color w:val="auto"/>
        </w:rPr>
      </w:pPr>
      <w:r>
        <w:rPr>
          <w:rFonts w:ascii="Arial" w:cs="Arial" w:eastAsia="Arial" w:hAnsi="Arial"/>
          <w:sz w:val="18"/>
          <w:szCs w:val="18"/>
          <w:color w:val="auto"/>
        </w:rPr>
        <w:t>For the year ended December 31, 2016, the Company recorded goodwill impairment charges of $1.6 million. For the year ended December 31, 2015, the Company recorded goodwill and other long-lived assets impairment charges of $259.7 million. For the year ended December 31, 2014, the Company recorded an intangible and other long-lived assets impairment charge of $25.1 million, of which $7.8 million is reported in discontinued operations (see Notes 2 and 8). The remeasurement of the goodwill and other long-lived assets is classified as a Level 3 fair value assessment due to the significance of unobservable inputs developed in the determination of the fair value. The Company used a discounted cash flow model to determine the estimated fair value of the reporting unit. A market value approach was also utilized to supplement the discounted cash flow model. The Company made estimates and assumptions regarding future cash flows, discount rates, long-term growth rates and market values to determine the reporting unit’s estimated fair value.</w:t>
      </w:r>
    </w:p>
    <w:p>
      <w:pPr>
        <w:sectPr>
          <w:pgSz w:w="11900" w:h="16838" w:orient="portrait"/>
          <w:cols w:equalWidth="0" w:num="1">
            <w:col w:w="11420"/>
          </w:cols>
          <w:pgMar w:left="240" w:top="722" w:right="239" w:bottom="1440" w:gutter="0" w:footer="0" w:header="0"/>
        </w:sect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89</w:t>
      </w:r>
    </w:p>
    <w:p>
      <w:pPr>
        <w:sectPr>
          <w:pgSz w:w="11900" w:h="16838" w:orient="portrait"/>
          <w:cols w:equalWidth="0" w:num="1">
            <w:col w:w="11420"/>
          </w:cols>
          <w:pgMar w:left="240" w:top="722" w:right="239" w:bottom="1440" w:gutter="0" w:footer="0" w:header="0"/>
          <w:type w:val="continuous"/>
        </w:sectPr>
      </w:pPr>
    </w:p>
    <w:bookmarkStart w:id="92" w:name="page93"/>
    <w:bookmarkEnd w:id="92"/>
    <w:p>
      <w:pPr>
        <w:ind w:left="500" w:hanging="492"/>
        <w:spacing w:after="0"/>
        <w:tabs>
          <w:tab w:leader="none" w:pos="500" w:val="left"/>
        </w:tabs>
        <w:numPr>
          <w:ilvl w:val="0"/>
          <w:numId w:val="69"/>
        </w:numPr>
        <w:rPr>
          <w:rFonts w:ascii="Arial" w:cs="Arial" w:eastAsia="Arial" w:hAnsi="Arial"/>
          <w:sz w:val="18"/>
          <w:szCs w:val="18"/>
          <w:b w:val="1"/>
          <w:bCs w:val="1"/>
          <w:color w:val="auto"/>
        </w:rPr>
      </w:pPr>
      <w:r>
        <w:rPr>
          <w:rFonts w:ascii="Arial" w:cs="Arial" w:eastAsia="Arial" w:hAnsi="Arial"/>
          <w:sz w:val="18"/>
          <w:szCs w:val="18"/>
          <w:b w:val="1"/>
          <w:bCs w:val="1"/>
          <w:color w:val="auto"/>
        </w:rPr>
        <w:t>REDEEMABLE PREFERRED STOCK</w:t>
      </w:r>
    </w:p>
    <w:p>
      <w:pPr>
        <w:spacing w:after="0" w:line="146" w:lineRule="exact"/>
        <w:rPr>
          <w:sz w:val="20"/>
          <w:szCs w:val="20"/>
          <w:color w:val="auto"/>
        </w:rPr>
      </w:pPr>
    </w:p>
    <w:p>
      <w:pPr>
        <w:ind w:right="100"/>
        <w:spacing w:after="0" w:line="231" w:lineRule="auto"/>
        <w:rPr>
          <w:sz w:val="20"/>
          <w:szCs w:val="20"/>
          <w:color w:val="auto"/>
        </w:rPr>
      </w:pPr>
      <w:r>
        <w:rPr>
          <w:rFonts w:ascii="Arial" w:cs="Arial" w:eastAsia="Arial" w:hAnsi="Arial"/>
          <w:sz w:val="18"/>
          <w:szCs w:val="18"/>
          <w:color w:val="auto"/>
        </w:rPr>
        <w:t>On October 1, 2015, the Company redeemed its Series A preferred stock with a par value of $1.00 per share and a liquidation preference of $1,000 per share. The 10,510 shares outstanding were redeemed at the redemption price of $1,000 per share for $10.5 million. Prior to redemption, dividends on the Series A preferred stock were payable four times a year at the annual rate of $80.00 per share and in preference to any dividends on the Company’s common stock. The Series A preferred stock was not convertible into any other security of the Company, and the holders thereof had no voting rights except with respect to any proposed changes in the preferences and special rights of such stock.</w:t>
      </w:r>
    </w:p>
    <w:p>
      <w:pPr>
        <w:spacing w:after="0" w:line="109" w:lineRule="exact"/>
        <w:rPr>
          <w:sz w:val="20"/>
          <w:szCs w:val="20"/>
          <w:color w:val="auto"/>
        </w:rPr>
      </w:pPr>
    </w:p>
    <w:p>
      <w:pPr>
        <w:ind w:left="500" w:hanging="492"/>
        <w:spacing w:after="0"/>
        <w:tabs>
          <w:tab w:leader="none" w:pos="500" w:val="left"/>
        </w:tabs>
        <w:numPr>
          <w:ilvl w:val="0"/>
          <w:numId w:val="70"/>
        </w:numPr>
        <w:rPr>
          <w:rFonts w:ascii="Arial" w:cs="Arial" w:eastAsia="Arial" w:hAnsi="Arial"/>
          <w:sz w:val="18"/>
          <w:szCs w:val="18"/>
          <w:b w:val="1"/>
          <w:bCs w:val="1"/>
          <w:color w:val="auto"/>
        </w:rPr>
      </w:pPr>
      <w:r>
        <w:rPr>
          <w:rFonts w:ascii="Arial" w:cs="Arial" w:eastAsia="Arial" w:hAnsi="Arial"/>
          <w:sz w:val="18"/>
          <w:szCs w:val="18"/>
          <w:b w:val="1"/>
          <w:bCs w:val="1"/>
          <w:color w:val="auto"/>
        </w:rPr>
        <w:t>CAPITAL STOCK, STOCK AWARDS AND STOCK OPTIONS</w:t>
      </w:r>
    </w:p>
    <w:p>
      <w:pPr>
        <w:spacing w:after="0" w:line="144" w:lineRule="exact"/>
        <w:rPr>
          <w:sz w:val="20"/>
          <w:szCs w:val="20"/>
          <w:color w:val="auto"/>
        </w:rPr>
      </w:pPr>
    </w:p>
    <w:p>
      <w:pPr>
        <w:ind w:right="140"/>
        <w:spacing w:after="0" w:line="232" w:lineRule="auto"/>
        <w:rPr>
          <w:sz w:val="20"/>
          <w:szCs w:val="20"/>
          <w:color w:val="auto"/>
        </w:rPr>
      </w:pPr>
      <w:r>
        <w:rPr>
          <w:rFonts w:ascii="Arial" w:cs="Arial" w:eastAsia="Arial" w:hAnsi="Arial"/>
          <w:sz w:val="18"/>
          <w:szCs w:val="18"/>
          <w:b w:val="1"/>
          <w:bCs w:val="1"/>
          <w:color w:val="auto"/>
        </w:rPr>
        <w:t xml:space="preserve">Capital Stock. </w:t>
      </w:r>
      <w:r>
        <w:rPr>
          <w:rFonts w:ascii="Arial" w:cs="Arial" w:eastAsia="Arial" w:hAnsi="Arial"/>
          <w:sz w:val="18"/>
          <w:szCs w:val="18"/>
          <w:color w:val="auto"/>
        </w:rPr>
        <w:t>Each share of Class A common stock and Class B common stock participates equally in dividends. The Class B stock has</w:t>
      </w:r>
      <w:r>
        <w:rPr>
          <w:rFonts w:ascii="Arial" w:cs="Arial" w:eastAsia="Arial" w:hAnsi="Arial"/>
          <w:sz w:val="18"/>
          <w:szCs w:val="18"/>
          <w:b w:val="1"/>
          <w:bCs w:val="1"/>
          <w:color w:val="auto"/>
        </w:rPr>
        <w:t xml:space="preserve"> </w:t>
      </w:r>
      <w:r>
        <w:rPr>
          <w:rFonts w:ascii="Arial" w:cs="Arial" w:eastAsia="Arial" w:hAnsi="Arial"/>
          <w:sz w:val="18"/>
          <w:szCs w:val="18"/>
          <w:color w:val="auto"/>
        </w:rPr>
        <w:t>limited voting rights and as a class has the right to elect 30% of the Board of Directors; the Class A stock has unlimited voting rights, including the right to elect a majority of the Board of Directors. In 2015, the Company’s Class A shareholders converted 10,822, or 1%, of the Class A shares of the Company to an equal number of Class B shares. The conversions had no impact on the voting rights of the Class A and Class B common stock. There were no conversions in 2016.</w:t>
      </w:r>
    </w:p>
    <w:p>
      <w:pPr>
        <w:spacing w:after="0" w:line="109" w:lineRule="exact"/>
        <w:rPr>
          <w:sz w:val="20"/>
          <w:szCs w:val="20"/>
          <w:color w:val="auto"/>
        </w:rPr>
      </w:pPr>
    </w:p>
    <w:p>
      <w:pPr>
        <w:ind w:right="20"/>
        <w:spacing w:after="0" w:line="228" w:lineRule="auto"/>
        <w:rPr>
          <w:sz w:val="20"/>
          <w:szCs w:val="20"/>
          <w:color w:val="auto"/>
        </w:rPr>
      </w:pPr>
      <w:r>
        <w:rPr>
          <w:rFonts w:ascii="Arial" w:cs="Arial" w:eastAsia="Arial" w:hAnsi="Arial"/>
          <w:sz w:val="18"/>
          <w:szCs w:val="18"/>
          <w:color w:val="auto"/>
        </w:rPr>
        <w:t>During 2016 and 2015, the Company purchased a total of 229,498 and 46,226 shares, respectively, of its Class B common stock at a cost of approximately $108.9 million and $23.0 million, respectively. As part of the exchange transaction with Berkshire in 2014, the Company acquired 1,620,190 shares of its Class B common stock at a cost of approximately $1,165.4 million. On May 14, 2015, the Board of Directors authorized the Company to acquire up to 500,000 shares of its Class B common stock. The Company did not announce a ceiling price or time limit for the purchases. The authorization included 159,219 shares that remained under the previous authorization. At December 31, 2016, the Company had remaining authorization from the Board of Directors to purchase up to 224,276 shares of Class B common stock. Shares acquired as part of the exchange transaction received separate authorization by the Company’s Board of Directors.</w:t>
      </w:r>
    </w:p>
    <w:p>
      <w:pPr>
        <w:spacing w:after="0" w:line="107" w:lineRule="exact"/>
        <w:rPr>
          <w:sz w:val="20"/>
          <w:szCs w:val="20"/>
          <w:color w:val="auto"/>
        </w:rPr>
      </w:pPr>
    </w:p>
    <w:p>
      <w:pPr>
        <w:ind w:right="40"/>
        <w:spacing w:after="0" w:line="225" w:lineRule="auto"/>
        <w:rPr>
          <w:sz w:val="20"/>
          <w:szCs w:val="20"/>
          <w:color w:val="auto"/>
        </w:rPr>
      </w:pPr>
      <w:r>
        <w:rPr>
          <w:rFonts w:ascii="Arial" w:cs="Arial" w:eastAsia="Arial" w:hAnsi="Arial"/>
          <w:sz w:val="18"/>
          <w:szCs w:val="18"/>
          <w:b w:val="1"/>
          <w:bCs w:val="1"/>
          <w:color w:val="auto"/>
        </w:rPr>
        <w:t xml:space="preserve">Stock Awards. </w:t>
      </w:r>
      <w:r>
        <w:rPr>
          <w:rFonts w:ascii="Arial" w:cs="Arial" w:eastAsia="Arial" w:hAnsi="Arial"/>
          <w:sz w:val="18"/>
          <w:szCs w:val="18"/>
          <w:color w:val="auto"/>
        </w:rPr>
        <w:t>In 2012, the Company adopted an incentive compensation plan (the 2012 Plan), which, among other provisions, authorizes the</w:t>
      </w:r>
      <w:r>
        <w:rPr>
          <w:rFonts w:ascii="Arial" w:cs="Arial" w:eastAsia="Arial" w:hAnsi="Arial"/>
          <w:sz w:val="18"/>
          <w:szCs w:val="18"/>
          <w:b w:val="1"/>
          <w:bCs w:val="1"/>
          <w:color w:val="auto"/>
        </w:rPr>
        <w:t xml:space="preserve"> </w:t>
      </w:r>
      <w:r>
        <w:rPr>
          <w:rFonts w:ascii="Arial" w:cs="Arial" w:eastAsia="Arial" w:hAnsi="Arial"/>
          <w:sz w:val="18"/>
          <w:szCs w:val="18"/>
          <w:color w:val="auto"/>
        </w:rPr>
        <w:t>awarding of Class B common stock to key employees in the form of stock awards, stock options and other awards involving the actual transfer of shares. All stock awards, stock options and other awards involving the actual transfer of shares issued subsequent to the adoption of this plan are covered under this incentive compensation plan. Stock awards made under the 2012 Plan are primarily subject to the general restriction that stock awarded to a participant will be forfeited and revert to Company ownership if the participant’s employment terminates before the end of a specified period of service to the Company. Some of the awards are also subject to performance conditions and will be forfeited and revert to Company ownership if the conditions are not met. As a result of the Cable ONE spin-off, the number of Class B common stock authorized for issuance under the 2012 Plan was increased from 500,000 shares to 772,588 shares. The individual award limit under the 2012 Plan was also increased from 50,000 shares to 77,258 shares per calendar year. At December 31, 2016, there were 617,326 shares reserved for issuance under the 2012 incentive compensation plan. Of this number, 171,156 shares were subject to stock awards and stock options outstanding and 446,170 shares were available for future awards.</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color w:val="auto"/>
        </w:rPr>
        <w:t>Activity related to stock awards under the 2012 incentive compensation plan for the year ended December 31, 2016 was as follows: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160" w:type="dxa"/>
            <w:vAlign w:val="bottom"/>
          </w:tcPr>
          <w:p>
            <w:pPr>
              <w:spacing w:after="0"/>
              <w:rPr>
                <w:sz w:val="14"/>
                <w:szCs w:val="14"/>
                <w:color w:val="auto"/>
              </w:rPr>
            </w:pPr>
          </w:p>
        </w:tc>
        <w:tc>
          <w:tcPr>
            <w:tcW w:w="1020" w:type="dxa"/>
            <w:vAlign w:val="bottom"/>
          </w:tcPr>
          <w:p>
            <w:pPr>
              <w:jc w:val="right"/>
              <w:ind w:right="82"/>
              <w:spacing w:after="0"/>
              <w:rPr>
                <w:sz w:val="20"/>
                <w:szCs w:val="20"/>
                <w:color w:val="auto"/>
              </w:rPr>
            </w:pPr>
            <w:r>
              <w:rPr>
                <w:rFonts w:ascii="Arial" w:cs="Arial" w:eastAsia="Arial" w:hAnsi="Arial"/>
                <w:sz w:val="14"/>
                <w:szCs w:val="14"/>
                <w:b w:val="1"/>
                <w:bCs w:val="1"/>
                <w:color w:val="auto"/>
              </w:rPr>
              <w:t>Number of</w:t>
            </w:r>
          </w:p>
        </w:tc>
        <w:tc>
          <w:tcPr>
            <w:tcW w:w="1240" w:type="dxa"/>
            <w:vAlign w:val="bottom"/>
            <w:gridSpan w:val="2"/>
          </w:tcPr>
          <w:p>
            <w:pPr>
              <w:jc w:val="right"/>
              <w:spacing w:after="0"/>
              <w:rPr>
                <w:sz w:val="20"/>
                <w:szCs w:val="20"/>
                <w:color w:val="auto"/>
              </w:rPr>
            </w:pPr>
            <w:r>
              <w:rPr>
                <w:rFonts w:ascii="Arial" w:cs="Arial" w:eastAsia="Arial" w:hAnsi="Arial"/>
                <w:sz w:val="14"/>
                <w:szCs w:val="14"/>
                <w:b w:val="1"/>
                <w:bCs w:val="1"/>
                <w:color w:val="auto"/>
              </w:rPr>
              <w:t>Average Grant-</w:t>
            </w:r>
          </w:p>
        </w:tc>
      </w:tr>
      <w:tr>
        <w:trPr>
          <w:trHeight w:val="203"/>
        </w:trPr>
        <w:tc>
          <w:tcPr>
            <w:tcW w:w="91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202"/>
              <w:spacing w:after="0"/>
              <w:rPr>
                <w:sz w:val="20"/>
                <w:szCs w:val="20"/>
                <w:color w:val="auto"/>
              </w:rPr>
            </w:pPr>
            <w:r>
              <w:rPr>
                <w:rFonts w:ascii="Arial" w:cs="Arial" w:eastAsia="Arial" w:hAnsi="Arial"/>
                <w:sz w:val="14"/>
                <w:szCs w:val="14"/>
                <w:b w:val="1"/>
                <w:bCs w:val="1"/>
                <w:color w:val="auto"/>
              </w:rPr>
              <w:t>Shares</w:t>
            </w:r>
          </w:p>
        </w:tc>
        <w:tc>
          <w:tcPr>
            <w:tcW w:w="12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Date Fair Value</w:t>
            </w:r>
          </w:p>
        </w:tc>
      </w:tr>
      <w:tr>
        <w:trPr>
          <w:trHeight w:val="257"/>
        </w:trPr>
        <w:tc>
          <w:tcPr>
            <w:tcW w:w="9160" w:type="dxa"/>
            <w:vAlign w:val="bottom"/>
          </w:tcPr>
          <w:p>
            <w:pPr>
              <w:ind w:left="40"/>
              <w:spacing w:after="0"/>
              <w:rPr>
                <w:sz w:val="20"/>
                <w:szCs w:val="20"/>
                <w:color w:val="auto"/>
              </w:rPr>
            </w:pPr>
            <w:r>
              <w:rPr>
                <w:rFonts w:ascii="Arial" w:cs="Arial" w:eastAsia="Arial" w:hAnsi="Arial"/>
                <w:sz w:val="16"/>
                <w:szCs w:val="16"/>
                <w:color w:val="auto"/>
              </w:rPr>
              <w:t>Beginning of year, unvested</w:t>
            </w:r>
          </w:p>
        </w:tc>
        <w:tc>
          <w:tcPr>
            <w:tcW w:w="1020" w:type="dxa"/>
            <w:vAlign w:val="bottom"/>
          </w:tcPr>
          <w:p>
            <w:pPr>
              <w:jc w:val="right"/>
              <w:ind w:right="42"/>
              <w:spacing w:after="0"/>
              <w:rPr>
                <w:sz w:val="20"/>
                <w:szCs w:val="20"/>
                <w:color w:val="auto"/>
              </w:rPr>
            </w:pPr>
            <w:r>
              <w:rPr>
                <w:rFonts w:ascii="Arial" w:cs="Arial" w:eastAsia="Arial" w:hAnsi="Arial"/>
                <w:sz w:val="16"/>
                <w:szCs w:val="16"/>
                <w:b w:val="1"/>
                <w:bCs w:val="1"/>
                <w:color w:val="auto"/>
              </w:rPr>
              <w:t>81,475</w:t>
            </w:r>
          </w:p>
        </w:tc>
        <w:tc>
          <w:tcPr>
            <w:tcW w:w="420" w:type="dxa"/>
            <w:vAlign w:val="bottom"/>
          </w:tcPr>
          <w:p>
            <w:pPr>
              <w:jc w:val="right"/>
              <w:ind w:right="125"/>
              <w:spacing w:after="0"/>
              <w:rPr>
                <w:sz w:val="20"/>
                <w:szCs w:val="20"/>
                <w:color w:val="auto"/>
              </w:rPr>
            </w:pPr>
            <w:r>
              <w:rPr>
                <w:rFonts w:ascii="Arial" w:cs="Arial" w:eastAsia="Arial" w:hAnsi="Arial"/>
                <w:sz w:val="16"/>
                <w:szCs w:val="16"/>
                <w:b w:val="1"/>
                <w:bCs w:val="1"/>
                <w:color w:val="auto"/>
              </w:rPr>
              <w:t>$</w:t>
            </w:r>
          </w:p>
        </w:tc>
        <w:tc>
          <w:tcPr>
            <w:tcW w:w="820" w:type="dxa"/>
            <w:vAlign w:val="bottom"/>
          </w:tcPr>
          <w:p>
            <w:pPr>
              <w:jc w:val="right"/>
              <w:ind w:right="19"/>
              <w:spacing w:after="0"/>
              <w:rPr>
                <w:sz w:val="20"/>
                <w:szCs w:val="20"/>
                <w:color w:val="auto"/>
              </w:rPr>
            </w:pPr>
            <w:r>
              <w:rPr>
                <w:rFonts w:ascii="Arial" w:cs="Arial" w:eastAsia="Arial" w:hAnsi="Arial"/>
                <w:sz w:val="16"/>
                <w:szCs w:val="16"/>
                <w:b w:val="1"/>
                <w:bCs w:val="1"/>
                <w:color w:val="auto"/>
              </w:rPr>
              <w:t>637.70</w:t>
            </w:r>
          </w:p>
        </w:tc>
      </w:tr>
      <w:tr>
        <w:trPr>
          <w:trHeight w:val="270"/>
        </w:trPr>
        <w:tc>
          <w:tcPr>
            <w:tcW w:w="9160" w:type="dxa"/>
            <w:vAlign w:val="bottom"/>
          </w:tcPr>
          <w:p>
            <w:pPr>
              <w:ind w:left="40"/>
              <w:spacing w:after="0"/>
              <w:rPr>
                <w:sz w:val="20"/>
                <w:szCs w:val="20"/>
                <w:color w:val="auto"/>
              </w:rPr>
            </w:pPr>
            <w:r>
              <w:rPr>
                <w:rFonts w:ascii="Arial" w:cs="Arial" w:eastAsia="Arial" w:hAnsi="Arial"/>
                <w:sz w:val="16"/>
                <w:szCs w:val="16"/>
                <w:color w:val="auto"/>
              </w:rPr>
              <w:t>Awarded</w:t>
            </w:r>
          </w:p>
        </w:tc>
        <w:tc>
          <w:tcPr>
            <w:tcW w:w="1020" w:type="dxa"/>
            <w:vAlign w:val="bottom"/>
          </w:tcPr>
          <w:p>
            <w:pPr>
              <w:jc w:val="right"/>
              <w:ind w:right="42"/>
              <w:spacing w:after="0"/>
              <w:rPr>
                <w:sz w:val="20"/>
                <w:szCs w:val="20"/>
                <w:color w:val="auto"/>
              </w:rPr>
            </w:pPr>
            <w:r>
              <w:rPr>
                <w:rFonts w:ascii="Arial" w:cs="Arial" w:eastAsia="Arial" w:hAnsi="Arial"/>
                <w:sz w:val="16"/>
                <w:szCs w:val="16"/>
                <w:b w:val="1"/>
                <w:bCs w:val="1"/>
                <w:color w:val="auto"/>
              </w:rPr>
              <w:t>1,291</w:t>
            </w:r>
          </w:p>
        </w:tc>
        <w:tc>
          <w:tcPr>
            <w:tcW w:w="420" w:type="dxa"/>
            <w:vAlign w:val="bottom"/>
          </w:tcPr>
          <w:p>
            <w:pPr>
              <w:spacing w:after="0"/>
              <w:rPr>
                <w:sz w:val="23"/>
                <w:szCs w:val="23"/>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b w:val="1"/>
                <w:bCs w:val="1"/>
                <w:color w:val="auto"/>
              </w:rPr>
              <w:t>872.36</w:t>
            </w:r>
          </w:p>
        </w:tc>
      </w:tr>
      <w:tr>
        <w:trPr>
          <w:trHeight w:val="270"/>
        </w:trPr>
        <w:tc>
          <w:tcPr>
            <w:tcW w:w="9160" w:type="dxa"/>
            <w:vAlign w:val="bottom"/>
          </w:tcPr>
          <w:p>
            <w:pPr>
              <w:ind w:left="40"/>
              <w:spacing w:after="0"/>
              <w:rPr>
                <w:sz w:val="20"/>
                <w:szCs w:val="20"/>
                <w:color w:val="auto"/>
              </w:rPr>
            </w:pPr>
            <w:r>
              <w:rPr>
                <w:rFonts w:ascii="Arial" w:cs="Arial" w:eastAsia="Arial" w:hAnsi="Arial"/>
                <w:sz w:val="16"/>
                <w:szCs w:val="16"/>
                <w:color w:val="auto"/>
              </w:rPr>
              <w:t>Vested</w:t>
            </w: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(11,366)</w:t>
            </w:r>
          </w:p>
        </w:tc>
        <w:tc>
          <w:tcPr>
            <w:tcW w:w="420" w:type="dxa"/>
            <w:vAlign w:val="bottom"/>
          </w:tcPr>
          <w:p>
            <w:pPr>
              <w:spacing w:after="0"/>
              <w:rPr>
                <w:sz w:val="23"/>
                <w:szCs w:val="23"/>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b w:val="1"/>
                <w:bCs w:val="1"/>
                <w:color w:val="auto"/>
              </w:rPr>
              <w:t>565.79</w:t>
            </w:r>
          </w:p>
        </w:tc>
      </w:tr>
      <w:tr>
        <w:trPr>
          <w:trHeight w:val="274"/>
        </w:trPr>
        <w:tc>
          <w:tcPr>
            <w:tcW w:w="9160" w:type="dxa"/>
            <w:vAlign w:val="bottom"/>
          </w:tcPr>
          <w:p>
            <w:pPr>
              <w:ind w:left="40"/>
              <w:spacing w:after="0"/>
              <w:rPr>
                <w:sz w:val="20"/>
                <w:szCs w:val="20"/>
                <w:color w:val="auto"/>
              </w:rPr>
            </w:pPr>
            <w:r>
              <w:rPr>
                <w:rFonts w:ascii="Arial" w:cs="Arial" w:eastAsia="Arial" w:hAnsi="Arial"/>
                <w:sz w:val="16"/>
                <w:szCs w:val="16"/>
                <w:color w:val="auto"/>
              </w:rPr>
              <w:t>Forfeited</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(4,175)</w:t>
            </w:r>
          </w:p>
        </w:tc>
        <w:tc>
          <w:tcPr>
            <w:tcW w:w="420" w:type="dxa"/>
            <w:vAlign w:val="bottom"/>
          </w:tcPr>
          <w:p>
            <w:pPr>
              <w:spacing w:after="0"/>
              <w:rPr>
                <w:sz w:val="23"/>
                <w:szCs w:val="23"/>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b w:val="1"/>
                <w:bCs w:val="1"/>
                <w:color w:val="auto"/>
              </w:rPr>
              <w:t>625.04</w:t>
            </w:r>
          </w:p>
        </w:tc>
      </w:tr>
      <w:tr>
        <w:trPr>
          <w:trHeight w:val="240"/>
        </w:trPr>
        <w:tc>
          <w:tcPr>
            <w:tcW w:w="9160" w:type="dxa"/>
            <w:vAlign w:val="bottom"/>
          </w:tcPr>
          <w:p>
            <w:pPr>
              <w:ind w:left="40"/>
              <w:spacing w:after="0"/>
              <w:rPr>
                <w:sz w:val="20"/>
                <w:szCs w:val="20"/>
                <w:color w:val="auto"/>
              </w:rPr>
            </w:pPr>
            <w:r>
              <w:rPr>
                <w:rFonts w:ascii="Arial" w:cs="Arial" w:eastAsia="Arial" w:hAnsi="Arial"/>
                <w:sz w:val="16"/>
                <w:szCs w:val="16"/>
                <w:b w:val="1"/>
                <w:bCs w:val="1"/>
                <w:color w:val="auto"/>
              </w:rPr>
              <w:t>End of Year, Unvested</w:t>
            </w:r>
          </w:p>
        </w:tc>
        <w:tc>
          <w:tcPr>
            <w:tcW w:w="102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67,225</w:t>
            </w:r>
          </w:p>
        </w:tc>
        <w:tc>
          <w:tcPr>
            <w:tcW w:w="42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b w:val="1"/>
                <w:bCs w:val="1"/>
                <w:color w:val="auto"/>
              </w:rPr>
              <w:t>655.15</w:t>
            </w:r>
          </w:p>
        </w:tc>
      </w:tr>
      <w:tr>
        <w:trPr>
          <w:trHeight w:val="20"/>
        </w:trPr>
        <w:tc>
          <w:tcPr>
            <w:tcW w:w="91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bl>
    <w:p>
      <w:pPr>
        <w:spacing w:after="0" w:line="126" w:lineRule="exact"/>
        <w:rPr>
          <w:sz w:val="20"/>
          <w:szCs w:val="20"/>
          <w:color w:val="auto"/>
        </w:rPr>
      </w:pPr>
    </w:p>
    <w:p>
      <w:pPr>
        <w:ind w:right="60"/>
        <w:spacing w:after="0" w:line="228" w:lineRule="auto"/>
        <w:rPr>
          <w:sz w:val="20"/>
          <w:szCs w:val="20"/>
          <w:color w:val="auto"/>
        </w:rPr>
      </w:pPr>
      <w:r>
        <w:rPr>
          <w:rFonts w:ascii="Arial" w:cs="Arial" w:eastAsia="Arial" w:hAnsi="Arial"/>
          <w:sz w:val="18"/>
          <w:szCs w:val="18"/>
          <w:color w:val="auto"/>
        </w:rPr>
        <w:t>In connection with the spin-off of Cable ONE, the Company modified the terms of 10,830 restricted stock awards in the second quarter of 2015 affecting 21 Cable ONE employees. The modification resulted in the acceleration of the vesting period of 6,324 restricted stock awards and the forfeiture of 4,506 restricted stock awards. The Company recorded incremental stock compensation expense, net of forfeitures, in the second quarter of 2015 amounting to $3.7 million, which is reflected in discontinued operations in the Company’s consolidated financial statements. The spin-off also resulted in a modification of some of the Company’s outstanding restricted stock awards. The holders of restricted stock awards received Cable ONE restricted common stock, on a pro rata basis, as part of the distribution. The modification of the restricted stock awards resulted in an estimated incremental stock</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20"/>
          </w:cols>
          <w:pgMar w:left="240" w:top="722" w:right="239" w:bottom="1440" w:gutter="0" w:footer="0" w:header="0"/>
        </w:sectPr>
      </w:pPr>
    </w:p>
    <w:bookmarkStart w:id="93" w:name="page94"/>
    <w:bookmarkEnd w:id="93"/>
    <w:p>
      <w:pPr>
        <w:ind w:right="480"/>
        <w:spacing w:after="0" w:line="260" w:lineRule="auto"/>
        <w:rPr>
          <w:sz w:val="20"/>
          <w:szCs w:val="20"/>
          <w:color w:val="auto"/>
        </w:rPr>
      </w:pPr>
      <w:r>
        <w:rPr>
          <w:rFonts w:ascii="Arial" w:cs="Arial" w:eastAsia="Arial" w:hAnsi="Arial"/>
          <w:sz w:val="18"/>
          <w:szCs w:val="18"/>
          <w:color w:val="auto"/>
        </w:rPr>
        <w:t>compensation expense of $3.0 million that is being recognized over the remaining service periods of the unvested restricted stock awards through the end of 2018.</w:t>
      </w:r>
    </w:p>
    <w:p>
      <w:pPr>
        <w:spacing w:after="0" w:line="92" w:lineRule="exact"/>
        <w:rPr>
          <w:sz w:val="20"/>
          <w:szCs w:val="20"/>
          <w:color w:val="auto"/>
        </w:rPr>
      </w:pPr>
    </w:p>
    <w:p>
      <w:pPr>
        <w:ind w:right="400"/>
        <w:spacing w:after="0"/>
        <w:rPr>
          <w:sz w:val="20"/>
          <w:szCs w:val="20"/>
          <w:color w:val="auto"/>
        </w:rPr>
      </w:pPr>
      <w:r>
        <w:rPr>
          <w:rFonts w:ascii="Arial" w:cs="Arial" w:eastAsia="Arial" w:hAnsi="Arial"/>
          <w:sz w:val="18"/>
          <w:szCs w:val="18"/>
          <w:color w:val="auto"/>
        </w:rPr>
        <w:t>In the fourth quarter of 2015, the Company also modified the terms of an additional 9,800 restricted stock awards affecting one now former employee. The modification resulted in the acceleration of the vesting period of 9,412 restricted stock awards and the forfeiture of 388 restricted stock awards. As a result, the Company recorded incremental stock compensation expense, net of forfeitures, of $6.0 million.</w:t>
      </w:r>
    </w:p>
    <w:p>
      <w:pPr>
        <w:spacing w:after="0" w:line="108" w:lineRule="exact"/>
        <w:rPr>
          <w:sz w:val="20"/>
          <w:szCs w:val="20"/>
          <w:color w:val="auto"/>
        </w:rPr>
      </w:pPr>
    </w:p>
    <w:p>
      <w:pPr>
        <w:ind w:right="80"/>
        <w:spacing w:after="0" w:line="234" w:lineRule="auto"/>
        <w:rPr>
          <w:sz w:val="20"/>
          <w:szCs w:val="20"/>
          <w:color w:val="auto"/>
        </w:rPr>
      </w:pPr>
      <w:r>
        <w:rPr>
          <w:rFonts w:ascii="Arial" w:cs="Arial" w:eastAsia="Arial" w:hAnsi="Arial"/>
          <w:sz w:val="18"/>
          <w:szCs w:val="18"/>
          <w:color w:val="auto"/>
        </w:rPr>
        <w:t>For the share awards outstanding at December 31, 2016, the aforementioned restriction will lapse in 2017 for 28,200 shares, in 2018 for 14,225 shares, in 2019 for 24,550 shares and in 2020 for 250 shares. Also, in early 2017, the Company issued stock awards of 15,150 shares. Stock-based compensation costs resulting from Company stock awards were $11.0 million, $25.3 million and $15.4 million in 2016, 2015 and 2014, respectively.</w:t>
      </w:r>
    </w:p>
    <w:p>
      <w:pPr>
        <w:spacing w:after="0" w:line="111" w:lineRule="exact"/>
        <w:rPr>
          <w:sz w:val="20"/>
          <w:szCs w:val="20"/>
          <w:color w:val="auto"/>
        </w:rPr>
      </w:pPr>
    </w:p>
    <w:p>
      <w:pPr>
        <w:ind w:right="100"/>
        <w:spacing w:after="0" w:line="260" w:lineRule="auto"/>
        <w:rPr>
          <w:sz w:val="20"/>
          <w:szCs w:val="20"/>
          <w:color w:val="auto"/>
        </w:rPr>
      </w:pPr>
      <w:r>
        <w:rPr>
          <w:rFonts w:ascii="Arial" w:cs="Arial" w:eastAsia="Arial" w:hAnsi="Arial"/>
          <w:sz w:val="18"/>
          <w:szCs w:val="18"/>
          <w:color w:val="auto"/>
        </w:rPr>
        <w:t>As of December 31, 2016, there was $11.9 million of total unrecognized compensation expense related to these awards. That cost is expected to be recognized on a straight-line basis over a weighted average period of 0.9 years.</w:t>
      </w:r>
    </w:p>
    <w:p>
      <w:pPr>
        <w:spacing w:after="0" w:line="90" w:lineRule="exact"/>
        <w:rPr>
          <w:sz w:val="20"/>
          <w:szCs w:val="20"/>
          <w:color w:val="auto"/>
        </w:rPr>
      </w:pPr>
    </w:p>
    <w:p>
      <w:pPr>
        <w:ind w:right="340"/>
        <w:spacing w:after="0" w:line="235" w:lineRule="auto"/>
        <w:rPr>
          <w:sz w:val="20"/>
          <w:szCs w:val="20"/>
          <w:color w:val="auto"/>
        </w:rPr>
      </w:pPr>
      <w:r>
        <w:rPr>
          <w:rFonts w:ascii="Arial" w:cs="Arial" w:eastAsia="Arial" w:hAnsi="Arial"/>
          <w:sz w:val="18"/>
          <w:szCs w:val="18"/>
          <w:b w:val="1"/>
          <w:bCs w:val="1"/>
          <w:color w:val="auto"/>
        </w:rPr>
        <w:t xml:space="preserve">Stock Options. </w:t>
      </w:r>
      <w:r>
        <w:rPr>
          <w:rFonts w:ascii="Arial" w:cs="Arial" w:eastAsia="Arial" w:hAnsi="Arial"/>
          <w:sz w:val="18"/>
          <w:szCs w:val="18"/>
          <w:color w:val="auto"/>
        </w:rPr>
        <w:t>The Company’s 2003 employee stock option plan reserves 1,900,000 shares of the Company’s Class B common stock for</w:t>
      </w:r>
      <w:r>
        <w:rPr>
          <w:rFonts w:ascii="Arial" w:cs="Arial" w:eastAsia="Arial" w:hAnsi="Arial"/>
          <w:sz w:val="18"/>
          <w:szCs w:val="18"/>
          <w:b w:val="1"/>
          <w:bCs w:val="1"/>
          <w:color w:val="auto"/>
        </w:rPr>
        <w:t xml:space="preserve"> </w:t>
      </w:r>
      <w:r>
        <w:rPr>
          <w:rFonts w:ascii="Arial" w:cs="Arial" w:eastAsia="Arial" w:hAnsi="Arial"/>
          <w:sz w:val="18"/>
          <w:szCs w:val="18"/>
          <w:color w:val="auto"/>
        </w:rPr>
        <w:t>options to be granted under the plan. The purchase price of the shares covered by an option cannot be less than the fair value on the grant date. Options generally vest over four years and have a maximum term of ten years. At December 31, 2016, there were 83,065 shares reserved for issuance under this stock option plan, which were all subject to options outstanding.</w:t>
      </w:r>
    </w:p>
    <w:p>
      <w:pPr>
        <w:spacing w:after="0" w:line="110" w:lineRule="exact"/>
        <w:rPr>
          <w:sz w:val="20"/>
          <w:szCs w:val="20"/>
          <w:color w:val="auto"/>
        </w:rPr>
      </w:pPr>
    </w:p>
    <w:p>
      <w:pPr>
        <w:ind w:right="500"/>
        <w:spacing w:after="0" w:line="260" w:lineRule="auto"/>
        <w:rPr>
          <w:sz w:val="20"/>
          <w:szCs w:val="20"/>
          <w:color w:val="auto"/>
        </w:rPr>
      </w:pPr>
      <w:r>
        <w:rPr>
          <w:rFonts w:ascii="Arial" w:cs="Arial" w:eastAsia="Arial" w:hAnsi="Arial"/>
          <w:sz w:val="18"/>
          <w:szCs w:val="18"/>
          <w:color w:val="auto"/>
        </w:rPr>
        <w:t>Stock options granted under the 2012 Plan cannot be less than the fair value on the grant date, generally vest over four years and have a maximum term of ten years. In 2015 and 2014, grants were issued which vest over six years.</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color w:val="auto"/>
        </w:rPr>
        <w:t>Activity related to options outstanding for the year ended December 31, 2016 was as follows: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020" w:type="dxa"/>
            <w:vAlign w:val="bottom"/>
          </w:tcPr>
          <w:p>
            <w:pPr>
              <w:spacing w:after="0"/>
              <w:rPr>
                <w:sz w:val="14"/>
                <w:szCs w:val="14"/>
                <w:color w:val="auto"/>
              </w:rPr>
            </w:pPr>
          </w:p>
        </w:tc>
        <w:tc>
          <w:tcPr>
            <w:tcW w:w="1040" w:type="dxa"/>
            <w:vAlign w:val="bottom"/>
          </w:tcPr>
          <w:p>
            <w:pPr>
              <w:jc w:val="right"/>
              <w:ind w:right="82"/>
              <w:spacing w:after="0"/>
              <w:rPr>
                <w:sz w:val="20"/>
                <w:szCs w:val="20"/>
                <w:color w:val="auto"/>
              </w:rPr>
            </w:pPr>
            <w:r>
              <w:rPr>
                <w:rFonts w:ascii="Arial" w:cs="Arial" w:eastAsia="Arial" w:hAnsi="Arial"/>
                <w:sz w:val="14"/>
                <w:szCs w:val="14"/>
                <w:b w:val="1"/>
                <w:bCs w:val="1"/>
                <w:color w:val="auto"/>
              </w:rPr>
              <w:t>Number of</w:t>
            </w:r>
          </w:p>
        </w:tc>
        <w:tc>
          <w:tcPr>
            <w:tcW w:w="136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Average Option</w:t>
            </w:r>
          </w:p>
        </w:tc>
      </w:tr>
      <w:tr>
        <w:trPr>
          <w:trHeight w:val="203"/>
        </w:trPr>
        <w:tc>
          <w:tcPr>
            <w:tcW w:w="90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202"/>
              <w:spacing w:after="0"/>
              <w:rPr>
                <w:sz w:val="20"/>
                <w:szCs w:val="20"/>
                <w:color w:val="auto"/>
              </w:rPr>
            </w:pPr>
            <w:r>
              <w:rPr>
                <w:rFonts w:ascii="Arial" w:cs="Arial" w:eastAsia="Arial" w:hAnsi="Arial"/>
                <w:sz w:val="14"/>
                <w:szCs w:val="14"/>
                <w:b w:val="1"/>
                <w:bCs w:val="1"/>
                <w:color w:val="auto"/>
              </w:rPr>
              <w:t>Shares</w:t>
            </w:r>
          </w:p>
        </w:tc>
        <w:tc>
          <w:tcPr>
            <w:tcW w:w="3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Price</w:t>
            </w:r>
          </w:p>
        </w:tc>
      </w:tr>
      <w:tr>
        <w:trPr>
          <w:trHeight w:val="257"/>
        </w:trPr>
        <w:tc>
          <w:tcPr>
            <w:tcW w:w="9020" w:type="dxa"/>
            <w:vAlign w:val="bottom"/>
          </w:tcPr>
          <w:p>
            <w:pPr>
              <w:ind w:left="40"/>
              <w:spacing w:after="0"/>
              <w:rPr>
                <w:sz w:val="20"/>
                <w:szCs w:val="20"/>
                <w:color w:val="auto"/>
              </w:rPr>
            </w:pPr>
            <w:r>
              <w:rPr>
                <w:rFonts w:ascii="Arial" w:cs="Arial" w:eastAsia="Arial" w:hAnsi="Arial"/>
                <w:sz w:val="16"/>
                <w:szCs w:val="16"/>
                <w:color w:val="auto"/>
              </w:rPr>
              <w:t>Beginning of year</w:t>
            </w:r>
          </w:p>
        </w:tc>
        <w:tc>
          <w:tcPr>
            <w:tcW w:w="1040" w:type="dxa"/>
            <w:vAlign w:val="bottom"/>
          </w:tcPr>
          <w:p>
            <w:pPr>
              <w:jc w:val="right"/>
              <w:ind w:right="42"/>
              <w:spacing w:after="0"/>
              <w:rPr>
                <w:sz w:val="20"/>
                <w:szCs w:val="20"/>
                <w:color w:val="auto"/>
              </w:rPr>
            </w:pPr>
            <w:r>
              <w:rPr>
                <w:rFonts w:ascii="Arial" w:cs="Arial" w:eastAsia="Arial" w:hAnsi="Arial"/>
                <w:sz w:val="16"/>
                <w:szCs w:val="16"/>
                <w:b w:val="1"/>
                <w:bCs w:val="1"/>
                <w:color w:val="auto"/>
              </w:rPr>
              <w:t>191,722</w:t>
            </w:r>
          </w:p>
        </w:tc>
        <w:tc>
          <w:tcPr>
            <w:tcW w:w="380" w:type="dxa"/>
            <w:vAlign w:val="bottom"/>
          </w:tcPr>
          <w:p>
            <w:pPr>
              <w:jc w:val="right"/>
              <w:ind w:right="83"/>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ind w:right="20"/>
              <w:spacing w:after="0"/>
              <w:rPr>
                <w:sz w:val="20"/>
                <w:szCs w:val="20"/>
                <w:color w:val="auto"/>
              </w:rPr>
            </w:pPr>
            <w:r>
              <w:rPr>
                <w:rFonts w:ascii="Arial" w:cs="Arial" w:eastAsia="Arial" w:hAnsi="Arial"/>
                <w:sz w:val="16"/>
                <w:szCs w:val="16"/>
                <w:b w:val="1"/>
                <w:bCs w:val="1"/>
                <w:color w:val="auto"/>
              </w:rPr>
              <w:t>552.00</w:t>
            </w:r>
          </w:p>
        </w:tc>
      </w:tr>
      <w:tr>
        <w:trPr>
          <w:trHeight w:val="270"/>
        </w:trPr>
        <w:tc>
          <w:tcPr>
            <w:tcW w:w="9020" w:type="dxa"/>
            <w:vAlign w:val="bottom"/>
          </w:tcPr>
          <w:p>
            <w:pPr>
              <w:ind w:left="40"/>
              <w:spacing w:after="0"/>
              <w:rPr>
                <w:sz w:val="20"/>
                <w:szCs w:val="20"/>
                <w:color w:val="auto"/>
              </w:rPr>
            </w:pPr>
            <w:r>
              <w:rPr>
                <w:rFonts w:ascii="Arial" w:cs="Arial" w:eastAsia="Arial" w:hAnsi="Arial"/>
                <w:sz w:val="16"/>
                <w:szCs w:val="16"/>
                <w:color w:val="auto"/>
              </w:rPr>
              <w:t>Granted</w:t>
            </w:r>
          </w:p>
        </w:tc>
        <w:tc>
          <w:tcPr>
            <w:tcW w:w="1040" w:type="dxa"/>
            <w:vAlign w:val="bottom"/>
          </w:tcPr>
          <w:p>
            <w:pPr>
              <w:jc w:val="right"/>
              <w:ind w:right="42"/>
              <w:spacing w:after="0"/>
              <w:rPr>
                <w:sz w:val="20"/>
                <w:szCs w:val="20"/>
                <w:color w:val="auto"/>
              </w:rPr>
            </w:pPr>
            <w:r>
              <w:rPr>
                <w:rFonts w:ascii="Arial" w:cs="Arial" w:eastAsia="Arial" w:hAnsi="Arial"/>
                <w:sz w:val="16"/>
                <w:szCs w:val="16"/>
                <w:b w:val="1"/>
                <w:bCs w:val="1"/>
                <w:color w:val="auto"/>
              </w:rPr>
              <w:t>—</w:t>
            </w:r>
          </w:p>
        </w:tc>
        <w:tc>
          <w:tcPr>
            <w:tcW w:w="380" w:type="dxa"/>
            <w:vAlign w:val="bottom"/>
          </w:tcPr>
          <w:p>
            <w:pPr>
              <w:spacing w:after="0"/>
              <w:rPr>
                <w:sz w:val="23"/>
                <w:szCs w:val="23"/>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b w:val="1"/>
                <w:bCs w:val="1"/>
                <w:color w:val="auto"/>
              </w:rPr>
              <w:t>—</w:t>
            </w:r>
          </w:p>
        </w:tc>
      </w:tr>
      <w:tr>
        <w:trPr>
          <w:trHeight w:val="270"/>
        </w:trPr>
        <w:tc>
          <w:tcPr>
            <w:tcW w:w="9020" w:type="dxa"/>
            <w:vAlign w:val="bottom"/>
          </w:tcPr>
          <w:p>
            <w:pPr>
              <w:ind w:left="40"/>
              <w:spacing w:after="0"/>
              <w:rPr>
                <w:sz w:val="20"/>
                <w:szCs w:val="20"/>
                <w:color w:val="auto"/>
              </w:rPr>
            </w:pPr>
            <w:r>
              <w:rPr>
                <w:rFonts w:ascii="Arial" w:cs="Arial" w:eastAsia="Arial" w:hAnsi="Arial"/>
                <w:sz w:val="16"/>
                <w:szCs w:val="16"/>
                <w:color w:val="auto"/>
              </w:rPr>
              <w:t>Exercised</w:t>
            </w: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(4,726)</w:t>
            </w:r>
          </w:p>
        </w:tc>
        <w:tc>
          <w:tcPr>
            <w:tcW w:w="380" w:type="dxa"/>
            <w:vAlign w:val="bottom"/>
          </w:tcPr>
          <w:p>
            <w:pPr>
              <w:spacing w:after="0"/>
              <w:rPr>
                <w:sz w:val="23"/>
                <w:szCs w:val="23"/>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b w:val="1"/>
                <w:bCs w:val="1"/>
                <w:color w:val="auto"/>
              </w:rPr>
              <w:t>250.29</w:t>
            </w:r>
          </w:p>
        </w:tc>
      </w:tr>
      <w:tr>
        <w:trPr>
          <w:trHeight w:val="274"/>
        </w:trPr>
        <w:tc>
          <w:tcPr>
            <w:tcW w:w="9020" w:type="dxa"/>
            <w:vAlign w:val="bottom"/>
          </w:tcPr>
          <w:p>
            <w:pPr>
              <w:ind w:left="40"/>
              <w:spacing w:after="0"/>
              <w:rPr>
                <w:sz w:val="20"/>
                <w:szCs w:val="20"/>
                <w:color w:val="auto"/>
              </w:rPr>
            </w:pPr>
            <w:r>
              <w:rPr>
                <w:rFonts w:ascii="Arial" w:cs="Arial" w:eastAsia="Arial" w:hAnsi="Arial"/>
                <w:sz w:val="16"/>
                <w:szCs w:val="16"/>
                <w:color w:val="auto"/>
              </w:rPr>
              <w:t>Expired or forfeited</w:t>
            </w:r>
          </w:p>
        </w:tc>
        <w:tc>
          <w:tcPr>
            <w:tcW w:w="104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w:t>
            </w:r>
          </w:p>
        </w:tc>
        <w:tc>
          <w:tcPr>
            <w:tcW w:w="380" w:type="dxa"/>
            <w:vAlign w:val="bottom"/>
          </w:tcPr>
          <w:p>
            <w:pPr>
              <w:spacing w:after="0"/>
              <w:rPr>
                <w:sz w:val="23"/>
                <w:szCs w:val="23"/>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b w:val="1"/>
                <w:bCs w:val="1"/>
                <w:color w:val="auto"/>
              </w:rPr>
              <w:t>—</w:t>
            </w:r>
          </w:p>
        </w:tc>
      </w:tr>
      <w:tr>
        <w:trPr>
          <w:trHeight w:val="240"/>
        </w:trPr>
        <w:tc>
          <w:tcPr>
            <w:tcW w:w="9020" w:type="dxa"/>
            <w:vAlign w:val="bottom"/>
          </w:tcPr>
          <w:p>
            <w:pPr>
              <w:ind w:left="40"/>
              <w:spacing w:after="0"/>
              <w:rPr>
                <w:sz w:val="20"/>
                <w:szCs w:val="20"/>
                <w:color w:val="auto"/>
              </w:rPr>
            </w:pPr>
            <w:r>
              <w:rPr>
                <w:rFonts w:ascii="Arial" w:cs="Arial" w:eastAsia="Arial" w:hAnsi="Arial"/>
                <w:sz w:val="16"/>
                <w:szCs w:val="16"/>
                <w:b w:val="1"/>
                <w:bCs w:val="1"/>
                <w:color w:val="auto"/>
              </w:rPr>
              <w:t>End of Year</w:t>
            </w:r>
          </w:p>
        </w:tc>
        <w:tc>
          <w:tcPr>
            <w:tcW w:w="104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186,996</w:t>
            </w:r>
          </w:p>
        </w:tc>
        <w:tc>
          <w:tcPr>
            <w:tcW w:w="380" w:type="dxa"/>
            <w:vAlign w:val="bottom"/>
          </w:tcPr>
          <w:p>
            <w:pPr>
              <w:spacing w:after="0"/>
              <w:rPr>
                <w:sz w:val="20"/>
                <w:szCs w:val="20"/>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b w:val="1"/>
                <w:bCs w:val="1"/>
                <w:color w:val="auto"/>
              </w:rPr>
              <w:t>559.62</w:t>
            </w:r>
          </w:p>
        </w:tc>
      </w:tr>
      <w:tr>
        <w:trPr>
          <w:trHeight w:val="20"/>
        </w:trPr>
        <w:tc>
          <w:tcPr>
            <w:tcW w:w="90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bl>
    <w:p>
      <w:pPr>
        <w:spacing w:after="0" w:line="126" w:lineRule="exact"/>
        <w:rPr>
          <w:sz w:val="20"/>
          <w:szCs w:val="20"/>
          <w:color w:val="auto"/>
        </w:rPr>
      </w:pPr>
    </w:p>
    <w:p>
      <w:pPr>
        <w:ind w:right="80"/>
        <w:spacing w:after="0" w:line="231" w:lineRule="auto"/>
        <w:rPr>
          <w:sz w:val="20"/>
          <w:szCs w:val="20"/>
          <w:color w:val="auto"/>
        </w:rPr>
      </w:pPr>
      <w:r>
        <w:rPr>
          <w:rFonts w:ascii="Arial" w:cs="Arial" w:eastAsia="Arial" w:hAnsi="Arial"/>
          <w:sz w:val="18"/>
          <w:szCs w:val="18"/>
          <w:color w:val="auto"/>
        </w:rPr>
        <w:t>In connection with the spin-off of Cable ONE, the Company modified outstanding stock options to add an antidilution provision. This resulted in an incremental stock compensation expense of $23.5 million, of which $18.8 million related to fully vested stock options was recognized as a one-time expense in the third quarter of 2015, with the remaining $ 4.7 million to be recognized over the remaining service periods of the unvested stock options through the end of 2018. The $18.8 million expense is included in the Company’s corporate office segment results and in selling, general and administrative in the Consolidated Statements of Operations.</w:t>
      </w:r>
    </w:p>
    <w:p>
      <w:pPr>
        <w:spacing w:after="0" w:line="111" w:lineRule="exact"/>
        <w:rPr>
          <w:sz w:val="20"/>
          <w:szCs w:val="20"/>
          <w:color w:val="auto"/>
        </w:rPr>
      </w:pPr>
    </w:p>
    <w:p>
      <w:pPr>
        <w:spacing w:after="0" w:line="234" w:lineRule="auto"/>
        <w:rPr>
          <w:sz w:val="20"/>
          <w:szCs w:val="20"/>
          <w:color w:val="auto"/>
        </w:rPr>
      </w:pPr>
      <w:r>
        <w:rPr>
          <w:rFonts w:ascii="Arial" w:cs="Arial" w:eastAsia="Arial" w:hAnsi="Arial"/>
          <w:sz w:val="18"/>
          <w:szCs w:val="18"/>
          <w:color w:val="auto"/>
        </w:rPr>
        <w:t>Of the shares covered by options outstanding at the end of 2016, 114,872 are now exercisable; 17,000 will become exercisable in 2017; 17,000 will become exercisable in 2018; 17,000 will become exercisable in 2019; 17,000 will become exercisable in 2020; and 4,124 will become exercisable in 2021. For 2016, 2015 and 2014, the Company recorded expense of $2.4 million, $22.9 million and $2.7 million related to stock options, respectively. Information related to stock options outstanding and exercisable at December 31, 2016, is as follows: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780" w:type="dxa"/>
            <w:vAlign w:val="bottom"/>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gridSpan w:val="2"/>
          </w:tcPr>
          <w:p>
            <w:pPr>
              <w:jc w:val="right"/>
              <w:ind w:right="7"/>
              <w:spacing w:after="0"/>
              <w:rPr>
                <w:sz w:val="20"/>
                <w:szCs w:val="20"/>
                <w:color w:val="auto"/>
              </w:rPr>
            </w:pPr>
            <w:r>
              <w:rPr>
                <w:rFonts w:ascii="Arial" w:cs="Arial" w:eastAsia="Arial" w:hAnsi="Arial"/>
                <w:sz w:val="14"/>
                <w:szCs w:val="14"/>
                <w:b w:val="1"/>
                <w:bCs w:val="1"/>
                <w:color w:val="auto"/>
              </w:rPr>
              <w:t>Options Outstanding</w:t>
            </w:r>
          </w:p>
        </w:tc>
        <w:tc>
          <w:tcPr>
            <w:tcW w:w="2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2"/>
          </w:tcPr>
          <w:p>
            <w:pPr>
              <w:jc w:val="right"/>
              <w:ind w:right="7"/>
              <w:spacing w:after="0"/>
              <w:rPr>
                <w:sz w:val="20"/>
                <w:szCs w:val="20"/>
                <w:color w:val="auto"/>
              </w:rPr>
            </w:pPr>
            <w:r>
              <w:rPr>
                <w:rFonts w:ascii="Arial" w:cs="Arial" w:eastAsia="Arial" w:hAnsi="Arial"/>
                <w:sz w:val="14"/>
                <w:szCs w:val="14"/>
                <w:b w:val="1"/>
                <w:bCs w:val="1"/>
                <w:color w:val="auto"/>
              </w:rPr>
              <w:t>Options Exercisable</w:t>
            </w:r>
          </w:p>
        </w:tc>
        <w:tc>
          <w:tcPr>
            <w:tcW w:w="2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r>
      <w:tr>
        <w:trPr>
          <w:trHeight w:val="168"/>
        </w:trPr>
        <w:tc>
          <w:tcPr>
            <w:tcW w:w="37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rPr>
              <w:t>Weighted</w:t>
            </w: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rPr>
              <w:t>Weighted</w:t>
            </w: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2"/>
        </w:trPr>
        <w:tc>
          <w:tcPr>
            <w:tcW w:w="37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rPr>
              <w:t>Average</w:t>
            </w:r>
          </w:p>
        </w:tc>
        <w:tc>
          <w:tcPr>
            <w:tcW w:w="200" w:type="dxa"/>
            <w:vAlign w:val="bottom"/>
          </w:tcPr>
          <w:p>
            <w:pPr>
              <w:spacing w:after="0"/>
              <w:rPr>
                <w:sz w:val="14"/>
                <w:szCs w:val="14"/>
                <w:color w:val="auto"/>
              </w:rPr>
            </w:pPr>
          </w:p>
        </w:tc>
        <w:tc>
          <w:tcPr>
            <w:tcW w:w="1000" w:type="dxa"/>
            <w:vAlign w:val="bottom"/>
          </w:tcPr>
          <w:p>
            <w:pPr>
              <w:jc w:val="center"/>
              <w:ind w:right="223"/>
              <w:spacing w:after="0"/>
              <w:rPr>
                <w:sz w:val="20"/>
                <w:szCs w:val="20"/>
                <w:color w:val="auto"/>
              </w:rPr>
            </w:pPr>
            <w:r>
              <w:rPr>
                <w:rFonts w:ascii="Arial" w:cs="Arial" w:eastAsia="Arial" w:hAnsi="Arial"/>
                <w:sz w:val="14"/>
                <w:szCs w:val="14"/>
                <w:b w:val="1"/>
                <w:bCs w:val="1"/>
                <w:color w:val="auto"/>
              </w:rPr>
              <w:t>Weighted</w:t>
            </w: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rPr>
              <w:t>Average</w:t>
            </w:r>
          </w:p>
        </w:tc>
        <w:tc>
          <w:tcPr>
            <w:tcW w:w="200" w:type="dxa"/>
            <w:vAlign w:val="bottom"/>
          </w:tcPr>
          <w:p>
            <w:pPr>
              <w:spacing w:after="0"/>
              <w:rPr>
                <w:sz w:val="14"/>
                <w:szCs w:val="14"/>
                <w:color w:val="auto"/>
              </w:rPr>
            </w:pPr>
          </w:p>
        </w:tc>
        <w:tc>
          <w:tcPr>
            <w:tcW w:w="880" w:type="dxa"/>
            <w:vAlign w:val="bottom"/>
          </w:tcPr>
          <w:p>
            <w:pPr>
              <w:jc w:val="center"/>
              <w:ind w:right="123"/>
              <w:spacing w:after="0"/>
              <w:rPr>
                <w:sz w:val="20"/>
                <w:szCs w:val="20"/>
                <w:color w:val="auto"/>
              </w:rPr>
            </w:pPr>
            <w:r>
              <w:rPr>
                <w:rFonts w:ascii="Arial" w:cs="Arial" w:eastAsia="Arial" w:hAnsi="Arial"/>
                <w:sz w:val="14"/>
                <w:szCs w:val="14"/>
                <w:b w:val="1"/>
                <w:bCs w:val="1"/>
                <w:color w:val="auto"/>
              </w:rPr>
              <w:t>Weighted</w:t>
            </w:r>
          </w:p>
        </w:tc>
      </w:tr>
      <w:tr>
        <w:trPr>
          <w:trHeight w:val="162"/>
        </w:trPr>
        <w:tc>
          <w:tcPr>
            <w:tcW w:w="3780" w:type="dxa"/>
            <w:vAlign w:val="bottom"/>
          </w:tcPr>
          <w:p>
            <w:pPr>
              <w:spacing w:after="0"/>
              <w:rPr>
                <w:sz w:val="14"/>
                <w:szCs w:val="14"/>
                <w:color w:val="auto"/>
              </w:rPr>
            </w:pPr>
          </w:p>
        </w:tc>
        <w:tc>
          <w:tcPr>
            <w:tcW w:w="1180" w:type="dxa"/>
            <w:vAlign w:val="bottom"/>
          </w:tcPr>
          <w:p>
            <w:pPr>
              <w:jc w:val="center"/>
              <w:ind w:left="22"/>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rPr>
              <w:t>Remaining</w:t>
            </w:r>
          </w:p>
        </w:tc>
        <w:tc>
          <w:tcPr>
            <w:tcW w:w="200" w:type="dxa"/>
            <w:vAlign w:val="bottom"/>
          </w:tcPr>
          <w:p>
            <w:pPr>
              <w:spacing w:after="0"/>
              <w:rPr>
                <w:sz w:val="14"/>
                <w:szCs w:val="14"/>
                <w:color w:val="auto"/>
              </w:rPr>
            </w:pPr>
          </w:p>
        </w:tc>
        <w:tc>
          <w:tcPr>
            <w:tcW w:w="1000" w:type="dxa"/>
            <w:vAlign w:val="bottom"/>
          </w:tcPr>
          <w:p>
            <w:pPr>
              <w:jc w:val="center"/>
              <w:ind w:right="203"/>
              <w:spacing w:after="0"/>
              <w:rPr>
                <w:sz w:val="20"/>
                <w:szCs w:val="20"/>
                <w:color w:val="auto"/>
              </w:rPr>
            </w:pPr>
            <w:r>
              <w:rPr>
                <w:rFonts w:ascii="Arial" w:cs="Arial" w:eastAsia="Arial" w:hAnsi="Arial"/>
                <w:sz w:val="14"/>
                <w:szCs w:val="14"/>
                <w:b w:val="1"/>
                <w:bCs w:val="1"/>
                <w:color w:val="auto"/>
              </w:rPr>
              <w:t>Average</w:t>
            </w:r>
          </w:p>
        </w:tc>
        <w:tc>
          <w:tcPr>
            <w:tcW w:w="1160" w:type="dxa"/>
            <w:vAlign w:val="bottom"/>
          </w:tcPr>
          <w:p>
            <w:pPr>
              <w:jc w:val="center"/>
              <w:ind w:left="2"/>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4"/>
                <w:szCs w:val="14"/>
                <w:color w:val="auto"/>
              </w:rPr>
            </w:pP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rPr>
              <w:t>Remaining</w:t>
            </w:r>
          </w:p>
        </w:tc>
        <w:tc>
          <w:tcPr>
            <w:tcW w:w="200" w:type="dxa"/>
            <w:vAlign w:val="bottom"/>
          </w:tcPr>
          <w:p>
            <w:pPr>
              <w:spacing w:after="0"/>
              <w:rPr>
                <w:sz w:val="14"/>
                <w:szCs w:val="14"/>
                <w:color w:val="auto"/>
              </w:rPr>
            </w:pPr>
          </w:p>
        </w:tc>
        <w:tc>
          <w:tcPr>
            <w:tcW w:w="880" w:type="dxa"/>
            <w:vAlign w:val="bottom"/>
          </w:tcPr>
          <w:p>
            <w:pPr>
              <w:jc w:val="center"/>
              <w:ind w:right="123"/>
              <w:spacing w:after="0"/>
              <w:rPr>
                <w:sz w:val="20"/>
                <w:szCs w:val="20"/>
                <w:color w:val="auto"/>
              </w:rPr>
            </w:pPr>
            <w:r>
              <w:rPr>
                <w:rFonts w:ascii="Arial" w:cs="Arial" w:eastAsia="Arial" w:hAnsi="Arial"/>
                <w:sz w:val="14"/>
                <w:szCs w:val="14"/>
                <w:b w:val="1"/>
                <w:bCs w:val="1"/>
                <w:color w:val="auto"/>
              </w:rPr>
              <w:t>Average</w:t>
            </w:r>
          </w:p>
        </w:tc>
      </w:tr>
      <w:tr>
        <w:trPr>
          <w:trHeight w:val="162"/>
        </w:trPr>
        <w:tc>
          <w:tcPr>
            <w:tcW w:w="3780" w:type="dxa"/>
            <w:vAlign w:val="bottom"/>
          </w:tcPr>
          <w:p>
            <w:pPr>
              <w:spacing w:after="0"/>
              <w:rPr>
                <w:sz w:val="14"/>
                <w:szCs w:val="14"/>
                <w:color w:val="auto"/>
              </w:rPr>
            </w:pPr>
          </w:p>
        </w:tc>
        <w:tc>
          <w:tcPr>
            <w:tcW w:w="1180" w:type="dxa"/>
            <w:vAlign w:val="bottom"/>
          </w:tcPr>
          <w:p>
            <w:pPr>
              <w:jc w:val="center"/>
              <w:ind w:left="42"/>
              <w:spacing w:after="0"/>
              <w:rPr>
                <w:sz w:val="20"/>
                <w:szCs w:val="20"/>
                <w:color w:val="auto"/>
              </w:rPr>
            </w:pPr>
            <w:r>
              <w:rPr>
                <w:rFonts w:ascii="Arial" w:cs="Arial" w:eastAsia="Arial" w:hAnsi="Arial"/>
                <w:sz w:val="14"/>
                <w:szCs w:val="14"/>
                <w:b w:val="1"/>
                <w:bCs w:val="1"/>
                <w:color w:val="auto"/>
              </w:rPr>
              <w:t>Outstanding at</w:t>
            </w:r>
          </w:p>
        </w:tc>
        <w:tc>
          <w:tcPr>
            <w:tcW w:w="10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rPr>
              <w:t>Contractual</w:t>
            </w:r>
          </w:p>
        </w:tc>
        <w:tc>
          <w:tcPr>
            <w:tcW w:w="200" w:type="dxa"/>
            <w:vAlign w:val="bottom"/>
          </w:tcPr>
          <w:p>
            <w:pPr>
              <w:spacing w:after="0"/>
              <w:rPr>
                <w:sz w:val="14"/>
                <w:szCs w:val="14"/>
                <w:color w:val="auto"/>
              </w:rPr>
            </w:pPr>
          </w:p>
        </w:tc>
        <w:tc>
          <w:tcPr>
            <w:tcW w:w="1000" w:type="dxa"/>
            <w:vAlign w:val="bottom"/>
          </w:tcPr>
          <w:p>
            <w:pPr>
              <w:jc w:val="center"/>
              <w:ind w:right="183"/>
              <w:spacing w:after="0"/>
              <w:rPr>
                <w:sz w:val="20"/>
                <w:szCs w:val="20"/>
                <w:color w:val="auto"/>
              </w:rPr>
            </w:pPr>
            <w:r>
              <w:rPr>
                <w:rFonts w:ascii="Arial" w:cs="Arial" w:eastAsia="Arial" w:hAnsi="Arial"/>
                <w:sz w:val="14"/>
                <w:szCs w:val="14"/>
                <w:b w:val="1"/>
                <w:bCs w:val="1"/>
                <w:color w:val="auto"/>
              </w:rPr>
              <w:t>Exercise</w:t>
            </w: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rPr>
              <w:t>Exercisable at</w:t>
            </w:r>
          </w:p>
        </w:tc>
        <w:tc>
          <w:tcPr>
            <w:tcW w:w="80" w:type="dxa"/>
            <w:vAlign w:val="bottom"/>
          </w:tcPr>
          <w:p>
            <w:pPr>
              <w:spacing w:after="0"/>
              <w:rPr>
                <w:sz w:val="14"/>
                <w:szCs w:val="14"/>
                <w:color w:val="auto"/>
              </w:rPr>
            </w:pP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rPr>
              <w:t>Contractual</w:t>
            </w:r>
          </w:p>
        </w:tc>
        <w:tc>
          <w:tcPr>
            <w:tcW w:w="200" w:type="dxa"/>
            <w:vAlign w:val="bottom"/>
          </w:tcPr>
          <w:p>
            <w:pPr>
              <w:spacing w:after="0"/>
              <w:rPr>
                <w:sz w:val="14"/>
                <w:szCs w:val="14"/>
                <w:color w:val="auto"/>
              </w:rPr>
            </w:pPr>
          </w:p>
        </w:tc>
        <w:tc>
          <w:tcPr>
            <w:tcW w:w="880" w:type="dxa"/>
            <w:vAlign w:val="bottom"/>
          </w:tcPr>
          <w:p>
            <w:pPr>
              <w:jc w:val="center"/>
              <w:ind w:right="63"/>
              <w:spacing w:after="0"/>
              <w:rPr>
                <w:sz w:val="20"/>
                <w:szCs w:val="20"/>
                <w:color w:val="auto"/>
              </w:rPr>
            </w:pPr>
            <w:r>
              <w:rPr>
                <w:rFonts w:ascii="Arial" w:cs="Arial" w:eastAsia="Arial" w:hAnsi="Arial"/>
                <w:sz w:val="14"/>
                <w:szCs w:val="14"/>
                <w:b w:val="1"/>
                <w:bCs w:val="1"/>
                <w:color w:val="auto"/>
              </w:rPr>
              <w:t>Exercise</w:t>
            </w:r>
          </w:p>
        </w:tc>
      </w:tr>
      <w:tr>
        <w:trPr>
          <w:trHeight w:val="203"/>
        </w:trPr>
        <w:tc>
          <w:tcPr>
            <w:tcW w:w="37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Range of Exercise Prices</w:t>
            </w:r>
          </w:p>
        </w:tc>
        <w:tc>
          <w:tcPr>
            <w:tcW w:w="1180" w:type="dxa"/>
            <w:vAlign w:val="bottom"/>
            <w:tcBorders>
              <w:bottom w:val="single" w:sz="8" w:color="auto"/>
            </w:tcBorders>
          </w:tcPr>
          <w:p>
            <w:pPr>
              <w:jc w:val="center"/>
              <w:ind w:left="22"/>
              <w:spacing w:after="0"/>
              <w:rPr>
                <w:sz w:val="20"/>
                <w:szCs w:val="20"/>
                <w:color w:val="auto"/>
              </w:rPr>
            </w:pPr>
            <w:r>
              <w:rPr>
                <w:rFonts w:ascii="Arial" w:cs="Arial" w:eastAsia="Arial" w:hAnsi="Arial"/>
                <w:sz w:val="14"/>
                <w:szCs w:val="14"/>
                <w:b w:val="1"/>
                <w:bCs w:val="1"/>
                <w:color w:val="auto"/>
              </w:rPr>
              <w:t>12/31/2016</w:t>
            </w:r>
          </w:p>
        </w:tc>
        <w:tc>
          <w:tcPr>
            <w:tcW w:w="10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Life (years)</w:t>
            </w:r>
          </w:p>
        </w:tc>
        <w:tc>
          <w:tcPr>
            <w:tcW w:w="2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center"/>
              <w:ind w:right="183"/>
              <w:spacing w:after="0"/>
              <w:rPr>
                <w:sz w:val="20"/>
                <w:szCs w:val="20"/>
                <w:color w:val="auto"/>
              </w:rPr>
            </w:pPr>
            <w:r>
              <w:rPr>
                <w:rFonts w:ascii="Arial" w:cs="Arial" w:eastAsia="Arial" w:hAnsi="Arial"/>
                <w:sz w:val="14"/>
                <w:szCs w:val="14"/>
                <w:b w:val="1"/>
                <w:bCs w:val="1"/>
                <w:color w:val="auto"/>
                <w:w w:val="99"/>
              </w:rPr>
              <w:t>Price</w:t>
            </w:r>
          </w:p>
        </w:tc>
        <w:tc>
          <w:tcPr>
            <w:tcW w:w="1160" w:type="dxa"/>
            <w:vAlign w:val="bottom"/>
            <w:tcBorders>
              <w:bottom w:val="single" w:sz="8" w:color="auto"/>
            </w:tcBorders>
          </w:tcPr>
          <w:p>
            <w:pPr>
              <w:jc w:val="center"/>
              <w:ind w:left="2"/>
              <w:spacing w:after="0"/>
              <w:rPr>
                <w:sz w:val="20"/>
                <w:szCs w:val="20"/>
                <w:color w:val="auto"/>
              </w:rPr>
            </w:pPr>
            <w:r>
              <w:rPr>
                <w:rFonts w:ascii="Arial" w:cs="Arial" w:eastAsia="Arial" w:hAnsi="Arial"/>
                <w:sz w:val="14"/>
                <w:szCs w:val="14"/>
                <w:b w:val="1"/>
                <w:bCs w:val="1"/>
                <w:color w:val="auto"/>
              </w:rPr>
              <w:t>12/31/2016</w:t>
            </w:r>
          </w:p>
        </w:tc>
        <w:tc>
          <w:tcPr>
            <w:tcW w:w="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Life (years)</w:t>
            </w:r>
          </w:p>
        </w:tc>
        <w:tc>
          <w:tcPr>
            <w:tcW w:w="2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center"/>
              <w:ind w:right="63"/>
              <w:spacing w:after="0"/>
              <w:rPr>
                <w:sz w:val="20"/>
                <w:szCs w:val="20"/>
                <w:color w:val="auto"/>
              </w:rPr>
            </w:pPr>
            <w:r>
              <w:rPr>
                <w:rFonts w:ascii="Arial" w:cs="Arial" w:eastAsia="Arial" w:hAnsi="Arial"/>
                <w:sz w:val="14"/>
                <w:szCs w:val="14"/>
                <w:b w:val="1"/>
                <w:bCs w:val="1"/>
                <w:color w:val="auto"/>
                <w:w w:val="99"/>
              </w:rPr>
              <w:t>Price</w:t>
            </w:r>
          </w:p>
        </w:tc>
      </w:tr>
      <w:tr>
        <w:trPr>
          <w:trHeight w:val="249"/>
        </w:trPr>
        <w:tc>
          <w:tcPr>
            <w:tcW w:w="3780" w:type="dxa"/>
            <w:vAlign w:val="bottom"/>
          </w:tcPr>
          <w:p>
            <w:pPr>
              <w:ind w:left="180"/>
              <w:spacing w:after="0"/>
              <w:rPr>
                <w:sz w:val="20"/>
                <w:szCs w:val="20"/>
                <w:color w:val="auto"/>
              </w:rPr>
            </w:pPr>
            <w:r>
              <w:rPr>
                <w:rFonts w:ascii="Arial" w:cs="Arial" w:eastAsia="Arial" w:hAnsi="Arial"/>
                <w:sz w:val="16"/>
                <w:szCs w:val="16"/>
                <w:color w:val="auto"/>
              </w:rPr>
              <w:t>$244–284</w:t>
            </w:r>
          </w:p>
        </w:tc>
        <w:tc>
          <w:tcPr>
            <w:tcW w:w="1180" w:type="dxa"/>
            <w:vAlign w:val="bottom"/>
          </w:tcPr>
          <w:p>
            <w:pPr>
              <w:jc w:val="right"/>
              <w:spacing w:after="0"/>
              <w:rPr>
                <w:sz w:val="20"/>
                <w:szCs w:val="20"/>
                <w:color w:val="auto"/>
              </w:rPr>
            </w:pPr>
            <w:r>
              <w:rPr>
                <w:rFonts w:ascii="Arial" w:cs="Arial" w:eastAsia="Arial" w:hAnsi="Arial"/>
                <w:sz w:val="16"/>
                <w:szCs w:val="16"/>
                <w:color w:val="auto"/>
              </w:rPr>
              <w:t>4,648</w:t>
            </w:r>
          </w:p>
        </w:tc>
        <w:tc>
          <w:tcPr>
            <w:tcW w:w="1540" w:type="dxa"/>
            <w:vAlign w:val="bottom"/>
            <w:gridSpan w:val="2"/>
          </w:tcPr>
          <w:p>
            <w:pPr>
              <w:jc w:val="right"/>
              <w:ind w:right="367"/>
              <w:spacing w:after="0"/>
              <w:rPr>
                <w:sz w:val="20"/>
                <w:szCs w:val="20"/>
                <w:color w:val="auto"/>
              </w:rPr>
            </w:pPr>
            <w:r>
              <w:rPr>
                <w:rFonts w:ascii="Arial" w:cs="Arial" w:eastAsia="Arial" w:hAnsi="Arial"/>
                <w:sz w:val="16"/>
                <w:szCs w:val="16"/>
                <w:color w:val="auto"/>
              </w:rPr>
              <w:t>4.4</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43"/>
              <w:spacing w:after="0"/>
              <w:rPr>
                <w:sz w:val="20"/>
                <w:szCs w:val="20"/>
                <w:color w:val="auto"/>
              </w:rPr>
            </w:pPr>
            <w:r>
              <w:rPr>
                <w:rFonts w:ascii="Arial" w:cs="Arial" w:eastAsia="Arial" w:hAnsi="Arial"/>
                <w:sz w:val="16"/>
                <w:szCs w:val="16"/>
                <w:color w:val="auto"/>
              </w:rPr>
              <w:t>261.18</w:t>
            </w:r>
          </w:p>
        </w:tc>
        <w:tc>
          <w:tcPr>
            <w:tcW w:w="1160" w:type="dxa"/>
            <w:vAlign w:val="bottom"/>
          </w:tcPr>
          <w:p>
            <w:pPr>
              <w:jc w:val="right"/>
              <w:spacing w:after="0"/>
              <w:rPr>
                <w:sz w:val="20"/>
                <w:szCs w:val="20"/>
                <w:color w:val="auto"/>
              </w:rPr>
            </w:pPr>
            <w:r>
              <w:rPr>
                <w:rFonts w:ascii="Arial" w:cs="Arial" w:eastAsia="Arial" w:hAnsi="Arial"/>
                <w:sz w:val="16"/>
                <w:szCs w:val="16"/>
                <w:color w:val="auto"/>
              </w:rPr>
              <w:t>4,648</w:t>
            </w:r>
          </w:p>
        </w:tc>
        <w:tc>
          <w:tcPr>
            <w:tcW w:w="1480" w:type="dxa"/>
            <w:vAlign w:val="bottom"/>
            <w:gridSpan w:val="2"/>
          </w:tcPr>
          <w:p>
            <w:pPr>
              <w:jc w:val="right"/>
              <w:ind w:right="367"/>
              <w:spacing w:after="0"/>
              <w:rPr>
                <w:sz w:val="20"/>
                <w:szCs w:val="20"/>
                <w:color w:val="auto"/>
              </w:rPr>
            </w:pPr>
            <w:r>
              <w:rPr>
                <w:rFonts w:ascii="Arial" w:cs="Arial" w:eastAsia="Arial" w:hAnsi="Arial"/>
                <w:sz w:val="16"/>
                <w:szCs w:val="16"/>
                <w:color w:val="auto"/>
              </w:rPr>
              <w:t>4.4</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23"/>
              <w:spacing w:after="0"/>
              <w:rPr>
                <w:sz w:val="20"/>
                <w:szCs w:val="20"/>
                <w:color w:val="auto"/>
              </w:rPr>
            </w:pPr>
            <w:r>
              <w:rPr>
                <w:rFonts w:ascii="Arial" w:cs="Arial" w:eastAsia="Arial" w:hAnsi="Arial"/>
                <w:sz w:val="16"/>
                <w:szCs w:val="16"/>
                <w:color w:val="auto"/>
              </w:rPr>
              <w:t>261.18</w:t>
            </w:r>
          </w:p>
        </w:tc>
      </w:tr>
      <w:tr>
        <w:trPr>
          <w:trHeight w:val="270"/>
        </w:trPr>
        <w:tc>
          <w:tcPr>
            <w:tcW w:w="3780" w:type="dxa"/>
            <w:vAlign w:val="bottom"/>
          </w:tcPr>
          <w:p>
            <w:pPr>
              <w:ind w:left="180"/>
              <w:spacing w:after="0"/>
              <w:rPr>
                <w:sz w:val="20"/>
                <w:szCs w:val="20"/>
                <w:color w:val="auto"/>
              </w:rPr>
            </w:pPr>
            <w:r>
              <w:rPr>
                <w:rFonts w:ascii="Arial" w:cs="Arial" w:eastAsia="Arial" w:hAnsi="Arial"/>
                <w:sz w:val="16"/>
                <w:szCs w:val="16"/>
                <w:color w:val="auto"/>
              </w:rPr>
              <w:t>325</w:t>
            </w:r>
          </w:p>
        </w:tc>
        <w:tc>
          <w:tcPr>
            <w:tcW w:w="1180" w:type="dxa"/>
            <w:vAlign w:val="bottom"/>
          </w:tcPr>
          <w:p>
            <w:pPr>
              <w:jc w:val="right"/>
              <w:spacing w:after="0"/>
              <w:rPr>
                <w:sz w:val="20"/>
                <w:szCs w:val="20"/>
                <w:color w:val="auto"/>
              </w:rPr>
            </w:pPr>
            <w:r>
              <w:rPr>
                <w:rFonts w:ascii="Arial" w:cs="Arial" w:eastAsia="Arial" w:hAnsi="Arial"/>
                <w:sz w:val="16"/>
                <w:szCs w:val="16"/>
                <w:color w:val="auto"/>
              </w:rPr>
              <w:t>77,258</w:t>
            </w:r>
          </w:p>
        </w:tc>
        <w:tc>
          <w:tcPr>
            <w:tcW w:w="1540" w:type="dxa"/>
            <w:vAlign w:val="bottom"/>
            <w:gridSpan w:val="2"/>
          </w:tcPr>
          <w:p>
            <w:pPr>
              <w:jc w:val="right"/>
              <w:ind w:right="367"/>
              <w:spacing w:after="0"/>
              <w:rPr>
                <w:sz w:val="20"/>
                <w:szCs w:val="20"/>
                <w:color w:val="auto"/>
              </w:rPr>
            </w:pPr>
            <w:r>
              <w:rPr>
                <w:rFonts w:ascii="Arial" w:cs="Arial" w:eastAsia="Arial" w:hAnsi="Arial"/>
                <w:sz w:val="16"/>
                <w:szCs w:val="16"/>
                <w:color w:val="auto"/>
              </w:rPr>
              <w:t>4.1</w:t>
            </w:r>
          </w:p>
        </w:tc>
        <w:tc>
          <w:tcPr>
            <w:tcW w:w="200" w:type="dxa"/>
            <w:vAlign w:val="bottom"/>
          </w:tcPr>
          <w:p>
            <w:pPr>
              <w:spacing w:after="0"/>
              <w:rPr>
                <w:sz w:val="23"/>
                <w:szCs w:val="23"/>
                <w:color w:val="auto"/>
              </w:rPr>
            </w:pPr>
          </w:p>
        </w:tc>
        <w:tc>
          <w:tcPr>
            <w:tcW w:w="1000" w:type="dxa"/>
            <w:vAlign w:val="bottom"/>
          </w:tcPr>
          <w:p>
            <w:pPr>
              <w:jc w:val="right"/>
              <w:ind w:right="143"/>
              <w:spacing w:after="0"/>
              <w:rPr>
                <w:sz w:val="20"/>
                <w:szCs w:val="20"/>
                <w:color w:val="auto"/>
              </w:rPr>
            </w:pPr>
            <w:r>
              <w:rPr>
                <w:rFonts w:ascii="Arial" w:cs="Arial" w:eastAsia="Arial" w:hAnsi="Arial"/>
                <w:sz w:val="16"/>
                <w:szCs w:val="16"/>
                <w:color w:val="auto"/>
              </w:rPr>
              <w:t>325.26</w:t>
            </w:r>
          </w:p>
        </w:tc>
        <w:tc>
          <w:tcPr>
            <w:tcW w:w="1160" w:type="dxa"/>
            <w:vAlign w:val="bottom"/>
          </w:tcPr>
          <w:p>
            <w:pPr>
              <w:jc w:val="right"/>
              <w:spacing w:after="0"/>
              <w:rPr>
                <w:sz w:val="20"/>
                <w:szCs w:val="20"/>
                <w:color w:val="auto"/>
              </w:rPr>
            </w:pPr>
            <w:r>
              <w:rPr>
                <w:rFonts w:ascii="Arial" w:cs="Arial" w:eastAsia="Arial" w:hAnsi="Arial"/>
                <w:sz w:val="16"/>
                <w:szCs w:val="16"/>
                <w:color w:val="auto"/>
              </w:rPr>
              <w:t>77,258</w:t>
            </w:r>
          </w:p>
        </w:tc>
        <w:tc>
          <w:tcPr>
            <w:tcW w:w="1480" w:type="dxa"/>
            <w:vAlign w:val="bottom"/>
            <w:gridSpan w:val="2"/>
          </w:tcPr>
          <w:p>
            <w:pPr>
              <w:jc w:val="right"/>
              <w:ind w:right="367"/>
              <w:spacing w:after="0"/>
              <w:rPr>
                <w:sz w:val="20"/>
                <w:szCs w:val="20"/>
                <w:color w:val="auto"/>
              </w:rPr>
            </w:pPr>
            <w:r>
              <w:rPr>
                <w:rFonts w:ascii="Arial" w:cs="Arial" w:eastAsia="Arial" w:hAnsi="Arial"/>
                <w:sz w:val="16"/>
                <w:szCs w:val="16"/>
                <w:color w:val="auto"/>
              </w:rPr>
              <w:t>4.1</w:t>
            </w:r>
          </w:p>
        </w:tc>
        <w:tc>
          <w:tcPr>
            <w:tcW w:w="200" w:type="dxa"/>
            <w:vAlign w:val="bottom"/>
          </w:tcPr>
          <w:p>
            <w:pPr>
              <w:spacing w:after="0"/>
              <w:rPr>
                <w:sz w:val="23"/>
                <w:szCs w:val="23"/>
                <w:color w:val="auto"/>
              </w:rPr>
            </w:pPr>
          </w:p>
        </w:tc>
        <w:tc>
          <w:tcPr>
            <w:tcW w:w="880" w:type="dxa"/>
            <w:vAlign w:val="bottom"/>
          </w:tcPr>
          <w:p>
            <w:pPr>
              <w:jc w:val="right"/>
              <w:ind w:right="23"/>
              <w:spacing w:after="0"/>
              <w:rPr>
                <w:sz w:val="20"/>
                <w:szCs w:val="20"/>
                <w:color w:val="auto"/>
              </w:rPr>
            </w:pPr>
            <w:r>
              <w:rPr>
                <w:rFonts w:ascii="Arial" w:cs="Arial" w:eastAsia="Arial" w:hAnsi="Arial"/>
                <w:sz w:val="16"/>
                <w:szCs w:val="16"/>
                <w:color w:val="auto"/>
              </w:rPr>
              <w:t>325.26</w:t>
            </w:r>
          </w:p>
        </w:tc>
      </w:tr>
      <w:tr>
        <w:trPr>
          <w:trHeight w:val="270"/>
        </w:trPr>
        <w:tc>
          <w:tcPr>
            <w:tcW w:w="3780" w:type="dxa"/>
            <w:vAlign w:val="bottom"/>
          </w:tcPr>
          <w:p>
            <w:pPr>
              <w:ind w:left="180"/>
              <w:spacing w:after="0"/>
              <w:rPr>
                <w:sz w:val="20"/>
                <w:szCs w:val="20"/>
                <w:color w:val="auto"/>
              </w:rPr>
            </w:pPr>
            <w:r>
              <w:rPr>
                <w:rFonts w:ascii="Arial" w:cs="Arial" w:eastAsia="Arial" w:hAnsi="Arial"/>
                <w:sz w:val="16"/>
                <w:szCs w:val="16"/>
                <w:color w:val="auto"/>
              </w:rPr>
              <w:t>422</w:t>
            </w:r>
          </w:p>
        </w:tc>
        <w:tc>
          <w:tcPr>
            <w:tcW w:w="1180" w:type="dxa"/>
            <w:vAlign w:val="bottom"/>
          </w:tcPr>
          <w:p>
            <w:pPr>
              <w:jc w:val="right"/>
              <w:spacing w:after="0"/>
              <w:rPr>
                <w:sz w:val="20"/>
                <w:szCs w:val="20"/>
                <w:color w:val="auto"/>
              </w:rPr>
            </w:pPr>
            <w:r>
              <w:rPr>
                <w:rFonts w:ascii="Arial" w:cs="Arial" w:eastAsia="Arial" w:hAnsi="Arial"/>
                <w:sz w:val="16"/>
                <w:szCs w:val="16"/>
                <w:color w:val="auto"/>
              </w:rPr>
              <w:t>3,090</w:t>
            </w:r>
          </w:p>
        </w:tc>
        <w:tc>
          <w:tcPr>
            <w:tcW w:w="1540" w:type="dxa"/>
            <w:vAlign w:val="bottom"/>
            <w:gridSpan w:val="2"/>
          </w:tcPr>
          <w:p>
            <w:pPr>
              <w:jc w:val="right"/>
              <w:ind w:right="367"/>
              <w:spacing w:after="0"/>
              <w:rPr>
                <w:sz w:val="20"/>
                <w:szCs w:val="20"/>
                <w:color w:val="auto"/>
              </w:rPr>
            </w:pPr>
            <w:r>
              <w:rPr>
                <w:rFonts w:ascii="Arial" w:cs="Arial" w:eastAsia="Arial" w:hAnsi="Arial"/>
                <w:sz w:val="16"/>
                <w:szCs w:val="16"/>
                <w:color w:val="auto"/>
              </w:rPr>
              <w:t>1.4</w:t>
            </w:r>
          </w:p>
        </w:tc>
        <w:tc>
          <w:tcPr>
            <w:tcW w:w="200" w:type="dxa"/>
            <w:vAlign w:val="bottom"/>
          </w:tcPr>
          <w:p>
            <w:pPr>
              <w:spacing w:after="0"/>
              <w:rPr>
                <w:sz w:val="23"/>
                <w:szCs w:val="23"/>
                <w:color w:val="auto"/>
              </w:rPr>
            </w:pPr>
          </w:p>
        </w:tc>
        <w:tc>
          <w:tcPr>
            <w:tcW w:w="1000" w:type="dxa"/>
            <w:vAlign w:val="bottom"/>
          </w:tcPr>
          <w:p>
            <w:pPr>
              <w:jc w:val="right"/>
              <w:ind w:right="143"/>
              <w:spacing w:after="0"/>
              <w:rPr>
                <w:sz w:val="20"/>
                <w:szCs w:val="20"/>
                <w:color w:val="auto"/>
              </w:rPr>
            </w:pPr>
            <w:r>
              <w:rPr>
                <w:rFonts w:ascii="Arial" w:cs="Arial" w:eastAsia="Arial" w:hAnsi="Arial"/>
                <w:sz w:val="16"/>
                <w:szCs w:val="16"/>
                <w:color w:val="auto"/>
              </w:rPr>
              <w:t>421.91</w:t>
            </w:r>
          </w:p>
        </w:tc>
        <w:tc>
          <w:tcPr>
            <w:tcW w:w="1160" w:type="dxa"/>
            <w:vAlign w:val="bottom"/>
          </w:tcPr>
          <w:p>
            <w:pPr>
              <w:jc w:val="right"/>
              <w:spacing w:after="0"/>
              <w:rPr>
                <w:sz w:val="20"/>
                <w:szCs w:val="20"/>
                <w:color w:val="auto"/>
              </w:rPr>
            </w:pPr>
            <w:r>
              <w:rPr>
                <w:rFonts w:ascii="Arial" w:cs="Arial" w:eastAsia="Arial" w:hAnsi="Arial"/>
                <w:sz w:val="16"/>
                <w:szCs w:val="16"/>
                <w:color w:val="auto"/>
              </w:rPr>
              <w:t>3,090</w:t>
            </w:r>
          </w:p>
        </w:tc>
        <w:tc>
          <w:tcPr>
            <w:tcW w:w="1480" w:type="dxa"/>
            <w:vAlign w:val="bottom"/>
            <w:gridSpan w:val="2"/>
          </w:tcPr>
          <w:p>
            <w:pPr>
              <w:jc w:val="right"/>
              <w:ind w:right="367"/>
              <w:spacing w:after="0"/>
              <w:rPr>
                <w:sz w:val="20"/>
                <w:szCs w:val="20"/>
                <w:color w:val="auto"/>
              </w:rPr>
            </w:pPr>
            <w:r>
              <w:rPr>
                <w:rFonts w:ascii="Arial" w:cs="Arial" w:eastAsia="Arial" w:hAnsi="Arial"/>
                <w:sz w:val="16"/>
                <w:szCs w:val="16"/>
                <w:color w:val="auto"/>
              </w:rPr>
              <w:t>1.4</w:t>
            </w:r>
          </w:p>
        </w:tc>
        <w:tc>
          <w:tcPr>
            <w:tcW w:w="200" w:type="dxa"/>
            <w:vAlign w:val="bottom"/>
          </w:tcPr>
          <w:p>
            <w:pPr>
              <w:spacing w:after="0"/>
              <w:rPr>
                <w:sz w:val="23"/>
                <w:szCs w:val="23"/>
                <w:color w:val="auto"/>
              </w:rPr>
            </w:pPr>
          </w:p>
        </w:tc>
        <w:tc>
          <w:tcPr>
            <w:tcW w:w="880" w:type="dxa"/>
            <w:vAlign w:val="bottom"/>
          </w:tcPr>
          <w:p>
            <w:pPr>
              <w:jc w:val="right"/>
              <w:ind w:right="23"/>
              <w:spacing w:after="0"/>
              <w:rPr>
                <w:sz w:val="20"/>
                <w:szCs w:val="20"/>
                <w:color w:val="auto"/>
              </w:rPr>
            </w:pPr>
            <w:r>
              <w:rPr>
                <w:rFonts w:ascii="Arial" w:cs="Arial" w:eastAsia="Arial" w:hAnsi="Arial"/>
                <w:sz w:val="16"/>
                <w:szCs w:val="16"/>
                <w:color w:val="auto"/>
              </w:rPr>
              <w:t>421.91</w:t>
            </w:r>
          </w:p>
        </w:tc>
      </w:tr>
      <w:tr>
        <w:trPr>
          <w:trHeight w:val="270"/>
        </w:trPr>
        <w:tc>
          <w:tcPr>
            <w:tcW w:w="3780" w:type="dxa"/>
            <w:vAlign w:val="bottom"/>
          </w:tcPr>
          <w:p>
            <w:pPr>
              <w:ind w:left="180"/>
              <w:spacing w:after="0"/>
              <w:rPr>
                <w:sz w:val="20"/>
                <w:szCs w:val="20"/>
                <w:color w:val="auto"/>
              </w:rPr>
            </w:pPr>
            <w:r>
              <w:rPr>
                <w:rFonts w:ascii="Arial" w:cs="Arial" w:eastAsia="Arial" w:hAnsi="Arial"/>
                <w:sz w:val="16"/>
                <w:szCs w:val="16"/>
                <w:color w:val="auto"/>
              </w:rPr>
              <w:t>719</w:t>
            </w:r>
          </w:p>
        </w:tc>
        <w:tc>
          <w:tcPr>
            <w:tcW w:w="1180" w:type="dxa"/>
            <w:vAlign w:val="bottom"/>
          </w:tcPr>
          <w:p>
            <w:pPr>
              <w:jc w:val="right"/>
              <w:spacing w:after="0"/>
              <w:rPr>
                <w:sz w:val="20"/>
                <w:szCs w:val="20"/>
                <w:color w:val="auto"/>
              </w:rPr>
            </w:pPr>
            <w:r>
              <w:rPr>
                <w:rFonts w:ascii="Arial" w:cs="Arial" w:eastAsia="Arial" w:hAnsi="Arial"/>
                <w:sz w:val="16"/>
                <w:szCs w:val="16"/>
                <w:color w:val="auto"/>
              </w:rPr>
              <w:t>77,258</w:t>
            </w:r>
          </w:p>
        </w:tc>
        <w:tc>
          <w:tcPr>
            <w:tcW w:w="1540" w:type="dxa"/>
            <w:vAlign w:val="bottom"/>
            <w:gridSpan w:val="2"/>
          </w:tcPr>
          <w:p>
            <w:pPr>
              <w:jc w:val="right"/>
              <w:ind w:right="367"/>
              <w:spacing w:after="0"/>
              <w:rPr>
                <w:sz w:val="20"/>
                <w:szCs w:val="20"/>
                <w:color w:val="auto"/>
              </w:rPr>
            </w:pPr>
            <w:r>
              <w:rPr>
                <w:rFonts w:ascii="Arial" w:cs="Arial" w:eastAsia="Arial" w:hAnsi="Arial"/>
                <w:sz w:val="16"/>
                <w:szCs w:val="16"/>
                <w:color w:val="auto"/>
              </w:rPr>
              <w:t>7.8</w:t>
            </w:r>
          </w:p>
        </w:tc>
        <w:tc>
          <w:tcPr>
            <w:tcW w:w="200" w:type="dxa"/>
            <w:vAlign w:val="bottom"/>
          </w:tcPr>
          <w:p>
            <w:pPr>
              <w:spacing w:after="0"/>
              <w:rPr>
                <w:sz w:val="23"/>
                <w:szCs w:val="23"/>
                <w:color w:val="auto"/>
              </w:rPr>
            </w:pPr>
          </w:p>
        </w:tc>
        <w:tc>
          <w:tcPr>
            <w:tcW w:w="1000" w:type="dxa"/>
            <w:vAlign w:val="bottom"/>
          </w:tcPr>
          <w:p>
            <w:pPr>
              <w:jc w:val="right"/>
              <w:ind w:right="143"/>
              <w:spacing w:after="0"/>
              <w:rPr>
                <w:sz w:val="20"/>
                <w:szCs w:val="20"/>
                <w:color w:val="auto"/>
              </w:rPr>
            </w:pPr>
            <w:r>
              <w:rPr>
                <w:rFonts w:ascii="Arial" w:cs="Arial" w:eastAsia="Arial" w:hAnsi="Arial"/>
                <w:sz w:val="16"/>
                <w:szCs w:val="16"/>
                <w:color w:val="auto"/>
              </w:rPr>
              <w:t>719.15</w:t>
            </w:r>
          </w:p>
        </w:tc>
        <w:tc>
          <w:tcPr>
            <w:tcW w:w="1160" w:type="dxa"/>
            <w:vAlign w:val="bottom"/>
          </w:tcPr>
          <w:p>
            <w:pPr>
              <w:jc w:val="right"/>
              <w:spacing w:after="0"/>
              <w:rPr>
                <w:sz w:val="20"/>
                <w:szCs w:val="20"/>
                <w:color w:val="auto"/>
              </w:rPr>
            </w:pPr>
            <w:r>
              <w:rPr>
                <w:rFonts w:ascii="Arial" w:cs="Arial" w:eastAsia="Arial" w:hAnsi="Arial"/>
                <w:sz w:val="16"/>
                <w:szCs w:val="16"/>
                <w:color w:val="auto"/>
              </w:rPr>
              <w:t>25,753</w:t>
            </w:r>
          </w:p>
        </w:tc>
        <w:tc>
          <w:tcPr>
            <w:tcW w:w="1480" w:type="dxa"/>
            <w:vAlign w:val="bottom"/>
            <w:gridSpan w:val="2"/>
          </w:tcPr>
          <w:p>
            <w:pPr>
              <w:jc w:val="right"/>
              <w:ind w:right="367"/>
              <w:spacing w:after="0"/>
              <w:rPr>
                <w:sz w:val="20"/>
                <w:szCs w:val="20"/>
                <w:color w:val="auto"/>
              </w:rPr>
            </w:pPr>
            <w:r>
              <w:rPr>
                <w:rFonts w:ascii="Arial" w:cs="Arial" w:eastAsia="Arial" w:hAnsi="Arial"/>
                <w:sz w:val="16"/>
                <w:szCs w:val="16"/>
                <w:color w:val="auto"/>
              </w:rPr>
              <w:t>7.8</w:t>
            </w:r>
          </w:p>
        </w:tc>
        <w:tc>
          <w:tcPr>
            <w:tcW w:w="200" w:type="dxa"/>
            <w:vAlign w:val="bottom"/>
          </w:tcPr>
          <w:p>
            <w:pPr>
              <w:spacing w:after="0"/>
              <w:rPr>
                <w:sz w:val="23"/>
                <w:szCs w:val="23"/>
                <w:color w:val="auto"/>
              </w:rPr>
            </w:pPr>
          </w:p>
        </w:tc>
        <w:tc>
          <w:tcPr>
            <w:tcW w:w="880" w:type="dxa"/>
            <w:vAlign w:val="bottom"/>
          </w:tcPr>
          <w:p>
            <w:pPr>
              <w:jc w:val="right"/>
              <w:ind w:right="23"/>
              <w:spacing w:after="0"/>
              <w:rPr>
                <w:sz w:val="20"/>
                <w:szCs w:val="20"/>
                <w:color w:val="auto"/>
              </w:rPr>
            </w:pPr>
            <w:r>
              <w:rPr>
                <w:rFonts w:ascii="Arial" w:cs="Arial" w:eastAsia="Arial" w:hAnsi="Arial"/>
                <w:sz w:val="16"/>
                <w:szCs w:val="16"/>
                <w:color w:val="auto"/>
              </w:rPr>
              <w:t>719.15</w:t>
            </w:r>
          </w:p>
        </w:tc>
      </w:tr>
      <w:tr>
        <w:trPr>
          <w:trHeight w:val="279"/>
        </w:trPr>
        <w:tc>
          <w:tcPr>
            <w:tcW w:w="3780" w:type="dxa"/>
            <w:vAlign w:val="bottom"/>
          </w:tcPr>
          <w:p>
            <w:pPr>
              <w:ind w:left="180"/>
              <w:spacing w:after="0"/>
              <w:rPr>
                <w:sz w:val="20"/>
                <w:szCs w:val="20"/>
                <w:color w:val="auto"/>
              </w:rPr>
            </w:pPr>
            <w:r>
              <w:rPr>
                <w:rFonts w:ascii="Arial" w:cs="Arial" w:eastAsia="Arial" w:hAnsi="Arial"/>
                <w:sz w:val="16"/>
                <w:szCs w:val="16"/>
                <w:color w:val="auto"/>
              </w:rPr>
              <w:t>805–872</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24,742</w:t>
            </w:r>
          </w:p>
        </w:tc>
        <w:tc>
          <w:tcPr>
            <w:tcW w:w="100" w:type="dxa"/>
            <w:vAlign w:val="bottom"/>
            <w:tcBorders>
              <w:bottom w:val="single" w:sz="8" w:color="auto"/>
            </w:tcBorders>
          </w:tcPr>
          <w:p>
            <w:pPr>
              <w:spacing w:after="0"/>
              <w:rPr>
                <w:sz w:val="24"/>
                <w:szCs w:val="24"/>
                <w:color w:val="auto"/>
              </w:rPr>
            </w:pPr>
          </w:p>
        </w:tc>
        <w:tc>
          <w:tcPr>
            <w:tcW w:w="1440" w:type="dxa"/>
            <w:vAlign w:val="bottom"/>
          </w:tcPr>
          <w:p>
            <w:pPr>
              <w:jc w:val="right"/>
              <w:ind w:right="367"/>
              <w:spacing w:after="0"/>
              <w:rPr>
                <w:sz w:val="20"/>
                <w:szCs w:val="20"/>
                <w:color w:val="auto"/>
              </w:rPr>
            </w:pPr>
            <w:r>
              <w:rPr>
                <w:rFonts w:ascii="Arial" w:cs="Arial" w:eastAsia="Arial" w:hAnsi="Arial"/>
                <w:sz w:val="16"/>
                <w:szCs w:val="16"/>
                <w:color w:val="auto"/>
              </w:rPr>
              <w:t>8.9</w:t>
            </w:r>
          </w:p>
        </w:tc>
        <w:tc>
          <w:tcPr>
            <w:tcW w:w="200" w:type="dxa"/>
            <w:vAlign w:val="bottom"/>
          </w:tcPr>
          <w:p>
            <w:pPr>
              <w:spacing w:after="0"/>
              <w:rPr>
                <w:sz w:val="24"/>
                <w:szCs w:val="24"/>
                <w:color w:val="auto"/>
              </w:rPr>
            </w:pPr>
          </w:p>
        </w:tc>
        <w:tc>
          <w:tcPr>
            <w:tcW w:w="1000" w:type="dxa"/>
            <w:vAlign w:val="bottom"/>
          </w:tcPr>
          <w:p>
            <w:pPr>
              <w:jc w:val="right"/>
              <w:ind w:right="143"/>
              <w:spacing w:after="0"/>
              <w:rPr>
                <w:sz w:val="20"/>
                <w:szCs w:val="20"/>
                <w:color w:val="auto"/>
              </w:rPr>
            </w:pPr>
            <w:r>
              <w:rPr>
                <w:rFonts w:ascii="Arial" w:cs="Arial" w:eastAsia="Arial" w:hAnsi="Arial"/>
                <w:sz w:val="16"/>
                <w:szCs w:val="16"/>
                <w:color w:val="auto"/>
              </w:rPr>
              <w:t>866.58</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4,123</w:t>
            </w:r>
          </w:p>
        </w:tc>
        <w:tc>
          <w:tcPr>
            <w:tcW w:w="80" w:type="dxa"/>
            <w:vAlign w:val="bottom"/>
            <w:tcBorders>
              <w:bottom w:val="single" w:sz="8" w:color="auto"/>
            </w:tcBorders>
          </w:tcPr>
          <w:p>
            <w:pPr>
              <w:spacing w:after="0"/>
              <w:rPr>
                <w:sz w:val="24"/>
                <w:szCs w:val="24"/>
                <w:color w:val="auto"/>
              </w:rPr>
            </w:pPr>
          </w:p>
        </w:tc>
        <w:tc>
          <w:tcPr>
            <w:tcW w:w="1400" w:type="dxa"/>
            <w:vAlign w:val="bottom"/>
          </w:tcPr>
          <w:p>
            <w:pPr>
              <w:jc w:val="right"/>
              <w:ind w:right="367"/>
              <w:spacing w:after="0"/>
              <w:rPr>
                <w:sz w:val="20"/>
                <w:szCs w:val="20"/>
                <w:color w:val="auto"/>
              </w:rPr>
            </w:pPr>
            <w:r>
              <w:rPr>
                <w:rFonts w:ascii="Arial" w:cs="Arial" w:eastAsia="Arial" w:hAnsi="Arial"/>
                <w:sz w:val="16"/>
                <w:szCs w:val="16"/>
                <w:color w:val="auto"/>
              </w:rPr>
              <w:t>8.9</w:t>
            </w:r>
          </w:p>
        </w:tc>
        <w:tc>
          <w:tcPr>
            <w:tcW w:w="200" w:type="dxa"/>
            <w:vAlign w:val="bottom"/>
          </w:tcPr>
          <w:p>
            <w:pPr>
              <w:spacing w:after="0"/>
              <w:rPr>
                <w:sz w:val="24"/>
                <w:szCs w:val="24"/>
                <w:color w:val="auto"/>
              </w:rPr>
            </w:pPr>
          </w:p>
        </w:tc>
        <w:tc>
          <w:tcPr>
            <w:tcW w:w="880" w:type="dxa"/>
            <w:vAlign w:val="bottom"/>
          </w:tcPr>
          <w:p>
            <w:pPr>
              <w:jc w:val="right"/>
              <w:ind w:right="23"/>
              <w:spacing w:after="0"/>
              <w:rPr>
                <w:sz w:val="20"/>
                <w:szCs w:val="20"/>
                <w:color w:val="auto"/>
              </w:rPr>
            </w:pPr>
            <w:r>
              <w:rPr>
                <w:rFonts w:ascii="Arial" w:cs="Arial" w:eastAsia="Arial" w:hAnsi="Arial"/>
                <w:sz w:val="16"/>
                <w:szCs w:val="16"/>
                <w:color w:val="auto"/>
              </w:rPr>
              <w:t>866.58</w:t>
            </w:r>
          </w:p>
        </w:tc>
      </w:tr>
      <w:tr>
        <w:trPr>
          <w:trHeight w:val="242"/>
        </w:trPr>
        <w:tc>
          <w:tcPr>
            <w:tcW w:w="37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186,996</w:t>
            </w:r>
          </w:p>
        </w:tc>
        <w:tc>
          <w:tcPr>
            <w:tcW w:w="1540" w:type="dxa"/>
            <w:vAlign w:val="bottom"/>
            <w:gridSpan w:val="2"/>
          </w:tcPr>
          <w:p>
            <w:pPr>
              <w:jc w:val="right"/>
              <w:ind w:right="367"/>
              <w:spacing w:after="0"/>
              <w:rPr>
                <w:sz w:val="20"/>
                <w:szCs w:val="20"/>
                <w:color w:val="auto"/>
              </w:rPr>
            </w:pPr>
            <w:r>
              <w:rPr>
                <w:rFonts w:ascii="Arial" w:cs="Arial" w:eastAsia="Arial" w:hAnsi="Arial"/>
                <w:sz w:val="16"/>
                <w:szCs w:val="16"/>
                <w:color w:val="auto"/>
              </w:rPr>
              <w:t>6.3</w:t>
            </w:r>
          </w:p>
        </w:tc>
        <w:tc>
          <w:tcPr>
            <w:tcW w:w="200" w:type="dxa"/>
            <w:vAlign w:val="bottom"/>
          </w:tcPr>
          <w:p>
            <w:pPr>
              <w:spacing w:after="0"/>
              <w:rPr>
                <w:sz w:val="21"/>
                <w:szCs w:val="21"/>
                <w:color w:val="auto"/>
              </w:rPr>
            </w:pPr>
          </w:p>
        </w:tc>
        <w:tc>
          <w:tcPr>
            <w:tcW w:w="1000" w:type="dxa"/>
            <w:vAlign w:val="bottom"/>
          </w:tcPr>
          <w:p>
            <w:pPr>
              <w:jc w:val="right"/>
              <w:ind w:right="143"/>
              <w:spacing w:after="0"/>
              <w:rPr>
                <w:sz w:val="20"/>
                <w:szCs w:val="20"/>
                <w:color w:val="auto"/>
              </w:rPr>
            </w:pPr>
            <w:r>
              <w:rPr>
                <w:rFonts w:ascii="Arial" w:cs="Arial" w:eastAsia="Arial" w:hAnsi="Arial"/>
                <w:sz w:val="16"/>
                <w:szCs w:val="16"/>
                <w:color w:val="auto"/>
              </w:rPr>
              <w:t>559.62</w:t>
            </w:r>
          </w:p>
        </w:tc>
        <w:tc>
          <w:tcPr>
            <w:tcW w:w="1160" w:type="dxa"/>
            <w:vAlign w:val="bottom"/>
          </w:tcPr>
          <w:p>
            <w:pPr>
              <w:jc w:val="right"/>
              <w:spacing w:after="0"/>
              <w:rPr>
                <w:sz w:val="20"/>
                <w:szCs w:val="20"/>
                <w:color w:val="auto"/>
              </w:rPr>
            </w:pPr>
            <w:r>
              <w:rPr>
                <w:rFonts w:ascii="Arial" w:cs="Arial" w:eastAsia="Arial" w:hAnsi="Arial"/>
                <w:sz w:val="16"/>
                <w:szCs w:val="16"/>
                <w:color w:val="auto"/>
              </w:rPr>
              <w:t>114,872</w:t>
            </w:r>
          </w:p>
        </w:tc>
        <w:tc>
          <w:tcPr>
            <w:tcW w:w="1480" w:type="dxa"/>
            <w:vAlign w:val="bottom"/>
            <w:gridSpan w:val="2"/>
          </w:tcPr>
          <w:p>
            <w:pPr>
              <w:jc w:val="right"/>
              <w:ind w:right="367"/>
              <w:spacing w:after="0"/>
              <w:rPr>
                <w:sz w:val="20"/>
                <w:szCs w:val="20"/>
                <w:color w:val="auto"/>
              </w:rPr>
            </w:pPr>
            <w:r>
              <w:rPr>
                <w:rFonts w:ascii="Arial" w:cs="Arial" w:eastAsia="Arial" w:hAnsi="Arial"/>
                <w:sz w:val="16"/>
                <w:szCs w:val="16"/>
                <w:color w:val="auto"/>
              </w:rPr>
              <w:t>5.1</w:t>
            </w:r>
          </w:p>
        </w:tc>
        <w:tc>
          <w:tcPr>
            <w:tcW w:w="200" w:type="dxa"/>
            <w:vAlign w:val="bottom"/>
          </w:tcPr>
          <w:p>
            <w:pPr>
              <w:spacing w:after="0"/>
              <w:rPr>
                <w:sz w:val="21"/>
                <w:szCs w:val="21"/>
                <w:color w:val="auto"/>
              </w:rPr>
            </w:pPr>
          </w:p>
        </w:tc>
        <w:tc>
          <w:tcPr>
            <w:tcW w:w="880" w:type="dxa"/>
            <w:vAlign w:val="bottom"/>
          </w:tcPr>
          <w:p>
            <w:pPr>
              <w:jc w:val="right"/>
              <w:ind w:right="23"/>
              <w:spacing w:after="0"/>
              <w:rPr>
                <w:sz w:val="20"/>
                <w:szCs w:val="20"/>
                <w:color w:val="auto"/>
              </w:rPr>
            </w:pPr>
            <w:r>
              <w:rPr>
                <w:rFonts w:ascii="Arial" w:cs="Arial" w:eastAsia="Arial" w:hAnsi="Arial"/>
                <w:sz w:val="16"/>
                <w:szCs w:val="16"/>
                <w:color w:val="auto"/>
              </w:rPr>
              <w:t>433.00</w:t>
            </w:r>
          </w:p>
        </w:tc>
      </w:tr>
      <w:tr>
        <w:trPr>
          <w:trHeight w:val="20"/>
        </w:trPr>
        <w:tc>
          <w:tcPr>
            <w:tcW w:w="378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bl>
    <w:p>
      <w:pPr>
        <w:spacing w:after="0" w:line="126" w:lineRule="exact"/>
        <w:rPr>
          <w:sz w:val="20"/>
          <w:szCs w:val="20"/>
          <w:color w:val="auto"/>
        </w:rPr>
      </w:pPr>
    </w:p>
    <w:p>
      <w:pPr>
        <w:ind w:right="100"/>
        <w:spacing w:after="0" w:line="234" w:lineRule="auto"/>
        <w:rPr>
          <w:sz w:val="20"/>
          <w:szCs w:val="20"/>
          <w:color w:val="auto"/>
        </w:rPr>
      </w:pPr>
      <w:r>
        <w:rPr>
          <w:rFonts w:ascii="Arial" w:cs="Arial" w:eastAsia="Arial" w:hAnsi="Arial"/>
          <w:sz w:val="18"/>
          <w:szCs w:val="18"/>
          <w:color w:val="auto"/>
        </w:rPr>
        <w:t>At December 31, 2016, the intrinsic value for all options outstanding, exercisable and unvested was $15.9 million, $15.9 million and $0.0 million, respectively. The intrinsic value of a stock option is the amount by which the market value of the underlying stock exceeds the exercise price of the option. The market value of the Company’s stock was $511.95 at December 31, 2016. At December 31, 2016, there were 72,124 unvested options related to this plan</w:t>
      </w:r>
    </w:p>
    <w:p>
      <w:pPr>
        <w:sectPr>
          <w:pgSz w:w="11900" w:h="16838" w:orient="portrait"/>
          <w:cols w:equalWidth="0" w:num="1">
            <w:col w:w="11420"/>
          </w:cols>
          <w:pgMar w:left="240" w:top="724" w:right="239" w:bottom="1440" w:gutter="0" w:footer="0" w:header="0"/>
        </w:sect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91</w:t>
      </w:r>
    </w:p>
    <w:p>
      <w:pPr>
        <w:sectPr>
          <w:pgSz w:w="11900" w:h="16838" w:orient="portrait"/>
          <w:cols w:equalWidth="0" w:num="1">
            <w:col w:w="11420"/>
          </w:cols>
          <w:pgMar w:left="240" w:top="724" w:right="239" w:bottom="1440" w:gutter="0" w:footer="0" w:header="0"/>
          <w:type w:val="continuous"/>
        </w:sectPr>
      </w:pPr>
    </w:p>
    <w:bookmarkStart w:id="94" w:name="page95"/>
    <w:bookmarkEnd w:id="94"/>
    <w:p>
      <w:pPr>
        <w:ind w:right="80"/>
        <w:spacing w:after="0" w:line="260" w:lineRule="auto"/>
        <w:rPr>
          <w:sz w:val="20"/>
          <w:szCs w:val="20"/>
          <w:color w:val="auto"/>
        </w:rPr>
      </w:pPr>
      <w:r>
        <w:rPr>
          <w:rFonts w:ascii="Arial" w:cs="Arial" w:eastAsia="Arial" w:hAnsi="Arial"/>
          <w:sz w:val="18"/>
          <w:szCs w:val="18"/>
          <w:color w:val="auto"/>
        </w:rPr>
        <w:t>with an average exercise price of $761.30 and a weighted average remaining contractual term of 8.1 years. At December 31, 2015, there were 89,896 unvested options with an average exercise price of $755.65 and a weighted average remaining contractual term of 9.1 years.</w:t>
      </w:r>
    </w:p>
    <w:p>
      <w:pPr>
        <w:spacing w:after="0" w:line="92" w:lineRule="exact"/>
        <w:rPr>
          <w:sz w:val="20"/>
          <w:szCs w:val="20"/>
          <w:color w:val="auto"/>
        </w:rPr>
      </w:pPr>
    </w:p>
    <w:p>
      <w:pPr>
        <w:ind w:right="20"/>
        <w:spacing w:after="0" w:line="229" w:lineRule="auto"/>
        <w:rPr>
          <w:sz w:val="20"/>
          <w:szCs w:val="20"/>
          <w:color w:val="auto"/>
        </w:rPr>
      </w:pPr>
      <w:r>
        <w:rPr>
          <w:rFonts w:ascii="Arial" w:cs="Arial" w:eastAsia="Arial" w:hAnsi="Arial"/>
          <w:sz w:val="18"/>
          <w:szCs w:val="18"/>
          <w:color w:val="auto"/>
        </w:rPr>
        <w:t>As of December 31, 2016, total unrecognized stock-based compensation expense related to stock options was $ 8.2 million, which is expected to be recognized on a straight-line basis over a weighted average period of approximately 4.2 years. There were 4,726 options exercised during 2016. The total intrinsic value of options exercised during 2016 was $ 1.2 million; a tax benefit from these stock option exercises of $0.5 million was realized. There were 40,527 options exercised during 2015. The total intrinsic value of options exercised during 2015 was $19.5 million; a tax benefit from these stock option exercises of $7.8 million was realized. There were 19,125 options exercised during 2014. The total intrinsic value of options exercised during 2014 was $6.7 million; a tax benefit from these option exercises of $2.7 million was realized.</w:t>
      </w:r>
    </w:p>
    <w:p>
      <w:pPr>
        <w:spacing w:after="0" w:line="112" w:lineRule="exact"/>
        <w:rPr>
          <w:sz w:val="20"/>
          <w:szCs w:val="20"/>
          <w:color w:val="auto"/>
        </w:rPr>
      </w:pPr>
    </w:p>
    <w:p>
      <w:pPr>
        <w:ind w:right="180"/>
        <w:spacing w:after="0" w:line="234" w:lineRule="auto"/>
        <w:rPr>
          <w:sz w:val="20"/>
          <w:szCs w:val="20"/>
          <w:color w:val="auto"/>
        </w:rPr>
      </w:pPr>
      <w:r>
        <w:rPr>
          <w:rFonts w:ascii="Arial" w:cs="Arial" w:eastAsia="Arial" w:hAnsi="Arial"/>
          <w:sz w:val="18"/>
          <w:szCs w:val="18"/>
          <w:color w:val="auto"/>
        </w:rPr>
        <w:t>During 2015 and 2014, the Company granted 24,742 and 50,000 (adjusted to 77,258 post Cable ONE spin-off) options at an exercise price above the fair market value of its common stock at the date of grant, respectively. All other options granted during 2015 and 2014 were at an exercise price equal to the fair market value of the Company’s common stock at the date of grant. The weighted average grant-date fair value of options granted during 2015 and 2014 was $155.00 and $178.95, respectively. No options were granted during 2016.</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options at date of grant was estimated using the Black-Scholes method utilizing the following assumptions: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4920" w:type="dxa"/>
            <w:vAlign w:val="bottom"/>
            <w:tcBorders>
              <w:bottom w:val="single" w:sz="8" w:color="auto"/>
            </w:tcBorders>
          </w:tcPr>
          <w:p>
            <w:pPr>
              <w:spacing w:after="0"/>
              <w:rPr>
                <w:sz w:val="17"/>
                <w:szCs w:val="17"/>
                <w:color w:val="auto"/>
              </w:rPr>
            </w:pPr>
          </w:p>
        </w:tc>
        <w:tc>
          <w:tcPr>
            <w:tcW w:w="4840" w:type="dxa"/>
            <w:vAlign w:val="bottom"/>
            <w:tcBorders>
              <w:bottom w:val="single" w:sz="8" w:color="auto"/>
            </w:tcBorders>
          </w:tcPr>
          <w:p>
            <w:pPr>
              <w:jc w:val="center"/>
              <w:ind w:left="3081"/>
              <w:spacing w:after="0"/>
              <w:rPr>
                <w:sz w:val="20"/>
                <w:szCs w:val="20"/>
                <w:color w:val="auto"/>
              </w:rPr>
            </w:pPr>
            <w:r>
              <w:rPr>
                <w:rFonts w:ascii="Arial" w:cs="Arial" w:eastAsia="Arial" w:hAnsi="Arial"/>
                <w:sz w:val="14"/>
                <w:szCs w:val="14"/>
                <w:color w:val="auto"/>
              </w:rPr>
              <w:t>2015</w:t>
            </w: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2014</w:t>
            </w:r>
          </w:p>
        </w:tc>
      </w:tr>
      <w:tr>
        <w:trPr>
          <w:trHeight w:val="252"/>
        </w:trPr>
        <w:tc>
          <w:tcPr>
            <w:tcW w:w="4920" w:type="dxa"/>
            <w:vAlign w:val="bottom"/>
          </w:tcPr>
          <w:p>
            <w:pPr>
              <w:ind w:left="40"/>
              <w:spacing w:after="0"/>
              <w:rPr>
                <w:sz w:val="20"/>
                <w:szCs w:val="20"/>
                <w:color w:val="auto"/>
              </w:rPr>
            </w:pPr>
            <w:r>
              <w:rPr>
                <w:rFonts w:ascii="Arial" w:cs="Arial" w:eastAsia="Arial" w:hAnsi="Arial"/>
                <w:sz w:val="16"/>
                <w:szCs w:val="16"/>
                <w:color w:val="auto"/>
              </w:rPr>
              <w:t>Expected life (years)</w:t>
            </w:r>
          </w:p>
        </w:tc>
        <w:tc>
          <w:tcPr>
            <w:tcW w:w="4840" w:type="dxa"/>
            <w:vAlign w:val="bottom"/>
          </w:tcPr>
          <w:p>
            <w:pPr>
              <w:jc w:val="center"/>
              <w:ind w:left="3061"/>
              <w:spacing w:after="0"/>
              <w:rPr>
                <w:sz w:val="20"/>
                <w:szCs w:val="20"/>
                <w:color w:val="auto"/>
              </w:rPr>
            </w:pPr>
            <w:r>
              <w:rPr>
                <w:rFonts w:ascii="Arial" w:cs="Arial" w:eastAsia="Arial" w:hAnsi="Arial"/>
                <w:sz w:val="16"/>
                <w:szCs w:val="16"/>
                <w:color w:val="auto"/>
                <w:w w:val="97"/>
              </w:rPr>
              <w:t>7–8</w:t>
            </w:r>
          </w:p>
        </w:tc>
        <w:tc>
          <w:tcPr>
            <w:tcW w:w="1660" w:type="dxa"/>
            <w:vAlign w:val="bottom"/>
          </w:tcPr>
          <w:p>
            <w:pPr>
              <w:jc w:val="center"/>
              <w:spacing w:after="0"/>
              <w:rPr>
                <w:sz w:val="20"/>
                <w:szCs w:val="20"/>
                <w:color w:val="auto"/>
              </w:rPr>
            </w:pPr>
            <w:r>
              <w:rPr>
                <w:rFonts w:ascii="Arial" w:cs="Arial" w:eastAsia="Arial" w:hAnsi="Arial"/>
                <w:sz w:val="16"/>
                <w:szCs w:val="16"/>
                <w:color w:val="auto"/>
              </w:rPr>
              <w:t>7–8</w:t>
            </w:r>
          </w:p>
        </w:tc>
      </w:tr>
      <w:tr>
        <w:trPr>
          <w:trHeight w:val="270"/>
        </w:trPr>
        <w:tc>
          <w:tcPr>
            <w:tcW w:w="4920" w:type="dxa"/>
            <w:vAlign w:val="bottom"/>
          </w:tcPr>
          <w:p>
            <w:pPr>
              <w:ind w:left="40"/>
              <w:spacing w:after="0"/>
              <w:rPr>
                <w:sz w:val="20"/>
                <w:szCs w:val="20"/>
                <w:color w:val="auto"/>
              </w:rPr>
            </w:pPr>
            <w:r>
              <w:rPr>
                <w:rFonts w:ascii="Arial" w:cs="Arial" w:eastAsia="Arial" w:hAnsi="Arial"/>
                <w:sz w:val="16"/>
                <w:szCs w:val="16"/>
                <w:color w:val="auto"/>
              </w:rPr>
              <w:t>Interest rate</w:t>
            </w:r>
          </w:p>
        </w:tc>
        <w:tc>
          <w:tcPr>
            <w:tcW w:w="4840" w:type="dxa"/>
            <w:vAlign w:val="bottom"/>
          </w:tcPr>
          <w:p>
            <w:pPr>
              <w:jc w:val="center"/>
              <w:ind w:left="3081"/>
              <w:spacing w:after="0"/>
              <w:rPr>
                <w:sz w:val="20"/>
                <w:szCs w:val="20"/>
                <w:color w:val="auto"/>
              </w:rPr>
            </w:pPr>
            <w:r>
              <w:rPr>
                <w:rFonts w:ascii="Arial" w:cs="Arial" w:eastAsia="Arial" w:hAnsi="Arial"/>
                <w:sz w:val="16"/>
                <w:szCs w:val="16"/>
                <w:color w:val="auto"/>
              </w:rPr>
              <w:t>1.88%–2.17%</w:t>
            </w:r>
          </w:p>
        </w:tc>
        <w:tc>
          <w:tcPr>
            <w:tcW w:w="1660" w:type="dxa"/>
            <w:vAlign w:val="bottom"/>
          </w:tcPr>
          <w:p>
            <w:pPr>
              <w:jc w:val="center"/>
              <w:spacing w:after="0"/>
              <w:rPr>
                <w:sz w:val="20"/>
                <w:szCs w:val="20"/>
                <w:color w:val="auto"/>
              </w:rPr>
            </w:pPr>
            <w:r>
              <w:rPr>
                <w:rFonts w:ascii="Arial" w:cs="Arial" w:eastAsia="Arial" w:hAnsi="Arial"/>
                <w:sz w:val="16"/>
                <w:szCs w:val="16"/>
                <w:color w:val="auto"/>
              </w:rPr>
              <w:t>2.15%–2.45%</w:t>
            </w:r>
          </w:p>
        </w:tc>
      </w:tr>
      <w:tr>
        <w:trPr>
          <w:trHeight w:val="270"/>
        </w:trPr>
        <w:tc>
          <w:tcPr>
            <w:tcW w:w="4920" w:type="dxa"/>
            <w:vAlign w:val="bottom"/>
          </w:tcPr>
          <w:p>
            <w:pPr>
              <w:ind w:left="40"/>
              <w:spacing w:after="0"/>
              <w:rPr>
                <w:sz w:val="20"/>
                <w:szCs w:val="20"/>
                <w:color w:val="auto"/>
              </w:rPr>
            </w:pPr>
            <w:r>
              <w:rPr>
                <w:rFonts w:ascii="Arial" w:cs="Arial" w:eastAsia="Arial" w:hAnsi="Arial"/>
                <w:sz w:val="16"/>
                <w:szCs w:val="16"/>
                <w:color w:val="auto"/>
              </w:rPr>
              <w:t>Volatility</w:t>
            </w:r>
          </w:p>
        </w:tc>
        <w:tc>
          <w:tcPr>
            <w:tcW w:w="4840" w:type="dxa"/>
            <w:vAlign w:val="bottom"/>
          </w:tcPr>
          <w:p>
            <w:pPr>
              <w:jc w:val="center"/>
              <w:ind w:left="3061"/>
              <w:spacing w:after="0"/>
              <w:rPr>
                <w:sz w:val="20"/>
                <w:szCs w:val="20"/>
                <w:color w:val="auto"/>
              </w:rPr>
            </w:pPr>
            <w:r>
              <w:rPr>
                <w:rFonts w:ascii="Arial" w:cs="Arial" w:eastAsia="Arial" w:hAnsi="Arial"/>
                <w:sz w:val="16"/>
                <w:szCs w:val="16"/>
                <w:color w:val="auto"/>
              </w:rPr>
              <w:t>31.59%–32.69%</w:t>
            </w:r>
          </w:p>
        </w:tc>
        <w:tc>
          <w:tcPr>
            <w:tcW w:w="1660" w:type="dxa"/>
            <w:vAlign w:val="bottom"/>
          </w:tcPr>
          <w:p>
            <w:pPr>
              <w:jc w:val="center"/>
              <w:spacing w:after="0"/>
              <w:rPr>
                <w:sz w:val="20"/>
                <w:szCs w:val="20"/>
                <w:color w:val="auto"/>
              </w:rPr>
            </w:pPr>
            <w:r>
              <w:rPr>
                <w:rFonts w:ascii="Arial" w:cs="Arial" w:eastAsia="Arial" w:hAnsi="Arial"/>
                <w:sz w:val="16"/>
                <w:szCs w:val="16"/>
                <w:color w:val="auto"/>
              </w:rPr>
              <w:t>30.75%–32.10%</w:t>
            </w:r>
          </w:p>
        </w:tc>
      </w:tr>
      <w:tr>
        <w:trPr>
          <w:trHeight w:val="270"/>
        </w:trPr>
        <w:tc>
          <w:tcPr>
            <w:tcW w:w="4920" w:type="dxa"/>
            <w:vAlign w:val="bottom"/>
          </w:tcPr>
          <w:p>
            <w:pPr>
              <w:ind w:left="40"/>
              <w:spacing w:after="0"/>
              <w:rPr>
                <w:sz w:val="20"/>
                <w:szCs w:val="20"/>
                <w:color w:val="auto"/>
              </w:rPr>
            </w:pPr>
            <w:r>
              <w:rPr>
                <w:rFonts w:ascii="Arial" w:cs="Arial" w:eastAsia="Arial" w:hAnsi="Arial"/>
                <w:sz w:val="16"/>
                <w:szCs w:val="16"/>
                <w:color w:val="auto"/>
              </w:rPr>
              <w:t>Dividend yield</w:t>
            </w:r>
          </w:p>
        </w:tc>
        <w:tc>
          <w:tcPr>
            <w:tcW w:w="4840" w:type="dxa"/>
            <w:vAlign w:val="bottom"/>
          </w:tcPr>
          <w:p>
            <w:pPr>
              <w:jc w:val="center"/>
              <w:ind w:left="3081"/>
              <w:spacing w:after="0"/>
              <w:rPr>
                <w:sz w:val="20"/>
                <w:szCs w:val="20"/>
                <w:color w:val="auto"/>
              </w:rPr>
            </w:pPr>
            <w:r>
              <w:rPr>
                <w:rFonts w:ascii="Arial" w:cs="Arial" w:eastAsia="Arial" w:hAnsi="Arial"/>
                <w:sz w:val="16"/>
                <w:szCs w:val="16"/>
                <w:color w:val="auto"/>
              </w:rPr>
              <w:t>0.81%–1.18%</w:t>
            </w:r>
          </w:p>
        </w:tc>
        <w:tc>
          <w:tcPr>
            <w:tcW w:w="1660" w:type="dxa"/>
            <w:vAlign w:val="bottom"/>
          </w:tcPr>
          <w:p>
            <w:pPr>
              <w:jc w:val="center"/>
              <w:spacing w:after="0"/>
              <w:rPr>
                <w:sz w:val="20"/>
                <w:szCs w:val="20"/>
                <w:color w:val="auto"/>
              </w:rPr>
            </w:pPr>
            <w:r>
              <w:rPr>
                <w:rFonts w:ascii="Arial" w:cs="Arial" w:eastAsia="Arial" w:hAnsi="Arial"/>
                <w:sz w:val="16"/>
                <w:szCs w:val="16"/>
                <w:color w:val="auto"/>
              </w:rPr>
              <w:t>1.30%–1.54%</w:t>
            </w:r>
          </w:p>
        </w:tc>
      </w:tr>
    </w:tbl>
    <w:p>
      <w:pPr>
        <w:spacing w:after="0" w:line="141" w:lineRule="exact"/>
        <w:rPr>
          <w:sz w:val="20"/>
          <w:szCs w:val="20"/>
          <w:color w:val="auto"/>
        </w:rPr>
      </w:pPr>
    </w:p>
    <w:p>
      <w:pPr>
        <w:ind w:right="20"/>
        <w:spacing w:after="0" w:line="234" w:lineRule="auto"/>
        <w:rPr>
          <w:sz w:val="20"/>
          <w:szCs w:val="20"/>
          <w:color w:val="auto"/>
        </w:rPr>
      </w:pPr>
      <w:r>
        <w:rPr>
          <w:rFonts w:ascii="Arial" w:cs="Arial" w:eastAsia="Arial" w:hAnsi="Arial"/>
          <w:sz w:val="18"/>
          <w:szCs w:val="18"/>
          <w:color w:val="auto"/>
        </w:rPr>
        <w:t>The Company also maintains a stock option plan at Kaplan. Under the provisions of this plan, options are issued with an exercise price equal to the estimated fair value of Kaplan’s common stock, and options vest ratably over the number of years specified (generally four to five years) at the time of the grant. Upon exercise, an option holder may receive Kaplan shares or cash equal to the difference between the exercise price and the then fair value.</w:t>
      </w:r>
    </w:p>
    <w:p>
      <w:pPr>
        <w:spacing w:after="0" w:line="111" w:lineRule="exact"/>
        <w:rPr>
          <w:sz w:val="20"/>
          <w:szCs w:val="20"/>
          <w:color w:val="auto"/>
        </w:rPr>
      </w:pPr>
    </w:p>
    <w:p>
      <w:pPr>
        <w:ind w:right="40"/>
        <w:spacing w:after="0" w:line="231" w:lineRule="auto"/>
        <w:rPr>
          <w:sz w:val="20"/>
          <w:szCs w:val="20"/>
          <w:color w:val="auto"/>
        </w:rPr>
      </w:pPr>
      <w:r>
        <w:rPr>
          <w:rFonts w:ascii="Arial" w:cs="Arial" w:eastAsia="Arial" w:hAnsi="Arial"/>
          <w:sz w:val="18"/>
          <w:szCs w:val="18"/>
          <w:color w:val="auto"/>
        </w:rPr>
        <w:t>At December 31, 2016, a Kaplan senior manager holds 7,206 Kaplan restricted shares. The fair value of Kaplan’s common stock is determined by the Company’s compensation committee of the Board of Directors, and in January 2017, the committee set the fair value price at $1,327 per share. During 2015, 2,500 options were awarded to a Kaplan senior manager at a price of $1,180 that would have vested over a four-year period. No options were awarded during 2016 and 2014; no options were exercised during 2016, 2015 or 2014; and due to 2015 forfeitures, there were no options outstanding at December 31, 2016.</w:t>
      </w:r>
    </w:p>
    <w:p>
      <w:pPr>
        <w:spacing w:after="0" w:line="111" w:lineRule="exact"/>
        <w:rPr>
          <w:sz w:val="20"/>
          <w:szCs w:val="20"/>
          <w:color w:val="auto"/>
        </w:rPr>
      </w:pPr>
    </w:p>
    <w:p>
      <w:pPr>
        <w:ind w:right="380"/>
        <w:spacing w:after="0"/>
        <w:rPr>
          <w:sz w:val="20"/>
          <w:szCs w:val="20"/>
          <w:color w:val="auto"/>
        </w:rPr>
      </w:pPr>
      <w:r>
        <w:rPr>
          <w:rFonts w:ascii="Arial" w:cs="Arial" w:eastAsia="Arial" w:hAnsi="Arial"/>
          <w:sz w:val="18"/>
          <w:szCs w:val="18"/>
          <w:color w:val="auto"/>
        </w:rPr>
        <w:t>Kaplan recorded stock compensation expense of $0.6 million and $0.9 million in 2016 and 2014, respectively, and a credit of $1.8 million in 2015. At December 31, 2016, the Company’s accrual balance related to the Kaplan restricted shares totaled $9.6 million. There were no payouts in 2016, 2015 or 2014.</w:t>
      </w:r>
    </w:p>
    <w:p>
      <w:pPr>
        <w:spacing w:after="0" w:line="106" w:lineRule="exact"/>
        <w:rPr>
          <w:sz w:val="20"/>
          <w:szCs w:val="20"/>
          <w:color w:val="auto"/>
        </w:rPr>
      </w:pPr>
    </w:p>
    <w:p>
      <w:pPr>
        <w:ind w:right="120"/>
        <w:spacing w:after="0" w:line="230" w:lineRule="auto"/>
        <w:rPr>
          <w:sz w:val="20"/>
          <w:szCs w:val="20"/>
          <w:color w:val="auto"/>
        </w:rPr>
      </w:pPr>
      <w:r>
        <w:rPr>
          <w:rFonts w:ascii="Arial" w:cs="Arial" w:eastAsia="Arial" w:hAnsi="Arial"/>
          <w:sz w:val="18"/>
          <w:szCs w:val="18"/>
          <w:b w:val="1"/>
          <w:bCs w:val="1"/>
          <w:color w:val="auto"/>
        </w:rPr>
        <w:t xml:space="preserve">Earnings (Loss) Per Share. </w:t>
      </w:r>
      <w:r>
        <w:rPr>
          <w:rFonts w:ascii="Arial" w:cs="Arial" w:eastAsia="Arial" w:hAnsi="Arial"/>
          <w:sz w:val="18"/>
          <w:szCs w:val="18"/>
          <w:color w:val="auto"/>
        </w:rPr>
        <w:t>The Company’s unvested restricted stock awards contain nonforfeitable rights to dividends and, therefore, are</w:t>
      </w:r>
      <w:r>
        <w:rPr>
          <w:rFonts w:ascii="Arial" w:cs="Arial" w:eastAsia="Arial" w:hAnsi="Arial"/>
          <w:sz w:val="18"/>
          <w:szCs w:val="18"/>
          <w:b w:val="1"/>
          <w:bCs w:val="1"/>
          <w:color w:val="auto"/>
        </w:rPr>
        <w:t xml:space="preserve"> </w:t>
      </w:r>
      <w:r>
        <w:rPr>
          <w:rFonts w:ascii="Arial" w:cs="Arial" w:eastAsia="Arial" w:hAnsi="Arial"/>
          <w:sz w:val="18"/>
          <w:szCs w:val="18"/>
          <w:color w:val="auto"/>
        </w:rPr>
        <w:t>considered participating securities for purposes of computing earnings per share pursuant to the two-class method. The diluted earnings per share computed under the two-class method is lower than the diluted earnings per share computed under the treasury stock method, resulting in the presentation of the lower amount in diluted earnings per share. The computation of earnings per share under the two-class method excludes the income attributable to the unvested restricted stock awards from the numerator and excludes the dilutive impact of those underlying shares from the denominator.</w:t>
      </w: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20"/>
          </w:cols>
          <w:pgMar w:left="240" w:top="724" w:right="239" w:bottom="1440" w:gutter="0" w:footer="0" w:header="0"/>
        </w:sectPr>
      </w:pPr>
    </w:p>
    <w:bookmarkStart w:id="95" w:name="page96"/>
    <w:bookmarkEnd w:id="95"/>
    <w:p>
      <w:pPr>
        <w:ind w:right="40"/>
        <w:spacing w:after="0" w:line="260" w:lineRule="auto"/>
        <w:rPr>
          <w:sz w:val="20"/>
          <w:szCs w:val="20"/>
          <w:color w:val="auto"/>
        </w:rPr>
      </w:pPr>
      <w:r>
        <w:rPr>
          <w:rFonts w:ascii="Arial" w:cs="Arial" w:eastAsia="Arial" w:hAnsi="Arial"/>
          <w:sz w:val="18"/>
          <w:szCs w:val="18"/>
          <w:color w:val="auto"/>
        </w:rPr>
        <w:t>The following reflects the Company’s income from continuing operations and share data used in the basic and diluted earnings (loss) per share computations using the two-class method:</w:t>
      </w:r>
    </w:p>
    <w:p>
      <w:pPr>
        <w:spacing w:after="0" w:line="167" w:lineRule="exact"/>
        <w:rPr>
          <w:sz w:val="20"/>
          <w:szCs w:val="20"/>
          <w:color w:val="auto"/>
        </w:rPr>
      </w:pPr>
    </w:p>
    <w:p>
      <w:pPr>
        <w:ind w:left="866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4824730</wp:posOffset>
            </wp:positionH>
            <wp:positionV relativeFrom="paragraph">
              <wp:posOffset>27305</wp:posOffset>
            </wp:positionV>
            <wp:extent cx="242697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3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 except per share amounts)</w:t>
            </w:r>
          </w:p>
        </w:tc>
        <w:tc>
          <w:tcPr>
            <w:tcW w:w="350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2016</w:t>
            </w:r>
          </w:p>
        </w:tc>
        <w:tc>
          <w:tcPr>
            <w:tcW w:w="130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color w:val="auto"/>
              </w:rPr>
              <w:t>2015</w:t>
            </w:r>
          </w:p>
        </w:tc>
        <w:tc>
          <w:tcPr>
            <w:tcW w:w="126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color w:val="auto"/>
              </w:rPr>
              <w:t>2014</w:t>
            </w:r>
          </w:p>
        </w:tc>
      </w:tr>
    </w:tbl>
    <w:p>
      <w:pPr>
        <w:spacing w:after="0" w:line="34" w:lineRule="exact"/>
        <w:rPr>
          <w:sz w:val="20"/>
          <w:szCs w:val="20"/>
          <w:color w:val="auto"/>
        </w:rPr>
      </w:pPr>
    </w:p>
    <w:p>
      <w:pPr>
        <w:sectPr>
          <w:pgSz w:w="11900" w:h="16838" w:orient="portrait"/>
          <w:cols w:equalWidth="0" w:num="1">
            <w:col w:w="11420"/>
          </w:cols>
          <w:pgMar w:left="240" w:top="724" w:right="239" w:bottom="1440" w:gutter="0" w:footer="0" w:header="0"/>
        </w:sectPr>
      </w:pPr>
    </w:p>
    <w:p>
      <w:pPr>
        <w:ind w:left="40"/>
        <w:spacing w:after="0"/>
        <w:rPr>
          <w:sz w:val="20"/>
          <w:szCs w:val="20"/>
          <w:color w:val="auto"/>
        </w:rPr>
      </w:pPr>
      <w:r>
        <w:rPr>
          <w:rFonts w:ascii="Arial" w:cs="Arial" w:eastAsia="Arial" w:hAnsi="Arial"/>
          <w:sz w:val="16"/>
          <w:szCs w:val="16"/>
          <w:b w:val="1"/>
          <w:bCs w:val="1"/>
          <w:color w:val="auto"/>
        </w:rPr>
        <w:t>Numerator:</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b w:val="1"/>
          <w:bCs w:val="1"/>
          <w:color w:val="auto"/>
        </w:rPr>
        <w:t>Numerator for basic earnings (loss) per share:</w:t>
      </w:r>
    </w:p>
    <w:p>
      <w:pPr>
        <w:spacing w:after="0" w:line="61" w:lineRule="exact"/>
        <w:rPr>
          <w:sz w:val="20"/>
          <w:szCs w:val="20"/>
          <w:color w:val="auto"/>
        </w:rPr>
      </w:pPr>
    </w:p>
    <w:p>
      <w:pPr>
        <w:ind w:left="440" w:hanging="161"/>
        <w:spacing w:after="0" w:line="291" w:lineRule="auto"/>
        <w:rPr>
          <w:sz w:val="20"/>
          <w:szCs w:val="20"/>
          <w:color w:val="auto"/>
        </w:rPr>
      </w:pPr>
      <w:r>
        <w:rPr>
          <w:rFonts w:ascii="Arial" w:cs="Arial" w:eastAsia="Arial" w:hAnsi="Arial"/>
          <w:sz w:val="16"/>
          <w:szCs w:val="16"/>
          <w:color w:val="auto"/>
        </w:rPr>
        <w:t>Income (loss) from continuing operations attributable to Graham Holdings Company common stockholders</w:t>
      </w:r>
    </w:p>
    <w:p>
      <w:pPr>
        <w:spacing w:after="0" w:line="13" w:lineRule="exact"/>
        <w:rPr>
          <w:sz w:val="20"/>
          <w:szCs w:val="20"/>
          <w:color w:val="auto"/>
        </w:rPr>
      </w:pPr>
    </w:p>
    <w:p>
      <w:pPr>
        <w:ind w:left="280" w:right="880"/>
        <w:spacing w:after="0" w:line="361" w:lineRule="auto"/>
        <w:rPr>
          <w:sz w:val="20"/>
          <w:szCs w:val="20"/>
          <w:color w:val="auto"/>
        </w:rPr>
      </w:pPr>
      <w:r>
        <w:rPr>
          <w:rFonts w:ascii="Arial" w:cs="Arial" w:eastAsia="Arial" w:hAnsi="Arial"/>
          <w:sz w:val="16"/>
          <w:szCs w:val="16"/>
          <w:color w:val="auto"/>
        </w:rPr>
        <w:t>Less: Dividends paid–common stock outstanding and unvested restricted shares Undistributed earnings (losses)</w:t>
      </w:r>
    </w:p>
    <w:p>
      <w:pPr>
        <w:ind w:left="280"/>
        <w:spacing w:after="0"/>
        <w:rPr>
          <w:sz w:val="20"/>
          <w:szCs w:val="20"/>
          <w:color w:val="auto"/>
        </w:rPr>
      </w:pPr>
      <w:r>
        <w:rPr>
          <w:rFonts w:ascii="Arial" w:cs="Arial" w:eastAsia="Arial" w:hAnsi="Arial"/>
          <w:sz w:val="16"/>
          <w:szCs w:val="16"/>
          <w:color w:val="auto"/>
        </w:rPr>
        <w:t xml:space="preserve">Percent allocated to common stockholders </w:t>
      </w:r>
      <w:r>
        <w:rPr>
          <w:rFonts w:ascii="Arial" w:cs="Arial" w:eastAsia="Arial" w:hAnsi="Arial"/>
          <w:sz w:val="21"/>
          <w:szCs w:val="21"/>
          <w:color w:val="auto"/>
          <w:vertAlign w:val="superscript"/>
        </w:rPr>
        <w:t>(1)</w:t>
      </w:r>
    </w:p>
    <w:p>
      <w:pPr>
        <w:spacing w:after="0" w:line="312" w:lineRule="exact"/>
        <w:rPr>
          <w:sz w:val="20"/>
          <w:szCs w:val="20"/>
          <w:color w:val="auto"/>
        </w:rPr>
      </w:pPr>
    </w:p>
    <w:p>
      <w:pPr>
        <w:ind w:left="280"/>
        <w:spacing w:after="0"/>
        <w:rPr>
          <w:sz w:val="20"/>
          <w:szCs w:val="20"/>
          <w:color w:val="auto"/>
        </w:rPr>
      </w:pPr>
      <w:r>
        <w:rPr>
          <w:rFonts w:ascii="Arial" w:cs="Arial" w:eastAsia="Arial" w:hAnsi="Arial"/>
          <w:sz w:val="16"/>
          <w:szCs w:val="16"/>
          <w:color w:val="auto"/>
        </w:rPr>
        <w:t>Add: Dividends paid–common stock outstanding</w:t>
      </w:r>
    </w:p>
    <w:p>
      <w:pPr>
        <w:spacing w:after="0" w:line="111" w:lineRule="exact"/>
        <w:rPr>
          <w:sz w:val="20"/>
          <w:szCs w:val="20"/>
          <w:color w:val="auto"/>
        </w:rPr>
      </w:pPr>
    </w:p>
    <w:p>
      <w:pPr>
        <w:ind w:left="180"/>
        <w:spacing w:after="0"/>
        <w:rPr>
          <w:sz w:val="20"/>
          <w:szCs w:val="20"/>
          <w:color w:val="auto"/>
        </w:rPr>
      </w:pPr>
      <w:r>
        <w:rPr>
          <w:rFonts w:ascii="Arial" w:cs="Arial" w:eastAsia="Arial" w:hAnsi="Arial"/>
          <w:sz w:val="16"/>
          <w:szCs w:val="16"/>
          <w:b w:val="1"/>
          <w:bCs w:val="1"/>
          <w:color w:val="auto"/>
        </w:rPr>
        <w:t>Numerator for basic earnings (loss) per share</w:t>
      </w:r>
    </w:p>
    <w:p>
      <w:pPr>
        <w:spacing w:after="0" w:line="115" w:lineRule="exact"/>
        <w:rPr>
          <w:sz w:val="20"/>
          <w:szCs w:val="20"/>
          <w:color w:val="auto"/>
        </w:rPr>
      </w:pPr>
    </w:p>
    <w:p>
      <w:pPr>
        <w:ind w:left="280"/>
        <w:spacing w:after="0"/>
        <w:rPr>
          <w:sz w:val="20"/>
          <w:szCs w:val="20"/>
          <w:color w:val="auto"/>
        </w:rPr>
      </w:pPr>
      <w:r>
        <w:rPr>
          <w:rFonts w:ascii="Arial" w:cs="Arial" w:eastAsia="Arial" w:hAnsi="Arial"/>
          <w:sz w:val="16"/>
          <w:szCs w:val="16"/>
          <w:color w:val="auto"/>
        </w:rPr>
        <w:t>Add: Additional undistributed earnings due to dilutive stock options</w:t>
      </w:r>
    </w:p>
    <w:p>
      <w:pPr>
        <w:spacing w:after="0" w:line="111" w:lineRule="exact"/>
        <w:rPr>
          <w:sz w:val="20"/>
          <w:szCs w:val="20"/>
          <w:color w:val="auto"/>
        </w:rPr>
      </w:pPr>
    </w:p>
    <w:p>
      <w:pPr>
        <w:ind w:left="180"/>
        <w:spacing w:after="0"/>
        <w:rPr>
          <w:sz w:val="20"/>
          <w:szCs w:val="20"/>
          <w:color w:val="auto"/>
        </w:rPr>
      </w:pPr>
      <w:r>
        <w:rPr>
          <w:rFonts w:ascii="Arial" w:cs="Arial" w:eastAsia="Arial" w:hAnsi="Arial"/>
          <w:sz w:val="16"/>
          <w:szCs w:val="16"/>
          <w:b w:val="1"/>
          <w:bCs w:val="1"/>
          <w:color w:val="auto"/>
        </w:rPr>
        <w:t>Numerator for diluted earnings (loss) per share</w:t>
      </w:r>
    </w:p>
    <w:p>
      <w:pPr>
        <w:spacing w:after="0" w:line="11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Denominator:</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b w:val="1"/>
          <w:bCs w:val="1"/>
          <w:color w:val="auto"/>
        </w:rPr>
        <w:t>Denominator for basic earnings (loss) per share: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9"/>
        </w:trPr>
        <w:tc>
          <w:tcPr>
            <w:tcW w:w="28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ind w:right="159"/>
              <w:spacing w:after="0"/>
              <w:rPr>
                <w:sz w:val="20"/>
                <w:szCs w:val="20"/>
                <w:color w:val="auto"/>
              </w:rPr>
            </w:pPr>
            <w:r>
              <w:rPr>
                <w:rFonts w:ascii="Arial" w:cs="Arial" w:eastAsia="Arial" w:hAnsi="Arial"/>
                <w:sz w:val="16"/>
                <w:szCs w:val="16"/>
                <w:b w:val="1"/>
                <w:bCs w:val="1"/>
                <w:color w:val="auto"/>
              </w:rPr>
              <w:t>168,590</w:t>
            </w:r>
          </w:p>
        </w:tc>
        <w:tc>
          <w:tcPr>
            <w:tcW w:w="3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(143,456)</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99"/>
              <w:spacing w:after="0"/>
              <w:rPr>
                <w:sz w:val="20"/>
                <w:szCs w:val="20"/>
                <w:color w:val="auto"/>
              </w:rPr>
            </w:pPr>
            <w:r>
              <w:rPr>
                <w:rFonts w:ascii="Arial" w:cs="Arial" w:eastAsia="Arial" w:hAnsi="Arial"/>
                <w:sz w:val="16"/>
                <w:szCs w:val="16"/>
                <w:color w:val="auto"/>
              </w:rPr>
              <w:t>765,139</w:t>
            </w:r>
          </w:p>
        </w:tc>
      </w:tr>
      <w:tr>
        <w:trPr>
          <w:trHeight w:val="274"/>
        </w:trPr>
        <w:tc>
          <w:tcPr>
            <w:tcW w:w="28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(27,325)</w:t>
            </w:r>
          </w:p>
        </w:tc>
        <w:tc>
          <w:tcPr>
            <w:tcW w:w="3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(53,090)</w:t>
            </w:r>
          </w:p>
        </w:tc>
        <w:tc>
          <w:tcPr>
            <w:tcW w:w="34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(67,267)</w:t>
            </w:r>
          </w:p>
        </w:tc>
      </w:tr>
      <w:tr>
        <w:trPr>
          <w:trHeight w:val="260"/>
        </w:trPr>
        <w:tc>
          <w:tcPr>
            <w:tcW w:w="280" w:type="dxa"/>
            <w:vAlign w:val="bottom"/>
          </w:tcPr>
          <w:p>
            <w:pPr>
              <w:spacing w:after="0"/>
              <w:rPr>
                <w:sz w:val="22"/>
                <w:szCs w:val="22"/>
                <w:color w:val="auto"/>
              </w:rPr>
            </w:pPr>
          </w:p>
        </w:tc>
        <w:tc>
          <w:tcPr>
            <w:tcW w:w="980" w:type="dxa"/>
            <w:vAlign w:val="bottom"/>
          </w:tcPr>
          <w:p>
            <w:pPr>
              <w:jc w:val="right"/>
              <w:ind w:right="159"/>
              <w:spacing w:after="0"/>
              <w:rPr>
                <w:sz w:val="20"/>
                <w:szCs w:val="20"/>
                <w:color w:val="auto"/>
              </w:rPr>
            </w:pPr>
            <w:r>
              <w:rPr>
                <w:rFonts w:ascii="Arial" w:cs="Arial" w:eastAsia="Arial" w:hAnsi="Arial"/>
                <w:sz w:val="16"/>
                <w:szCs w:val="16"/>
                <w:b w:val="1"/>
                <w:bCs w:val="1"/>
                <w:color w:val="auto"/>
              </w:rPr>
              <w:t>141,265</w:t>
            </w:r>
          </w:p>
        </w:tc>
        <w:tc>
          <w:tcPr>
            <w:tcW w:w="300" w:type="dxa"/>
            <w:vAlign w:val="bottom"/>
          </w:tcPr>
          <w:p>
            <w:pPr>
              <w:spacing w:after="0"/>
              <w:rPr>
                <w:sz w:val="22"/>
                <w:szCs w:val="22"/>
                <w:color w:val="auto"/>
              </w:rPr>
            </w:pP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(196,546)</w:t>
            </w:r>
          </w:p>
        </w:tc>
        <w:tc>
          <w:tcPr>
            <w:tcW w:w="340" w:type="dxa"/>
            <w:vAlign w:val="bottom"/>
          </w:tcPr>
          <w:p>
            <w:pPr>
              <w:spacing w:after="0"/>
              <w:rPr>
                <w:sz w:val="22"/>
                <w:szCs w:val="22"/>
                <w:color w:val="auto"/>
              </w:rPr>
            </w:pPr>
          </w:p>
        </w:tc>
        <w:tc>
          <w:tcPr>
            <w:tcW w:w="920" w:type="dxa"/>
            <w:vAlign w:val="bottom"/>
          </w:tcPr>
          <w:p>
            <w:pPr>
              <w:jc w:val="right"/>
              <w:ind w:right="99"/>
              <w:spacing w:after="0"/>
              <w:rPr>
                <w:sz w:val="20"/>
                <w:szCs w:val="20"/>
                <w:color w:val="auto"/>
              </w:rPr>
            </w:pPr>
            <w:r>
              <w:rPr>
                <w:rFonts w:ascii="Arial" w:cs="Arial" w:eastAsia="Arial" w:hAnsi="Arial"/>
                <w:sz w:val="16"/>
                <w:szCs w:val="16"/>
                <w:color w:val="auto"/>
              </w:rPr>
              <w:t>697,872</w:t>
            </w:r>
          </w:p>
        </w:tc>
      </w:tr>
      <w:tr>
        <w:trPr>
          <w:trHeight w:val="274"/>
        </w:trPr>
        <w:tc>
          <w:tcPr>
            <w:tcW w:w="28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98.79%</w:t>
            </w:r>
          </w:p>
        </w:tc>
        <w:tc>
          <w:tcPr>
            <w:tcW w:w="3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100.00%</w:t>
            </w:r>
          </w:p>
        </w:tc>
        <w:tc>
          <w:tcPr>
            <w:tcW w:w="34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97.98%</w:t>
            </w:r>
          </w:p>
        </w:tc>
      </w:tr>
      <w:tr>
        <w:trPr>
          <w:trHeight w:val="260"/>
        </w:trPr>
        <w:tc>
          <w:tcPr>
            <w:tcW w:w="280" w:type="dxa"/>
            <w:vAlign w:val="bottom"/>
          </w:tcPr>
          <w:p>
            <w:pPr>
              <w:spacing w:after="0"/>
              <w:rPr>
                <w:sz w:val="22"/>
                <w:szCs w:val="22"/>
                <w:color w:val="auto"/>
              </w:rPr>
            </w:pPr>
          </w:p>
        </w:tc>
        <w:tc>
          <w:tcPr>
            <w:tcW w:w="980" w:type="dxa"/>
            <w:vAlign w:val="bottom"/>
          </w:tcPr>
          <w:p>
            <w:pPr>
              <w:jc w:val="right"/>
              <w:ind w:right="159"/>
              <w:spacing w:after="0"/>
              <w:rPr>
                <w:sz w:val="20"/>
                <w:szCs w:val="20"/>
                <w:color w:val="auto"/>
              </w:rPr>
            </w:pPr>
            <w:r>
              <w:rPr>
                <w:rFonts w:ascii="Arial" w:cs="Arial" w:eastAsia="Arial" w:hAnsi="Arial"/>
                <w:sz w:val="16"/>
                <w:szCs w:val="16"/>
                <w:b w:val="1"/>
                <w:bCs w:val="1"/>
                <w:color w:val="auto"/>
              </w:rPr>
              <w:t>139,562</w:t>
            </w:r>
          </w:p>
        </w:tc>
        <w:tc>
          <w:tcPr>
            <w:tcW w:w="300" w:type="dxa"/>
            <w:vAlign w:val="bottom"/>
          </w:tcPr>
          <w:p>
            <w:pPr>
              <w:spacing w:after="0"/>
              <w:rPr>
                <w:sz w:val="22"/>
                <w:szCs w:val="22"/>
                <w:color w:val="auto"/>
              </w:rPr>
            </w:pP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(196,546)</w:t>
            </w:r>
          </w:p>
        </w:tc>
        <w:tc>
          <w:tcPr>
            <w:tcW w:w="340" w:type="dxa"/>
            <w:vAlign w:val="bottom"/>
          </w:tcPr>
          <w:p>
            <w:pPr>
              <w:spacing w:after="0"/>
              <w:rPr>
                <w:sz w:val="22"/>
                <w:szCs w:val="22"/>
                <w:color w:val="auto"/>
              </w:rPr>
            </w:pPr>
          </w:p>
        </w:tc>
        <w:tc>
          <w:tcPr>
            <w:tcW w:w="920" w:type="dxa"/>
            <w:vAlign w:val="bottom"/>
          </w:tcPr>
          <w:p>
            <w:pPr>
              <w:jc w:val="right"/>
              <w:ind w:right="99"/>
              <w:spacing w:after="0"/>
              <w:rPr>
                <w:sz w:val="20"/>
                <w:szCs w:val="20"/>
                <w:color w:val="auto"/>
              </w:rPr>
            </w:pPr>
            <w:r>
              <w:rPr>
                <w:rFonts w:ascii="Arial" w:cs="Arial" w:eastAsia="Arial" w:hAnsi="Arial"/>
                <w:sz w:val="16"/>
                <w:szCs w:val="16"/>
                <w:color w:val="auto"/>
              </w:rPr>
              <w:t>683,780</w:t>
            </w:r>
          </w:p>
        </w:tc>
      </w:tr>
      <w:tr>
        <w:trPr>
          <w:trHeight w:val="274"/>
        </w:trPr>
        <w:tc>
          <w:tcPr>
            <w:tcW w:w="28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26,962</w:t>
            </w:r>
          </w:p>
        </w:tc>
        <w:tc>
          <w:tcPr>
            <w:tcW w:w="3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52,050</w:t>
            </w:r>
          </w:p>
        </w:tc>
        <w:tc>
          <w:tcPr>
            <w:tcW w:w="34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66,012</w:t>
            </w:r>
          </w:p>
        </w:tc>
      </w:tr>
      <w:tr>
        <w:trPr>
          <w:trHeight w:val="264"/>
        </w:trPr>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166,524</w:t>
            </w: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(144,496)</w:t>
            </w:r>
          </w:p>
        </w:tc>
        <w:tc>
          <w:tcPr>
            <w:tcW w:w="3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749,792</w:t>
            </w:r>
          </w:p>
        </w:tc>
      </w:tr>
      <w:tr>
        <w:trPr>
          <w:trHeight w:val="20"/>
        </w:trPr>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51"/>
        </w:trPr>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9</w:t>
            </w:r>
          </w:p>
        </w:tc>
        <w:tc>
          <w:tcPr>
            <w:tcW w:w="3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64</w:t>
            </w:r>
          </w:p>
        </w:tc>
      </w:tr>
      <w:tr>
        <w:trPr>
          <w:trHeight w:val="264"/>
        </w:trPr>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166,533</w:t>
            </w:r>
          </w:p>
        </w:tc>
        <w:tc>
          <w:tcPr>
            <w:tcW w:w="3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(144,496)</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749,856</w:t>
            </w:r>
          </w:p>
        </w:tc>
      </w:tr>
      <w:tr>
        <w:trPr>
          <w:trHeight w:val="20"/>
        </w:trPr>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574" w:lineRule="exact"/>
        <w:rPr>
          <w:sz w:val="20"/>
          <w:szCs w:val="20"/>
          <w:color w:val="auto"/>
        </w:rPr>
      </w:pPr>
    </w:p>
    <w:p>
      <w:pPr>
        <w:sectPr>
          <w:pgSz w:w="11900" w:h="16838" w:orient="portrait"/>
          <w:cols w:equalWidth="0" w:num="2">
            <w:col w:w="6940" w:space="660"/>
            <w:col w:w="3820"/>
          </w:cols>
          <w:pgMar w:left="240" w:top="724" w:right="239" w:bottom="1440" w:gutter="0" w:footer="0" w:header="0"/>
          <w:type w:val="continuous"/>
        </w:sectPr>
      </w:pPr>
    </w:p>
    <w:p>
      <w:pPr>
        <w:spacing w:after="0" w:line="2" w:lineRule="exact"/>
        <w:rPr>
          <w:sz w:val="20"/>
          <w:szCs w:val="20"/>
          <w:color w:val="auto"/>
        </w:rPr>
      </w:pPr>
    </w:p>
    <w:p>
      <w:pPr>
        <w:ind w:left="280"/>
        <w:spacing w:after="0"/>
        <w:rPr>
          <w:sz w:val="20"/>
          <w:szCs w:val="20"/>
          <w:color w:val="auto"/>
        </w:rPr>
      </w:pPr>
      <w:r>
        <w:rPr>
          <w:rFonts w:ascii="Arial" w:cs="Arial" w:eastAsia="Arial" w:hAnsi="Arial"/>
          <w:sz w:val="16"/>
          <w:szCs w:val="16"/>
          <w:color w:val="auto"/>
        </w:rPr>
        <w:t>Weighted average shares outstanding</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Add: Effect of dilutive stock options</w:t>
      </w:r>
    </w:p>
    <w:p>
      <w:pPr>
        <w:spacing w:after="0" w:line="111" w:lineRule="exact"/>
        <w:rPr>
          <w:sz w:val="20"/>
          <w:szCs w:val="20"/>
          <w:color w:val="auto"/>
        </w:rPr>
      </w:pPr>
    </w:p>
    <w:p>
      <w:pPr>
        <w:ind w:left="180"/>
        <w:spacing w:after="0"/>
        <w:rPr>
          <w:sz w:val="20"/>
          <w:szCs w:val="20"/>
          <w:color w:val="auto"/>
        </w:rPr>
      </w:pPr>
      <w:r>
        <w:rPr>
          <w:rFonts w:ascii="Arial" w:cs="Arial" w:eastAsia="Arial" w:hAnsi="Arial"/>
          <w:sz w:val="16"/>
          <w:szCs w:val="16"/>
          <w:b w:val="1"/>
          <w:bCs w:val="1"/>
          <w:color w:val="auto"/>
        </w:rPr>
        <w:t>Denominator for diluted earnings (loss) per share</w:t>
      </w:r>
    </w:p>
    <w:p>
      <w:pPr>
        <w:spacing w:after="0" w:line="11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Graham Holdings Company Common Stockholders:</w:t>
      </w:r>
    </w:p>
    <w:p>
      <w:pPr>
        <w:spacing w:after="0" w:line="100" w:lineRule="exact"/>
        <w:rPr>
          <w:sz w:val="20"/>
          <w:szCs w:val="20"/>
          <w:color w:val="auto"/>
        </w:rPr>
      </w:pPr>
    </w:p>
    <w:p>
      <w:pPr>
        <w:ind w:left="180" w:right="2040"/>
        <w:spacing w:after="0" w:line="380" w:lineRule="auto"/>
        <w:rPr>
          <w:sz w:val="20"/>
          <w:szCs w:val="20"/>
          <w:color w:val="auto"/>
        </w:rPr>
      </w:pPr>
      <w:r>
        <w:rPr>
          <w:rFonts w:ascii="Arial" w:cs="Arial" w:eastAsia="Arial" w:hAnsi="Arial"/>
          <w:sz w:val="16"/>
          <w:szCs w:val="16"/>
          <w:b w:val="1"/>
          <w:bCs w:val="1"/>
          <w:color w:val="auto"/>
        </w:rPr>
        <w:t>Basic earnings (loss) per share from continuing operations Diluted earnings (loss) per share from continuing operations</w:t>
      </w:r>
    </w:p>
    <w:p>
      <w:pPr>
        <w:spacing w:after="0" w:line="1" w:lineRule="exact"/>
        <w:rPr>
          <w:sz w:val="20"/>
          <w:szCs w:val="20"/>
          <w:color w:val="auto"/>
        </w:rPr>
      </w:pPr>
    </w:p>
    <w:p>
      <w:pPr>
        <w:spacing w:after="0"/>
        <w:rPr>
          <w:sz w:val="20"/>
          <w:szCs w:val="20"/>
          <w:color w:val="auto"/>
        </w:rPr>
      </w:pPr>
      <w:r>
        <w:rPr>
          <w:rFonts w:ascii="Arial" w:cs="Arial" w:eastAsia="Arial" w:hAnsi="Arial"/>
          <w:sz w:val="11"/>
          <w:szCs w:val="11"/>
          <w:color w:val="auto"/>
        </w:rPr>
        <w:t>____________</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9"/>
        </w:trPr>
        <w:tc>
          <w:tcPr>
            <w:tcW w:w="360" w:type="dxa"/>
            <w:vAlign w:val="bottom"/>
          </w:tcPr>
          <w:p>
            <w:pPr>
              <w:spacing w:after="0"/>
              <w:rPr>
                <w:sz w:val="19"/>
                <w:szCs w:val="19"/>
                <w:color w:val="auto"/>
              </w:rPr>
            </w:pPr>
          </w:p>
        </w:tc>
        <w:tc>
          <w:tcPr>
            <w:tcW w:w="820" w:type="dxa"/>
            <w:vAlign w:val="bottom"/>
          </w:tcPr>
          <w:p>
            <w:pPr>
              <w:jc w:val="right"/>
              <w:ind w:right="79"/>
              <w:spacing w:after="0"/>
              <w:rPr>
                <w:sz w:val="20"/>
                <w:szCs w:val="20"/>
                <w:color w:val="auto"/>
              </w:rPr>
            </w:pPr>
            <w:r>
              <w:rPr>
                <w:rFonts w:ascii="Arial" w:cs="Arial" w:eastAsia="Arial" w:hAnsi="Arial"/>
                <w:sz w:val="16"/>
                <w:szCs w:val="16"/>
                <w:b w:val="1"/>
                <w:bCs w:val="1"/>
                <w:color w:val="auto"/>
              </w:rPr>
              <w:t>5,559</w:t>
            </w:r>
          </w:p>
        </w:tc>
        <w:tc>
          <w:tcPr>
            <w:tcW w:w="480" w:type="dxa"/>
            <w:vAlign w:val="bottom"/>
          </w:tcPr>
          <w:p>
            <w:pPr>
              <w:spacing w:after="0"/>
              <w:rPr>
                <w:sz w:val="19"/>
                <w:szCs w:val="19"/>
                <w:color w:val="auto"/>
              </w:rPr>
            </w:pPr>
          </w:p>
        </w:tc>
        <w:tc>
          <w:tcPr>
            <w:tcW w:w="860" w:type="dxa"/>
            <w:vAlign w:val="bottom"/>
          </w:tcPr>
          <w:p>
            <w:pPr>
              <w:jc w:val="right"/>
              <w:ind w:right="99"/>
              <w:spacing w:after="0"/>
              <w:rPr>
                <w:sz w:val="20"/>
                <w:szCs w:val="20"/>
                <w:color w:val="auto"/>
              </w:rPr>
            </w:pPr>
            <w:r>
              <w:rPr>
                <w:rFonts w:ascii="Arial" w:cs="Arial" w:eastAsia="Arial" w:hAnsi="Arial"/>
                <w:sz w:val="16"/>
                <w:szCs w:val="16"/>
                <w:color w:val="auto"/>
              </w:rPr>
              <w:t>5,727</w:t>
            </w:r>
          </w:p>
        </w:tc>
        <w:tc>
          <w:tcPr>
            <w:tcW w:w="420" w:type="dxa"/>
            <w:vAlign w:val="bottom"/>
          </w:tcPr>
          <w:p>
            <w:pPr>
              <w:spacing w:after="0"/>
              <w:rPr>
                <w:sz w:val="19"/>
                <w:szCs w:val="19"/>
                <w:color w:val="auto"/>
              </w:rPr>
            </w:pPr>
          </w:p>
        </w:tc>
        <w:tc>
          <w:tcPr>
            <w:tcW w:w="880" w:type="dxa"/>
            <w:vAlign w:val="bottom"/>
          </w:tcPr>
          <w:p>
            <w:pPr>
              <w:jc w:val="right"/>
              <w:ind w:right="99"/>
              <w:spacing w:after="0"/>
              <w:rPr>
                <w:sz w:val="20"/>
                <w:szCs w:val="20"/>
                <w:color w:val="auto"/>
              </w:rPr>
            </w:pPr>
            <w:r>
              <w:rPr>
                <w:rFonts w:ascii="Arial" w:cs="Arial" w:eastAsia="Arial" w:hAnsi="Arial"/>
                <w:sz w:val="16"/>
                <w:szCs w:val="16"/>
                <w:color w:val="auto"/>
              </w:rPr>
              <w:t>6,470</w:t>
            </w:r>
          </w:p>
        </w:tc>
      </w:tr>
      <w:tr>
        <w:trPr>
          <w:trHeight w:val="274"/>
        </w:trPr>
        <w:tc>
          <w:tcPr>
            <w:tcW w:w="36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30</w:t>
            </w:r>
          </w:p>
        </w:tc>
        <w:tc>
          <w:tcPr>
            <w:tcW w:w="48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27</w:t>
            </w:r>
          </w:p>
        </w:tc>
      </w:tr>
      <w:tr>
        <w:trPr>
          <w:trHeight w:val="264"/>
        </w:trPr>
        <w:tc>
          <w:tcPr>
            <w:tcW w:w="36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5,589</w:t>
            </w:r>
          </w:p>
        </w:tc>
        <w:tc>
          <w:tcPr>
            <w:tcW w:w="4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5,727</w:t>
            </w:r>
          </w:p>
        </w:tc>
        <w:tc>
          <w:tcPr>
            <w:tcW w:w="4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6,497</w:t>
            </w:r>
          </w:p>
        </w:tc>
      </w:tr>
      <w:tr>
        <w:trPr>
          <w:trHeight w:val="20"/>
        </w:trPr>
        <w:tc>
          <w:tcPr>
            <w:tcW w:w="3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521"/>
        </w:trPr>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w:t>
            </w:r>
          </w:p>
        </w:tc>
        <w:tc>
          <w:tcPr>
            <w:tcW w:w="8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29.95</w:t>
            </w:r>
          </w:p>
        </w:tc>
        <w:tc>
          <w:tcPr>
            <w:tcW w:w="48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(25.23)</w:t>
            </w:r>
          </w:p>
        </w:tc>
        <w:tc>
          <w:tcPr>
            <w:tcW w:w="4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115.88</w:t>
            </w:r>
          </w:p>
        </w:tc>
      </w:tr>
      <w:tr>
        <w:trPr>
          <w:trHeight w:val="20"/>
        </w:trPr>
        <w:tc>
          <w:tcPr>
            <w:tcW w:w="3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51"/>
        </w:trPr>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w:t>
            </w:r>
          </w:p>
        </w:tc>
        <w:tc>
          <w:tcPr>
            <w:tcW w:w="8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29.80</w:t>
            </w:r>
          </w:p>
        </w:tc>
        <w:tc>
          <w:tcPr>
            <w:tcW w:w="48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(25.23)</w:t>
            </w:r>
          </w:p>
        </w:tc>
        <w:tc>
          <w:tcPr>
            <w:tcW w:w="4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115.40</w:t>
            </w:r>
          </w:p>
        </w:tc>
      </w:tr>
      <w:tr>
        <w:trPr>
          <w:trHeight w:val="20"/>
        </w:trPr>
        <w:tc>
          <w:tcPr>
            <w:tcW w:w="3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329" w:lineRule="exact"/>
        <w:rPr>
          <w:sz w:val="20"/>
          <w:szCs w:val="20"/>
          <w:color w:val="auto"/>
        </w:rPr>
      </w:pPr>
    </w:p>
    <w:p>
      <w:pPr>
        <w:sectPr>
          <w:pgSz w:w="11900" w:h="16838" w:orient="portrait"/>
          <w:cols w:equalWidth="0" w:num="2">
            <w:col w:w="6880" w:space="720"/>
            <w:col w:w="3820"/>
          </w:cols>
          <w:pgMar w:left="240" w:top="724" w:right="239" w:bottom="1440" w:gutter="0" w:footer="0" w:header="0"/>
          <w:type w:val="continuous"/>
        </w:sectPr>
      </w:pPr>
    </w:p>
    <w:p>
      <w:pPr>
        <w:spacing w:after="0"/>
        <w:rPr>
          <w:sz w:val="20"/>
          <w:szCs w:val="20"/>
          <w:color w:val="auto"/>
        </w:rPr>
      </w:pPr>
      <w:r>
        <w:rPr>
          <w:rFonts w:ascii="Arial" w:cs="Arial" w:eastAsia="Arial" w:hAnsi="Arial"/>
          <w:sz w:val="13"/>
          <w:szCs w:val="13"/>
          <w:color w:val="auto"/>
        </w:rPr>
        <w:t>(1)  Percent of undistributed losses allocated to common stockholders is 100% in 2015 as participating securities are not contractually obligated to share in losses.</w:t>
      </w:r>
    </w:p>
    <w:p>
      <w:pPr>
        <w:spacing w:after="0" w:line="133" w:lineRule="exact"/>
        <w:rPr>
          <w:sz w:val="20"/>
          <w:szCs w:val="20"/>
          <w:color w:val="auto"/>
        </w:rPr>
      </w:pPr>
    </w:p>
    <w:p>
      <w:pPr>
        <w:ind w:right="420"/>
        <w:spacing w:after="0" w:line="260" w:lineRule="auto"/>
        <w:rPr>
          <w:sz w:val="20"/>
          <w:szCs w:val="20"/>
          <w:color w:val="auto"/>
        </w:rPr>
      </w:pPr>
      <w:r>
        <w:rPr>
          <w:rFonts w:ascii="Arial" w:cs="Arial" w:eastAsia="Arial" w:hAnsi="Arial"/>
          <w:sz w:val="18"/>
          <w:szCs w:val="18"/>
          <w:color w:val="auto"/>
        </w:rPr>
        <w:t>Diluted earnings (loss) per share excludes the following weighted average potential common shares, as the effect would be antidilutive, as computed under the treasury stock method: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780" w:type="dxa"/>
            <w:vAlign w:val="bottom"/>
          </w:tcPr>
          <w:p>
            <w:pPr>
              <w:spacing w:after="0"/>
              <w:rPr>
                <w:sz w:val="17"/>
                <w:szCs w:val="17"/>
                <w:color w:val="auto"/>
              </w:rPr>
            </w:pPr>
          </w:p>
        </w:tc>
        <w:tc>
          <w:tcPr>
            <w:tcW w:w="2800" w:type="dxa"/>
            <w:vAlign w:val="bottom"/>
            <w:tcBorders>
              <w:bottom w:val="single" w:sz="8" w:color="auto"/>
            </w:tcBorders>
            <w:gridSpan w:val="2"/>
          </w:tcPr>
          <w:p>
            <w:pPr>
              <w:jc w:val="right"/>
              <w:ind w:right="22"/>
              <w:spacing w:after="0"/>
              <w:rPr>
                <w:sz w:val="20"/>
                <w:szCs w:val="20"/>
                <w:color w:val="auto"/>
              </w:rPr>
            </w:pPr>
            <w:r>
              <w:rPr>
                <w:rFonts w:ascii="Arial" w:cs="Arial" w:eastAsia="Arial" w:hAnsi="Arial"/>
                <w:sz w:val="14"/>
                <w:szCs w:val="14"/>
                <w:b w:val="1"/>
                <w:bCs w:val="1"/>
                <w:color w:val="auto"/>
              </w:rPr>
              <w:t>Year Ended December 31</w:t>
            </w:r>
          </w:p>
        </w:tc>
        <w:tc>
          <w:tcPr>
            <w:tcW w:w="840" w:type="dxa"/>
            <w:vAlign w:val="bottom"/>
            <w:tcBorders>
              <w:bottom w:val="single" w:sz="8" w:color="auto"/>
            </w:tcBorders>
          </w:tcPr>
          <w:p>
            <w:pPr>
              <w:spacing w:after="0"/>
              <w:rPr>
                <w:sz w:val="17"/>
                <w:szCs w:val="17"/>
                <w:color w:val="auto"/>
              </w:rPr>
            </w:pPr>
          </w:p>
        </w:tc>
      </w:tr>
      <w:tr>
        <w:trPr>
          <w:trHeight w:val="264"/>
        </w:trPr>
        <w:tc>
          <w:tcPr>
            <w:tcW w:w="77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360" w:type="dxa"/>
            <w:vAlign w:val="bottom"/>
            <w:tcBorders>
              <w:bottom w:val="single" w:sz="8" w:color="auto"/>
            </w:tcBorders>
          </w:tcPr>
          <w:p>
            <w:pPr>
              <w:jc w:val="right"/>
              <w:ind w:right="543"/>
              <w:spacing w:after="0"/>
              <w:rPr>
                <w:sz w:val="20"/>
                <w:szCs w:val="20"/>
                <w:color w:val="auto"/>
              </w:rPr>
            </w:pPr>
            <w:r>
              <w:rPr>
                <w:rFonts w:ascii="Arial" w:cs="Arial" w:eastAsia="Arial" w:hAnsi="Arial"/>
                <w:sz w:val="14"/>
                <w:szCs w:val="14"/>
                <w:b w:val="1"/>
                <w:bCs w:val="1"/>
                <w:color w:val="auto"/>
              </w:rPr>
              <w:t>2016</w:t>
            </w:r>
          </w:p>
        </w:tc>
        <w:tc>
          <w:tcPr>
            <w:tcW w:w="1440" w:type="dxa"/>
            <w:vAlign w:val="bottom"/>
            <w:tcBorders>
              <w:bottom w:val="single" w:sz="8" w:color="auto"/>
            </w:tcBorders>
          </w:tcPr>
          <w:p>
            <w:pPr>
              <w:jc w:val="right"/>
              <w:ind w:right="722"/>
              <w:spacing w:after="0"/>
              <w:rPr>
                <w:sz w:val="20"/>
                <w:szCs w:val="20"/>
                <w:color w:val="auto"/>
              </w:rPr>
            </w:pPr>
            <w:r>
              <w:rPr>
                <w:rFonts w:ascii="Arial" w:cs="Arial" w:eastAsia="Arial" w:hAnsi="Arial"/>
                <w:sz w:val="14"/>
                <w:szCs w:val="14"/>
                <w:color w:val="auto"/>
              </w:rPr>
              <w:t>2015</w:t>
            </w:r>
          </w:p>
        </w:tc>
        <w:tc>
          <w:tcPr>
            <w:tcW w:w="840" w:type="dxa"/>
            <w:vAlign w:val="bottom"/>
            <w:tcBorders>
              <w:bottom w:val="single" w:sz="8" w:color="auto"/>
            </w:tcBorders>
          </w:tcPr>
          <w:p>
            <w:pPr>
              <w:jc w:val="right"/>
              <w:ind w:right="322"/>
              <w:spacing w:after="0"/>
              <w:rPr>
                <w:sz w:val="20"/>
                <w:szCs w:val="20"/>
                <w:color w:val="auto"/>
              </w:rPr>
            </w:pPr>
            <w:r>
              <w:rPr>
                <w:rFonts w:ascii="Arial" w:cs="Arial" w:eastAsia="Arial" w:hAnsi="Arial"/>
                <w:sz w:val="14"/>
                <w:szCs w:val="14"/>
                <w:color w:val="auto"/>
              </w:rPr>
              <w:t>2014</w:t>
            </w:r>
          </w:p>
        </w:tc>
      </w:tr>
      <w:tr>
        <w:trPr>
          <w:trHeight w:val="257"/>
        </w:trPr>
        <w:tc>
          <w:tcPr>
            <w:tcW w:w="7780" w:type="dxa"/>
            <w:vAlign w:val="bottom"/>
          </w:tcPr>
          <w:p>
            <w:pPr>
              <w:ind w:left="180"/>
              <w:spacing w:after="0"/>
              <w:rPr>
                <w:sz w:val="20"/>
                <w:szCs w:val="20"/>
                <w:color w:val="auto"/>
              </w:rPr>
            </w:pPr>
            <w:r>
              <w:rPr>
                <w:rFonts w:ascii="Arial" w:cs="Arial" w:eastAsia="Arial" w:hAnsi="Arial"/>
                <w:sz w:val="16"/>
                <w:szCs w:val="16"/>
                <w:color w:val="auto"/>
              </w:rPr>
              <w:t>Weighted average restricted stock</w:t>
            </w:r>
          </w:p>
        </w:tc>
        <w:tc>
          <w:tcPr>
            <w:tcW w:w="1360" w:type="dxa"/>
            <w:vAlign w:val="bottom"/>
          </w:tcPr>
          <w:p>
            <w:pPr>
              <w:jc w:val="right"/>
              <w:ind w:right="243"/>
              <w:spacing w:after="0"/>
              <w:rPr>
                <w:sz w:val="20"/>
                <w:szCs w:val="20"/>
                <w:color w:val="auto"/>
              </w:rPr>
            </w:pPr>
            <w:r>
              <w:rPr>
                <w:rFonts w:ascii="Arial" w:cs="Arial" w:eastAsia="Arial" w:hAnsi="Arial"/>
                <w:sz w:val="16"/>
                <w:szCs w:val="16"/>
                <w:b w:val="1"/>
                <w:bCs w:val="1"/>
                <w:color w:val="auto"/>
              </w:rPr>
              <w:t>40</w:t>
            </w:r>
          </w:p>
        </w:tc>
        <w:tc>
          <w:tcPr>
            <w:tcW w:w="1440" w:type="dxa"/>
            <w:vAlign w:val="bottom"/>
          </w:tcPr>
          <w:p>
            <w:pPr>
              <w:jc w:val="right"/>
              <w:ind w:right="442"/>
              <w:spacing w:after="0"/>
              <w:rPr>
                <w:sz w:val="20"/>
                <w:szCs w:val="20"/>
                <w:color w:val="auto"/>
              </w:rPr>
            </w:pPr>
            <w:r>
              <w:rPr>
                <w:rFonts w:ascii="Arial" w:cs="Arial" w:eastAsia="Arial" w:hAnsi="Arial"/>
                <w:sz w:val="16"/>
                <w:szCs w:val="16"/>
                <w:color w:val="auto"/>
              </w:rPr>
              <w:t>52</w:t>
            </w:r>
          </w:p>
        </w:tc>
        <w:tc>
          <w:tcPr>
            <w:tcW w:w="840" w:type="dxa"/>
            <w:vAlign w:val="bottom"/>
          </w:tcPr>
          <w:p>
            <w:pPr>
              <w:jc w:val="right"/>
              <w:ind w:right="22"/>
              <w:spacing w:after="0"/>
              <w:rPr>
                <w:sz w:val="20"/>
                <w:szCs w:val="20"/>
                <w:color w:val="auto"/>
              </w:rPr>
            </w:pPr>
            <w:r>
              <w:rPr>
                <w:rFonts w:ascii="Arial" w:cs="Arial" w:eastAsia="Arial" w:hAnsi="Arial"/>
                <w:sz w:val="16"/>
                <w:szCs w:val="16"/>
                <w:color w:val="auto"/>
              </w:rPr>
              <w:t>62</w:t>
            </w:r>
          </w:p>
        </w:tc>
      </w:tr>
      <w:tr>
        <w:trPr>
          <w:trHeight w:val="270"/>
        </w:trPr>
        <w:tc>
          <w:tcPr>
            <w:tcW w:w="7780" w:type="dxa"/>
            <w:vAlign w:val="bottom"/>
          </w:tcPr>
          <w:p>
            <w:pPr>
              <w:ind w:left="180"/>
              <w:spacing w:after="0"/>
              <w:rPr>
                <w:sz w:val="20"/>
                <w:szCs w:val="20"/>
                <w:color w:val="auto"/>
              </w:rPr>
            </w:pPr>
            <w:r>
              <w:rPr>
                <w:rFonts w:ascii="Arial" w:cs="Arial" w:eastAsia="Arial" w:hAnsi="Arial"/>
                <w:sz w:val="16"/>
                <w:szCs w:val="16"/>
                <w:color w:val="auto"/>
              </w:rPr>
              <w:t>Weighted average stock options</w:t>
            </w:r>
          </w:p>
        </w:tc>
        <w:tc>
          <w:tcPr>
            <w:tcW w:w="1360" w:type="dxa"/>
            <w:vAlign w:val="bottom"/>
          </w:tcPr>
          <w:p>
            <w:pPr>
              <w:jc w:val="right"/>
              <w:ind w:right="243"/>
              <w:spacing w:after="0"/>
              <w:rPr>
                <w:sz w:val="20"/>
                <w:szCs w:val="20"/>
                <w:color w:val="auto"/>
              </w:rPr>
            </w:pPr>
            <w:r>
              <w:rPr>
                <w:rFonts w:ascii="Arial" w:cs="Arial" w:eastAsia="Arial" w:hAnsi="Arial"/>
                <w:sz w:val="16"/>
                <w:szCs w:val="16"/>
                <w:b w:val="1"/>
                <w:bCs w:val="1"/>
                <w:color w:val="auto"/>
              </w:rPr>
              <w:t>—</w:t>
            </w:r>
          </w:p>
        </w:tc>
        <w:tc>
          <w:tcPr>
            <w:tcW w:w="1440" w:type="dxa"/>
            <w:vAlign w:val="bottom"/>
          </w:tcPr>
          <w:p>
            <w:pPr>
              <w:jc w:val="right"/>
              <w:ind w:right="442"/>
              <w:spacing w:after="0"/>
              <w:rPr>
                <w:sz w:val="20"/>
                <w:szCs w:val="20"/>
                <w:color w:val="auto"/>
              </w:rPr>
            </w:pPr>
            <w:r>
              <w:rPr>
                <w:rFonts w:ascii="Arial" w:cs="Arial" w:eastAsia="Arial" w:hAnsi="Arial"/>
                <w:sz w:val="16"/>
                <w:szCs w:val="16"/>
                <w:color w:val="auto"/>
              </w:rPr>
              <w:t>39</w:t>
            </w:r>
          </w:p>
        </w:tc>
        <w:tc>
          <w:tcPr>
            <w:tcW w:w="840" w:type="dxa"/>
            <w:vAlign w:val="bottom"/>
          </w:tcPr>
          <w:p>
            <w:pPr>
              <w:jc w:val="right"/>
              <w:ind w:right="22"/>
              <w:spacing w:after="0"/>
              <w:rPr>
                <w:sz w:val="20"/>
                <w:szCs w:val="20"/>
                <w:color w:val="auto"/>
              </w:rPr>
            </w:pPr>
            <w:r>
              <w:rPr>
                <w:rFonts w:ascii="Arial" w:cs="Arial" w:eastAsia="Arial" w:hAnsi="Arial"/>
                <w:sz w:val="16"/>
                <w:szCs w:val="16"/>
                <w:color w:val="auto"/>
              </w:rPr>
              <w:t>—</w:t>
            </w:r>
          </w:p>
        </w:tc>
      </w:tr>
    </w:tbl>
    <w:p>
      <w:pPr>
        <w:spacing w:after="0" w:line="133" w:lineRule="exact"/>
        <w:rPr>
          <w:sz w:val="20"/>
          <w:szCs w:val="20"/>
          <w:color w:val="auto"/>
        </w:rPr>
      </w:pPr>
    </w:p>
    <w:p>
      <w:pPr>
        <w:ind w:right="60"/>
        <w:spacing w:after="0" w:line="234" w:lineRule="auto"/>
        <w:rPr>
          <w:sz w:val="20"/>
          <w:szCs w:val="20"/>
          <w:color w:val="auto"/>
        </w:rPr>
      </w:pPr>
      <w:r>
        <w:rPr>
          <w:rFonts w:ascii="Arial" w:cs="Arial" w:eastAsia="Arial" w:hAnsi="Arial"/>
          <w:sz w:val="18"/>
          <w:szCs w:val="18"/>
          <w:color w:val="auto"/>
        </w:rPr>
        <w:t>The 2016, 2015 and 2014 diluted earnings (loss) per share amounts exclude the effects of 102,000, 102,000 and 52,000 stock options outstanding, respectively, as their inclusion would have been antidilutive due to a market condition. The 2016, 2015 and 2014 diluted earnings (loss) per share amounts also exclude the effects of 5,450, 6,250 and 5,175 restricted stock awards, respectively, as their inclusion would have been antidilutive due to a performance condition.</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In 2016</w:t>
      </w: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2015 and 2014, the Company declared regular dividends totaling $4.84, $9.10 and $10.20 per share, respectively.</w:t>
      </w:r>
    </w:p>
    <w:p>
      <w:pPr>
        <w:spacing w:after="0" w:line="141" w:lineRule="exact"/>
        <w:rPr>
          <w:sz w:val="20"/>
          <w:szCs w:val="20"/>
          <w:color w:val="auto"/>
        </w:rPr>
      </w:pPr>
    </w:p>
    <w:p>
      <w:pPr>
        <w:ind w:left="500" w:hanging="492"/>
        <w:spacing w:after="0"/>
        <w:tabs>
          <w:tab w:leader="none" w:pos="500" w:val="left"/>
        </w:tabs>
        <w:numPr>
          <w:ilvl w:val="0"/>
          <w:numId w:val="71"/>
        </w:numPr>
        <w:rPr>
          <w:rFonts w:ascii="Arial" w:cs="Arial" w:eastAsia="Arial" w:hAnsi="Arial"/>
          <w:sz w:val="18"/>
          <w:szCs w:val="18"/>
          <w:b w:val="1"/>
          <w:bCs w:val="1"/>
          <w:color w:val="auto"/>
        </w:rPr>
      </w:pPr>
      <w:r>
        <w:rPr>
          <w:rFonts w:ascii="Arial" w:cs="Arial" w:eastAsia="Arial" w:hAnsi="Arial"/>
          <w:sz w:val="18"/>
          <w:szCs w:val="18"/>
          <w:b w:val="1"/>
          <w:bCs w:val="1"/>
          <w:color w:val="auto"/>
        </w:rPr>
        <w:t>PENSIONS AND OTHER POSTRETIREMENT PLANS</w:t>
      </w:r>
    </w:p>
    <w:p>
      <w:pPr>
        <w:spacing w:after="0" w:line="146" w:lineRule="exact"/>
        <w:rPr>
          <w:sz w:val="20"/>
          <w:szCs w:val="20"/>
          <w:color w:val="auto"/>
        </w:rPr>
      </w:pPr>
    </w:p>
    <w:p>
      <w:pPr>
        <w:ind w:right="40"/>
        <w:spacing w:after="0"/>
        <w:rPr>
          <w:sz w:val="20"/>
          <w:szCs w:val="20"/>
          <w:color w:val="auto"/>
        </w:rPr>
      </w:pPr>
      <w:r>
        <w:rPr>
          <w:rFonts w:ascii="Arial" w:cs="Arial" w:eastAsia="Arial" w:hAnsi="Arial"/>
          <w:sz w:val="18"/>
          <w:szCs w:val="18"/>
          <w:color w:val="auto"/>
        </w:rPr>
        <w:t>The Company maintains various pension and incentive savings plans and contributed to multiemployer plans on behalf of certain union-represented employee groups. Most of the Company’s employees are covered by these plans. The Company also provides health care and life insurance benefits to certain retired employees. These employees become eligible for benefits after meeting age and service requirements.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The Company uses a measurement date of December 31 for its pension and other postretirement benefit plans.</w:t>
      </w:r>
    </w:p>
    <w:p>
      <w:pPr>
        <w:spacing w:after="0" w:line="142" w:lineRule="exact"/>
        <w:rPr>
          <w:sz w:val="20"/>
          <w:szCs w:val="20"/>
          <w:color w:val="auto"/>
        </w:rPr>
      </w:pPr>
    </w:p>
    <w:p>
      <w:pPr>
        <w:spacing w:after="0" w:line="228" w:lineRule="auto"/>
        <w:rPr>
          <w:sz w:val="20"/>
          <w:szCs w:val="20"/>
          <w:color w:val="auto"/>
        </w:rPr>
      </w:pPr>
      <w:r>
        <w:rPr>
          <w:rFonts w:ascii="Arial" w:cs="Arial" w:eastAsia="Arial" w:hAnsi="Arial"/>
          <w:sz w:val="18"/>
          <w:szCs w:val="18"/>
          <w:b w:val="1"/>
          <w:bCs w:val="1"/>
          <w:color w:val="auto"/>
        </w:rPr>
        <w:t xml:space="preserve">Cable ONE Spin-Off. </w:t>
      </w:r>
      <w:r>
        <w:rPr>
          <w:rFonts w:ascii="Arial" w:cs="Arial" w:eastAsia="Arial" w:hAnsi="Arial"/>
          <w:sz w:val="18"/>
          <w:szCs w:val="18"/>
          <w:color w:val="auto"/>
        </w:rPr>
        <w:t>On July 1, 2015, as part of the spin-off, Cable ONE assumed the liability related to their employees participating in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Company’s SERP. The Company also eliminated the accrual of pension benefits for all Cable ONE employees related to their future service. As a result of the spin-off of Cable ONE, the Company remeasured the accumulated and projected benefit obligation of the pension plan and SERP as of July 1, 2015, and recorded curtailment and settlement gains. The new measurement basis was used for the recognition of the SERP cost recorded in the third quarter of 2015 and the pension benefit recorded for the first two months of the third quarter of 2015. The curtailment gain on the spin-off of Cable ONE is included in income from discontinued operations, net of tax. The settlement gain on the spin-off of Cable ONE is included in the SERP liability distributed to Cable ONE (see Note 3).</w:t>
      </w:r>
    </w:p>
    <w:p>
      <w:pPr>
        <w:sectPr>
          <w:pgSz w:w="11900" w:h="16838" w:orient="portrait"/>
          <w:cols w:equalWidth="0" w:num="1">
            <w:col w:w="11420"/>
          </w:cols>
          <w:pgMar w:left="240" w:top="724" w:right="239" w:bottom="1440" w:gutter="0" w:footer="0" w:header="0"/>
          <w:type w:val="continuous"/>
        </w:sect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93</w:t>
      </w:r>
    </w:p>
    <w:p>
      <w:pPr>
        <w:sectPr>
          <w:pgSz w:w="11900" w:h="16838" w:orient="portrait"/>
          <w:cols w:equalWidth="0" w:num="1">
            <w:col w:w="11420"/>
          </w:cols>
          <w:pgMar w:left="240" w:top="724" w:right="239" w:bottom="1440" w:gutter="0" w:footer="0" w:header="0"/>
          <w:type w:val="continuous"/>
        </w:sectPr>
      </w:pPr>
    </w:p>
    <w:bookmarkStart w:id="96" w:name="page97"/>
    <w:bookmarkEnd w:id="96"/>
    <w:p>
      <w:pPr>
        <w:ind w:right="20"/>
        <w:spacing w:after="0" w:line="230" w:lineRule="auto"/>
        <w:rPr>
          <w:sz w:val="20"/>
          <w:szCs w:val="20"/>
          <w:color w:val="auto"/>
        </w:rPr>
      </w:pPr>
      <w:r>
        <w:rPr>
          <w:rFonts w:ascii="Arial" w:cs="Arial" w:eastAsia="Arial" w:hAnsi="Arial"/>
          <w:sz w:val="18"/>
          <w:szCs w:val="18"/>
          <w:b w:val="1"/>
          <w:bCs w:val="1"/>
          <w:color w:val="auto"/>
        </w:rPr>
        <w:t xml:space="preserve">KHE Campuses Sale. </w:t>
      </w:r>
      <w:r>
        <w:rPr>
          <w:rFonts w:ascii="Arial" w:cs="Arial" w:eastAsia="Arial" w:hAnsi="Arial"/>
          <w:sz w:val="18"/>
          <w:szCs w:val="18"/>
          <w:color w:val="auto"/>
        </w:rPr>
        <w:t>On September 3, 2015, the Company eliminated the accrual of pension benefits for almost all of the KHE Campuses</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employees related to their future service. As a result, the Company remeasured the accumulated and projected benefit obligation of the pension plan as of September 3, 2015, and the Company recorded a curtailment gain in the third quarter of 2015. The new measurement basis was used for the recognition of the Company’s pension benefit beginning in September 2015. The curtailment gain on the sale of the KHE Campuses is included in the loss on the sale of the KHE Campuses and reported in other (expense) income, net in the Consolidated Statement of Operations.</w:t>
      </w:r>
    </w:p>
    <w:p>
      <w:pPr>
        <w:spacing w:after="0" w:line="106" w:lineRule="exact"/>
        <w:rPr>
          <w:sz w:val="20"/>
          <w:szCs w:val="20"/>
          <w:color w:val="auto"/>
        </w:rPr>
      </w:pPr>
    </w:p>
    <w:p>
      <w:pPr>
        <w:ind w:right="720"/>
        <w:spacing w:after="0" w:line="263" w:lineRule="auto"/>
        <w:rPr>
          <w:sz w:val="20"/>
          <w:szCs w:val="20"/>
          <w:color w:val="auto"/>
        </w:rPr>
      </w:pPr>
      <w:r>
        <w:rPr>
          <w:rFonts w:ascii="Arial" w:cs="Arial" w:eastAsia="Arial" w:hAnsi="Arial"/>
          <w:sz w:val="18"/>
          <w:szCs w:val="18"/>
          <w:b w:val="1"/>
          <w:bCs w:val="1"/>
          <w:color w:val="auto"/>
        </w:rPr>
        <w:t xml:space="preserve">Defined Benefit Plans. </w:t>
      </w:r>
      <w:r>
        <w:rPr>
          <w:rFonts w:ascii="Arial" w:cs="Arial" w:eastAsia="Arial" w:hAnsi="Arial"/>
          <w:sz w:val="18"/>
          <w:szCs w:val="18"/>
          <w:color w:val="auto"/>
        </w:rPr>
        <w:t>The Company’s defined benefit pension plans consist of various pension plans and a SERP offered to certain</w:t>
      </w:r>
      <w:r>
        <w:rPr>
          <w:rFonts w:ascii="Arial" w:cs="Arial" w:eastAsia="Arial" w:hAnsi="Arial"/>
          <w:sz w:val="18"/>
          <w:szCs w:val="18"/>
          <w:b w:val="1"/>
          <w:bCs w:val="1"/>
          <w:color w:val="auto"/>
        </w:rPr>
        <w:t xml:space="preserve"> </w:t>
      </w:r>
      <w:r>
        <w:rPr>
          <w:rFonts w:ascii="Arial" w:cs="Arial" w:eastAsia="Arial" w:hAnsi="Arial"/>
          <w:sz w:val="18"/>
          <w:szCs w:val="18"/>
          <w:color w:val="auto"/>
        </w:rPr>
        <w:t>executives of the Company.</w:t>
      </w:r>
    </w:p>
    <w:p>
      <w:pPr>
        <w:spacing w:after="0" w:line="89" w:lineRule="exact"/>
        <w:rPr>
          <w:sz w:val="20"/>
          <w:szCs w:val="20"/>
          <w:color w:val="auto"/>
        </w:rPr>
      </w:pPr>
    </w:p>
    <w:p>
      <w:pPr>
        <w:ind w:right="300"/>
        <w:spacing w:after="0" w:line="234" w:lineRule="auto"/>
        <w:rPr>
          <w:sz w:val="20"/>
          <w:szCs w:val="20"/>
          <w:color w:val="auto"/>
        </w:rPr>
      </w:pPr>
      <w:r>
        <w:rPr>
          <w:rFonts w:ascii="Arial" w:cs="Arial" w:eastAsia="Arial" w:hAnsi="Arial"/>
          <w:sz w:val="18"/>
          <w:szCs w:val="18"/>
          <w:color w:val="auto"/>
        </w:rPr>
        <w:t>In the fourth quarter of 2016, the Company offered certain terminated participants with a vested pension benefit an opportunity to take their benefits in the form of a lump sum or an annuity. Most of the participants that elected a lump sum benefit under the program were paid in December 2016. Additional lump sum payments are scheduled to be paid in early 2017. The Company recorded an $18.0 million settlement gain related to the bulk lump sum pension program offering.</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In the fourth quarter of 2015, the Company recorded $0.9 million related to a Special Incentive Program for certain Corporate employees, which was funded from the assets of the Company’s pension plan. In the third quarter of 2015, the Company recorded $3.7 million related to a Special Incentive Program for certain Kaplan employees, which was funded from the assets of the Company’s pension plan.</w:t>
      </w:r>
    </w:p>
    <w:p>
      <w:pPr>
        <w:spacing w:after="0" w:line="108" w:lineRule="exact"/>
        <w:rPr>
          <w:sz w:val="20"/>
          <w:szCs w:val="20"/>
          <w:color w:val="auto"/>
        </w:rPr>
      </w:pPr>
    </w:p>
    <w:p>
      <w:pPr>
        <w:ind w:right="60"/>
        <w:spacing w:after="0" w:line="234" w:lineRule="auto"/>
        <w:rPr>
          <w:sz w:val="20"/>
          <w:szCs w:val="20"/>
          <w:color w:val="auto"/>
        </w:rPr>
      </w:pPr>
      <w:r>
        <w:rPr>
          <w:rFonts w:ascii="Arial" w:cs="Arial" w:eastAsia="Arial" w:hAnsi="Arial"/>
          <w:sz w:val="18"/>
          <w:szCs w:val="18"/>
          <w:color w:val="auto"/>
        </w:rPr>
        <w:t>In the first quarter of 2014, the Company recorded $4.5 million related to a Separation Incentive Program for certain Corporate employees, which was funded from the assets of the Company’s pension plan. In the third quarter of 2014, the Company recorded $3.9 million related to a Voluntary Retirement Incentive Program (VRIP) for certain Corporate employees, which was funded from the assets of the Company’s pension plan. In addition, the Company recorded a $2.4 million SERP charge related to the VRIP for certain Corporate employees.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obligation, asset and funding information for the Company’s defined benefit pension plans: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90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180" w:type="dxa"/>
            <w:vAlign w:val="bottom"/>
            <w:tcBorders>
              <w:bottom w:val="single" w:sz="8" w:color="auto"/>
            </w:tcBorders>
            <w:gridSpan w:val="3"/>
          </w:tcPr>
          <w:p>
            <w:pPr>
              <w:jc w:val="right"/>
              <w:ind w:right="600"/>
              <w:spacing w:after="0"/>
              <w:rPr>
                <w:sz w:val="20"/>
                <w:szCs w:val="20"/>
                <w:color w:val="auto"/>
              </w:rPr>
            </w:pPr>
            <w:r>
              <w:rPr>
                <w:rFonts w:ascii="Arial" w:cs="Arial" w:eastAsia="Arial" w:hAnsi="Arial"/>
                <w:sz w:val="14"/>
                <w:szCs w:val="14"/>
                <w:b w:val="1"/>
                <w:bCs w:val="1"/>
                <w:color w:val="auto"/>
              </w:rPr>
              <w:t>Pension Plans</w:t>
            </w:r>
          </w:p>
        </w:tc>
      </w:tr>
      <w:tr>
        <w:trPr>
          <w:trHeight w:val="250"/>
        </w:trPr>
        <w:tc>
          <w:tcPr>
            <w:tcW w:w="90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180" w:type="dxa"/>
            <w:vAlign w:val="bottom"/>
            <w:tcBorders>
              <w:bottom w:val="single" w:sz="8" w:color="auto"/>
            </w:tcBorders>
            <w:gridSpan w:val="3"/>
          </w:tcPr>
          <w:p>
            <w:pPr>
              <w:jc w:val="right"/>
              <w:ind w:right="460"/>
              <w:spacing w:after="0"/>
              <w:rPr>
                <w:sz w:val="20"/>
                <w:szCs w:val="20"/>
                <w:color w:val="auto"/>
              </w:rPr>
            </w:pPr>
            <w:r>
              <w:rPr>
                <w:rFonts w:ascii="Arial" w:cs="Arial" w:eastAsia="Arial" w:hAnsi="Arial"/>
                <w:sz w:val="14"/>
                <w:szCs w:val="14"/>
                <w:b w:val="1"/>
                <w:bCs w:val="1"/>
                <w:color w:val="auto"/>
              </w:rPr>
              <w:t>As of December 31</w:t>
            </w:r>
          </w:p>
        </w:tc>
      </w:tr>
      <w:tr>
        <w:trPr>
          <w:trHeight w:val="264"/>
        </w:trPr>
        <w:tc>
          <w:tcPr>
            <w:tcW w:w="90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2016</w:t>
            </w:r>
          </w:p>
        </w:tc>
        <w:tc>
          <w:tcPr>
            <w:tcW w:w="2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color w:val="auto"/>
              </w:rPr>
              <w:t>2015</w:t>
            </w:r>
          </w:p>
        </w:tc>
      </w:tr>
      <w:tr>
        <w:trPr>
          <w:trHeight w:val="257"/>
        </w:trPr>
        <w:tc>
          <w:tcPr>
            <w:tcW w:w="9020" w:type="dxa"/>
            <w:vAlign w:val="bottom"/>
          </w:tcPr>
          <w:p>
            <w:pPr>
              <w:ind w:left="40"/>
              <w:spacing w:after="0"/>
              <w:rPr>
                <w:sz w:val="20"/>
                <w:szCs w:val="20"/>
                <w:color w:val="auto"/>
              </w:rPr>
            </w:pPr>
            <w:r>
              <w:rPr>
                <w:rFonts w:ascii="Arial" w:cs="Arial" w:eastAsia="Arial" w:hAnsi="Arial"/>
                <w:sz w:val="16"/>
                <w:szCs w:val="16"/>
                <w:b w:val="1"/>
                <w:bCs w:val="1"/>
                <w:color w:val="auto"/>
              </w:rPr>
              <w:t>Change in Benefit Obligation</w:t>
            </w:r>
          </w:p>
        </w:tc>
        <w:tc>
          <w:tcPr>
            <w:tcW w:w="2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spacing w:after="0"/>
              <w:rPr>
                <w:sz w:val="22"/>
                <w:szCs w:val="22"/>
                <w:color w:val="auto"/>
              </w:rPr>
            </w:pPr>
          </w:p>
        </w:tc>
      </w:tr>
      <w:tr>
        <w:trPr>
          <w:trHeight w:val="270"/>
        </w:trPr>
        <w:tc>
          <w:tcPr>
            <w:tcW w:w="9020" w:type="dxa"/>
            <w:vAlign w:val="bottom"/>
          </w:tcPr>
          <w:p>
            <w:pPr>
              <w:ind w:left="40"/>
              <w:spacing w:after="0"/>
              <w:rPr>
                <w:sz w:val="20"/>
                <w:szCs w:val="20"/>
                <w:color w:val="auto"/>
              </w:rPr>
            </w:pPr>
            <w:r>
              <w:rPr>
                <w:rFonts w:ascii="Arial" w:cs="Arial" w:eastAsia="Arial" w:hAnsi="Arial"/>
                <w:sz w:val="16"/>
                <w:szCs w:val="16"/>
                <w:color w:val="auto"/>
              </w:rPr>
              <w:t>Benefit obligation at beginning of year</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ind w:right="80"/>
              <w:spacing w:after="0"/>
              <w:rPr>
                <w:sz w:val="20"/>
                <w:szCs w:val="20"/>
                <w:color w:val="auto"/>
              </w:rPr>
            </w:pPr>
            <w:r>
              <w:rPr>
                <w:rFonts w:ascii="Arial" w:cs="Arial" w:eastAsia="Arial" w:hAnsi="Arial"/>
                <w:sz w:val="16"/>
                <w:szCs w:val="16"/>
                <w:b w:val="1"/>
                <w:bCs w:val="1"/>
                <w:color w:val="auto"/>
              </w:rPr>
              <w:t>1,254,298</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1,317,480</w:t>
            </w:r>
          </w:p>
        </w:tc>
      </w:tr>
      <w:tr>
        <w:trPr>
          <w:trHeight w:val="270"/>
        </w:trPr>
        <w:tc>
          <w:tcPr>
            <w:tcW w:w="9020" w:type="dxa"/>
            <w:vAlign w:val="bottom"/>
          </w:tcPr>
          <w:p>
            <w:pPr>
              <w:ind w:left="40"/>
              <w:spacing w:after="0"/>
              <w:rPr>
                <w:sz w:val="20"/>
                <w:szCs w:val="20"/>
                <w:color w:val="auto"/>
              </w:rPr>
            </w:pPr>
            <w:r>
              <w:rPr>
                <w:rFonts w:ascii="Arial" w:cs="Arial" w:eastAsia="Arial" w:hAnsi="Arial"/>
                <w:sz w:val="16"/>
                <w:szCs w:val="16"/>
                <w:color w:val="auto"/>
              </w:rPr>
              <w:t>Service cost</w:t>
            </w:r>
          </w:p>
        </w:tc>
        <w:tc>
          <w:tcPr>
            <w:tcW w:w="220" w:type="dxa"/>
            <w:vAlign w:val="bottom"/>
          </w:tcPr>
          <w:p>
            <w:pPr>
              <w:spacing w:after="0"/>
              <w:rPr>
                <w:sz w:val="23"/>
                <w:szCs w:val="23"/>
                <w:color w:val="auto"/>
              </w:rPr>
            </w:pPr>
          </w:p>
        </w:tc>
        <w:tc>
          <w:tcPr>
            <w:tcW w:w="980" w:type="dxa"/>
            <w:vAlign w:val="bottom"/>
          </w:tcPr>
          <w:p>
            <w:pPr>
              <w:jc w:val="right"/>
              <w:ind w:right="80"/>
              <w:spacing w:after="0"/>
              <w:rPr>
                <w:sz w:val="20"/>
                <w:szCs w:val="20"/>
                <w:color w:val="auto"/>
              </w:rPr>
            </w:pPr>
            <w:r>
              <w:rPr>
                <w:rFonts w:ascii="Arial" w:cs="Arial" w:eastAsia="Arial" w:hAnsi="Arial"/>
                <w:sz w:val="16"/>
                <w:szCs w:val="16"/>
                <w:b w:val="1"/>
                <w:bCs w:val="1"/>
                <w:color w:val="auto"/>
              </w:rPr>
              <w:t>20,461</w:t>
            </w:r>
          </w:p>
        </w:tc>
        <w:tc>
          <w:tcPr>
            <w:tcW w:w="280" w:type="dxa"/>
            <w:vAlign w:val="bottom"/>
          </w:tcPr>
          <w:p>
            <w:pPr>
              <w:spacing w:after="0"/>
              <w:rPr>
                <w:sz w:val="23"/>
                <w:szCs w:val="23"/>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26,294</w:t>
            </w:r>
          </w:p>
        </w:tc>
      </w:tr>
      <w:tr>
        <w:trPr>
          <w:trHeight w:val="270"/>
        </w:trPr>
        <w:tc>
          <w:tcPr>
            <w:tcW w:w="9020" w:type="dxa"/>
            <w:vAlign w:val="bottom"/>
          </w:tcPr>
          <w:p>
            <w:pPr>
              <w:ind w:left="40"/>
              <w:spacing w:after="0"/>
              <w:rPr>
                <w:sz w:val="20"/>
                <w:szCs w:val="20"/>
                <w:color w:val="auto"/>
              </w:rPr>
            </w:pPr>
            <w:r>
              <w:rPr>
                <w:rFonts w:ascii="Arial" w:cs="Arial" w:eastAsia="Arial" w:hAnsi="Arial"/>
                <w:sz w:val="16"/>
                <w:szCs w:val="16"/>
                <w:color w:val="auto"/>
              </w:rPr>
              <w:t>Interest cost</w:t>
            </w:r>
          </w:p>
        </w:tc>
        <w:tc>
          <w:tcPr>
            <w:tcW w:w="220" w:type="dxa"/>
            <w:vAlign w:val="bottom"/>
          </w:tcPr>
          <w:p>
            <w:pPr>
              <w:spacing w:after="0"/>
              <w:rPr>
                <w:sz w:val="23"/>
                <w:szCs w:val="23"/>
                <w:color w:val="auto"/>
              </w:rPr>
            </w:pPr>
          </w:p>
        </w:tc>
        <w:tc>
          <w:tcPr>
            <w:tcW w:w="980" w:type="dxa"/>
            <w:vAlign w:val="bottom"/>
          </w:tcPr>
          <w:p>
            <w:pPr>
              <w:jc w:val="right"/>
              <w:ind w:right="80"/>
              <w:spacing w:after="0"/>
              <w:rPr>
                <w:sz w:val="20"/>
                <w:szCs w:val="20"/>
                <w:color w:val="auto"/>
              </w:rPr>
            </w:pPr>
            <w:r>
              <w:rPr>
                <w:rFonts w:ascii="Arial" w:cs="Arial" w:eastAsia="Arial" w:hAnsi="Arial"/>
                <w:sz w:val="16"/>
                <w:szCs w:val="16"/>
                <w:b w:val="1"/>
                <w:bCs w:val="1"/>
                <w:color w:val="auto"/>
              </w:rPr>
              <w:t>51,608</w:t>
            </w:r>
          </w:p>
        </w:tc>
        <w:tc>
          <w:tcPr>
            <w:tcW w:w="280" w:type="dxa"/>
            <w:vAlign w:val="bottom"/>
          </w:tcPr>
          <w:p>
            <w:pPr>
              <w:spacing w:after="0"/>
              <w:rPr>
                <w:sz w:val="23"/>
                <w:szCs w:val="23"/>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52,613</w:t>
            </w:r>
          </w:p>
        </w:tc>
      </w:tr>
      <w:tr>
        <w:trPr>
          <w:trHeight w:val="270"/>
        </w:trPr>
        <w:tc>
          <w:tcPr>
            <w:tcW w:w="9020" w:type="dxa"/>
            <w:vAlign w:val="bottom"/>
          </w:tcPr>
          <w:p>
            <w:pPr>
              <w:ind w:left="40"/>
              <w:spacing w:after="0"/>
              <w:rPr>
                <w:sz w:val="20"/>
                <w:szCs w:val="20"/>
                <w:color w:val="auto"/>
              </w:rPr>
            </w:pPr>
            <w:r>
              <w:rPr>
                <w:rFonts w:ascii="Arial" w:cs="Arial" w:eastAsia="Arial" w:hAnsi="Arial"/>
                <w:sz w:val="16"/>
                <w:szCs w:val="16"/>
                <w:color w:val="auto"/>
              </w:rPr>
              <w:t>Amendments</w:t>
            </w:r>
          </w:p>
        </w:tc>
        <w:tc>
          <w:tcPr>
            <w:tcW w:w="220" w:type="dxa"/>
            <w:vAlign w:val="bottom"/>
          </w:tcPr>
          <w:p>
            <w:pPr>
              <w:spacing w:after="0"/>
              <w:rPr>
                <w:sz w:val="23"/>
                <w:szCs w:val="23"/>
                <w:color w:val="auto"/>
              </w:rPr>
            </w:pPr>
          </w:p>
        </w:tc>
        <w:tc>
          <w:tcPr>
            <w:tcW w:w="980" w:type="dxa"/>
            <w:vAlign w:val="bottom"/>
          </w:tcPr>
          <w:p>
            <w:pPr>
              <w:jc w:val="right"/>
              <w:ind w:right="80"/>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spacing w:after="0"/>
              <w:rPr>
                <w:sz w:val="23"/>
                <w:szCs w:val="23"/>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4,606</w:t>
            </w:r>
          </w:p>
        </w:tc>
      </w:tr>
      <w:tr>
        <w:trPr>
          <w:trHeight w:val="270"/>
        </w:trPr>
        <w:tc>
          <w:tcPr>
            <w:tcW w:w="9020" w:type="dxa"/>
            <w:vAlign w:val="bottom"/>
          </w:tcPr>
          <w:p>
            <w:pPr>
              <w:ind w:left="40"/>
              <w:spacing w:after="0"/>
              <w:rPr>
                <w:sz w:val="20"/>
                <w:szCs w:val="20"/>
                <w:color w:val="auto"/>
              </w:rPr>
            </w:pPr>
            <w:r>
              <w:rPr>
                <w:rFonts w:ascii="Arial" w:cs="Arial" w:eastAsia="Arial" w:hAnsi="Arial"/>
                <w:sz w:val="16"/>
                <w:szCs w:val="16"/>
                <w:color w:val="auto"/>
              </w:rPr>
              <w:t>Actuarial gain</w:t>
            </w:r>
          </w:p>
        </w:tc>
        <w:tc>
          <w:tcPr>
            <w:tcW w:w="220" w:type="dxa"/>
            <w:vAlign w:val="bottom"/>
          </w:tcPr>
          <w:p>
            <w:pPr>
              <w:spacing w:after="0"/>
              <w:rPr>
                <w:sz w:val="23"/>
                <w:szCs w:val="23"/>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b w:val="1"/>
                <w:bCs w:val="1"/>
                <w:color w:val="auto"/>
              </w:rPr>
              <w:t>(32,203)</w:t>
            </w:r>
          </w:p>
        </w:tc>
        <w:tc>
          <w:tcPr>
            <w:tcW w:w="2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(57,834)</w:t>
            </w:r>
          </w:p>
        </w:tc>
      </w:tr>
      <w:tr>
        <w:trPr>
          <w:trHeight w:val="270"/>
        </w:trPr>
        <w:tc>
          <w:tcPr>
            <w:tcW w:w="9020" w:type="dxa"/>
            <w:vAlign w:val="bottom"/>
          </w:tcPr>
          <w:p>
            <w:pPr>
              <w:ind w:left="40"/>
              <w:spacing w:after="0"/>
              <w:rPr>
                <w:sz w:val="20"/>
                <w:szCs w:val="20"/>
                <w:color w:val="auto"/>
              </w:rPr>
            </w:pPr>
            <w:r>
              <w:rPr>
                <w:rFonts w:ascii="Arial" w:cs="Arial" w:eastAsia="Arial" w:hAnsi="Arial"/>
                <w:sz w:val="16"/>
                <w:szCs w:val="16"/>
                <w:color w:val="auto"/>
              </w:rPr>
              <w:t>Benefits paid</w:t>
            </w:r>
          </w:p>
        </w:tc>
        <w:tc>
          <w:tcPr>
            <w:tcW w:w="220" w:type="dxa"/>
            <w:vAlign w:val="bottom"/>
          </w:tcPr>
          <w:p>
            <w:pPr>
              <w:spacing w:after="0"/>
              <w:rPr>
                <w:sz w:val="23"/>
                <w:szCs w:val="23"/>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b w:val="1"/>
                <w:bCs w:val="1"/>
                <w:color w:val="auto"/>
              </w:rPr>
              <w:t>(60,076)</w:t>
            </w:r>
          </w:p>
        </w:tc>
        <w:tc>
          <w:tcPr>
            <w:tcW w:w="2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(85,542)</w:t>
            </w:r>
          </w:p>
        </w:tc>
      </w:tr>
      <w:tr>
        <w:trPr>
          <w:trHeight w:val="270"/>
        </w:trPr>
        <w:tc>
          <w:tcPr>
            <w:tcW w:w="9020" w:type="dxa"/>
            <w:vAlign w:val="bottom"/>
          </w:tcPr>
          <w:p>
            <w:pPr>
              <w:ind w:left="40"/>
              <w:spacing w:after="0"/>
              <w:rPr>
                <w:sz w:val="20"/>
                <w:szCs w:val="20"/>
                <w:color w:val="auto"/>
              </w:rPr>
            </w:pPr>
            <w:r>
              <w:rPr>
                <w:rFonts w:ascii="Arial" w:cs="Arial" w:eastAsia="Arial" w:hAnsi="Arial"/>
                <w:sz w:val="16"/>
                <w:szCs w:val="16"/>
                <w:color w:val="auto"/>
              </w:rPr>
              <w:t>Curtailment</w:t>
            </w:r>
          </w:p>
        </w:tc>
        <w:tc>
          <w:tcPr>
            <w:tcW w:w="220" w:type="dxa"/>
            <w:vAlign w:val="bottom"/>
          </w:tcPr>
          <w:p>
            <w:pPr>
              <w:spacing w:after="0"/>
              <w:rPr>
                <w:sz w:val="23"/>
                <w:szCs w:val="23"/>
                <w:color w:val="auto"/>
              </w:rPr>
            </w:pPr>
          </w:p>
        </w:tc>
        <w:tc>
          <w:tcPr>
            <w:tcW w:w="980" w:type="dxa"/>
            <w:vAlign w:val="bottom"/>
          </w:tcPr>
          <w:p>
            <w:pPr>
              <w:jc w:val="right"/>
              <w:ind w:right="80"/>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(3,319)</w:t>
            </w:r>
          </w:p>
        </w:tc>
      </w:tr>
      <w:tr>
        <w:trPr>
          <w:trHeight w:val="274"/>
        </w:trPr>
        <w:tc>
          <w:tcPr>
            <w:tcW w:w="9020" w:type="dxa"/>
            <w:vAlign w:val="bottom"/>
          </w:tcPr>
          <w:p>
            <w:pPr>
              <w:ind w:left="40"/>
              <w:spacing w:after="0"/>
              <w:rPr>
                <w:sz w:val="20"/>
                <w:szCs w:val="20"/>
                <w:color w:val="auto"/>
              </w:rPr>
            </w:pPr>
            <w:r>
              <w:rPr>
                <w:rFonts w:ascii="Arial" w:cs="Arial" w:eastAsia="Arial" w:hAnsi="Arial"/>
                <w:sz w:val="16"/>
                <w:szCs w:val="16"/>
                <w:color w:val="auto"/>
              </w:rPr>
              <w:t>Settlement</w:t>
            </w:r>
          </w:p>
        </w:tc>
        <w:tc>
          <w:tcPr>
            <w:tcW w:w="22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(73,191)</w:t>
            </w:r>
          </w:p>
        </w:tc>
        <w:tc>
          <w:tcPr>
            <w:tcW w:w="28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r>
      <w:tr>
        <w:trPr>
          <w:trHeight w:val="261"/>
        </w:trPr>
        <w:tc>
          <w:tcPr>
            <w:tcW w:w="9020" w:type="dxa"/>
            <w:vAlign w:val="bottom"/>
          </w:tcPr>
          <w:p>
            <w:pPr>
              <w:ind w:left="40"/>
              <w:spacing w:after="0"/>
              <w:rPr>
                <w:sz w:val="20"/>
                <w:szCs w:val="20"/>
                <w:color w:val="auto"/>
              </w:rPr>
            </w:pPr>
            <w:r>
              <w:rPr>
                <w:rFonts w:ascii="Arial" w:cs="Arial" w:eastAsia="Arial" w:hAnsi="Arial"/>
                <w:sz w:val="16"/>
                <w:szCs w:val="16"/>
                <w:b w:val="1"/>
                <w:bCs w:val="1"/>
                <w:color w:val="auto"/>
              </w:rPr>
              <w:t>Benefit Obligation at End of Year</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1,160,897</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1,254,298</w:t>
            </w:r>
          </w:p>
        </w:tc>
      </w:tr>
      <w:tr>
        <w:trPr>
          <w:trHeight w:val="263"/>
        </w:trPr>
        <w:tc>
          <w:tcPr>
            <w:tcW w:w="9020" w:type="dxa"/>
            <w:vAlign w:val="bottom"/>
          </w:tcPr>
          <w:p>
            <w:pPr>
              <w:ind w:left="40"/>
              <w:spacing w:after="0"/>
              <w:rPr>
                <w:sz w:val="20"/>
                <w:szCs w:val="20"/>
                <w:color w:val="auto"/>
              </w:rPr>
            </w:pPr>
            <w:r>
              <w:rPr>
                <w:rFonts w:ascii="Arial" w:cs="Arial" w:eastAsia="Arial" w:hAnsi="Arial"/>
                <w:sz w:val="16"/>
                <w:szCs w:val="16"/>
                <w:b w:val="1"/>
                <w:bCs w:val="1"/>
                <w:color w:val="auto"/>
              </w:rPr>
              <w:t>Change in Plan Assets</w:t>
            </w:r>
          </w:p>
        </w:tc>
        <w:tc>
          <w:tcPr>
            <w:tcW w:w="2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spacing w:after="0"/>
              <w:rPr>
                <w:sz w:val="22"/>
                <w:szCs w:val="22"/>
                <w:color w:val="auto"/>
              </w:rPr>
            </w:pPr>
          </w:p>
        </w:tc>
      </w:tr>
      <w:tr>
        <w:trPr>
          <w:trHeight w:val="270"/>
        </w:trPr>
        <w:tc>
          <w:tcPr>
            <w:tcW w:w="9020" w:type="dxa"/>
            <w:vAlign w:val="bottom"/>
          </w:tcPr>
          <w:p>
            <w:pPr>
              <w:ind w:left="40"/>
              <w:spacing w:after="0"/>
              <w:rPr>
                <w:sz w:val="20"/>
                <w:szCs w:val="20"/>
                <w:color w:val="auto"/>
              </w:rPr>
            </w:pPr>
            <w:r>
              <w:rPr>
                <w:rFonts w:ascii="Arial" w:cs="Arial" w:eastAsia="Arial" w:hAnsi="Arial"/>
                <w:sz w:val="16"/>
                <w:szCs w:val="16"/>
                <w:color w:val="auto"/>
              </w:rPr>
              <w:t>Fair value of assets at beginning of year</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ind w:right="80"/>
              <w:spacing w:after="0"/>
              <w:rPr>
                <w:sz w:val="20"/>
                <w:szCs w:val="20"/>
                <w:color w:val="auto"/>
              </w:rPr>
            </w:pPr>
            <w:r>
              <w:rPr>
                <w:rFonts w:ascii="Arial" w:cs="Arial" w:eastAsia="Arial" w:hAnsi="Arial"/>
                <w:sz w:val="16"/>
                <w:szCs w:val="16"/>
                <w:b w:val="1"/>
                <w:bCs w:val="1"/>
                <w:color w:val="auto"/>
              </w:rPr>
              <w:t>2,234,268</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2,469,968</w:t>
            </w:r>
          </w:p>
        </w:tc>
      </w:tr>
      <w:tr>
        <w:trPr>
          <w:trHeight w:val="270"/>
        </w:trPr>
        <w:tc>
          <w:tcPr>
            <w:tcW w:w="9020" w:type="dxa"/>
            <w:vAlign w:val="bottom"/>
          </w:tcPr>
          <w:p>
            <w:pPr>
              <w:ind w:left="40"/>
              <w:spacing w:after="0"/>
              <w:rPr>
                <w:sz w:val="20"/>
                <w:szCs w:val="20"/>
                <w:color w:val="auto"/>
              </w:rPr>
            </w:pPr>
            <w:r>
              <w:rPr>
                <w:rFonts w:ascii="Arial" w:cs="Arial" w:eastAsia="Arial" w:hAnsi="Arial"/>
                <w:sz w:val="16"/>
                <w:szCs w:val="16"/>
                <w:color w:val="auto"/>
              </w:rPr>
              <w:t>Actual return on plan assets</w:t>
            </w:r>
          </w:p>
        </w:tc>
        <w:tc>
          <w:tcPr>
            <w:tcW w:w="220" w:type="dxa"/>
            <w:vAlign w:val="bottom"/>
          </w:tcPr>
          <w:p>
            <w:pPr>
              <w:spacing w:after="0"/>
              <w:rPr>
                <w:sz w:val="23"/>
                <w:szCs w:val="23"/>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b w:val="1"/>
                <w:bCs w:val="1"/>
                <w:color w:val="auto"/>
              </w:rPr>
              <w:t>(58,511)</w:t>
            </w:r>
          </w:p>
        </w:tc>
        <w:tc>
          <w:tcPr>
            <w:tcW w:w="2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(150,158)</w:t>
            </w:r>
          </w:p>
        </w:tc>
      </w:tr>
      <w:tr>
        <w:trPr>
          <w:trHeight w:val="270"/>
        </w:trPr>
        <w:tc>
          <w:tcPr>
            <w:tcW w:w="9020" w:type="dxa"/>
            <w:vAlign w:val="bottom"/>
          </w:tcPr>
          <w:p>
            <w:pPr>
              <w:ind w:left="40"/>
              <w:spacing w:after="0"/>
              <w:rPr>
                <w:sz w:val="20"/>
                <w:szCs w:val="20"/>
                <w:color w:val="auto"/>
              </w:rPr>
            </w:pPr>
            <w:r>
              <w:rPr>
                <w:rFonts w:ascii="Arial" w:cs="Arial" w:eastAsia="Arial" w:hAnsi="Arial"/>
                <w:sz w:val="16"/>
                <w:szCs w:val="16"/>
                <w:color w:val="auto"/>
              </w:rPr>
              <w:t>Benefits paid</w:t>
            </w:r>
          </w:p>
        </w:tc>
        <w:tc>
          <w:tcPr>
            <w:tcW w:w="220" w:type="dxa"/>
            <w:vAlign w:val="bottom"/>
          </w:tcPr>
          <w:p>
            <w:pPr>
              <w:spacing w:after="0"/>
              <w:rPr>
                <w:sz w:val="23"/>
                <w:szCs w:val="23"/>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b w:val="1"/>
                <w:bCs w:val="1"/>
                <w:color w:val="auto"/>
              </w:rPr>
              <w:t>(60,076)</w:t>
            </w:r>
          </w:p>
        </w:tc>
        <w:tc>
          <w:tcPr>
            <w:tcW w:w="2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(85,542)</w:t>
            </w:r>
          </w:p>
        </w:tc>
      </w:tr>
      <w:tr>
        <w:trPr>
          <w:trHeight w:val="274"/>
        </w:trPr>
        <w:tc>
          <w:tcPr>
            <w:tcW w:w="9020" w:type="dxa"/>
            <w:vAlign w:val="bottom"/>
          </w:tcPr>
          <w:p>
            <w:pPr>
              <w:ind w:left="40"/>
              <w:spacing w:after="0"/>
              <w:rPr>
                <w:sz w:val="20"/>
                <w:szCs w:val="20"/>
                <w:color w:val="auto"/>
              </w:rPr>
            </w:pPr>
            <w:r>
              <w:rPr>
                <w:rFonts w:ascii="Arial" w:cs="Arial" w:eastAsia="Arial" w:hAnsi="Arial"/>
                <w:sz w:val="16"/>
                <w:szCs w:val="16"/>
                <w:color w:val="auto"/>
              </w:rPr>
              <w:t>Settlement</w:t>
            </w:r>
          </w:p>
        </w:tc>
        <w:tc>
          <w:tcPr>
            <w:tcW w:w="22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(73,191)</w:t>
            </w:r>
          </w:p>
        </w:tc>
        <w:tc>
          <w:tcPr>
            <w:tcW w:w="28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r>
      <w:tr>
        <w:trPr>
          <w:trHeight w:val="264"/>
        </w:trPr>
        <w:tc>
          <w:tcPr>
            <w:tcW w:w="9020" w:type="dxa"/>
            <w:vAlign w:val="bottom"/>
          </w:tcPr>
          <w:p>
            <w:pPr>
              <w:ind w:left="40"/>
              <w:spacing w:after="0"/>
              <w:rPr>
                <w:sz w:val="20"/>
                <w:szCs w:val="20"/>
                <w:color w:val="auto"/>
              </w:rPr>
            </w:pPr>
            <w:r>
              <w:rPr>
                <w:rFonts w:ascii="Arial" w:cs="Arial" w:eastAsia="Arial" w:hAnsi="Arial"/>
                <w:sz w:val="16"/>
                <w:szCs w:val="16"/>
                <w:b w:val="1"/>
                <w:bCs w:val="1"/>
                <w:color w:val="auto"/>
              </w:rPr>
              <w:t>Fair Value of Assets at End of Year</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2,042,490</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2,234,268</w:t>
            </w:r>
          </w:p>
        </w:tc>
      </w:tr>
      <w:tr>
        <w:trPr>
          <w:trHeight w:val="267"/>
        </w:trPr>
        <w:tc>
          <w:tcPr>
            <w:tcW w:w="9020" w:type="dxa"/>
            <w:vAlign w:val="bottom"/>
          </w:tcPr>
          <w:p>
            <w:pPr>
              <w:ind w:left="40"/>
              <w:spacing w:after="0"/>
              <w:rPr>
                <w:sz w:val="20"/>
                <w:szCs w:val="20"/>
                <w:color w:val="auto"/>
              </w:rPr>
            </w:pPr>
            <w:r>
              <w:rPr>
                <w:rFonts w:ascii="Arial" w:cs="Arial" w:eastAsia="Arial" w:hAnsi="Arial"/>
                <w:sz w:val="16"/>
                <w:szCs w:val="16"/>
                <w:b w:val="1"/>
                <w:bCs w:val="1"/>
                <w:color w:val="auto"/>
              </w:rPr>
              <w:t>Funded Status</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881,593</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979,970</w:t>
            </w:r>
          </w:p>
        </w:tc>
      </w:tr>
      <w:tr>
        <w:trPr>
          <w:trHeight w:val="20"/>
        </w:trPr>
        <w:tc>
          <w:tcPr>
            <w:tcW w:w="90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20"/>
          </w:cols>
          <w:pgMar w:left="240" w:top="722" w:right="239" w:bottom="1440" w:gutter="0" w:footer="0" w:header="0"/>
        </w:sectPr>
      </w:pPr>
    </w:p>
    <w:bookmarkStart w:id="97" w:name="page98"/>
    <w:bookmarkEnd w:id="97"/>
    <w:tbl>
      <w:tblPr>
        <w:tblLayout w:type="fixed"/>
        <w:tblInd w:w="0" w:type="dxa"/>
        <w:tblCellMar>
          <w:top w:w="0" w:type="dxa"/>
          <w:left w:w="0" w:type="dxa"/>
          <w:bottom w:w="0" w:type="dxa"/>
          <w:right w:w="0" w:type="dxa"/>
        </w:tblCellMar>
      </w:tblPr>
      <w:tr>
        <w:trPr>
          <w:trHeight w:val="203"/>
        </w:trPr>
        <w:tc>
          <w:tcPr>
            <w:tcW w:w="90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gridSpan w:val="2"/>
          </w:tcPr>
          <w:p>
            <w:pPr>
              <w:jc w:val="right"/>
              <w:ind w:right="39"/>
              <w:spacing w:after="0"/>
              <w:rPr>
                <w:sz w:val="20"/>
                <w:szCs w:val="20"/>
                <w:color w:val="auto"/>
              </w:rPr>
            </w:pPr>
            <w:r>
              <w:rPr>
                <w:rFonts w:ascii="Arial" w:cs="Arial" w:eastAsia="Arial" w:hAnsi="Arial"/>
                <w:sz w:val="14"/>
                <w:szCs w:val="14"/>
                <w:b w:val="1"/>
                <w:bCs w:val="1"/>
                <w:color w:val="auto"/>
              </w:rPr>
              <w:t>SERP</w:t>
            </w:r>
          </w:p>
        </w:tc>
        <w:tc>
          <w:tcPr>
            <w:tcW w:w="860" w:type="dxa"/>
            <w:vAlign w:val="bottom"/>
            <w:tcBorders>
              <w:bottom w:val="single" w:sz="8" w:color="auto"/>
            </w:tcBorders>
          </w:tcPr>
          <w:p>
            <w:pPr>
              <w:spacing w:after="0"/>
              <w:rPr>
                <w:sz w:val="17"/>
                <w:szCs w:val="17"/>
                <w:color w:val="auto"/>
              </w:rPr>
            </w:pPr>
          </w:p>
        </w:tc>
      </w:tr>
      <w:tr>
        <w:trPr>
          <w:trHeight w:val="250"/>
        </w:trPr>
        <w:tc>
          <w:tcPr>
            <w:tcW w:w="90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2140" w:type="dxa"/>
            <w:vAlign w:val="bottom"/>
            <w:tcBorders>
              <w:bottom w:val="single" w:sz="8" w:color="auto"/>
            </w:tcBorders>
            <w:gridSpan w:val="3"/>
          </w:tcPr>
          <w:p>
            <w:pPr>
              <w:jc w:val="right"/>
              <w:ind w:right="460"/>
              <w:spacing w:after="0"/>
              <w:rPr>
                <w:sz w:val="20"/>
                <w:szCs w:val="20"/>
                <w:color w:val="auto"/>
              </w:rPr>
            </w:pPr>
            <w:r>
              <w:rPr>
                <w:rFonts w:ascii="Arial" w:cs="Arial" w:eastAsia="Arial" w:hAnsi="Arial"/>
                <w:sz w:val="14"/>
                <w:szCs w:val="14"/>
                <w:b w:val="1"/>
                <w:bCs w:val="1"/>
                <w:color w:val="auto"/>
              </w:rPr>
              <w:t>As of December 31</w:t>
            </w:r>
          </w:p>
        </w:tc>
      </w:tr>
      <w:tr>
        <w:trPr>
          <w:trHeight w:val="264"/>
        </w:trPr>
        <w:tc>
          <w:tcPr>
            <w:tcW w:w="90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2016</w:t>
            </w:r>
          </w:p>
        </w:tc>
        <w:tc>
          <w:tcPr>
            <w:tcW w:w="3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color w:val="auto"/>
              </w:rPr>
              <w:t>2015</w:t>
            </w:r>
          </w:p>
        </w:tc>
      </w:tr>
      <w:tr>
        <w:trPr>
          <w:trHeight w:val="257"/>
        </w:trPr>
        <w:tc>
          <w:tcPr>
            <w:tcW w:w="9020" w:type="dxa"/>
            <w:vAlign w:val="bottom"/>
          </w:tcPr>
          <w:p>
            <w:pPr>
              <w:ind w:left="40"/>
              <w:spacing w:after="0"/>
              <w:rPr>
                <w:sz w:val="20"/>
                <w:szCs w:val="20"/>
                <w:color w:val="auto"/>
              </w:rPr>
            </w:pPr>
            <w:r>
              <w:rPr>
                <w:rFonts w:ascii="Arial" w:cs="Arial" w:eastAsia="Arial" w:hAnsi="Arial"/>
                <w:sz w:val="16"/>
                <w:szCs w:val="16"/>
                <w:b w:val="1"/>
                <w:bCs w:val="1"/>
                <w:color w:val="auto"/>
              </w:rPr>
              <w:t>Change in Benefit Obligation</w:t>
            </w:r>
          </w:p>
        </w:tc>
        <w:tc>
          <w:tcPr>
            <w:tcW w:w="2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60" w:type="dxa"/>
            <w:vAlign w:val="bottom"/>
          </w:tcPr>
          <w:p>
            <w:pPr>
              <w:spacing w:after="0"/>
              <w:rPr>
                <w:sz w:val="22"/>
                <w:szCs w:val="22"/>
                <w:color w:val="auto"/>
              </w:rPr>
            </w:pPr>
          </w:p>
        </w:tc>
      </w:tr>
      <w:tr>
        <w:trPr>
          <w:trHeight w:val="270"/>
        </w:trPr>
        <w:tc>
          <w:tcPr>
            <w:tcW w:w="9020" w:type="dxa"/>
            <w:vAlign w:val="bottom"/>
          </w:tcPr>
          <w:p>
            <w:pPr>
              <w:ind w:left="40"/>
              <w:spacing w:after="0"/>
              <w:rPr>
                <w:sz w:val="20"/>
                <w:szCs w:val="20"/>
                <w:color w:val="auto"/>
              </w:rPr>
            </w:pPr>
            <w:r>
              <w:rPr>
                <w:rFonts w:ascii="Arial" w:cs="Arial" w:eastAsia="Arial" w:hAnsi="Arial"/>
                <w:sz w:val="16"/>
                <w:szCs w:val="16"/>
                <w:color w:val="auto"/>
              </w:rPr>
              <w:t>Benefit obligation at beginning of year</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81"/>
              <w:spacing w:after="0"/>
              <w:rPr>
                <w:sz w:val="20"/>
                <w:szCs w:val="20"/>
                <w:color w:val="auto"/>
              </w:rPr>
            </w:pPr>
            <w:r>
              <w:rPr>
                <w:rFonts w:ascii="Arial" w:cs="Arial" w:eastAsia="Arial" w:hAnsi="Arial"/>
                <w:sz w:val="16"/>
                <w:szCs w:val="16"/>
                <w:b w:val="1"/>
                <w:bCs w:val="1"/>
                <w:color w:val="auto"/>
              </w:rPr>
              <w:t>105,004</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116,083</w:t>
            </w:r>
          </w:p>
        </w:tc>
      </w:tr>
      <w:tr>
        <w:trPr>
          <w:trHeight w:val="270"/>
        </w:trPr>
        <w:tc>
          <w:tcPr>
            <w:tcW w:w="9020" w:type="dxa"/>
            <w:vAlign w:val="bottom"/>
          </w:tcPr>
          <w:p>
            <w:pPr>
              <w:ind w:left="40"/>
              <w:spacing w:after="0"/>
              <w:rPr>
                <w:sz w:val="20"/>
                <w:szCs w:val="20"/>
                <w:color w:val="auto"/>
              </w:rPr>
            </w:pPr>
            <w:r>
              <w:rPr>
                <w:rFonts w:ascii="Arial" w:cs="Arial" w:eastAsia="Arial" w:hAnsi="Arial"/>
                <w:sz w:val="16"/>
                <w:szCs w:val="16"/>
                <w:color w:val="auto"/>
              </w:rPr>
              <w:t>Service cost</w:t>
            </w:r>
          </w:p>
        </w:tc>
        <w:tc>
          <w:tcPr>
            <w:tcW w:w="260" w:type="dxa"/>
            <w:vAlign w:val="bottom"/>
          </w:tcPr>
          <w:p>
            <w:pPr>
              <w:spacing w:after="0"/>
              <w:rPr>
                <w:sz w:val="23"/>
                <w:szCs w:val="23"/>
                <w:color w:val="auto"/>
              </w:rPr>
            </w:pPr>
          </w:p>
        </w:tc>
        <w:tc>
          <w:tcPr>
            <w:tcW w:w="940" w:type="dxa"/>
            <w:vAlign w:val="bottom"/>
          </w:tcPr>
          <w:p>
            <w:pPr>
              <w:jc w:val="right"/>
              <w:ind w:right="81"/>
              <w:spacing w:after="0"/>
              <w:rPr>
                <w:sz w:val="20"/>
                <w:szCs w:val="20"/>
                <w:color w:val="auto"/>
              </w:rPr>
            </w:pPr>
            <w:r>
              <w:rPr>
                <w:rFonts w:ascii="Arial" w:cs="Arial" w:eastAsia="Arial" w:hAnsi="Arial"/>
                <w:sz w:val="16"/>
                <w:szCs w:val="16"/>
                <w:b w:val="1"/>
                <w:bCs w:val="1"/>
                <w:color w:val="auto"/>
              </w:rPr>
              <w:t>985</w:t>
            </w:r>
          </w:p>
        </w:tc>
        <w:tc>
          <w:tcPr>
            <w:tcW w:w="340" w:type="dxa"/>
            <w:vAlign w:val="bottom"/>
          </w:tcPr>
          <w:p>
            <w:pPr>
              <w:spacing w:after="0"/>
              <w:rPr>
                <w:sz w:val="23"/>
                <w:szCs w:val="23"/>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1,946</w:t>
            </w:r>
          </w:p>
        </w:tc>
      </w:tr>
      <w:tr>
        <w:trPr>
          <w:trHeight w:val="270"/>
        </w:trPr>
        <w:tc>
          <w:tcPr>
            <w:tcW w:w="9020" w:type="dxa"/>
            <w:vAlign w:val="bottom"/>
          </w:tcPr>
          <w:p>
            <w:pPr>
              <w:ind w:left="40"/>
              <w:spacing w:after="0"/>
              <w:rPr>
                <w:sz w:val="20"/>
                <w:szCs w:val="20"/>
                <w:color w:val="auto"/>
              </w:rPr>
            </w:pPr>
            <w:r>
              <w:rPr>
                <w:rFonts w:ascii="Arial" w:cs="Arial" w:eastAsia="Arial" w:hAnsi="Arial"/>
                <w:sz w:val="16"/>
                <w:szCs w:val="16"/>
                <w:color w:val="auto"/>
              </w:rPr>
              <w:t>Interest cost</w:t>
            </w:r>
          </w:p>
        </w:tc>
        <w:tc>
          <w:tcPr>
            <w:tcW w:w="260" w:type="dxa"/>
            <w:vAlign w:val="bottom"/>
          </w:tcPr>
          <w:p>
            <w:pPr>
              <w:spacing w:after="0"/>
              <w:rPr>
                <w:sz w:val="23"/>
                <w:szCs w:val="23"/>
                <w:color w:val="auto"/>
              </w:rPr>
            </w:pPr>
          </w:p>
        </w:tc>
        <w:tc>
          <w:tcPr>
            <w:tcW w:w="940" w:type="dxa"/>
            <w:vAlign w:val="bottom"/>
          </w:tcPr>
          <w:p>
            <w:pPr>
              <w:jc w:val="right"/>
              <w:ind w:right="81"/>
              <w:spacing w:after="0"/>
              <w:rPr>
                <w:sz w:val="20"/>
                <w:szCs w:val="20"/>
                <w:color w:val="auto"/>
              </w:rPr>
            </w:pPr>
            <w:r>
              <w:rPr>
                <w:rFonts w:ascii="Arial" w:cs="Arial" w:eastAsia="Arial" w:hAnsi="Arial"/>
                <w:sz w:val="16"/>
                <w:szCs w:val="16"/>
                <w:b w:val="1"/>
                <w:bCs w:val="1"/>
                <w:color w:val="auto"/>
              </w:rPr>
              <w:t>4,384</w:t>
            </w:r>
          </w:p>
        </w:tc>
        <w:tc>
          <w:tcPr>
            <w:tcW w:w="340" w:type="dxa"/>
            <w:vAlign w:val="bottom"/>
          </w:tcPr>
          <w:p>
            <w:pPr>
              <w:spacing w:after="0"/>
              <w:rPr>
                <w:sz w:val="23"/>
                <w:szCs w:val="23"/>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4,550</w:t>
            </w:r>
          </w:p>
        </w:tc>
      </w:tr>
      <w:tr>
        <w:trPr>
          <w:trHeight w:val="270"/>
        </w:trPr>
        <w:tc>
          <w:tcPr>
            <w:tcW w:w="9020" w:type="dxa"/>
            <w:vAlign w:val="bottom"/>
          </w:tcPr>
          <w:p>
            <w:pPr>
              <w:ind w:left="40"/>
              <w:spacing w:after="0"/>
              <w:rPr>
                <w:sz w:val="20"/>
                <w:szCs w:val="20"/>
                <w:color w:val="auto"/>
              </w:rPr>
            </w:pPr>
            <w:r>
              <w:rPr>
                <w:rFonts w:ascii="Arial" w:cs="Arial" w:eastAsia="Arial" w:hAnsi="Arial"/>
                <w:sz w:val="16"/>
                <w:szCs w:val="16"/>
                <w:color w:val="auto"/>
              </w:rPr>
              <w:t>Actuarial loss (gain)</w:t>
            </w:r>
          </w:p>
        </w:tc>
        <w:tc>
          <w:tcPr>
            <w:tcW w:w="260" w:type="dxa"/>
            <w:vAlign w:val="bottom"/>
          </w:tcPr>
          <w:p>
            <w:pPr>
              <w:spacing w:after="0"/>
              <w:rPr>
                <w:sz w:val="23"/>
                <w:szCs w:val="23"/>
                <w:color w:val="auto"/>
              </w:rPr>
            </w:pPr>
          </w:p>
        </w:tc>
        <w:tc>
          <w:tcPr>
            <w:tcW w:w="940" w:type="dxa"/>
            <w:vAlign w:val="bottom"/>
          </w:tcPr>
          <w:p>
            <w:pPr>
              <w:jc w:val="right"/>
              <w:ind w:right="81"/>
              <w:spacing w:after="0"/>
              <w:rPr>
                <w:sz w:val="20"/>
                <w:szCs w:val="20"/>
                <w:color w:val="auto"/>
              </w:rPr>
            </w:pPr>
            <w:r>
              <w:rPr>
                <w:rFonts w:ascii="Arial" w:cs="Arial" w:eastAsia="Arial" w:hAnsi="Arial"/>
                <w:sz w:val="16"/>
                <w:szCs w:val="16"/>
                <w:b w:val="1"/>
                <w:bCs w:val="1"/>
                <w:color w:val="auto"/>
              </w:rPr>
              <w:t>1,120</w:t>
            </w:r>
          </w:p>
        </w:tc>
        <w:tc>
          <w:tcPr>
            <w:tcW w:w="3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(6,544)</w:t>
            </w:r>
          </w:p>
        </w:tc>
      </w:tr>
      <w:tr>
        <w:trPr>
          <w:trHeight w:val="270"/>
        </w:trPr>
        <w:tc>
          <w:tcPr>
            <w:tcW w:w="9020" w:type="dxa"/>
            <w:vAlign w:val="bottom"/>
          </w:tcPr>
          <w:p>
            <w:pPr>
              <w:ind w:left="40"/>
              <w:spacing w:after="0"/>
              <w:rPr>
                <w:sz w:val="20"/>
                <w:szCs w:val="20"/>
                <w:color w:val="auto"/>
              </w:rPr>
            </w:pPr>
            <w:r>
              <w:rPr>
                <w:rFonts w:ascii="Arial" w:cs="Arial" w:eastAsia="Arial" w:hAnsi="Arial"/>
                <w:sz w:val="16"/>
                <w:szCs w:val="16"/>
                <w:color w:val="auto"/>
              </w:rPr>
              <w:t>Benefits paid</w:t>
            </w:r>
          </w:p>
        </w:tc>
        <w:tc>
          <w:tcPr>
            <w:tcW w:w="260" w:type="dxa"/>
            <w:vAlign w:val="bottom"/>
          </w:tcPr>
          <w:p>
            <w:pPr>
              <w:spacing w:after="0"/>
              <w:rPr>
                <w:sz w:val="23"/>
                <w:szCs w:val="23"/>
                <w:color w:val="auto"/>
              </w:rPr>
            </w:pPr>
          </w:p>
        </w:tc>
        <w:tc>
          <w:tcPr>
            <w:tcW w:w="940" w:type="dxa"/>
            <w:vAlign w:val="bottom"/>
          </w:tcPr>
          <w:p>
            <w:pPr>
              <w:jc w:val="right"/>
              <w:ind w:right="21"/>
              <w:spacing w:after="0"/>
              <w:rPr>
                <w:sz w:val="20"/>
                <w:szCs w:val="20"/>
                <w:color w:val="auto"/>
              </w:rPr>
            </w:pPr>
            <w:r>
              <w:rPr>
                <w:rFonts w:ascii="Arial" w:cs="Arial" w:eastAsia="Arial" w:hAnsi="Arial"/>
                <w:sz w:val="16"/>
                <w:szCs w:val="16"/>
                <w:b w:val="1"/>
                <w:bCs w:val="1"/>
                <w:color w:val="auto"/>
              </w:rPr>
              <w:t>(4,967)</w:t>
            </w:r>
          </w:p>
        </w:tc>
        <w:tc>
          <w:tcPr>
            <w:tcW w:w="3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(6,083)</w:t>
            </w:r>
          </w:p>
        </w:tc>
      </w:tr>
      <w:tr>
        <w:trPr>
          <w:trHeight w:val="274"/>
        </w:trPr>
        <w:tc>
          <w:tcPr>
            <w:tcW w:w="9020" w:type="dxa"/>
            <w:vAlign w:val="bottom"/>
          </w:tcPr>
          <w:p>
            <w:pPr>
              <w:ind w:left="40"/>
              <w:spacing w:after="0"/>
              <w:rPr>
                <w:sz w:val="20"/>
                <w:szCs w:val="20"/>
                <w:color w:val="auto"/>
              </w:rPr>
            </w:pPr>
            <w:r>
              <w:rPr>
                <w:rFonts w:ascii="Arial" w:cs="Arial" w:eastAsia="Arial" w:hAnsi="Arial"/>
                <w:sz w:val="16"/>
                <w:szCs w:val="16"/>
                <w:color w:val="auto"/>
              </w:rPr>
              <w:t>Curtailment</w:t>
            </w:r>
          </w:p>
        </w:tc>
        <w:tc>
          <w:tcPr>
            <w:tcW w:w="26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rPr>
              <w:t>—</w:t>
            </w:r>
          </w:p>
        </w:tc>
        <w:tc>
          <w:tcPr>
            <w:tcW w:w="34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(4,948)</w:t>
            </w:r>
          </w:p>
        </w:tc>
      </w:tr>
      <w:tr>
        <w:trPr>
          <w:trHeight w:val="261"/>
        </w:trPr>
        <w:tc>
          <w:tcPr>
            <w:tcW w:w="9020" w:type="dxa"/>
            <w:vAlign w:val="bottom"/>
          </w:tcPr>
          <w:p>
            <w:pPr>
              <w:ind w:left="40"/>
              <w:spacing w:after="0"/>
              <w:rPr>
                <w:sz w:val="20"/>
                <w:szCs w:val="20"/>
                <w:color w:val="auto"/>
              </w:rPr>
            </w:pPr>
            <w:r>
              <w:rPr>
                <w:rFonts w:ascii="Arial" w:cs="Arial" w:eastAsia="Arial" w:hAnsi="Arial"/>
                <w:sz w:val="16"/>
                <w:szCs w:val="16"/>
                <w:b w:val="1"/>
                <w:bCs w:val="1"/>
                <w:color w:val="auto"/>
              </w:rPr>
              <w:t>Benefit Obligation at End of Year</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rPr>
              <w:t>106,526</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105,004</w:t>
            </w:r>
          </w:p>
        </w:tc>
      </w:tr>
      <w:tr>
        <w:trPr>
          <w:trHeight w:val="263"/>
        </w:trPr>
        <w:tc>
          <w:tcPr>
            <w:tcW w:w="9020" w:type="dxa"/>
            <w:vAlign w:val="bottom"/>
          </w:tcPr>
          <w:p>
            <w:pPr>
              <w:ind w:left="40"/>
              <w:spacing w:after="0"/>
              <w:rPr>
                <w:sz w:val="20"/>
                <w:szCs w:val="20"/>
                <w:color w:val="auto"/>
              </w:rPr>
            </w:pPr>
            <w:r>
              <w:rPr>
                <w:rFonts w:ascii="Arial" w:cs="Arial" w:eastAsia="Arial" w:hAnsi="Arial"/>
                <w:sz w:val="16"/>
                <w:szCs w:val="16"/>
                <w:b w:val="1"/>
                <w:bCs w:val="1"/>
                <w:color w:val="auto"/>
              </w:rPr>
              <w:t>Change in Plan Assets</w:t>
            </w:r>
          </w:p>
        </w:tc>
        <w:tc>
          <w:tcPr>
            <w:tcW w:w="2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60" w:type="dxa"/>
            <w:vAlign w:val="bottom"/>
          </w:tcPr>
          <w:p>
            <w:pPr>
              <w:spacing w:after="0"/>
              <w:rPr>
                <w:sz w:val="22"/>
                <w:szCs w:val="22"/>
                <w:color w:val="auto"/>
              </w:rPr>
            </w:pPr>
          </w:p>
        </w:tc>
      </w:tr>
      <w:tr>
        <w:trPr>
          <w:trHeight w:val="270"/>
        </w:trPr>
        <w:tc>
          <w:tcPr>
            <w:tcW w:w="9020" w:type="dxa"/>
            <w:vAlign w:val="bottom"/>
          </w:tcPr>
          <w:p>
            <w:pPr>
              <w:ind w:left="40"/>
              <w:spacing w:after="0"/>
              <w:rPr>
                <w:sz w:val="20"/>
                <w:szCs w:val="20"/>
                <w:color w:val="auto"/>
              </w:rPr>
            </w:pPr>
            <w:r>
              <w:rPr>
                <w:rFonts w:ascii="Arial" w:cs="Arial" w:eastAsia="Arial" w:hAnsi="Arial"/>
                <w:sz w:val="16"/>
                <w:szCs w:val="16"/>
                <w:color w:val="auto"/>
              </w:rPr>
              <w:t>Fair value of assets at beginning of year</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81"/>
              <w:spacing w:after="0"/>
              <w:rPr>
                <w:sz w:val="20"/>
                <w:szCs w:val="20"/>
                <w:color w:val="auto"/>
              </w:rPr>
            </w:pPr>
            <w:r>
              <w:rPr>
                <w:rFonts w:ascii="Arial" w:cs="Arial" w:eastAsia="Arial" w:hAnsi="Arial"/>
                <w:sz w:val="16"/>
                <w:szCs w:val="16"/>
                <w:b w:val="1"/>
                <w:bCs w:val="1"/>
                <w:color w:val="auto"/>
              </w:rPr>
              <w:t>—</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70"/>
        </w:trPr>
        <w:tc>
          <w:tcPr>
            <w:tcW w:w="9020" w:type="dxa"/>
            <w:vAlign w:val="bottom"/>
          </w:tcPr>
          <w:p>
            <w:pPr>
              <w:ind w:left="40"/>
              <w:spacing w:after="0"/>
              <w:rPr>
                <w:sz w:val="20"/>
                <w:szCs w:val="20"/>
                <w:color w:val="auto"/>
              </w:rPr>
            </w:pPr>
            <w:r>
              <w:rPr>
                <w:rFonts w:ascii="Arial" w:cs="Arial" w:eastAsia="Arial" w:hAnsi="Arial"/>
                <w:sz w:val="16"/>
                <w:szCs w:val="16"/>
                <w:color w:val="auto"/>
              </w:rPr>
              <w:t>Employer contributions</w:t>
            </w:r>
          </w:p>
        </w:tc>
        <w:tc>
          <w:tcPr>
            <w:tcW w:w="260" w:type="dxa"/>
            <w:vAlign w:val="bottom"/>
          </w:tcPr>
          <w:p>
            <w:pPr>
              <w:spacing w:after="0"/>
              <w:rPr>
                <w:sz w:val="23"/>
                <w:szCs w:val="23"/>
                <w:color w:val="auto"/>
              </w:rPr>
            </w:pPr>
          </w:p>
        </w:tc>
        <w:tc>
          <w:tcPr>
            <w:tcW w:w="940" w:type="dxa"/>
            <w:vAlign w:val="bottom"/>
          </w:tcPr>
          <w:p>
            <w:pPr>
              <w:jc w:val="right"/>
              <w:ind w:right="81"/>
              <w:spacing w:after="0"/>
              <w:rPr>
                <w:sz w:val="20"/>
                <w:szCs w:val="20"/>
                <w:color w:val="auto"/>
              </w:rPr>
            </w:pPr>
            <w:r>
              <w:rPr>
                <w:rFonts w:ascii="Arial" w:cs="Arial" w:eastAsia="Arial" w:hAnsi="Arial"/>
                <w:sz w:val="16"/>
                <w:szCs w:val="16"/>
                <w:b w:val="1"/>
                <w:bCs w:val="1"/>
                <w:color w:val="auto"/>
              </w:rPr>
              <w:t>4,967</w:t>
            </w:r>
          </w:p>
        </w:tc>
        <w:tc>
          <w:tcPr>
            <w:tcW w:w="340" w:type="dxa"/>
            <w:vAlign w:val="bottom"/>
          </w:tcPr>
          <w:p>
            <w:pPr>
              <w:spacing w:after="0"/>
              <w:rPr>
                <w:sz w:val="23"/>
                <w:szCs w:val="23"/>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6,083</w:t>
            </w:r>
          </w:p>
        </w:tc>
      </w:tr>
      <w:tr>
        <w:trPr>
          <w:trHeight w:val="274"/>
        </w:trPr>
        <w:tc>
          <w:tcPr>
            <w:tcW w:w="9020" w:type="dxa"/>
            <w:vAlign w:val="bottom"/>
          </w:tcPr>
          <w:p>
            <w:pPr>
              <w:ind w:left="40"/>
              <w:spacing w:after="0"/>
              <w:rPr>
                <w:sz w:val="20"/>
                <w:szCs w:val="20"/>
                <w:color w:val="auto"/>
              </w:rPr>
            </w:pPr>
            <w:r>
              <w:rPr>
                <w:rFonts w:ascii="Arial" w:cs="Arial" w:eastAsia="Arial" w:hAnsi="Arial"/>
                <w:sz w:val="16"/>
                <w:szCs w:val="16"/>
                <w:color w:val="auto"/>
              </w:rPr>
              <w:t>Benefits paid</w:t>
            </w:r>
          </w:p>
        </w:tc>
        <w:tc>
          <w:tcPr>
            <w:tcW w:w="26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(4,967)</w:t>
            </w:r>
          </w:p>
        </w:tc>
        <w:tc>
          <w:tcPr>
            <w:tcW w:w="34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(6,083)</w:t>
            </w:r>
          </w:p>
        </w:tc>
      </w:tr>
      <w:tr>
        <w:trPr>
          <w:trHeight w:val="264"/>
        </w:trPr>
        <w:tc>
          <w:tcPr>
            <w:tcW w:w="9020" w:type="dxa"/>
            <w:vAlign w:val="bottom"/>
          </w:tcPr>
          <w:p>
            <w:pPr>
              <w:ind w:left="40"/>
              <w:spacing w:after="0"/>
              <w:rPr>
                <w:sz w:val="20"/>
                <w:szCs w:val="20"/>
                <w:color w:val="auto"/>
              </w:rPr>
            </w:pPr>
            <w:r>
              <w:rPr>
                <w:rFonts w:ascii="Arial" w:cs="Arial" w:eastAsia="Arial" w:hAnsi="Arial"/>
                <w:sz w:val="16"/>
                <w:szCs w:val="16"/>
                <w:b w:val="1"/>
                <w:bCs w:val="1"/>
                <w:color w:val="auto"/>
              </w:rPr>
              <w:t>Fair Value of Assets at End of Year</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rPr>
              <w:t>—</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r>
      <w:tr>
        <w:trPr>
          <w:trHeight w:val="267"/>
        </w:trPr>
        <w:tc>
          <w:tcPr>
            <w:tcW w:w="9020" w:type="dxa"/>
            <w:vAlign w:val="bottom"/>
          </w:tcPr>
          <w:p>
            <w:pPr>
              <w:ind w:left="40"/>
              <w:spacing w:after="0"/>
              <w:rPr>
                <w:sz w:val="20"/>
                <w:szCs w:val="20"/>
                <w:color w:val="auto"/>
              </w:rPr>
            </w:pPr>
            <w:r>
              <w:rPr>
                <w:rFonts w:ascii="Arial" w:cs="Arial" w:eastAsia="Arial" w:hAnsi="Arial"/>
                <w:sz w:val="16"/>
                <w:szCs w:val="16"/>
                <w:b w:val="1"/>
                <w:bCs w:val="1"/>
                <w:color w:val="auto"/>
              </w:rPr>
              <w:t>Funded Status</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(106,526)</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(105,004)</w:t>
            </w:r>
          </w:p>
        </w:tc>
      </w:tr>
      <w:tr>
        <w:trPr>
          <w:trHeight w:val="20"/>
        </w:trPr>
        <w:tc>
          <w:tcPr>
            <w:tcW w:w="90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The accumulated benefit obligation for the Company’s pension plans at December 31, 2016 and 2015, was $1,137.9 million and $1,219.7</w:t>
      </w:r>
    </w:p>
    <w:p>
      <w:pPr>
        <w:spacing w:after="0" w:line="223" w:lineRule="auto"/>
        <w:rPr>
          <w:sz w:val="20"/>
          <w:szCs w:val="20"/>
          <w:color w:val="auto"/>
        </w:rPr>
      </w:pPr>
      <w:r>
        <w:rPr>
          <w:rFonts w:ascii="Arial" w:cs="Arial" w:eastAsia="Arial" w:hAnsi="Arial"/>
          <w:sz w:val="18"/>
          <w:szCs w:val="18"/>
          <w:color w:val="auto"/>
        </w:rPr>
        <w:t>million, respectively. The accumulated benefit obligation for the Company’s SERP at December 31, 2016 and 2015, was $103.0 million and</w:t>
      </w:r>
    </w:p>
    <w:p>
      <w:pPr>
        <w:spacing w:after="0" w:line="220" w:lineRule="auto"/>
        <w:rPr>
          <w:sz w:val="20"/>
          <w:szCs w:val="20"/>
          <w:color w:val="auto"/>
        </w:rPr>
      </w:pPr>
      <w:r>
        <w:rPr>
          <w:rFonts w:ascii="Arial" w:cs="Arial" w:eastAsia="Arial" w:hAnsi="Arial"/>
          <w:sz w:val="18"/>
          <w:szCs w:val="18"/>
          <w:color w:val="auto"/>
        </w:rPr>
        <w:t>$102.5 million, respectively. The amounts recognized in the Company’s Consolidated Balance Sheets for its defined benefit pension plans are</w:t>
      </w:r>
    </w:p>
    <w:p>
      <w:pPr>
        <w:spacing w:after="0"/>
        <w:rPr>
          <w:sz w:val="20"/>
          <w:szCs w:val="20"/>
          <w:color w:val="auto"/>
        </w:rPr>
      </w:pPr>
      <w:r>
        <w:rPr>
          <w:rFonts w:ascii="Arial" w:cs="Arial" w:eastAsia="Arial" w:hAnsi="Arial"/>
          <w:sz w:val="18"/>
          <w:szCs w:val="18"/>
          <w:color w:val="auto"/>
        </w:rPr>
        <w:t>as follows: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5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160" w:type="dxa"/>
            <w:vAlign w:val="bottom"/>
            <w:tcBorders>
              <w:bottom w:val="single" w:sz="8" w:color="auto"/>
            </w:tcBorders>
            <w:gridSpan w:val="3"/>
          </w:tcPr>
          <w:p>
            <w:pPr>
              <w:jc w:val="right"/>
              <w:ind w:right="621"/>
              <w:spacing w:after="0"/>
              <w:rPr>
                <w:sz w:val="20"/>
                <w:szCs w:val="20"/>
                <w:color w:val="auto"/>
              </w:rPr>
            </w:pPr>
            <w:r>
              <w:rPr>
                <w:rFonts w:ascii="Arial" w:cs="Arial" w:eastAsia="Arial" w:hAnsi="Arial"/>
                <w:sz w:val="14"/>
                <w:szCs w:val="14"/>
                <w:b w:val="1"/>
                <w:bCs w:val="1"/>
                <w:color w:val="auto"/>
              </w:rPr>
              <w:t>Pension Plans</w:t>
            </w:r>
          </w:p>
        </w:tc>
        <w:tc>
          <w:tcPr>
            <w:tcW w:w="3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2"/>
          </w:tcPr>
          <w:p>
            <w:pPr>
              <w:jc w:val="right"/>
              <w:ind w:right="39"/>
              <w:spacing w:after="0"/>
              <w:rPr>
                <w:sz w:val="20"/>
                <w:szCs w:val="20"/>
                <w:color w:val="auto"/>
              </w:rPr>
            </w:pPr>
            <w:r>
              <w:rPr>
                <w:rFonts w:ascii="Arial" w:cs="Arial" w:eastAsia="Arial" w:hAnsi="Arial"/>
                <w:sz w:val="14"/>
                <w:szCs w:val="14"/>
                <w:b w:val="1"/>
                <w:bCs w:val="1"/>
                <w:color w:val="auto"/>
              </w:rPr>
              <w:t>SERP</w:t>
            </w:r>
          </w:p>
        </w:tc>
        <w:tc>
          <w:tcPr>
            <w:tcW w:w="860" w:type="dxa"/>
            <w:vAlign w:val="bottom"/>
            <w:tcBorders>
              <w:bottom w:val="single" w:sz="8" w:color="auto"/>
            </w:tcBorders>
          </w:tcPr>
          <w:p>
            <w:pPr>
              <w:spacing w:after="0"/>
              <w:rPr>
                <w:sz w:val="17"/>
                <w:szCs w:val="17"/>
                <w:color w:val="auto"/>
              </w:rPr>
            </w:pPr>
          </w:p>
        </w:tc>
      </w:tr>
      <w:tr>
        <w:trPr>
          <w:trHeight w:val="264"/>
        </w:trPr>
        <w:tc>
          <w:tcPr>
            <w:tcW w:w="65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2160" w:type="dxa"/>
            <w:vAlign w:val="bottom"/>
            <w:tcBorders>
              <w:bottom w:val="single" w:sz="8" w:color="auto"/>
            </w:tcBorders>
            <w:gridSpan w:val="3"/>
          </w:tcPr>
          <w:p>
            <w:pPr>
              <w:jc w:val="right"/>
              <w:ind w:right="481"/>
              <w:spacing w:after="0"/>
              <w:rPr>
                <w:sz w:val="20"/>
                <w:szCs w:val="20"/>
                <w:color w:val="auto"/>
              </w:rPr>
            </w:pPr>
            <w:r>
              <w:rPr>
                <w:rFonts w:ascii="Arial" w:cs="Arial" w:eastAsia="Arial" w:hAnsi="Arial"/>
                <w:sz w:val="14"/>
                <w:szCs w:val="14"/>
                <w:b w:val="1"/>
                <w:bCs w:val="1"/>
                <w:color w:val="auto"/>
              </w:rPr>
              <w:t>As of December 31</w:t>
            </w:r>
          </w:p>
        </w:tc>
        <w:tc>
          <w:tcPr>
            <w:tcW w:w="360" w:type="dxa"/>
            <w:vAlign w:val="bottom"/>
            <w:tcBorders>
              <w:bottom w:val="single" w:sz="8" w:color="auto"/>
            </w:tcBorders>
          </w:tcPr>
          <w:p>
            <w:pPr>
              <w:spacing w:after="0"/>
              <w:rPr>
                <w:sz w:val="22"/>
                <w:szCs w:val="22"/>
                <w:color w:val="auto"/>
              </w:rPr>
            </w:pPr>
          </w:p>
        </w:tc>
        <w:tc>
          <w:tcPr>
            <w:tcW w:w="2120" w:type="dxa"/>
            <w:vAlign w:val="bottom"/>
            <w:tcBorders>
              <w:bottom w:val="single" w:sz="8" w:color="auto"/>
            </w:tcBorders>
            <w:gridSpan w:val="3"/>
          </w:tcPr>
          <w:p>
            <w:pPr>
              <w:jc w:val="right"/>
              <w:ind w:right="441"/>
              <w:spacing w:after="0"/>
              <w:rPr>
                <w:sz w:val="20"/>
                <w:szCs w:val="20"/>
                <w:color w:val="auto"/>
              </w:rPr>
            </w:pPr>
            <w:r>
              <w:rPr>
                <w:rFonts w:ascii="Arial" w:cs="Arial" w:eastAsia="Arial" w:hAnsi="Arial"/>
                <w:sz w:val="14"/>
                <w:szCs w:val="14"/>
                <w:b w:val="1"/>
                <w:bCs w:val="1"/>
                <w:color w:val="auto"/>
              </w:rPr>
              <w:t>As of December 31</w:t>
            </w:r>
          </w:p>
        </w:tc>
      </w:tr>
      <w:tr>
        <w:trPr>
          <w:trHeight w:val="264"/>
        </w:trPr>
        <w:tc>
          <w:tcPr>
            <w:tcW w:w="65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63"/>
              <w:spacing w:after="0"/>
              <w:rPr>
                <w:sz w:val="20"/>
                <w:szCs w:val="20"/>
                <w:color w:val="auto"/>
              </w:rPr>
            </w:pPr>
            <w:r>
              <w:rPr>
                <w:rFonts w:ascii="Arial" w:cs="Arial" w:eastAsia="Arial" w:hAnsi="Arial"/>
                <w:sz w:val="14"/>
                <w:szCs w:val="14"/>
                <w:b w:val="1"/>
                <w:bCs w:val="1"/>
                <w:color w:val="auto"/>
              </w:rPr>
              <w:t>2016</w:t>
            </w:r>
          </w:p>
        </w:tc>
        <w:tc>
          <w:tcPr>
            <w:tcW w:w="3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color w:val="auto"/>
              </w:rPr>
              <w:t>2015</w:t>
            </w:r>
          </w:p>
        </w:tc>
        <w:tc>
          <w:tcPr>
            <w:tcW w:w="3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63"/>
              <w:spacing w:after="0"/>
              <w:rPr>
                <w:sz w:val="20"/>
                <w:szCs w:val="20"/>
                <w:color w:val="auto"/>
              </w:rPr>
            </w:pPr>
            <w:r>
              <w:rPr>
                <w:rFonts w:ascii="Arial" w:cs="Arial" w:eastAsia="Arial" w:hAnsi="Arial"/>
                <w:sz w:val="14"/>
                <w:szCs w:val="14"/>
                <w:b w:val="1"/>
                <w:bCs w:val="1"/>
                <w:color w:val="auto"/>
              </w:rPr>
              <w:t>2016</w:t>
            </w:r>
          </w:p>
        </w:tc>
        <w:tc>
          <w:tcPr>
            <w:tcW w:w="3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color w:val="auto"/>
              </w:rPr>
              <w:t>2015</w:t>
            </w:r>
          </w:p>
        </w:tc>
      </w:tr>
      <w:tr>
        <w:trPr>
          <w:trHeight w:val="257"/>
        </w:trPr>
        <w:tc>
          <w:tcPr>
            <w:tcW w:w="6520" w:type="dxa"/>
            <w:vAlign w:val="bottom"/>
          </w:tcPr>
          <w:p>
            <w:pPr>
              <w:ind w:left="40"/>
              <w:spacing w:after="0"/>
              <w:rPr>
                <w:sz w:val="20"/>
                <w:szCs w:val="20"/>
                <w:color w:val="auto"/>
              </w:rPr>
            </w:pPr>
            <w:r>
              <w:rPr>
                <w:rFonts w:ascii="Arial" w:cs="Arial" w:eastAsia="Arial" w:hAnsi="Arial"/>
                <w:sz w:val="16"/>
                <w:szCs w:val="16"/>
                <w:color w:val="auto"/>
              </w:rPr>
              <w:t>Noncurrent asset</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ind w:right="43"/>
              <w:spacing w:after="0"/>
              <w:rPr>
                <w:sz w:val="20"/>
                <w:szCs w:val="20"/>
                <w:color w:val="auto"/>
              </w:rPr>
            </w:pPr>
            <w:r>
              <w:rPr>
                <w:rFonts w:ascii="Arial" w:cs="Arial" w:eastAsia="Arial" w:hAnsi="Arial"/>
                <w:sz w:val="16"/>
                <w:szCs w:val="16"/>
                <w:b w:val="1"/>
                <w:bCs w:val="1"/>
                <w:color w:val="auto"/>
              </w:rPr>
              <w:t>881,593</w:t>
            </w:r>
          </w:p>
        </w:tc>
        <w:tc>
          <w:tcPr>
            <w:tcW w:w="3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41"/>
              <w:spacing w:after="0"/>
              <w:rPr>
                <w:sz w:val="20"/>
                <w:szCs w:val="20"/>
                <w:color w:val="auto"/>
              </w:rPr>
            </w:pPr>
            <w:r>
              <w:rPr>
                <w:rFonts w:ascii="Arial" w:cs="Arial" w:eastAsia="Arial" w:hAnsi="Arial"/>
                <w:sz w:val="16"/>
                <w:szCs w:val="16"/>
                <w:color w:val="auto"/>
              </w:rPr>
              <w:t>979,970</w:t>
            </w:r>
          </w:p>
        </w:tc>
        <w:tc>
          <w:tcPr>
            <w:tcW w:w="3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ind w:right="83"/>
              <w:spacing w:after="0"/>
              <w:rPr>
                <w:sz w:val="20"/>
                <w:szCs w:val="20"/>
                <w:color w:val="auto"/>
              </w:rPr>
            </w:pPr>
            <w:r>
              <w:rPr>
                <w:rFonts w:ascii="Arial" w:cs="Arial" w:eastAsia="Arial" w:hAnsi="Arial"/>
                <w:sz w:val="16"/>
                <w:szCs w:val="16"/>
                <w:b w:val="1"/>
                <w:bCs w:val="1"/>
                <w:color w:val="auto"/>
              </w:rPr>
              <w:t>—</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w:t>
            </w:r>
          </w:p>
        </w:tc>
      </w:tr>
      <w:tr>
        <w:trPr>
          <w:trHeight w:val="270"/>
        </w:trPr>
        <w:tc>
          <w:tcPr>
            <w:tcW w:w="6520" w:type="dxa"/>
            <w:vAlign w:val="bottom"/>
          </w:tcPr>
          <w:p>
            <w:pPr>
              <w:ind w:left="40"/>
              <w:spacing w:after="0"/>
              <w:rPr>
                <w:sz w:val="20"/>
                <w:szCs w:val="20"/>
                <w:color w:val="auto"/>
              </w:rPr>
            </w:pPr>
            <w:r>
              <w:rPr>
                <w:rFonts w:ascii="Arial" w:cs="Arial" w:eastAsia="Arial" w:hAnsi="Arial"/>
                <w:sz w:val="16"/>
                <w:szCs w:val="16"/>
                <w:color w:val="auto"/>
              </w:rPr>
              <w:t>Current liability</w:t>
            </w:r>
          </w:p>
        </w:tc>
        <w:tc>
          <w:tcPr>
            <w:tcW w:w="260" w:type="dxa"/>
            <w:vAlign w:val="bottom"/>
          </w:tcPr>
          <w:p>
            <w:pPr>
              <w:spacing w:after="0"/>
              <w:rPr>
                <w:sz w:val="23"/>
                <w:szCs w:val="23"/>
                <w:color w:val="auto"/>
              </w:rPr>
            </w:pPr>
          </w:p>
        </w:tc>
        <w:tc>
          <w:tcPr>
            <w:tcW w:w="920" w:type="dxa"/>
            <w:vAlign w:val="bottom"/>
          </w:tcPr>
          <w:p>
            <w:pPr>
              <w:jc w:val="right"/>
              <w:ind w:right="43"/>
              <w:spacing w:after="0"/>
              <w:rPr>
                <w:sz w:val="20"/>
                <w:szCs w:val="20"/>
                <w:color w:val="auto"/>
              </w:rPr>
            </w:pPr>
            <w:r>
              <w:rPr>
                <w:rFonts w:ascii="Arial" w:cs="Arial" w:eastAsia="Arial" w:hAnsi="Arial"/>
                <w:sz w:val="16"/>
                <w:szCs w:val="16"/>
                <w:b w:val="1"/>
                <w:bCs w:val="1"/>
                <w:color w:val="auto"/>
              </w:rPr>
              <w:t>—</w:t>
            </w:r>
          </w:p>
        </w:tc>
        <w:tc>
          <w:tcPr>
            <w:tcW w:w="360" w:type="dxa"/>
            <w:vAlign w:val="bottom"/>
          </w:tcPr>
          <w:p>
            <w:pPr>
              <w:spacing w:after="0"/>
              <w:rPr>
                <w:sz w:val="23"/>
                <w:szCs w:val="23"/>
                <w:color w:val="auto"/>
              </w:rPr>
            </w:pPr>
          </w:p>
        </w:tc>
        <w:tc>
          <w:tcPr>
            <w:tcW w:w="88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3"/>
                <w:szCs w:val="23"/>
                <w:color w:val="auto"/>
              </w:rPr>
            </w:pPr>
          </w:p>
        </w:tc>
        <w:tc>
          <w:tcPr>
            <w:tcW w:w="920" w:type="dxa"/>
            <w:vAlign w:val="bottom"/>
          </w:tcPr>
          <w:p>
            <w:pPr>
              <w:jc w:val="right"/>
              <w:ind w:right="23"/>
              <w:spacing w:after="0"/>
              <w:rPr>
                <w:sz w:val="20"/>
                <w:szCs w:val="20"/>
                <w:color w:val="auto"/>
              </w:rPr>
            </w:pPr>
            <w:r>
              <w:rPr>
                <w:rFonts w:ascii="Arial" w:cs="Arial" w:eastAsia="Arial" w:hAnsi="Arial"/>
                <w:sz w:val="16"/>
                <w:szCs w:val="16"/>
                <w:b w:val="1"/>
                <w:bCs w:val="1"/>
                <w:color w:val="auto"/>
              </w:rPr>
              <w:t>(5,580)</w:t>
            </w:r>
          </w:p>
        </w:tc>
        <w:tc>
          <w:tcPr>
            <w:tcW w:w="3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(5,442)</w:t>
            </w:r>
          </w:p>
        </w:tc>
      </w:tr>
      <w:tr>
        <w:trPr>
          <w:trHeight w:val="274"/>
        </w:trPr>
        <w:tc>
          <w:tcPr>
            <w:tcW w:w="6520" w:type="dxa"/>
            <w:vAlign w:val="bottom"/>
          </w:tcPr>
          <w:p>
            <w:pPr>
              <w:ind w:left="40"/>
              <w:spacing w:after="0"/>
              <w:rPr>
                <w:sz w:val="20"/>
                <w:szCs w:val="20"/>
                <w:color w:val="auto"/>
              </w:rPr>
            </w:pPr>
            <w:r>
              <w:rPr>
                <w:rFonts w:ascii="Arial" w:cs="Arial" w:eastAsia="Arial" w:hAnsi="Arial"/>
                <w:sz w:val="16"/>
                <w:szCs w:val="16"/>
                <w:color w:val="auto"/>
              </w:rPr>
              <w:t>Noncurrent liability</w:t>
            </w:r>
          </w:p>
        </w:tc>
        <w:tc>
          <w:tcPr>
            <w:tcW w:w="26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b w:val="1"/>
                <w:bCs w:val="1"/>
                <w:color w:val="auto"/>
              </w:rPr>
              <w:t>—</w:t>
            </w:r>
          </w:p>
        </w:tc>
        <w:tc>
          <w:tcPr>
            <w:tcW w:w="36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b w:val="1"/>
                <w:bCs w:val="1"/>
                <w:color w:val="auto"/>
              </w:rPr>
              <w:t>(100,946)</w:t>
            </w:r>
          </w:p>
        </w:tc>
        <w:tc>
          <w:tcPr>
            <w:tcW w:w="34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(99,562)</w:t>
            </w:r>
          </w:p>
        </w:tc>
      </w:tr>
      <w:tr>
        <w:trPr>
          <w:trHeight w:val="267"/>
        </w:trPr>
        <w:tc>
          <w:tcPr>
            <w:tcW w:w="6520" w:type="dxa"/>
            <w:vAlign w:val="bottom"/>
          </w:tcPr>
          <w:p>
            <w:pPr>
              <w:ind w:left="40"/>
              <w:spacing w:after="0"/>
              <w:rPr>
                <w:sz w:val="20"/>
                <w:szCs w:val="20"/>
                <w:color w:val="auto"/>
              </w:rPr>
            </w:pPr>
            <w:r>
              <w:rPr>
                <w:rFonts w:ascii="Arial" w:cs="Arial" w:eastAsia="Arial" w:hAnsi="Arial"/>
                <w:sz w:val="16"/>
                <w:szCs w:val="16"/>
                <w:b w:val="1"/>
                <w:bCs w:val="1"/>
                <w:color w:val="auto"/>
              </w:rPr>
              <w:t>Recognized Asset (Liability)</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b w:val="1"/>
                <w:bCs w:val="1"/>
                <w:color w:val="auto"/>
              </w:rPr>
              <w:t>881,593</w:t>
            </w:r>
          </w:p>
        </w:tc>
        <w:tc>
          <w:tcPr>
            <w:tcW w:w="3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979,970</w:t>
            </w:r>
          </w:p>
        </w:tc>
        <w:tc>
          <w:tcPr>
            <w:tcW w:w="3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b w:val="1"/>
                <w:bCs w:val="1"/>
                <w:color w:val="auto"/>
              </w:rPr>
              <w:t>(106,526)</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(105,004)</w:t>
            </w:r>
          </w:p>
        </w:tc>
      </w:tr>
      <w:tr>
        <w:trPr>
          <w:trHeight w:val="20"/>
        </w:trPr>
        <w:tc>
          <w:tcPr>
            <w:tcW w:w="65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Key assumptions utilized for determining the benefit obligation are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980" w:type="dxa"/>
            <w:vAlign w:val="bottom"/>
          </w:tcPr>
          <w:p>
            <w:pPr>
              <w:spacing w:after="0"/>
              <w:rPr>
                <w:sz w:val="17"/>
                <w:szCs w:val="17"/>
                <w:color w:val="auto"/>
              </w:rPr>
            </w:pPr>
          </w:p>
        </w:tc>
        <w:tc>
          <w:tcPr>
            <w:tcW w:w="2640" w:type="dxa"/>
            <w:vAlign w:val="bottom"/>
            <w:tcBorders>
              <w:bottom w:val="single" w:sz="8" w:color="auto"/>
            </w:tcBorders>
          </w:tcPr>
          <w:p>
            <w:pPr>
              <w:jc w:val="center"/>
              <w:ind w:left="944"/>
              <w:spacing w:after="0"/>
              <w:rPr>
                <w:sz w:val="20"/>
                <w:szCs w:val="20"/>
                <w:color w:val="auto"/>
              </w:rPr>
            </w:pPr>
            <w:r>
              <w:rPr>
                <w:rFonts w:ascii="Arial" w:cs="Arial" w:eastAsia="Arial" w:hAnsi="Arial"/>
                <w:sz w:val="14"/>
                <w:szCs w:val="14"/>
                <w:b w:val="1"/>
                <w:bCs w:val="1"/>
                <w:color w:val="auto"/>
              </w:rPr>
              <w:t>Pension Plans</w:t>
            </w:r>
          </w:p>
        </w:tc>
        <w:tc>
          <w:tcPr>
            <w:tcW w:w="1040" w:type="dxa"/>
            <w:vAlign w:val="bottom"/>
            <w:tcBorders>
              <w:bottom w:val="single" w:sz="8" w:color="auto"/>
            </w:tcBorders>
          </w:tcPr>
          <w:p>
            <w:pPr>
              <w:spacing w:after="0"/>
              <w:rPr>
                <w:sz w:val="17"/>
                <w:szCs w:val="17"/>
                <w:color w:val="auto"/>
              </w:rPr>
            </w:pPr>
          </w:p>
        </w:tc>
        <w:tc>
          <w:tcPr>
            <w:tcW w:w="2740" w:type="dxa"/>
            <w:vAlign w:val="bottom"/>
            <w:tcBorders>
              <w:bottom w:val="single" w:sz="8" w:color="auto"/>
            </w:tcBorders>
          </w:tcPr>
          <w:p>
            <w:pPr>
              <w:jc w:val="center"/>
              <w:ind w:left="1024"/>
              <w:spacing w:after="0"/>
              <w:rPr>
                <w:sz w:val="20"/>
                <w:szCs w:val="20"/>
                <w:color w:val="auto"/>
              </w:rPr>
            </w:pPr>
            <w:r>
              <w:rPr>
                <w:rFonts w:ascii="Arial" w:cs="Arial" w:eastAsia="Arial" w:hAnsi="Arial"/>
                <w:sz w:val="14"/>
                <w:szCs w:val="14"/>
                <w:b w:val="1"/>
                <w:bCs w:val="1"/>
                <w:color w:val="auto"/>
              </w:rPr>
              <w:t>SERP</w:t>
            </w:r>
          </w:p>
        </w:tc>
        <w:tc>
          <w:tcPr>
            <w:tcW w:w="1020" w:type="dxa"/>
            <w:vAlign w:val="bottom"/>
            <w:tcBorders>
              <w:bottom w:val="single" w:sz="8" w:color="auto"/>
            </w:tcBorders>
          </w:tcPr>
          <w:p>
            <w:pPr>
              <w:spacing w:after="0"/>
              <w:rPr>
                <w:sz w:val="17"/>
                <w:szCs w:val="17"/>
                <w:color w:val="auto"/>
              </w:rPr>
            </w:pPr>
          </w:p>
        </w:tc>
      </w:tr>
      <w:tr>
        <w:trPr>
          <w:trHeight w:val="264"/>
        </w:trPr>
        <w:tc>
          <w:tcPr>
            <w:tcW w:w="3980" w:type="dxa"/>
            <w:vAlign w:val="bottom"/>
          </w:tcPr>
          <w:p>
            <w:pPr>
              <w:spacing w:after="0"/>
              <w:rPr>
                <w:sz w:val="22"/>
                <w:szCs w:val="22"/>
                <w:color w:val="auto"/>
              </w:rPr>
            </w:pPr>
          </w:p>
        </w:tc>
        <w:tc>
          <w:tcPr>
            <w:tcW w:w="2640" w:type="dxa"/>
            <w:vAlign w:val="bottom"/>
            <w:tcBorders>
              <w:bottom w:val="single" w:sz="8" w:color="auto"/>
            </w:tcBorders>
          </w:tcPr>
          <w:p>
            <w:pPr>
              <w:jc w:val="center"/>
              <w:ind w:left="944"/>
              <w:spacing w:after="0"/>
              <w:rPr>
                <w:sz w:val="20"/>
                <w:szCs w:val="20"/>
                <w:color w:val="auto"/>
              </w:rPr>
            </w:pPr>
            <w:r>
              <w:rPr>
                <w:rFonts w:ascii="Arial" w:cs="Arial" w:eastAsia="Arial" w:hAnsi="Arial"/>
                <w:sz w:val="14"/>
                <w:szCs w:val="14"/>
                <w:b w:val="1"/>
                <w:bCs w:val="1"/>
                <w:color w:val="auto"/>
              </w:rPr>
              <w:t>As of December 31</w:t>
            </w:r>
          </w:p>
        </w:tc>
        <w:tc>
          <w:tcPr>
            <w:tcW w:w="1040" w:type="dxa"/>
            <w:vAlign w:val="bottom"/>
            <w:tcBorders>
              <w:bottom w:val="single" w:sz="8" w:color="auto"/>
            </w:tcBorders>
          </w:tcPr>
          <w:p>
            <w:pPr>
              <w:spacing w:after="0"/>
              <w:rPr>
                <w:sz w:val="22"/>
                <w:szCs w:val="22"/>
                <w:color w:val="auto"/>
              </w:rPr>
            </w:pPr>
          </w:p>
        </w:tc>
        <w:tc>
          <w:tcPr>
            <w:tcW w:w="2740" w:type="dxa"/>
            <w:vAlign w:val="bottom"/>
            <w:tcBorders>
              <w:bottom w:val="single" w:sz="8" w:color="auto"/>
            </w:tcBorders>
          </w:tcPr>
          <w:p>
            <w:pPr>
              <w:jc w:val="center"/>
              <w:ind w:left="1044"/>
              <w:spacing w:after="0"/>
              <w:rPr>
                <w:sz w:val="20"/>
                <w:szCs w:val="20"/>
                <w:color w:val="auto"/>
              </w:rPr>
            </w:pPr>
            <w:r>
              <w:rPr>
                <w:rFonts w:ascii="Arial" w:cs="Arial" w:eastAsia="Arial" w:hAnsi="Arial"/>
                <w:sz w:val="14"/>
                <w:szCs w:val="14"/>
                <w:b w:val="1"/>
                <w:bCs w:val="1"/>
                <w:color w:val="auto"/>
              </w:rPr>
              <w:t>As of December 31</w:t>
            </w:r>
          </w:p>
        </w:tc>
        <w:tc>
          <w:tcPr>
            <w:tcW w:w="1020" w:type="dxa"/>
            <w:vAlign w:val="bottom"/>
            <w:tcBorders>
              <w:bottom w:val="single" w:sz="8" w:color="auto"/>
            </w:tcBorders>
          </w:tcPr>
          <w:p>
            <w:pPr>
              <w:spacing w:after="0"/>
              <w:rPr>
                <w:sz w:val="22"/>
                <w:szCs w:val="22"/>
                <w:color w:val="auto"/>
              </w:rPr>
            </w:pPr>
          </w:p>
        </w:tc>
      </w:tr>
      <w:tr>
        <w:trPr>
          <w:trHeight w:val="264"/>
        </w:trPr>
        <w:tc>
          <w:tcPr>
            <w:tcW w:w="3980" w:type="dxa"/>
            <w:vAlign w:val="bottom"/>
            <w:tcBorders>
              <w:bottom w:val="single" w:sz="8" w:color="auto"/>
            </w:tcBorders>
          </w:tcPr>
          <w:p>
            <w:pPr>
              <w:spacing w:after="0"/>
              <w:rPr>
                <w:sz w:val="22"/>
                <w:szCs w:val="22"/>
                <w:color w:val="auto"/>
              </w:rPr>
            </w:pPr>
          </w:p>
        </w:tc>
        <w:tc>
          <w:tcPr>
            <w:tcW w:w="2640" w:type="dxa"/>
            <w:vAlign w:val="bottom"/>
            <w:tcBorders>
              <w:bottom w:val="single" w:sz="8" w:color="auto"/>
            </w:tcBorders>
          </w:tcPr>
          <w:p>
            <w:pPr>
              <w:jc w:val="right"/>
              <w:ind w:right="1324"/>
              <w:spacing w:after="0"/>
              <w:rPr>
                <w:sz w:val="20"/>
                <w:szCs w:val="20"/>
                <w:color w:val="auto"/>
              </w:rPr>
            </w:pPr>
            <w:r>
              <w:rPr>
                <w:rFonts w:ascii="Arial" w:cs="Arial" w:eastAsia="Arial" w:hAnsi="Arial"/>
                <w:sz w:val="14"/>
                <w:szCs w:val="14"/>
                <w:b w:val="1"/>
                <w:bCs w:val="1"/>
                <w:color w:val="auto"/>
              </w:rPr>
              <w:t>2016</w:t>
            </w:r>
          </w:p>
        </w:tc>
        <w:tc>
          <w:tcPr>
            <w:tcW w:w="104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color w:val="auto"/>
              </w:rPr>
              <w:t>2015</w:t>
            </w:r>
          </w:p>
        </w:tc>
        <w:tc>
          <w:tcPr>
            <w:tcW w:w="2740" w:type="dxa"/>
            <w:vAlign w:val="bottom"/>
            <w:tcBorders>
              <w:bottom w:val="single" w:sz="8" w:color="auto"/>
            </w:tcBorders>
          </w:tcPr>
          <w:p>
            <w:pPr>
              <w:jc w:val="right"/>
              <w:ind w:right="1324"/>
              <w:spacing w:after="0"/>
              <w:rPr>
                <w:sz w:val="20"/>
                <w:szCs w:val="20"/>
                <w:color w:val="auto"/>
              </w:rPr>
            </w:pPr>
            <w:r>
              <w:rPr>
                <w:rFonts w:ascii="Arial" w:cs="Arial" w:eastAsia="Arial" w:hAnsi="Arial"/>
                <w:sz w:val="14"/>
                <w:szCs w:val="14"/>
                <w:b w:val="1"/>
                <w:bCs w:val="1"/>
                <w:color w:val="auto"/>
              </w:rPr>
              <w:t>2016</w:t>
            </w:r>
          </w:p>
        </w:tc>
        <w:tc>
          <w:tcPr>
            <w:tcW w:w="1020" w:type="dxa"/>
            <w:vAlign w:val="bottom"/>
            <w:tcBorders>
              <w:bottom w:val="single" w:sz="8" w:color="auto"/>
            </w:tcBorders>
          </w:tcPr>
          <w:p>
            <w:pPr>
              <w:jc w:val="right"/>
              <w:ind w:right="462"/>
              <w:spacing w:after="0"/>
              <w:rPr>
                <w:sz w:val="20"/>
                <w:szCs w:val="20"/>
                <w:color w:val="auto"/>
              </w:rPr>
            </w:pPr>
            <w:r>
              <w:rPr>
                <w:rFonts w:ascii="Arial" w:cs="Arial" w:eastAsia="Arial" w:hAnsi="Arial"/>
                <w:sz w:val="14"/>
                <w:szCs w:val="14"/>
                <w:color w:val="auto"/>
              </w:rPr>
              <w:t>2015</w:t>
            </w:r>
          </w:p>
        </w:tc>
      </w:tr>
      <w:tr>
        <w:trPr>
          <w:trHeight w:val="257"/>
        </w:trPr>
        <w:tc>
          <w:tcPr>
            <w:tcW w:w="3980" w:type="dxa"/>
            <w:vAlign w:val="bottom"/>
          </w:tcPr>
          <w:p>
            <w:pPr>
              <w:ind w:left="40"/>
              <w:spacing w:after="0"/>
              <w:rPr>
                <w:sz w:val="20"/>
                <w:szCs w:val="20"/>
                <w:color w:val="auto"/>
              </w:rPr>
            </w:pPr>
            <w:r>
              <w:rPr>
                <w:rFonts w:ascii="Arial" w:cs="Arial" w:eastAsia="Arial" w:hAnsi="Arial"/>
                <w:sz w:val="16"/>
                <w:szCs w:val="16"/>
                <w:color w:val="auto"/>
              </w:rPr>
              <w:t>Discount rate</w:t>
            </w:r>
          </w:p>
        </w:tc>
        <w:tc>
          <w:tcPr>
            <w:tcW w:w="2640" w:type="dxa"/>
            <w:vAlign w:val="bottom"/>
          </w:tcPr>
          <w:p>
            <w:pPr>
              <w:jc w:val="right"/>
              <w:ind w:right="1424"/>
              <w:spacing w:after="0"/>
              <w:rPr>
                <w:sz w:val="20"/>
                <w:szCs w:val="20"/>
                <w:color w:val="auto"/>
              </w:rPr>
            </w:pPr>
            <w:r>
              <w:rPr>
                <w:rFonts w:ascii="Arial" w:cs="Arial" w:eastAsia="Arial" w:hAnsi="Arial"/>
                <w:sz w:val="16"/>
                <w:szCs w:val="16"/>
                <w:b w:val="1"/>
                <w:bCs w:val="1"/>
                <w:color w:val="auto"/>
              </w:rPr>
              <w:t>4.1%</w:t>
            </w:r>
          </w:p>
        </w:tc>
        <w:tc>
          <w:tcPr>
            <w:tcW w:w="1040" w:type="dxa"/>
            <w:vAlign w:val="bottom"/>
          </w:tcPr>
          <w:p>
            <w:pPr>
              <w:jc w:val="right"/>
              <w:ind w:right="222"/>
              <w:spacing w:after="0"/>
              <w:rPr>
                <w:sz w:val="20"/>
                <w:szCs w:val="20"/>
                <w:color w:val="auto"/>
              </w:rPr>
            </w:pPr>
            <w:r>
              <w:rPr>
                <w:rFonts w:ascii="Arial" w:cs="Arial" w:eastAsia="Arial" w:hAnsi="Arial"/>
                <w:sz w:val="16"/>
                <w:szCs w:val="16"/>
                <w:color w:val="auto"/>
              </w:rPr>
              <w:t>4.3%</w:t>
            </w:r>
          </w:p>
        </w:tc>
        <w:tc>
          <w:tcPr>
            <w:tcW w:w="2740" w:type="dxa"/>
            <w:vAlign w:val="bottom"/>
          </w:tcPr>
          <w:p>
            <w:pPr>
              <w:jc w:val="right"/>
              <w:ind w:right="1424"/>
              <w:spacing w:after="0"/>
              <w:rPr>
                <w:sz w:val="20"/>
                <w:szCs w:val="20"/>
                <w:color w:val="auto"/>
              </w:rPr>
            </w:pPr>
            <w:r>
              <w:rPr>
                <w:rFonts w:ascii="Arial" w:cs="Arial" w:eastAsia="Arial" w:hAnsi="Arial"/>
                <w:sz w:val="16"/>
                <w:szCs w:val="16"/>
                <w:b w:val="1"/>
                <w:bCs w:val="1"/>
                <w:color w:val="auto"/>
              </w:rPr>
              <w:t>4.1%</w:t>
            </w:r>
          </w:p>
        </w:tc>
        <w:tc>
          <w:tcPr>
            <w:tcW w:w="1020" w:type="dxa"/>
            <w:vAlign w:val="bottom"/>
          </w:tcPr>
          <w:p>
            <w:pPr>
              <w:jc w:val="right"/>
              <w:ind w:right="202"/>
              <w:spacing w:after="0"/>
              <w:rPr>
                <w:sz w:val="20"/>
                <w:szCs w:val="20"/>
                <w:color w:val="auto"/>
              </w:rPr>
            </w:pPr>
            <w:r>
              <w:rPr>
                <w:rFonts w:ascii="Arial" w:cs="Arial" w:eastAsia="Arial" w:hAnsi="Arial"/>
                <w:sz w:val="16"/>
                <w:szCs w:val="16"/>
                <w:color w:val="auto"/>
              </w:rPr>
              <w:t>4.3%</w:t>
            </w:r>
          </w:p>
        </w:tc>
      </w:tr>
      <w:tr>
        <w:trPr>
          <w:trHeight w:val="270"/>
        </w:trPr>
        <w:tc>
          <w:tcPr>
            <w:tcW w:w="3980" w:type="dxa"/>
            <w:vAlign w:val="bottom"/>
          </w:tcPr>
          <w:p>
            <w:pPr>
              <w:ind w:left="40"/>
              <w:spacing w:after="0"/>
              <w:rPr>
                <w:sz w:val="20"/>
                <w:szCs w:val="20"/>
                <w:color w:val="auto"/>
              </w:rPr>
            </w:pPr>
            <w:r>
              <w:rPr>
                <w:rFonts w:ascii="Arial" w:cs="Arial" w:eastAsia="Arial" w:hAnsi="Arial"/>
                <w:sz w:val="16"/>
                <w:szCs w:val="16"/>
                <w:color w:val="auto"/>
              </w:rPr>
              <w:t>Rate of compensation increase</w:t>
            </w:r>
          </w:p>
        </w:tc>
        <w:tc>
          <w:tcPr>
            <w:tcW w:w="2640" w:type="dxa"/>
            <w:vAlign w:val="bottom"/>
          </w:tcPr>
          <w:p>
            <w:pPr>
              <w:jc w:val="center"/>
              <w:ind w:right="404"/>
              <w:spacing w:after="0"/>
              <w:rPr>
                <w:sz w:val="20"/>
                <w:szCs w:val="20"/>
                <w:color w:val="auto"/>
              </w:rPr>
            </w:pPr>
            <w:r>
              <w:rPr>
                <w:rFonts w:ascii="Arial" w:cs="Arial" w:eastAsia="Arial" w:hAnsi="Arial"/>
                <w:sz w:val="16"/>
                <w:szCs w:val="16"/>
                <w:b w:val="1"/>
                <w:bCs w:val="1"/>
                <w:color w:val="auto"/>
              </w:rPr>
              <w:t>Graded (5.00%–1.00%)</w:t>
            </w:r>
          </w:p>
        </w:tc>
        <w:tc>
          <w:tcPr>
            <w:tcW w:w="1040" w:type="dxa"/>
            <w:vAlign w:val="bottom"/>
          </w:tcPr>
          <w:p>
            <w:pPr>
              <w:jc w:val="right"/>
              <w:ind w:right="222"/>
              <w:spacing w:after="0"/>
              <w:rPr>
                <w:sz w:val="20"/>
                <w:szCs w:val="20"/>
                <w:color w:val="auto"/>
              </w:rPr>
            </w:pPr>
            <w:r>
              <w:rPr>
                <w:rFonts w:ascii="Arial" w:cs="Arial" w:eastAsia="Arial" w:hAnsi="Arial"/>
                <w:sz w:val="16"/>
                <w:szCs w:val="16"/>
                <w:color w:val="auto"/>
              </w:rPr>
              <w:t>4.0%</w:t>
            </w:r>
          </w:p>
        </w:tc>
        <w:tc>
          <w:tcPr>
            <w:tcW w:w="2740" w:type="dxa"/>
            <w:vAlign w:val="bottom"/>
          </w:tcPr>
          <w:p>
            <w:pPr>
              <w:jc w:val="center"/>
              <w:ind w:right="324"/>
              <w:spacing w:after="0"/>
              <w:rPr>
                <w:sz w:val="20"/>
                <w:szCs w:val="20"/>
                <w:color w:val="auto"/>
              </w:rPr>
            </w:pPr>
            <w:r>
              <w:rPr>
                <w:rFonts w:ascii="Arial" w:cs="Arial" w:eastAsia="Arial" w:hAnsi="Arial"/>
                <w:sz w:val="16"/>
                <w:szCs w:val="16"/>
                <w:b w:val="1"/>
                <w:bCs w:val="1"/>
                <w:color w:val="auto"/>
              </w:rPr>
              <w:t>Graded (5.00%–1.00%)</w:t>
            </w:r>
          </w:p>
        </w:tc>
        <w:tc>
          <w:tcPr>
            <w:tcW w:w="1020" w:type="dxa"/>
            <w:vAlign w:val="bottom"/>
          </w:tcPr>
          <w:p>
            <w:pPr>
              <w:jc w:val="right"/>
              <w:ind w:right="202"/>
              <w:spacing w:after="0"/>
              <w:rPr>
                <w:sz w:val="20"/>
                <w:szCs w:val="20"/>
                <w:color w:val="auto"/>
              </w:rPr>
            </w:pPr>
            <w:r>
              <w:rPr>
                <w:rFonts w:ascii="Arial" w:cs="Arial" w:eastAsia="Arial" w:hAnsi="Arial"/>
                <w:sz w:val="16"/>
                <w:szCs w:val="16"/>
                <w:color w:val="auto"/>
              </w:rPr>
              <w:t>4.0%</w:t>
            </w:r>
          </w:p>
        </w:tc>
      </w:tr>
    </w:tbl>
    <w:p>
      <w:pPr>
        <w:spacing w:after="0" w:line="133" w:lineRule="exact"/>
        <w:rPr>
          <w:sz w:val="20"/>
          <w:szCs w:val="20"/>
          <w:color w:val="auto"/>
        </w:rPr>
      </w:pPr>
    </w:p>
    <w:p>
      <w:pPr>
        <w:ind w:right="280"/>
        <w:spacing w:after="0"/>
        <w:rPr>
          <w:sz w:val="20"/>
          <w:szCs w:val="20"/>
          <w:color w:val="auto"/>
        </w:rPr>
      </w:pPr>
      <w:r>
        <w:rPr>
          <w:rFonts w:ascii="Arial" w:cs="Arial" w:eastAsia="Arial" w:hAnsi="Arial"/>
          <w:sz w:val="18"/>
          <w:szCs w:val="18"/>
          <w:color w:val="auto"/>
        </w:rPr>
        <w:t>The Company made no contributions to its pension plans in 2016, 2015 and 2014, and the Company does not expect to make any contributions in 2017. The Company made contributions to its SERP of $5.0 million and $ 6.1 million for the years ended December 31, 2016 and 2015, respectively. As the plan is unfunded, the Company makes contributions to the SERP based on actual benefit payments.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2016, future estimated benefit payments, excluding charges for early retirement programs, are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0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5200" w:type="dxa"/>
            <w:vAlign w:val="bottom"/>
            <w:tcBorders>
              <w:bottom w:val="single" w:sz="8" w:color="auto"/>
            </w:tcBorders>
            <w:gridSpan w:val="2"/>
          </w:tcPr>
          <w:p>
            <w:pPr>
              <w:jc w:val="right"/>
              <w:ind w:right="19"/>
              <w:spacing w:after="0"/>
              <w:rPr>
                <w:sz w:val="20"/>
                <w:szCs w:val="20"/>
                <w:color w:val="auto"/>
              </w:rPr>
            </w:pPr>
            <w:r>
              <w:rPr>
                <w:rFonts w:ascii="Arial" w:cs="Arial" w:eastAsia="Arial" w:hAnsi="Arial"/>
                <w:sz w:val="14"/>
                <w:szCs w:val="14"/>
                <w:b w:val="1"/>
                <w:bCs w:val="1"/>
                <w:color w:val="auto"/>
              </w:rPr>
              <w:t>Pension Plans</w:t>
            </w:r>
          </w:p>
        </w:tc>
        <w:tc>
          <w:tcPr>
            <w:tcW w:w="3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SERP</w:t>
            </w:r>
          </w:p>
        </w:tc>
      </w:tr>
      <w:tr>
        <w:trPr>
          <w:trHeight w:val="249"/>
        </w:trPr>
        <w:tc>
          <w:tcPr>
            <w:tcW w:w="5000" w:type="dxa"/>
            <w:vAlign w:val="bottom"/>
          </w:tcPr>
          <w:p>
            <w:pPr>
              <w:ind w:left="40"/>
              <w:spacing w:after="0"/>
              <w:rPr>
                <w:sz w:val="20"/>
                <w:szCs w:val="20"/>
                <w:color w:val="auto"/>
              </w:rPr>
            </w:pPr>
            <w:r>
              <w:rPr>
                <w:rFonts w:ascii="Arial" w:cs="Arial" w:eastAsia="Arial" w:hAnsi="Arial"/>
                <w:sz w:val="16"/>
                <w:szCs w:val="16"/>
                <w:color w:val="auto"/>
              </w:rPr>
              <w:t>2017</w:t>
            </w:r>
          </w:p>
        </w:tc>
        <w:tc>
          <w:tcPr>
            <w:tcW w:w="432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59"/>
              <w:spacing w:after="0"/>
              <w:rPr>
                <w:sz w:val="20"/>
                <w:szCs w:val="20"/>
                <w:color w:val="auto"/>
              </w:rPr>
            </w:pPr>
            <w:r>
              <w:rPr>
                <w:rFonts w:ascii="Arial" w:cs="Arial" w:eastAsia="Arial" w:hAnsi="Arial"/>
                <w:sz w:val="16"/>
                <w:szCs w:val="16"/>
                <w:color w:val="auto"/>
              </w:rPr>
              <w:t>68,782</w:t>
            </w:r>
          </w:p>
        </w:tc>
        <w:tc>
          <w:tcPr>
            <w:tcW w:w="3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5,693</w:t>
            </w:r>
          </w:p>
        </w:tc>
      </w:tr>
      <w:tr>
        <w:trPr>
          <w:trHeight w:val="270"/>
        </w:trPr>
        <w:tc>
          <w:tcPr>
            <w:tcW w:w="5000" w:type="dxa"/>
            <w:vAlign w:val="bottom"/>
          </w:tcPr>
          <w:p>
            <w:pPr>
              <w:ind w:left="40"/>
              <w:spacing w:after="0"/>
              <w:rPr>
                <w:sz w:val="20"/>
                <w:szCs w:val="20"/>
                <w:color w:val="auto"/>
              </w:rPr>
            </w:pPr>
            <w:r>
              <w:rPr>
                <w:rFonts w:ascii="Arial" w:cs="Arial" w:eastAsia="Arial" w:hAnsi="Arial"/>
                <w:sz w:val="16"/>
                <w:szCs w:val="16"/>
                <w:color w:val="auto"/>
              </w:rPr>
              <w:t>2018</w:t>
            </w:r>
          </w:p>
        </w:tc>
        <w:tc>
          <w:tcPr>
            <w:tcW w:w="432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59"/>
              <w:spacing w:after="0"/>
              <w:rPr>
                <w:sz w:val="20"/>
                <w:szCs w:val="20"/>
                <w:color w:val="auto"/>
              </w:rPr>
            </w:pPr>
            <w:r>
              <w:rPr>
                <w:rFonts w:ascii="Arial" w:cs="Arial" w:eastAsia="Arial" w:hAnsi="Arial"/>
                <w:sz w:val="16"/>
                <w:szCs w:val="16"/>
                <w:color w:val="auto"/>
              </w:rPr>
              <w:t>69,704</w:t>
            </w:r>
          </w:p>
        </w:tc>
        <w:tc>
          <w:tcPr>
            <w:tcW w:w="3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5,820</w:t>
            </w:r>
          </w:p>
        </w:tc>
      </w:tr>
      <w:tr>
        <w:trPr>
          <w:trHeight w:val="270"/>
        </w:trPr>
        <w:tc>
          <w:tcPr>
            <w:tcW w:w="5000" w:type="dxa"/>
            <w:vAlign w:val="bottom"/>
          </w:tcPr>
          <w:p>
            <w:pPr>
              <w:ind w:left="40"/>
              <w:spacing w:after="0"/>
              <w:rPr>
                <w:sz w:val="20"/>
                <w:szCs w:val="20"/>
                <w:color w:val="auto"/>
              </w:rPr>
            </w:pPr>
            <w:r>
              <w:rPr>
                <w:rFonts w:ascii="Arial" w:cs="Arial" w:eastAsia="Arial" w:hAnsi="Arial"/>
                <w:sz w:val="16"/>
                <w:szCs w:val="16"/>
                <w:color w:val="auto"/>
              </w:rPr>
              <w:t>2019</w:t>
            </w:r>
          </w:p>
        </w:tc>
        <w:tc>
          <w:tcPr>
            <w:tcW w:w="432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59"/>
              <w:spacing w:after="0"/>
              <w:rPr>
                <w:sz w:val="20"/>
                <w:szCs w:val="20"/>
                <w:color w:val="auto"/>
              </w:rPr>
            </w:pPr>
            <w:r>
              <w:rPr>
                <w:rFonts w:ascii="Arial" w:cs="Arial" w:eastAsia="Arial" w:hAnsi="Arial"/>
                <w:sz w:val="16"/>
                <w:szCs w:val="16"/>
                <w:color w:val="auto"/>
              </w:rPr>
              <w:t>69,465</w:t>
            </w:r>
          </w:p>
        </w:tc>
        <w:tc>
          <w:tcPr>
            <w:tcW w:w="3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6,232</w:t>
            </w:r>
          </w:p>
        </w:tc>
      </w:tr>
      <w:tr>
        <w:trPr>
          <w:trHeight w:val="270"/>
        </w:trPr>
        <w:tc>
          <w:tcPr>
            <w:tcW w:w="5000" w:type="dxa"/>
            <w:vAlign w:val="bottom"/>
          </w:tcPr>
          <w:p>
            <w:pPr>
              <w:ind w:left="40"/>
              <w:spacing w:after="0"/>
              <w:rPr>
                <w:sz w:val="20"/>
                <w:szCs w:val="20"/>
                <w:color w:val="auto"/>
              </w:rPr>
            </w:pPr>
            <w:r>
              <w:rPr>
                <w:rFonts w:ascii="Arial" w:cs="Arial" w:eastAsia="Arial" w:hAnsi="Arial"/>
                <w:sz w:val="16"/>
                <w:szCs w:val="16"/>
                <w:color w:val="auto"/>
              </w:rPr>
              <w:t>2020</w:t>
            </w:r>
          </w:p>
        </w:tc>
        <w:tc>
          <w:tcPr>
            <w:tcW w:w="432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59"/>
              <w:spacing w:after="0"/>
              <w:rPr>
                <w:sz w:val="20"/>
                <w:szCs w:val="20"/>
                <w:color w:val="auto"/>
              </w:rPr>
            </w:pPr>
            <w:r>
              <w:rPr>
                <w:rFonts w:ascii="Arial" w:cs="Arial" w:eastAsia="Arial" w:hAnsi="Arial"/>
                <w:sz w:val="16"/>
                <w:szCs w:val="16"/>
                <w:color w:val="auto"/>
              </w:rPr>
              <w:t>69,933</w:t>
            </w:r>
          </w:p>
        </w:tc>
        <w:tc>
          <w:tcPr>
            <w:tcW w:w="3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6,327</w:t>
            </w:r>
          </w:p>
        </w:tc>
      </w:tr>
      <w:tr>
        <w:trPr>
          <w:trHeight w:val="270"/>
        </w:trPr>
        <w:tc>
          <w:tcPr>
            <w:tcW w:w="5000" w:type="dxa"/>
            <w:vAlign w:val="bottom"/>
          </w:tcPr>
          <w:p>
            <w:pPr>
              <w:ind w:left="40"/>
              <w:spacing w:after="0"/>
              <w:rPr>
                <w:sz w:val="20"/>
                <w:szCs w:val="20"/>
                <w:color w:val="auto"/>
              </w:rPr>
            </w:pPr>
            <w:r>
              <w:rPr>
                <w:rFonts w:ascii="Arial" w:cs="Arial" w:eastAsia="Arial" w:hAnsi="Arial"/>
                <w:sz w:val="16"/>
                <w:szCs w:val="16"/>
                <w:color w:val="auto"/>
              </w:rPr>
              <w:t>2021</w:t>
            </w:r>
          </w:p>
        </w:tc>
        <w:tc>
          <w:tcPr>
            <w:tcW w:w="432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59"/>
              <w:spacing w:after="0"/>
              <w:rPr>
                <w:sz w:val="20"/>
                <w:szCs w:val="20"/>
                <w:color w:val="auto"/>
              </w:rPr>
            </w:pPr>
            <w:r>
              <w:rPr>
                <w:rFonts w:ascii="Arial" w:cs="Arial" w:eastAsia="Arial" w:hAnsi="Arial"/>
                <w:sz w:val="16"/>
                <w:szCs w:val="16"/>
                <w:color w:val="auto"/>
              </w:rPr>
              <w:t>70,122</w:t>
            </w:r>
          </w:p>
        </w:tc>
        <w:tc>
          <w:tcPr>
            <w:tcW w:w="3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6,429</w:t>
            </w:r>
          </w:p>
        </w:tc>
      </w:tr>
      <w:tr>
        <w:trPr>
          <w:trHeight w:val="270"/>
        </w:trPr>
        <w:tc>
          <w:tcPr>
            <w:tcW w:w="5000" w:type="dxa"/>
            <w:vAlign w:val="bottom"/>
          </w:tcPr>
          <w:p>
            <w:pPr>
              <w:ind w:left="40"/>
              <w:spacing w:after="0"/>
              <w:rPr>
                <w:sz w:val="20"/>
                <w:szCs w:val="20"/>
                <w:color w:val="auto"/>
              </w:rPr>
            </w:pPr>
            <w:r>
              <w:rPr>
                <w:rFonts w:ascii="Arial" w:cs="Arial" w:eastAsia="Arial" w:hAnsi="Arial"/>
                <w:sz w:val="16"/>
                <w:szCs w:val="16"/>
                <w:color w:val="auto"/>
              </w:rPr>
              <w:t>2022–2026</w:t>
            </w:r>
          </w:p>
        </w:tc>
        <w:tc>
          <w:tcPr>
            <w:tcW w:w="432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59"/>
              <w:spacing w:after="0"/>
              <w:rPr>
                <w:sz w:val="20"/>
                <w:szCs w:val="20"/>
                <w:color w:val="auto"/>
              </w:rPr>
            </w:pPr>
            <w:r>
              <w:rPr>
                <w:rFonts w:ascii="Arial" w:cs="Arial" w:eastAsia="Arial" w:hAnsi="Arial"/>
                <w:sz w:val="16"/>
                <w:szCs w:val="16"/>
                <w:color w:val="auto"/>
              </w:rPr>
              <w:t>350,228</w:t>
            </w:r>
          </w:p>
        </w:tc>
        <w:tc>
          <w:tcPr>
            <w:tcW w:w="3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34,061</w:t>
            </w:r>
          </w:p>
        </w:tc>
      </w:tr>
    </w:tbl>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420"/>
          </w:cols>
          <w:pgMar w:left="240" w:top="962" w:right="239" w:bottom="1440" w:gutter="0" w:footer="0" w:header="0"/>
        </w:sectPr>
      </w:pPr>
    </w:p>
    <w:bookmarkStart w:id="98" w:name="page99"/>
    <w:bookmarkEnd w:id="98"/>
    <w:p>
      <w:pPr>
        <w:ind w:right="360"/>
        <w:spacing w:after="0" w:line="260" w:lineRule="auto"/>
        <w:rPr>
          <w:sz w:val="20"/>
          <w:szCs w:val="20"/>
          <w:color w:val="auto"/>
        </w:rPr>
      </w:pPr>
      <w:r>
        <w:rPr>
          <w:rFonts w:ascii="Arial" w:cs="Arial" w:eastAsia="Arial" w:hAnsi="Arial"/>
          <w:sz w:val="18"/>
          <w:szCs w:val="18"/>
          <w:color w:val="auto"/>
        </w:rPr>
        <w:t>The total cost (benefit) arising from the Company’s defined benefit pension plans, including the portion included in discontinued operations, consists of the following components: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7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Pension Plans</w:t>
            </w:r>
          </w:p>
        </w:tc>
        <w:tc>
          <w:tcPr>
            <w:tcW w:w="3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r>
      <w:tr>
        <w:trPr>
          <w:trHeight w:val="250"/>
        </w:trPr>
        <w:tc>
          <w:tcPr>
            <w:tcW w:w="778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2540" w:type="dxa"/>
            <w:vAlign w:val="bottom"/>
            <w:tcBorders>
              <w:bottom w:val="single" w:sz="8" w:color="auto"/>
            </w:tcBorders>
            <w:gridSpan w:val="4"/>
          </w:tcPr>
          <w:p>
            <w:pPr>
              <w:jc w:val="center"/>
              <w:ind w:left="540"/>
              <w:spacing w:after="0"/>
              <w:rPr>
                <w:sz w:val="20"/>
                <w:szCs w:val="20"/>
                <w:color w:val="auto"/>
              </w:rPr>
            </w:pPr>
            <w:r>
              <w:rPr>
                <w:rFonts w:ascii="Arial" w:cs="Arial" w:eastAsia="Arial" w:hAnsi="Arial"/>
                <w:sz w:val="14"/>
                <w:szCs w:val="14"/>
                <w:b w:val="1"/>
                <w:bCs w:val="1"/>
                <w:color w:val="auto"/>
              </w:rPr>
              <w:t>Year Ended December 31</w:t>
            </w:r>
          </w:p>
        </w:tc>
        <w:tc>
          <w:tcPr>
            <w:tcW w:w="840" w:type="dxa"/>
            <w:vAlign w:val="bottom"/>
            <w:tcBorders>
              <w:bottom w:val="single" w:sz="8" w:color="auto"/>
            </w:tcBorders>
          </w:tcPr>
          <w:p>
            <w:pPr>
              <w:spacing w:after="0"/>
              <w:rPr>
                <w:sz w:val="21"/>
                <w:szCs w:val="21"/>
                <w:color w:val="auto"/>
              </w:rPr>
            </w:pPr>
          </w:p>
        </w:tc>
      </w:tr>
      <w:tr>
        <w:trPr>
          <w:trHeight w:val="264"/>
        </w:trPr>
        <w:tc>
          <w:tcPr>
            <w:tcW w:w="77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2016</w:t>
            </w: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center"/>
              <w:ind w:right="180"/>
              <w:spacing w:after="0"/>
              <w:rPr>
                <w:sz w:val="20"/>
                <w:szCs w:val="20"/>
                <w:color w:val="auto"/>
              </w:rPr>
            </w:pPr>
            <w:r>
              <w:rPr>
                <w:rFonts w:ascii="Arial" w:cs="Arial" w:eastAsia="Arial" w:hAnsi="Arial"/>
                <w:sz w:val="14"/>
                <w:szCs w:val="14"/>
                <w:color w:val="auto"/>
              </w:rPr>
              <w:t>2015</w:t>
            </w:r>
          </w:p>
        </w:tc>
        <w:tc>
          <w:tcPr>
            <w:tcW w:w="3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color w:val="auto"/>
              </w:rPr>
              <w:t>2014</w:t>
            </w:r>
          </w:p>
        </w:tc>
      </w:tr>
      <w:tr>
        <w:trPr>
          <w:trHeight w:val="257"/>
        </w:trPr>
        <w:tc>
          <w:tcPr>
            <w:tcW w:w="7780" w:type="dxa"/>
            <w:vAlign w:val="bottom"/>
          </w:tcPr>
          <w:p>
            <w:pPr>
              <w:ind w:left="40"/>
              <w:spacing w:after="0"/>
              <w:rPr>
                <w:sz w:val="20"/>
                <w:szCs w:val="20"/>
                <w:color w:val="auto"/>
              </w:rPr>
            </w:pPr>
            <w:r>
              <w:rPr>
                <w:rFonts w:ascii="Arial" w:cs="Arial" w:eastAsia="Arial" w:hAnsi="Arial"/>
                <w:sz w:val="16"/>
                <w:szCs w:val="16"/>
                <w:color w:val="auto"/>
              </w:rPr>
              <w:t>Service cost</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80"/>
              <w:spacing w:after="0"/>
              <w:rPr>
                <w:sz w:val="20"/>
                <w:szCs w:val="20"/>
                <w:color w:val="auto"/>
              </w:rPr>
            </w:pPr>
            <w:r>
              <w:rPr>
                <w:rFonts w:ascii="Arial" w:cs="Arial" w:eastAsia="Arial" w:hAnsi="Arial"/>
                <w:sz w:val="16"/>
                <w:szCs w:val="16"/>
                <w:b w:val="1"/>
                <w:bCs w:val="1"/>
                <w:color w:val="auto"/>
              </w:rPr>
              <w:t>20,461</w:t>
            </w:r>
          </w:p>
        </w:tc>
        <w:tc>
          <w:tcPr>
            <w:tcW w:w="30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80"/>
              <w:spacing w:after="0"/>
              <w:rPr>
                <w:sz w:val="20"/>
                <w:szCs w:val="20"/>
                <w:color w:val="auto"/>
              </w:rPr>
            </w:pPr>
            <w:r>
              <w:rPr>
                <w:rFonts w:ascii="Arial" w:cs="Arial" w:eastAsia="Arial" w:hAnsi="Arial"/>
                <w:sz w:val="16"/>
                <w:szCs w:val="16"/>
                <w:color w:val="auto"/>
              </w:rPr>
              <w:t>26,294</w:t>
            </w:r>
          </w:p>
        </w:tc>
        <w:tc>
          <w:tcPr>
            <w:tcW w:w="3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27,792</w:t>
            </w:r>
          </w:p>
        </w:tc>
      </w:tr>
      <w:tr>
        <w:trPr>
          <w:trHeight w:val="270"/>
        </w:trPr>
        <w:tc>
          <w:tcPr>
            <w:tcW w:w="7780" w:type="dxa"/>
            <w:vAlign w:val="bottom"/>
          </w:tcPr>
          <w:p>
            <w:pPr>
              <w:ind w:left="40"/>
              <w:spacing w:after="0"/>
              <w:rPr>
                <w:sz w:val="20"/>
                <w:szCs w:val="20"/>
                <w:color w:val="auto"/>
              </w:rPr>
            </w:pPr>
            <w:r>
              <w:rPr>
                <w:rFonts w:ascii="Arial" w:cs="Arial" w:eastAsia="Arial" w:hAnsi="Arial"/>
                <w:sz w:val="16"/>
                <w:szCs w:val="16"/>
                <w:color w:val="auto"/>
              </w:rPr>
              <w:t>Interest cost</w:t>
            </w:r>
          </w:p>
        </w:tc>
        <w:tc>
          <w:tcPr>
            <w:tcW w:w="260" w:type="dxa"/>
            <w:vAlign w:val="bottom"/>
          </w:tcPr>
          <w:p>
            <w:pPr>
              <w:spacing w:after="0"/>
              <w:rPr>
                <w:sz w:val="23"/>
                <w:szCs w:val="23"/>
                <w:color w:val="auto"/>
              </w:rPr>
            </w:pPr>
          </w:p>
        </w:tc>
        <w:tc>
          <w:tcPr>
            <w:tcW w:w="940" w:type="dxa"/>
            <w:vAlign w:val="bottom"/>
          </w:tcPr>
          <w:p>
            <w:pPr>
              <w:jc w:val="right"/>
              <w:ind w:right="80"/>
              <w:spacing w:after="0"/>
              <w:rPr>
                <w:sz w:val="20"/>
                <w:szCs w:val="20"/>
                <w:color w:val="auto"/>
              </w:rPr>
            </w:pPr>
            <w:r>
              <w:rPr>
                <w:rFonts w:ascii="Arial" w:cs="Arial" w:eastAsia="Arial" w:hAnsi="Arial"/>
                <w:sz w:val="16"/>
                <w:szCs w:val="16"/>
                <w:b w:val="1"/>
                <w:bCs w:val="1"/>
                <w:color w:val="auto"/>
              </w:rPr>
              <w:t>51,608</w:t>
            </w:r>
          </w:p>
        </w:tc>
        <w:tc>
          <w:tcPr>
            <w:tcW w:w="300" w:type="dxa"/>
            <w:vAlign w:val="bottom"/>
          </w:tcPr>
          <w:p>
            <w:pPr>
              <w:spacing w:after="0"/>
              <w:rPr>
                <w:sz w:val="23"/>
                <w:szCs w:val="23"/>
                <w:color w:val="auto"/>
              </w:rPr>
            </w:pPr>
          </w:p>
        </w:tc>
        <w:tc>
          <w:tcPr>
            <w:tcW w:w="940" w:type="dxa"/>
            <w:vAlign w:val="bottom"/>
          </w:tcPr>
          <w:p>
            <w:pPr>
              <w:jc w:val="right"/>
              <w:ind w:right="80"/>
              <w:spacing w:after="0"/>
              <w:rPr>
                <w:sz w:val="20"/>
                <w:szCs w:val="20"/>
                <w:color w:val="auto"/>
              </w:rPr>
            </w:pPr>
            <w:r>
              <w:rPr>
                <w:rFonts w:ascii="Arial" w:cs="Arial" w:eastAsia="Arial" w:hAnsi="Arial"/>
                <w:sz w:val="16"/>
                <w:szCs w:val="16"/>
                <w:color w:val="auto"/>
              </w:rPr>
              <w:t>52,613</w:t>
            </w:r>
          </w:p>
        </w:tc>
        <w:tc>
          <w:tcPr>
            <w:tcW w:w="360" w:type="dxa"/>
            <w:vAlign w:val="bottom"/>
          </w:tcPr>
          <w:p>
            <w:pPr>
              <w:spacing w:after="0"/>
              <w:rPr>
                <w:sz w:val="23"/>
                <w:szCs w:val="23"/>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51,825</w:t>
            </w:r>
          </w:p>
        </w:tc>
      </w:tr>
      <w:tr>
        <w:trPr>
          <w:trHeight w:val="270"/>
        </w:trPr>
        <w:tc>
          <w:tcPr>
            <w:tcW w:w="7780" w:type="dxa"/>
            <w:vAlign w:val="bottom"/>
          </w:tcPr>
          <w:p>
            <w:pPr>
              <w:ind w:left="40"/>
              <w:spacing w:after="0"/>
              <w:rPr>
                <w:sz w:val="20"/>
                <w:szCs w:val="20"/>
                <w:color w:val="auto"/>
              </w:rPr>
            </w:pPr>
            <w:r>
              <w:rPr>
                <w:rFonts w:ascii="Arial" w:cs="Arial" w:eastAsia="Arial" w:hAnsi="Arial"/>
                <w:sz w:val="16"/>
                <w:szCs w:val="16"/>
                <w:color w:val="auto"/>
              </w:rPr>
              <w:t>Expected return on assets</w:t>
            </w:r>
          </w:p>
        </w:tc>
        <w:tc>
          <w:tcPr>
            <w:tcW w:w="260" w:type="dxa"/>
            <w:vAlign w:val="bottom"/>
          </w:tcPr>
          <w:p>
            <w:pPr>
              <w:spacing w:after="0"/>
              <w:rPr>
                <w:sz w:val="23"/>
                <w:szCs w:val="23"/>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b w:val="1"/>
                <w:bCs w:val="1"/>
                <w:color w:val="auto"/>
              </w:rPr>
              <w:t>(121,470)</w:t>
            </w:r>
          </w:p>
        </w:tc>
        <w:tc>
          <w:tcPr>
            <w:tcW w:w="300" w:type="dxa"/>
            <w:vAlign w:val="bottom"/>
          </w:tcPr>
          <w:p>
            <w:pPr>
              <w:spacing w:after="0"/>
              <w:rPr>
                <w:sz w:val="23"/>
                <w:szCs w:val="23"/>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(130,571)</w:t>
            </w:r>
          </w:p>
        </w:tc>
        <w:tc>
          <w:tcPr>
            <w:tcW w:w="3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(120,472)</w:t>
            </w:r>
          </w:p>
        </w:tc>
      </w:tr>
      <w:tr>
        <w:trPr>
          <w:trHeight w:val="270"/>
        </w:trPr>
        <w:tc>
          <w:tcPr>
            <w:tcW w:w="7780" w:type="dxa"/>
            <w:vAlign w:val="bottom"/>
          </w:tcPr>
          <w:p>
            <w:pPr>
              <w:ind w:left="40"/>
              <w:spacing w:after="0"/>
              <w:rPr>
                <w:sz w:val="20"/>
                <w:szCs w:val="20"/>
                <w:color w:val="auto"/>
              </w:rPr>
            </w:pPr>
            <w:r>
              <w:rPr>
                <w:rFonts w:ascii="Arial" w:cs="Arial" w:eastAsia="Arial" w:hAnsi="Arial"/>
                <w:sz w:val="16"/>
                <w:szCs w:val="16"/>
                <w:color w:val="auto"/>
              </w:rPr>
              <w:t>Amortization of prior service cost</w:t>
            </w:r>
          </w:p>
        </w:tc>
        <w:tc>
          <w:tcPr>
            <w:tcW w:w="260" w:type="dxa"/>
            <w:vAlign w:val="bottom"/>
          </w:tcPr>
          <w:p>
            <w:pPr>
              <w:spacing w:after="0"/>
              <w:rPr>
                <w:sz w:val="23"/>
                <w:szCs w:val="23"/>
                <w:color w:val="auto"/>
              </w:rPr>
            </w:pPr>
          </w:p>
        </w:tc>
        <w:tc>
          <w:tcPr>
            <w:tcW w:w="940" w:type="dxa"/>
            <w:vAlign w:val="bottom"/>
          </w:tcPr>
          <w:p>
            <w:pPr>
              <w:jc w:val="right"/>
              <w:ind w:right="80"/>
              <w:spacing w:after="0"/>
              <w:rPr>
                <w:sz w:val="20"/>
                <w:szCs w:val="20"/>
                <w:color w:val="auto"/>
              </w:rPr>
            </w:pPr>
            <w:r>
              <w:rPr>
                <w:rFonts w:ascii="Arial" w:cs="Arial" w:eastAsia="Arial" w:hAnsi="Arial"/>
                <w:sz w:val="16"/>
                <w:szCs w:val="16"/>
                <w:b w:val="1"/>
                <w:bCs w:val="1"/>
                <w:color w:val="auto"/>
              </w:rPr>
              <w:t>297</w:t>
            </w:r>
          </w:p>
        </w:tc>
        <w:tc>
          <w:tcPr>
            <w:tcW w:w="300" w:type="dxa"/>
            <w:vAlign w:val="bottom"/>
          </w:tcPr>
          <w:p>
            <w:pPr>
              <w:spacing w:after="0"/>
              <w:rPr>
                <w:sz w:val="23"/>
                <w:szCs w:val="23"/>
                <w:color w:val="auto"/>
              </w:rPr>
            </w:pPr>
          </w:p>
        </w:tc>
        <w:tc>
          <w:tcPr>
            <w:tcW w:w="940" w:type="dxa"/>
            <w:vAlign w:val="bottom"/>
          </w:tcPr>
          <w:p>
            <w:pPr>
              <w:jc w:val="right"/>
              <w:ind w:right="80"/>
              <w:spacing w:after="0"/>
              <w:rPr>
                <w:sz w:val="20"/>
                <w:szCs w:val="20"/>
                <w:color w:val="auto"/>
              </w:rPr>
            </w:pPr>
            <w:r>
              <w:rPr>
                <w:rFonts w:ascii="Arial" w:cs="Arial" w:eastAsia="Arial" w:hAnsi="Arial"/>
                <w:sz w:val="16"/>
                <w:szCs w:val="16"/>
                <w:color w:val="auto"/>
              </w:rPr>
              <w:t>320</w:t>
            </w:r>
          </w:p>
        </w:tc>
        <w:tc>
          <w:tcPr>
            <w:tcW w:w="360" w:type="dxa"/>
            <w:vAlign w:val="bottom"/>
          </w:tcPr>
          <w:p>
            <w:pPr>
              <w:spacing w:after="0"/>
              <w:rPr>
                <w:sz w:val="23"/>
                <w:szCs w:val="23"/>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329</w:t>
            </w:r>
          </w:p>
        </w:tc>
      </w:tr>
      <w:tr>
        <w:trPr>
          <w:trHeight w:val="274"/>
        </w:trPr>
        <w:tc>
          <w:tcPr>
            <w:tcW w:w="7780" w:type="dxa"/>
            <w:vAlign w:val="bottom"/>
          </w:tcPr>
          <w:p>
            <w:pPr>
              <w:ind w:left="40"/>
              <w:spacing w:after="0"/>
              <w:rPr>
                <w:sz w:val="20"/>
                <w:szCs w:val="20"/>
                <w:color w:val="auto"/>
              </w:rPr>
            </w:pPr>
            <w:r>
              <w:rPr>
                <w:rFonts w:ascii="Arial" w:cs="Arial" w:eastAsia="Arial" w:hAnsi="Arial"/>
                <w:sz w:val="16"/>
                <w:szCs w:val="16"/>
                <w:color w:val="auto"/>
              </w:rPr>
              <w:t>Recognized actuarial gain</w:t>
            </w:r>
          </w:p>
        </w:tc>
        <w:tc>
          <w:tcPr>
            <w:tcW w:w="26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w:t>
            </w:r>
          </w:p>
        </w:tc>
        <w:tc>
          <w:tcPr>
            <w:tcW w:w="30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(11,925)</w:t>
            </w:r>
          </w:p>
        </w:tc>
        <w:tc>
          <w:tcPr>
            <w:tcW w:w="36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(28,880)</w:t>
            </w:r>
          </w:p>
        </w:tc>
      </w:tr>
      <w:tr>
        <w:trPr>
          <w:trHeight w:val="260"/>
        </w:trPr>
        <w:tc>
          <w:tcPr>
            <w:tcW w:w="7780" w:type="dxa"/>
            <w:vAlign w:val="bottom"/>
          </w:tcPr>
          <w:p>
            <w:pPr>
              <w:ind w:left="40"/>
              <w:spacing w:after="0"/>
              <w:rPr>
                <w:sz w:val="20"/>
                <w:szCs w:val="20"/>
                <w:color w:val="auto"/>
              </w:rPr>
            </w:pPr>
            <w:r>
              <w:rPr>
                <w:rFonts w:ascii="Arial" w:cs="Arial" w:eastAsia="Arial" w:hAnsi="Arial"/>
                <w:sz w:val="16"/>
                <w:szCs w:val="16"/>
                <w:b w:val="1"/>
                <w:bCs w:val="1"/>
                <w:color w:val="auto"/>
              </w:rPr>
              <w:t>Net Periodic Benefit for the Year</w:t>
            </w:r>
          </w:p>
        </w:tc>
        <w:tc>
          <w:tcPr>
            <w:tcW w:w="260" w:type="dxa"/>
            <w:vAlign w:val="bottom"/>
          </w:tcPr>
          <w:p>
            <w:pPr>
              <w:spacing w:after="0"/>
              <w:rPr>
                <w:sz w:val="22"/>
                <w:szCs w:val="22"/>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b w:val="1"/>
                <w:bCs w:val="1"/>
                <w:color w:val="auto"/>
              </w:rPr>
              <w:t>(49,104)</w:t>
            </w:r>
          </w:p>
        </w:tc>
        <w:tc>
          <w:tcPr>
            <w:tcW w:w="300" w:type="dxa"/>
            <w:vAlign w:val="bottom"/>
          </w:tcPr>
          <w:p>
            <w:pPr>
              <w:spacing w:after="0"/>
              <w:rPr>
                <w:sz w:val="22"/>
                <w:szCs w:val="22"/>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(63,269)</w:t>
            </w:r>
          </w:p>
        </w:tc>
        <w:tc>
          <w:tcPr>
            <w:tcW w:w="3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(69,406)</w:t>
            </w:r>
          </w:p>
        </w:tc>
      </w:tr>
      <w:tr>
        <w:trPr>
          <w:trHeight w:val="270"/>
        </w:trPr>
        <w:tc>
          <w:tcPr>
            <w:tcW w:w="7780" w:type="dxa"/>
            <w:vAlign w:val="bottom"/>
          </w:tcPr>
          <w:p>
            <w:pPr>
              <w:ind w:left="40"/>
              <w:spacing w:after="0"/>
              <w:rPr>
                <w:sz w:val="20"/>
                <w:szCs w:val="20"/>
                <w:color w:val="auto"/>
              </w:rPr>
            </w:pPr>
            <w:r>
              <w:rPr>
                <w:rFonts w:ascii="Arial" w:cs="Arial" w:eastAsia="Arial" w:hAnsi="Arial"/>
                <w:sz w:val="16"/>
                <w:szCs w:val="16"/>
                <w:color w:val="auto"/>
              </w:rPr>
              <w:t>Curtailment</w:t>
            </w:r>
          </w:p>
        </w:tc>
        <w:tc>
          <w:tcPr>
            <w:tcW w:w="260" w:type="dxa"/>
            <w:vAlign w:val="bottom"/>
          </w:tcPr>
          <w:p>
            <w:pPr>
              <w:spacing w:after="0"/>
              <w:rPr>
                <w:sz w:val="23"/>
                <w:szCs w:val="23"/>
                <w:color w:val="auto"/>
              </w:rPr>
            </w:pPr>
          </w:p>
        </w:tc>
        <w:tc>
          <w:tcPr>
            <w:tcW w:w="940" w:type="dxa"/>
            <w:vAlign w:val="bottom"/>
          </w:tcPr>
          <w:p>
            <w:pPr>
              <w:jc w:val="right"/>
              <w:ind w:right="80"/>
              <w:spacing w:after="0"/>
              <w:rPr>
                <w:sz w:val="20"/>
                <w:szCs w:val="20"/>
                <w:color w:val="auto"/>
              </w:rPr>
            </w:pPr>
            <w:r>
              <w:rPr>
                <w:rFonts w:ascii="Arial" w:cs="Arial" w:eastAsia="Arial" w:hAnsi="Arial"/>
                <w:sz w:val="16"/>
                <w:szCs w:val="16"/>
                <w:b w:val="1"/>
                <w:bCs w:val="1"/>
                <w:color w:val="auto"/>
              </w:rPr>
              <w:t>—</w:t>
            </w:r>
          </w:p>
        </w:tc>
        <w:tc>
          <w:tcPr>
            <w:tcW w:w="300" w:type="dxa"/>
            <w:vAlign w:val="bottom"/>
          </w:tcPr>
          <w:p>
            <w:pPr>
              <w:spacing w:after="0"/>
              <w:rPr>
                <w:sz w:val="23"/>
                <w:szCs w:val="23"/>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(3,267)</w:t>
            </w:r>
          </w:p>
        </w:tc>
        <w:tc>
          <w:tcPr>
            <w:tcW w:w="360" w:type="dxa"/>
            <w:vAlign w:val="bottom"/>
          </w:tcPr>
          <w:p>
            <w:pPr>
              <w:spacing w:after="0"/>
              <w:rPr>
                <w:sz w:val="23"/>
                <w:szCs w:val="23"/>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70"/>
        </w:trPr>
        <w:tc>
          <w:tcPr>
            <w:tcW w:w="7780" w:type="dxa"/>
            <w:vAlign w:val="bottom"/>
          </w:tcPr>
          <w:p>
            <w:pPr>
              <w:ind w:left="40"/>
              <w:spacing w:after="0"/>
              <w:rPr>
                <w:sz w:val="20"/>
                <w:szCs w:val="20"/>
                <w:color w:val="auto"/>
              </w:rPr>
            </w:pPr>
            <w:r>
              <w:rPr>
                <w:rFonts w:ascii="Arial" w:cs="Arial" w:eastAsia="Arial" w:hAnsi="Arial"/>
                <w:sz w:val="16"/>
                <w:szCs w:val="16"/>
                <w:color w:val="auto"/>
              </w:rPr>
              <w:t>Settlement</w:t>
            </w:r>
          </w:p>
        </w:tc>
        <w:tc>
          <w:tcPr>
            <w:tcW w:w="260" w:type="dxa"/>
            <w:vAlign w:val="bottom"/>
          </w:tcPr>
          <w:p>
            <w:pPr>
              <w:spacing w:after="0"/>
              <w:rPr>
                <w:sz w:val="23"/>
                <w:szCs w:val="23"/>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b w:val="1"/>
                <w:bCs w:val="1"/>
                <w:color w:val="auto"/>
              </w:rPr>
              <w:t>(17,993)</w:t>
            </w:r>
          </w:p>
        </w:tc>
        <w:tc>
          <w:tcPr>
            <w:tcW w:w="300" w:type="dxa"/>
            <w:vAlign w:val="bottom"/>
          </w:tcPr>
          <w:p>
            <w:pPr>
              <w:spacing w:after="0"/>
              <w:rPr>
                <w:sz w:val="23"/>
                <w:szCs w:val="23"/>
                <w:color w:val="auto"/>
              </w:rPr>
            </w:pPr>
          </w:p>
        </w:tc>
        <w:tc>
          <w:tcPr>
            <w:tcW w:w="94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3"/>
                <w:szCs w:val="23"/>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74"/>
        </w:trPr>
        <w:tc>
          <w:tcPr>
            <w:tcW w:w="7780" w:type="dxa"/>
            <w:vAlign w:val="bottom"/>
          </w:tcPr>
          <w:p>
            <w:pPr>
              <w:ind w:left="40"/>
              <w:spacing w:after="0"/>
              <w:rPr>
                <w:sz w:val="20"/>
                <w:szCs w:val="20"/>
                <w:color w:val="auto"/>
              </w:rPr>
            </w:pPr>
            <w:r>
              <w:rPr>
                <w:rFonts w:ascii="Arial" w:cs="Arial" w:eastAsia="Arial" w:hAnsi="Arial"/>
                <w:sz w:val="16"/>
                <w:szCs w:val="16"/>
                <w:color w:val="auto"/>
              </w:rPr>
              <w:t>Early retirement programs and special separation benefit expense</w:t>
            </w:r>
          </w:p>
        </w:tc>
        <w:tc>
          <w:tcPr>
            <w:tcW w:w="26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w:t>
            </w:r>
          </w:p>
        </w:tc>
        <w:tc>
          <w:tcPr>
            <w:tcW w:w="30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4,606</w:t>
            </w:r>
          </w:p>
        </w:tc>
        <w:tc>
          <w:tcPr>
            <w:tcW w:w="36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8,374</w:t>
            </w:r>
          </w:p>
        </w:tc>
      </w:tr>
      <w:tr>
        <w:trPr>
          <w:trHeight w:val="261"/>
        </w:trPr>
        <w:tc>
          <w:tcPr>
            <w:tcW w:w="7780" w:type="dxa"/>
            <w:vAlign w:val="bottom"/>
          </w:tcPr>
          <w:p>
            <w:pPr>
              <w:ind w:left="40"/>
              <w:spacing w:after="0"/>
              <w:rPr>
                <w:sz w:val="20"/>
                <w:szCs w:val="20"/>
                <w:color w:val="auto"/>
              </w:rPr>
            </w:pPr>
            <w:r>
              <w:rPr>
                <w:rFonts w:ascii="Arial" w:cs="Arial" w:eastAsia="Arial" w:hAnsi="Arial"/>
                <w:sz w:val="16"/>
                <w:szCs w:val="16"/>
                <w:b w:val="1"/>
                <w:bCs w:val="1"/>
                <w:color w:val="auto"/>
              </w:rPr>
              <w:t>Total Benefit for the Year</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(67,097)</w:t>
            </w:r>
          </w:p>
        </w:tc>
        <w:tc>
          <w:tcPr>
            <w:tcW w:w="3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(61,930)</w:t>
            </w:r>
          </w:p>
        </w:tc>
        <w:tc>
          <w:tcPr>
            <w:tcW w:w="3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(61,032)</w:t>
            </w:r>
          </w:p>
        </w:tc>
      </w:tr>
      <w:tr>
        <w:trPr>
          <w:trHeight w:val="263"/>
        </w:trPr>
        <w:tc>
          <w:tcPr>
            <w:tcW w:w="7780" w:type="dxa"/>
            <w:vAlign w:val="bottom"/>
          </w:tcPr>
          <w:p>
            <w:pPr>
              <w:ind w:left="40"/>
              <w:spacing w:after="0"/>
              <w:rPr>
                <w:sz w:val="20"/>
                <w:szCs w:val="20"/>
                <w:color w:val="auto"/>
              </w:rPr>
            </w:pPr>
            <w:r>
              <w:rPr>
                <w:rFonts w:ascii="Arial" w:cs="Arial" w:eastAsia="Arial" w:hAnsi="Arial"/>
                <w:sz w:val="16"/>
                <w:szCs w:val="16"/>
                <w:b w:val="1"/>
                <w:bCs w:val="1"/>
                <w:color w:val="auto"/>
              </w:rPr>
              <w:t>Other Changes in Plan Assets and Benefit Obligations Recognized in Other Comprehensive Income</w:t>
            </w:r>
          </w:p>
        </w:tc>
        <w:tc>
          <w:tcPr>
            <w:tcW w:w="2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40" w:type="dxa"/>
            <w:vAlign w:val="bottom"/>
          </w:tcPr>
          <w:p>
            <w:pPr>
              <w:spacing w:after="0"/>
              <w:rPr>
                <w:sz w:val="22"/>
                <w:szCs w:val="22"/>
                <w:color w:val="auto"/>
              </w:rPr>
            </w:pPr>
          </w:p>
        </w:tc>
      </w:tr>
      <w:tr>
        <w:trPr>
          <w:trHeight w:val="270"/>
        </w:trPr>
        <w:tc>
          <w:tcPr>
            <w:tcW w:w="7780" w:type="dxa"/>
            <w:vAlign w:val="bottom"/>
          </w:tcPr>
          <w:p>
            <w:pPr>
              <w:ind w:left="40"/>
              <w:spacing w:after="0"/>
              <w:rPr>
                <w:sz w:val="20"/>
                <w:szCs w:val="20"/>
                <w:color w:val="auto"/>
              </w:rPr>
            </w:pPr>
            <w:r>
              <w:rPr>
                <w:rFonts w:ascii="Arial" w:cs="Arial" w:eastAsia="Arial" w:hAnsi="Arial"/>
                <w:sz w:val="16"/>
                <w:szCs w:val="16"/>
                <w:color w:val="auto"/>
              </w:rPr>
              <w:t>Current year actuarial loss</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80"/>
              <w:spacing w:after="0"/>
              <w:rPr>
                <w:sz w:val="20"/>
                <w:szCs w:val="20"/>
                <w:color w:val="auto"/>
              </w:rPr>
            </w:pPr>
            <w:r>
              <w:rPr>
                <w:rFonts w:ascii="Arial" w:cs="Arial" w:eastAsia="Arial" w:hAnsi="Arial"/>
                <w:sz w:val="16"/>
                <w:szCs w:val="16"/>
                <w:b w:val="1"/>
                <w:bCs w:val="1"/>
                <w:color w:val="auto"/>
              </w:rPr>
              <w:t>147,779</w:t>
            </w:r>
          </w:p>
        </w:tc>
        <w:tc>
          <w:tcPr>
            <w:tcW w:w="30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80"/>
              <w:spacing w:after="0"/>
              <w:rPr>
                <w:sz w:val="20"/>
                <w:szCs w:val="20"/>
                <w:color w:val="auto"/>
              </w:rPr>
            </w:pPr>
            <w:r>
              <w:rPr>
                <w:rFonts w:ascii="Arial" w:cs="Arial" w:eastAsia="Arial" w:hAnsi="Arial"/>
                <w:sz w:val="16"/>
                <w:szCs w:val="16"/>
                <w:color w:val="auto"/>
              </w:rPr>
              <w:t>222,894</w:t>
            </w:r>
          </w:p>
        </w:tc>
        <w:tc>
          <w:tcPr>
            <w:tcW w:w="3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125,866</w:t>
            </w:r>
          </w:p>
        </w:tc>
      </w:tr>
      <w:tr>
        <w:trPr>
          <w:trHeight w:val="270"/>
        </w:trPr>
        <w:tc>
          <w:tcPr>
            <w:tcW w:w="7780" w:type="dxa"/>
            <w:vAlign w:val="bottom"/>
          </w:tcPr>
          <w:p>
            <w:pPr>
              <w:ind w:left="40"/>
              <w:spacing w:after="0"/>
              <w:rPr>
                <w:sz w:val="20"/>
                <w:szCs w:val="20"/>
                <w:color w:val="auto"/>
              </w:rPr>
            </w:pPr>
            <w:r>
              <w:rPr>
                <w:rFonts w:ascii="Arial" w:cs="Arial" w:eastAsia="Arial" w:hAnsi="Arial"/>
                <w:sz w:val="16"/>
                <w:szCs w:val="16"/>
                <w:color w:val="auto"/>
              </w:rPr>
              <w:t>Amortization of prior service cost</w:t>
            </w:r>
          </w:p>
        </w:tc>
        <w:tc>
          <w:tcPr>
            <w:tcW w:w="260" w:type="dxa"/>
            <w:vAlign w:val="bottom"/>
          </w:tcPr>
          <w:p>
            <w:pPr>
              <w:spacing w:after="0"/>
              <w:rPr>
                <w:sz w:val="23"/>
                <w:szCs w:val="23"/>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b w:val="1"/>
                <w:bCs w:val="1"/>
                <w:color w:val="auto"/>
              </w:rPr>
              <w:t>(297)</w:t>
            </w:r>
          </w:p>
        </w:tc>
        <w:tc>
          <w:tcPr>
            <w:tcW w:w="300" w:type="dxa"/>
            <w:vAlign w:val="bottom"/>
          </w:tcPr>
          <w:p>
            <w:pPr>
              <w:spacing w:after="0"/>
              <w:rPr>
                <w:sz w:val="23"/>
                <w:szCs w:val="23"/>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(320)</w:t>
            </w:r>
          </w:p>
        </w:tc>
        <w:tc>
          <w:tcPr>
            <w:tcW w:w="3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(329)</w:t>
            </w:r>
          </w:p>
        </w:tc>
      </w:tr>
      <w:tr>
        <w:trPr>
          <w:trHeight w:val="270"/>
        </w:trPr>
        <w:tc>
          <w:tcPr>
            <w:tcW w:w="7780" w:type="dxa"/>
            <w:vAlign w:val="bottom"/>
          </w:tcPr>
          <w:p>
            <w:pPr>
              <w:ind w:left="40"/>
              <w:spacing w:after="0"/>
              <w:rPr>
                <w:sz w:val="20"/>
                <w:szCs w:val="20"/>
                <w:color w:val="auto"/>
              </w:rPr>
            </w:pPr>
            <w:r>
              <w:rPr>
                <w:rFonts w:ascii="Arial" w:cs="Arial" w:eastAsia="Arial" w:hAnsi="Arial"/>
                <w:sz w:val="16"/>
                <w:szCs w:val="16"/>
                <w:color w:val="auto"/>
              </w:rPr>
              <w:t>Recognized net actuarial gain</w:t>
            </w:r>
          </w:p>
        </w:tc>
        <w:tc>
          <w:tcPr>
            <w:tcW w:w="260" w:type="dxa"/>
            <w:vAlign w:val="bottom"/>
          </w:tcPr>
          <w:p>
            <w:pPr>
              <w:spacing w:after="0"/>
              <w:rPr>
                <w:sz w:val="23"/>
                <w:szCs w:val="23"/>
                <w:color w:val="auto"/>
              </w:rPr>
            </w:pPr>
          </w:p>
        </w:tc>
        <w:tc>
          <w:tcPr>
            <w:tcW w:w="940" w:type="dxa"/>
            <w:vAlign w:val="bottom"/>
          </w:tcPr>
          <w:p>
            <w:pPr>
              <w:jc w:val="right"/>
              <w:ind w:right="80"/>
              <w:spacing w:after="0"/>
              <w:rPr>
                <w:sz w:val="20"/>
                <w:szCs w:val="20"/>
                <w:color w:val="auto"/>
              </w:rPr>
            </w:pPr>
            <w:r>
              <w:rPr>
                <w:rFonts w:ascii="Arial" w:cs="Arial" w:eastAsia="Arial" w:hAnsi="Arial"/>
                <w:sz w:val="16"/>
                <w:szCs w:val="16"/>
                <w:b w:val="1"/>
                <w:bCs w:val="1"/>
                <w:color w:val="auto"/>
              </w:rPr>
              <w:t>—</w:t>
            </w:r>
          </w:p>
        </w:tc>
        <w:tc>
          <w:tcPr>
            <w:tcW w:w="300" w:type="dxa"/>
            <w:vAlign w:val="bottom"/>
          </w:tcPr>
          <w:p>
            <w:pPr>
              <w:spacing w:after="0"/>
              <w:rPr>
                <w:sz w:val="23"/>
                <w:szCs w:val="23"/>
                <w:color w:val="auto"/>
              </w:rPr>
            </w:pPr>
          </w:p>
        </w:tc>
        <w:tc>
          <w:tcPr>
            <w:tcW w:w="940" w:type="dxa"/>
            <w:vAlign w:val="bottom"/>
          </w:tcPr>
          <w:p>
            <w:pPr>
              <w:jc w:val="right"/>
              <w:ind w:right="80"/>
              <w:spacing w:after="0"/>
              <w:rPr>
                <w:sz w:val="20"/>
                <w:szCs w:val="20"/>
                <w:color w:val="auto"/>
              </w:rPr>
            </w:pPr>
            <w:r>
              <w:rPr>
                <w:rFonts w:ascii="Arial" w:cs="Arial" w:eastAsia="Arial" w:hAnsi="Arial"/>
                <w:sz w:val="16"/>
                <w:szCs w:val="16"/>
                <w:color w:val="auto"/>
              </w:rPr>
              <w:t>11,925</w:t>
            </w:r>
          </w:p>
        </w:tc>
        <w:tc>
          <w:tcPr>
            <w:tcW w:w="360" w:type="dxa"/>
            <w:vAlign w:val="bottom"/>
          </w:tcPr>
          <w:p>
            <w:pPr>
              <w:spacing w:after="0"/>
              <w:rPr>
                <w:sz w:val="23"/>
                <w:szCs w:val="23"/>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28,880</w:t>
            </w:r>
          </w:p>
        </w:tc>
      </w:tr>
      <w:tr>
        <w:trPr>
          <w:trHeight w:val="274"/>
        </w:trPr>
        <w:tc>
          <w:tcPr>
            <w:tcW w:w="7780" w:type="dxa"/>
            <w:vAlign w:val="bottom"/>
          </w:tcPr>
          <w:p>
            <w:pPr>
              <w:ind w:left="40"/>
              <w:spacing w:after="0"/>
              <w:rPr>
                <w:sz w:val="20"/>
                <w:szCs w:val="20"/>
                <w:color w:val="auto"/>
              </w:rPr>
            </w:pPr>
            <w:r>
              <w:rPr>
                <w:rFonts w:ascii="Arial" w:cs="Arial" w:eastAsia="Arial" w:hAnsi="Arial"/>
                <w:sz w:val="16"/>
                <w:szCs w:val="16"/>
                <w:color w:val="auto"/>
              </w:rPr>
              <w:t>Curtailment and settlement</w:t>
            </w:r>
          </w:p>
        </w:tc>
        <w:tc>
          <w:tcPr>
            <w:tcW w:w="26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17,993</w:t>
            </w:r>
          </w:p>
        </w:tc>
        <w:tc>
          <w:tcPr>
            <w:tcW w:w="30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(51)</w:t>
            </w:r>
          </w:p>
        </w:tc>
        <w:tc>
          <w:tcPr>
            <w:tcW w:w="36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(368)</w:t>
            </w:r>
          </w:p>
        </w:tc>
      </w:tr>
      <w:tr>
        <w:trPr>
          <w:trHeight w:val="264"/>
        </w:trPr>
        <w:tc>
          <w:tcPr>
            <w:tcW w:w="7780" w:type="dxa"/>
            <w:vAlign w:val="bottom"/>
          </w:tcPr>
          <w:p>
            <w:pPr>
              <w:ind w:left="40"/>
              <w:spacing w:after="0"/>
              <w:rPr>
                <w:sz w:val="20"/>
                <w:szCs w:val="20"/>
                <w:color w:val="auto"/>
              </w:rPr>
            </w:pPr>
            <w:r>
              <w:rPr>
                <w:rFonts w:ascii="Arial" w:cs="Arial" w:eastAsia="Arial" w:hAnsi="Arial"/>
                <w:sz w:val="16"/>
                <w:szCs w:val="16"/>
                <w:b w:val="1"/>
                <w:bCs w:val="1"/>
                <w:color w:val="auto"/>
              </w:rPr>
              <w:t>Total Recognized in Other Comprehensive Income (Before Tax Effects)</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165,475</w:t>
            </w:r>
          </w:p>
        </w:tc>
        <w:tc>
          <w:tcPr>
            <w:tcW w:w="3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234,448</w:t>
            </w:r>
          </w:p>
        </w:tc>
        <w:tc>
          <w:tcPr>
            <w:tcW w:w="3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154,049</w:t>
            </w:r>
          </w:p>
        </w:tc>
      </w:tr>
      <w:tr>
        <w:trPr>
          <w:trHeight w:val="267"/>
        </w:trPr>
        <w:tc>
          <w:tcPr>
            <w:tcW w:w="7780" w:type="dxa"/>
            <w:vAlign w:val="bottom"/>
          </w:tcPr>
          <w:p>
            <w:pPr>
              <w:ind w:left="40"/>
              <w:spacing w:after="0"/>
              <w:rPr>
                <w:sz w:val="20"/>
                <w:szCs w:val="20"/>
                <w:color w:val="auto"/>
              </w:rPr>
            </w:pPr>
            <w:r>
              <w:rPr>
                <w:rFonts w:ascii="Arial" w:cs="Arial" w:eastAsia="Arial" w:hAnsi="Arial"/>
                <w:sz w:val="16"/>
                <w:szCs w:val="16"/>
                <w:b w:val="1"/>
                <w:bCs w:val="1"/>
                <w:color w:val="auto"/>
              </w:rPr>
              <w:t>Total Recognized in Total Benefit and Other Comprehensive Income (Before Tax Effects)</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98,378</w:t>
            </w:r>
          </w:p>
        </w:tc>
        <w:tc>
          <w:tcPr>
            <w:tcW w:w="3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172,518</w:t>
            </w:r>
          </w:p>
        </w:tc>
        <w:tc>
          <w:tcPr>
            <w:tcW w:w="3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93,017</w:t>
            </w:r>
          </w:p>
        </w:tc>
      </w:tr>
      <w:tr>
        <w:trPr>
          <w:trHeight w:val="20"/>
        </w:trPr>
        <w:tc>
          <w:tcPr>
            <w:tcW w:w="77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385"/>
        </w:trPr>
        <w:tc>
          <w:tcPr>
            <w:tcW w:w="77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center"/>
              <w:ind w:right="200"/>
              <w:spacing w:after="0"/>
              <w:rPr>
                <w:sz w:val="20"/>
                <w:szCs w:val="20"/>
                <w:color w:val="auto"/>
              </w:rPr>
            </w:pPr>
            <w:r>
              <w:rPr>
                <w:rFonts w:ascii="Arial" w:cs="Arial" w:eastAsia="Arial" w:hAnsi="Arial"/>
                <w:sz w:val="14"/>
                <w:szCs w:val="14"/>
                <w:b w:val="1"/>
                <w:bCs w:val="1"/>
                <w:color w:val="auto"/>
                <w:w w:val="99"/>
              </w:rPr>
              <w:t>SERP</w:t>
            </w:r>
          </w:p>
        </w:tc>
        <w:tc>
          <w:tcPr>
            <w:tcW w:w="3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r>
      <w:tr>
        <w:trPr>
          <w:trHeight w:val="250"/>
        </w:trPr>
        <w:tc>
          <w:tcPr>
            <w:tcW w:w="778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2540" w:type="dxa"/>
            <w:vAlign w:val="bottom"/>
            <w:tcBorders>
              <w:bottom w:val="single" w:sz="8" w:color="auto"/>
            </w:tcBorders>
            <w:gridSpan w:val="4"/>
          </w:tcPr>
          <w:p>
            <w:pPr>
              <w:jc w:val="center"/>
              <w:ind w:left="540"/>
              <w:spacing w:after="0"/>
              <w:rPr>
                <w:sz w:val="20"/>
                <w:szCs w:val="20"/>
                <w:color w:val="auto"/>
              </w:rPr>
            </w:pPr>
            <w:r>
              <w:rPr>
                <w:rFonts w:ascii="Arial" w:cs="Arial" w:eastAsia="Arial" w:hAnsi="Arial"/>
                <w:sz w:val="14"/>
                <w:szCs w:val="14"/>
                <w:b w:val="1"/>
                <w:bCs w:val="1"/>
                <w:color w:val="auto"/>
              </w:rPr>
              <w:t>Year Ended December 31</w:t>
            </w:r>
          </w:p>
        </w:tc>
        <w:tc>
          <w:tcPr>
            <w:tcW w:w="840" w:type="dxa"/>
            <w:vAlign w:val="bottom"/>
            <w:tcBorders>
              <w:bottom w:val="single" w:sz="8" w:color="auto"/>
            </w:tcBorders>
          </w:tcPr>
          <w:p>
            <w:pPr>
              <w:spacing w:after="0"/>
              <w:rPr>
                <w:sz w:val="21"/>
                <w:szCs w:val="21"/>
                <w:color w:val="auto"/>
              </w:rPr>
            </w:pPr>
          </w:p>
        </w:tc>
      </w:tr>
      <w:tr>
        <w:trPr>
          <w:trHeight w:val="264"/>
        </w:trPr>
        <w:tc>
          <w:tcPr>
            <w:tcW w:w="77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2016</w:t>
            </w: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center"/>
              <w:ind w:right="180"/>
              <w:spacing w:after="0"/>
              <w:rPr>
                <w:sz w:val="20"/>
                <w:szCs w:val="20"/>
                <w:color w:val="auto"/>
              </w:rPr>
            </w:pPr>
            <w:r>
              <w:rPr>
                <w:rFonts w:ascii="Arial" w:cs="Arial" w:eastAsia="Arial" w:hAnsi="Arial"/>
                <w:sz w:val="14"/>
                <w:szCs w:val="14"/>
                <w:color w:val="auto"/>
              </w:rPr>
              <w:t>2015</w:t>
            </w:r>
          </w:p>
        </w:tc>
        <w:tc>
          <w:tcPr>
            <w:tcW w:w="3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color w:val="auto"/>
              </w:rPr>
              <w:t>2014</w:t>
            </w:r>
          </w:p>
        </w:tc>
      </w:tr>
      <w:tr>
        <w:trPr>
          <w:trHeight w:val="257"/>
        </w:trPr>
        <w:tc>
          <w:tcPr>
            <w:tcW w:w="7780" w:type="dxa"/>
            <w:vAlign w:val="bottom"/>
          </w:tcPr>
          <w:p>
            <w:pPr>
              <w:ind w:left="40"/>
              <w:spacing w:after="0"/>
              <w:rPr>
                <w:sz w:val="20"/>
                <w:szCs w:val="20"/>
                <w:color w:val="auto"/>
              </w:rPr>
            </w:pPr>
            <w:r>
              <w:rPr>
                <w:rFonts w:ascii="Arial" w:cs="Arial" w:eastAsia="Arial" w:hAnsi="Arial"/>
                <w:sz w:val="16"/>
                <w:szCs w:val="16"/>
                <w:color w:val="auto"/>
              </w:rPr>
              <w:t>Service cost</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80"/>
              <w:spacing w:after="0"/>
              <w:rPr>
                <w:sz w:val="20"/>
                <w:szCs w:val="20"/>
                <w:color w:val="auto"/>
              </w:rPr>
            </w:pPr>
            <w:r>
              <w:rPr>
                <w:rFonts w:ascii="Arial" w:cs="Arial" w:eastAsia="Arial" w:hAnsi="Arial"/>
                <w:sz w:val="16"/>
                <w:szCs w:val="16"/>
                <w:b w:val="1"/>
                <w:bCs w:val="1"/>
                <w:color w:val="auto"/>
              </w:rPr>
              <w:t>985</w:t>
            </w:r>
          </w:p>
        </w:tc>
        <w:tc>
          <w:tcPr>
            <w:tcW w:w="30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80"/>
              <w:spacing w:after="0"/>
              <w:rPr>
                <w:sz w:val="20"/>
                <w:szCs w:val="20"/>
                <w:color w:val="auto"/>
              </w:rPr>
            </w:pPr>
            <w:r>
              <w:rPr>
                <w:rFonts w:ascii="Arial" w:cs="Arial" w:eastAsia="Arial" w:hAnsi="Arial"/>
                <w:sz w:val="16"/>
                <w:szCs w:val="16"/>
                <w:color w:val="auto"/>
              </w:rPr>
              <w:t>1,946</w:t>
            </w:r>
          </w:p>
        </w:tc>
        <w:tc>
          <w:tcPr>
            <w:tcW w:w="3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1,493</w:t>
            </w:r>
          </w:p>
        </w:tc>
      </w:tr>
      <w:tr>
        <w:trPr>
          <w:trHeight w:val="270"/>
        </w:trPr>
        <w:tc>
          <w:tcPr>
            <w:tcW w:w="7780" w:type="dxa"/>
            <w:vAlign w:val="bottom"/>
          </w:tcPr>
          <w:p>
            <w:pPr>
              <w:ind w:left="40"/>
              <w:spacing w:after="0"/>
              <w:rPr>
                <w:sz w:val="20"/>
                <w:szCs w:val="20"/>
                <w:color w:val="auto"/>
              </w:rPr>
            </w:pPr>
            <w:r>
              <w:rPr>
                <w:rFonts w:ascii="Arial" w:cs="Arial" w:eastAsia="Arial" w:hAnsi="Arial"/>
                <w:sz w:val="16"/>
                <w:szCs w:val="16"/>
                <w:color w:val="auto"/>
              </w:rPr>
              <w:t>Interest cost</w:t>
            </w:r>
          </w:p>
        </w:tc>
        <w:tc>
          <w:tcPr>
            <w:tcW w:w="260" w:type="dxa"/>
            <w:vAlign w:val="bottom"/>
          </w:tcPr>
          <w:p>
            <w:pPr>
              <w:spacing w:after="0"/>
              <w:rPr>
                <w:sz w:val="23"/>
                <w:szCs w:val="23"/>
                <w:color w:val="auto"/>
              </w:rPr>
            </w:pPr>
          </w:p>
        </w:tc>
        <w:tc>
          <w:tcPr>
            <w:tcW w:w="940" w:type="dxa"/>
            <w:vAlign w:val="bottom"/>
          </w:tcPr>
          <w:p>
            <w:pPr>
              <w:jc w:val="right"/>
              <w:ind w:right="80"/>
              <w:spacing w:after="0"/>
              <w:rPr>
                <w:sz w:val="20"/>
                <w:szCs w:val="20"/>
                <w:color w:val="auto"/>
              </w:rPr>
            </w:pPr>
            <w:r>
              <w:rPr>
                <w:rFonts w:ascii="Arial" w:cs="Arial" w:eastAsia="Arial" w:hAnsi="Arial"/>
                <w:sz w:val="16"/>
                <w:szCs w:val="16"/>
                <w:b w:val="1"/>
                <w:bCs w:val="1"/>
                <w:color w:val="auto"/>
              </w:rPr>
              <w:t>4,384</w:t>
            </w:r>
          </w:p>
        </w:tc>
        <w:tc>
          <w:tcPr>
            <w:tcW w:w="300" w:type="dxa"/>
            <w:vAlign w:val="bottom"/>
          </w:tcPr>
          <w:p>
            <w:pPr>
              <w:spacing w:after="0"/>
              <w:rPr>
                <w:sz w:val="23"/>
                <w:szCs w:val="23"/>
                <w:color w:val="auto"/>
              </w:rPr>
            </w:pPr>
          </w:p>
        </w:tc>
        <w:tc>
          <w:tcPr>
            <w:tcW w:w="940" w:type="dxa"/>
            <w:vAlign w:val="bottom"/>
          </w:tcPr>
          <w:p>
            <w:pPr>
              <w:jc w:val="right"/>
              <w:ind w:right="80"/>
              <w:spacing w:after="0"/>
              <w:rPr>
                <w:sz w:val="20"/>
                <w:szCs w:val="20"/>
                <w:color w:val="auto"/>
              </w:rPr>
            </w:pPr>
            <w:r>
              <w:rPr>
                <w:rFonts w:ascii="Arial" w:cs="Arial" w:eastAsia="Arial" w:hAnsi="Arial"/>
                <w:sz w:val="16"/>
                <w:szCs w:val="16"/>
                <w:color w:val="auto"/>
              </w:rPr>
              <w:t>4,550</w:t>
            </w:r>
          </w:p>
        </w:tc>
        <w:tc>
          <w:tcPr>
            <w:tcW w:w="360" w:type="dxa"/>
            <w:vAlign w:val="bottom"/>
          </w:tcPr>
          <w:p>
            <w:pPr>
              <w:spacing w:after="0"/>
              <w:rPr>
                <w:sz w:val="23"/>
                <w:szCs w:val="23"/>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4,397</w:t>
            </w:r>
          </w:p>
        </w:tc>
      </w:tr>
      <w:tr>
        <w:trPr>
          <w:trHeight w:val="270"/>
        </w:trPr>
        <w:tc>
          <w:tcPr>
            <w:tcW w:w="7780" w:type="dxa"/>
            <w:vAlign w:val="bottom"/>
          </w:tcPr>
          <w:p>
            <w:pPr>
              <w:ind w:left="40"/>
              <w:spacing w:after="0"/>
              <w:rPr>
                <w:sz w:val="20"/>
                <w:szCs w:val="20"/>
                <w:color w:val="auto"/>
              </w:rPr>
            </w:pPr>
            <w:r>
              <w:rPr>
                <w:rFonts w:ascii="Arial" w:cs="Arial" w:eastAsia="Arial" w:hAnsi="Arial"/>
                <w:sz w:val="16"/>
                <w:szCs w:val="16"/>
                <w:color w:val="auto"/>
              </w:rPr>
              <w:t>Amortization of prior service cost</w:t>
            </w:r>
          </w:p>
        </w:tc>
        <w:tc>
          <w:tcPr>
            <w:tcW w:w="260" w:type="dxa"/>
            <w:vAlign w:val="bottom"/>
          </w:tcPr>
          <w:p>
            <w:pPr>
              <w:spacing w:after="0"/>
              <w:rPr>
                <w:sz w:val="23"/>
                <w:szCs w:val="23"/>
                <w:color w:val="auto"/>
              </w:rPr>
            </w:pPr>
          </w:p>
        </w:tc>
        <w:tc>
          <w:tcPr>
            <w:tcW w:w="940" w:type="dxa"/>
            <w:vAlign w:val="bottom"/>
          </w:tcPr>
          <w:p>
            <w:pPr>
              <w:jc w:val="right"/>
              <w:ind w:right="80"/>
              <w:spacing w:after="0"/>
              <w:rPr>
                <w:sz w:val="20"/>
                <w:szCs w:val="20"/>
                <w:color w:val="auto"/>
              </w:rPr>
            </w:pPr>
            <w:r>
              <w:rPr>
                <w:rFonts w:ascii="Arial" w:cs="Arial" w:eastAsia="Arial" w:hAnsi="Arial"/>
                <w:sz w:val="16"/>
                <w:szCs w:val="16"/>
                <w:b w:val="1"/>
                <w:bCs w:val="1"/>
                <w:color w:val="auto"/>
              </w:rPr>
              <w:t>457</w:t>
            </w:r>
          </w:p>
        </w:tc>
        <w:tc>
          <w:tcPr>
            <w:tcW w:w="300" w:type="dxa"/>
            <w:vAlign w:val="bottom"/>
          </w:tcPr>
          <w:p>
            <w:pPr>
              <w:spacing w:after="0"/>
              <w:rPr>
                <w:sz w:val="23"/>
                <w:szCs w:val="23"/>
                <w:color w:val="auto"/>
              </w:rPr>
            </w:pPr>
          </w:p>
        </w:tc>
        <w:tc>
          <w:tcPr>
            <w:tcW w:w="940" w:type="dxa"/>
            <w:vAlign w:val="bottom"/>
          </w:tcPr>
          <w:p>
            <w:pPr>
              <w:jc w:val="right"/>
              <w:ind w:right="80"/>
              <w:spacing w:after="0"/>
              <w:rPr>
                <w:sz w:val="20"/>
                <w:szCs w:val="20"/>
                <w:color w:val="auto"/>
              </w:rPr>
            </w:pPr>
            <w:r>
              <w:rPr>
                <w:rFonts w:ascii="Arial" w:cs="Arial" w:eastAsia="Arial" w:hAnsi="Arial"/>
                <w:sz w:val="16"/>
                <w:szCs w:val="16"/>
                <w:color w:val="auto"/>
              </w:rPr>
              <w:t>457</w:t>
            </w:r>
          </w:p>
        </w:tc>
        <w:tc>
          <w:tcPr>
            <w:tcW w:w="360" w:type="dxa"/>
            <w:vAlign w:val="bottom"/>
          </w:tcPr>
          <w:p>
            <w:pPr>
              <w:spacing w:after="0"/>
              <w:rPr>
                <w:sz w:val="23"/>
                <w:szCs w:val="23"/>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47</w:t>
            </w:r>
          </w:p>
        </w:tc>
      </w:tr>
      <w:tr>
        <w:trPr>
          <w:trHeight w:val="274"/>
        </w:trPr>
        <w:tc>
          <w:tcPr>
            <w:tcW w:w="7780" w:type="dxa"/>
            <w:vAlign w:val="bottom"/>
          </w:tcPr>
          <w:p>
            <w:pPr>
              <w:ind w:left="40"/>
              <w:spacing w:after="0"/>
              <w:rPr>
                <w:sz w:val="20"/>
                <w:szCs w:val="20"/>
                <w:color w:val="auto"/>
              </w:rPr>
            </w:pPr>
            <w:r>
              <w:rPr>
                <w:rFonts w:ascii="Arial" w:cs="Arial" w:eastAsia="Arial" w:hAnsi="Arial"/>
                <w:sz w:val="16"/>
                <w:szCs w:val="16"/>
                <w:color w:val="auto"/>
              </w:rPr>
              <w:t>Recognized actuarial loss</w:t>
            </w:r>
          </w:p>
        </w:tc>
        <w:tc>
          <w:tcPr>
            <w:tcW w:w="26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2,659</w:t>
            </w:r>
          </w:p>
        </w:tc>
        <w:tc>
          <w:tcPr>
            <w:tcW w:w="30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3,015</w:t>
            </w:r>
          </w:p>
        </w:tc>
        <w:tc>
          <w:tcPr>
            <w:tcW w:w="36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1,544</w:t>
            </w:r>
          </w:p>
        </w:tc>
      </w:tr>
      <w:tr>
        <w:trPr>
          <w:trHeight w:val="260"/>
        </w:trPr>
        <w:tc>
          <w:tcPr>
            <w:tcW w:w="7780" w:type="dxa"/>
            <w:vAlign w:val="bottom"/>
          </w:tcPr>
          <w:p>
            <w:pPr>
              <w:ind w:left="40"/>
              <w:spacing w:after="0"/>
              <w:rPr>
                <w:sz w:val="20"/>
                <w:szCs w:val="20"/>
                <w:color w:val="auto"/>
              </w:rPr>
            </w:pPr>
            <w:r>
              <w:rPr>
                <w:rFonts w:ascii="Arial" w:cs="Arial" w:eastAsia="Arial" w:hAnsi="Arial"/>
                <w:sz w:val="16"/>
                <w:szCs w:val="16"/>
                <w:b w:val="1"/>
                <w:bCs w:val="1"/>
                <w:color w:val="auto"/>
              </w:rPr>
              <w:t>Net Periodic Cost for the Year</w:t>
            </w:r>
          </w:p>
        </w:tc>
        <w:tc>
          <w:tcPr>
            <w:tcW w:w="260" w:type="dxa"/>
            <w:vAlign w:val="bottom"/>
          </w:tcPr>
          <w:p>
            <w:pPr>
              <w:spacing w:after="0"/>
              <w:rPr>
                <w:sz w:val="22"/>
                <w:szCs w:val="22"/>
                <w:color w:val="auto"/>
              </w:rPr>
            </w:pPr>
          </w:p>
        </w:tc>
        <w:tc>
          <w:tcPr>
            <w:tcW w:w="940" w:type="dxa"/>
            <w:vAlign w:val="bottom"/>
          </w:tcPr>
          <w:p>
            <w:pPr>
              <w:jc w:val="right"/>
              <w:ind w:right="80"/>
              <w:spacing w:after="0"/>
              <w:rPr>
                <w:sz w:val="20"/>
                <w:szCs w:val="20"/>
                <w:color w:val="auto"/>
              </w:rPr>
            </w:pPr>
            <w:r>
              <w:rPr>
                <w:rFonts w:ascii="Arial" w:cs="Arial" w:eastAsia="Arial" w:hAnsi="Arial"/>
                <w:sz w:val="16"/>
                <w:szCs w:val="16"/>
                <w:b w:val="1"/>
                <w:bCs w:val="1"/>
                <w:color w:val="auto"/>
              </w:rPr>
              <w:t>8,485</w:t>
            </w:r>
          </w:p>
        </w:tc>
        <w:tc>
          <w:tcPr>
            <w:tcW w:w="300" w:type="dxa"/>
            <w:vAlign w:val="bottom"/>
          </w:tcPr>
          <w:p>
            <w:pPr>
              <w:spacing w:after="0"/>
              <w:rPr>
                <w:sz w:val="22"/>
                <w:szCs w:val="22"/>
                <w:color w:val="auto"/>
              </w:rPr>
            </w:pPr>
          </w:p>
        </w:tc>
        <w:tc>
          <w:tcPr>
            <w:tcW w:w="940" w:type="dxa"/>
            <w:vAlign w:val="bottom"/>
          </w:tcPr>
          <w:p>
            <w:pPr>
              <w:jc w:val="right"/>
              <w:ind w:right="80"/>
              <w:spacing w:after="0"/>
              <w:rPr>
                <w:sz w:val="20"/>
                <w:szCs w:val="20"/>
                <w:color w:val="auto"/>
              </w:rPr>
            </w:pPr>
            <w:r>
              <w:rPr>
                <w:rFonts w:ascii="Arial" w:cs="Arial" w:eastAsia="Arial" w:hAnsi="Arial"/>
                <w:sz w:val="16"/>
                <w:szCs w:val="16"/>
                <w:color w:val="auto"/>
              </w:rPr>
              <w:t>9,968</w:t>
            </w:r>
          </w:p>
        </w:tc>
        <w:tc>
          <w:tcPr>
            <w:tcW w:w="360" w:type="dxa"/>
            <w:vAlign w:val="bottom"/>
          </w:tcPr>
          <w:p>
            <w:pPr>
              <w:spacing w:after="0"/>
              <w:rPr>
                <w:sz w:val="22"/>
                <w:szCs w:val="22"/>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7,481</w:t>
            </w:r>
          </w:p>
        </w:tc>
      </w:tr>
      <w:tr>
        <w:trPr>
          <w:trHeight w:val="274"/>
        </w:trPr>
        <w:tc>
          <w:tcPr>
            <w:tcW w:w="7780" w:type="dxa"/>
            <w:vAlign w:val="bottom"/>
          </w:tcPr>
          <w:p>
            <w:pPr>
              <w:ind w:left="40"/>
              <w:spacing w:after="0"/>
              <w:rPr>
                <w:sz w:val="20"/>
                <w:szCs w:val="20"/>
                <w:color w:val="auto"/>
              </w:rPr>
            </w:pPr>
            <w:r>
              <w:rPr>
                <w:rFonts w:ascii="Arial" w:cs="Arial" w:eastAsia="Arial" w:hAnsi="Arial"/>
                <w:sz w:val="16"/>
                <w:szCs w:val="16"/>
                <w:color w:val="auto"/>
              </w:rPr>
              <w:t>Special separation benefit expense</w:t>
            </w:r>
          </w:p>
        </w:tc>
        <w:tc>
          <w:tcPr>
            <w:tcW w:w="26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w:t>
            </w:r>
          </w:p>
        </w:tc>
        <w:tc>
          <w:tcPr>
            <w:tcW w:w="30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2,422</w:t>
            </w:r>
          </w:p>
        </w:tc>
      </w:tr>
      <w:tr>
        <w:trPr>
          <w:trHeight w:val="261"/>
        </w:trPr>
        <w:tc>
          <w:tcPr>
            <w:tcW w:w="7780" w:type="dxa"/>
            <w:vAlign w:val="bottom"/>
          </w:tcPr>
          <w:p>
            <w:pPr>
              <w:ind w:left="40"/>
              <w:spacing w:after="0"/>
              <w:rPr>
                <w:sz w:val="20"/>
                <w:szCs w:val="20"/>
                <w:color w:val="auto"/>
              </w:rPr>
            </w:pPr>
            <w:r>
              <w:rPr>
                <w:rFonts w:ascii="Arial" w:cs="Arial" w:eastAsia="Arial" w:hAnsi="Arial"/>
                <w:sz w:val="16"/>
                <w:szCs w:val="16"/>
                <w:b w:val="1"/>
                <w:bCs w:val="1"/>
                <w:color w:val="auto"/>
              </w:rPr>
              <w:t>Total Cost for the Year</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8,485</w:t>
            </w:r>
          </w:p>
        </w:tc>
        <w:tc>
          <w:tcPr>
            <w:tcW w:w="3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9,968</w:t>
            </w:r>
          </w:p>
        </w:tc>
        <w:tc>
          <w:tcPr>
            <w:tcW w:w="3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9,903</w:t>
            </w:r>
          </w:p>
        </w:tc>
      </w:tr>
      <w:tr>
        <w:trPr>
          <w:trHeight w:val="263"/>
        </w:trPr>
        <w:tc>
          <w:tcPr>
            <w:tcW w:w="7780" w:type="dxa"/>
            <w:vAlign w:val="bottom"/>
          </w:tcPr>
          <w:p>
            <w:pPr>
              <w:ind w:left="40"/>
              <w:spacing w:after="0"/>
              <w:rPr>
                <w:sz w:val="20"/>
                <w:szCs w:val="20"/>
                <w:color w:val="auto"/>
              </w:rPr>
            </w:pPr>
            <w:r>
              <w:rPr>
                <w:rFonts w:ascii="Arial" w:cs="Arial" w:eastAsia="Arial" w:hAnsi="Arial"/>
                <w:sz w:val="16"/>
                <w:szCs w:val="16"/>
                <w:b w:val="1"/>
                <w:bCs w:val="1"/>
                <w:color w:val="auto"/>
              </w:rPr>
              <w:t>Other Changes in Benefit Obligations Recognized in Other Comprehensive Income</w:t>
            </w:r>
          </w:p>
        </w:tc>
        <w:tc>
          <w:tcPr>
            <w:tcW w:w="2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40" w:type="dxa"/>
            <w:vAlign w:val="bottom"/>
          </w:tcPr>
          <w:p>
            <w:pPr>
              <w:spacing w:after="0"/>
              <w:rPr>
                <w:sz w:val="22"/>
                <w:szCs w:val="22"/>
                <w:color w:val="auto"/>
              </w:rPr>
            </w:pPr>
          </w:p>
        </w:tc>
      </w:tr>
    </w:tbl>
    <w:p>
      <w:pPr>
        <w:spacing w:after="0" w:line="41" w:lineRule="exact"/>
        <w:rPr>
          <w:sz w:val="20"/>
          <w:szCs w:val="20"/>
          <w:color w:val="auto"/>
        </w:rPr>
      </w:pPr>
    </w:p>
    <w:p>
      <w:pPr>
        <w:sectPr>
          <w:pgSz w:w="11900" w:h="16838" w:orient="portrait"/>
          <w:cols w:equalWidth="0" w:num="1">
            <w:col w:w="11420"/>
          </w:cols>
          <w:pgMar w:left="240" w:top="724" w:right="239" w:bottom="1440" w:gutter="0" w:footer="0" w:header="0"/>
        </w:sectPr>
      </w:pPr>
    </w:p>
    <w:p>
      <w:pPr>
        <w:spacing w:after="0" w:line="2" w:lineRule="exact"/>
        <w:rPr>
          <w:sz w:val="20"/>
          <w:szCs w:val="20"/>
          <w:color w:val="auto"/>
        </w:rPr>
      </w:pPr>
    </w:p>
    <w:p>
      <w:pPr>
        <w:ind w:left="40"/>
        <w:spacing w:after="0"/>
        <w:rPr>
          <w:sz w:val="20"/>
          <w:szCs w:val="20"/>
          <w:color w:val="auto"/>
        </w:rPr>
      </w:pPr>
      <w:r>
        <w:rPr>
          <w:rFonts w:ascii="Arial" w:cs="Arial" w:eastAsia="Arial" w:hAnsi="Arial"/>
          <w:sz w:val="16"/>
          <w:szCs w:val="16"/>
          <w:color w:val="auto"/>
        </w:rPr>
        <w:t>Current year actuarial loss (gain)</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Current year prior service cost</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Amortization of prior service cost</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Recognized net actuarial loss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Curtailment and settlement</w:t>
      </w:r>
    </w:p>
    <w:p>
      <w:pPr>
        <w:spacing w:after="0" w:line="98"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Total Recognized in Other Comprehensive Income (Before Tax Effects)</w:t>
      </w:r>
    </w:p>
    <w:p>
      <w:pPr>
        <w:spacing w:after="0" w:line="11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Total Recognized in Total Cost and Other Comprehensive Income (Before Tax Effects)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9"/>
        </w:trPr>
        <w:tc>
          <w:tcPr>
            <w:tcW w:w="340" w:type="dxa"/>
            <w:vAlign w:val="bottom"/>
          </w:tcPr>
          <w:p>
            <w:pPr>
              <w:jc w:val="right"/>
              <w:ind w:right="139"/>
              <w:spacing w:after="0"/>
              <w:rPr>
                <w:sz w:val="20"/>
                <w:szCs w:val="20"/>
                <w:color w:val="auto"/>
              </w:rPr>
            </w:pPr>
            <w:r>
              <w:rPr>
                <w:rFonts w:ascii="Arial" w:cs="Arial" w:eastAsia="Arial" w:hAnsi="Arial"/>
                <w:sz w:val="16"/>
                <w:szCs w:val="16"/>
                <w:b w:val="1"/>
                <w:bCs w:val="1"/>
                <w:color w:val="auto"/>
              </w:rPr>
              <w:t>$</w:t>
            </w:r>
          </w:p>
        </w:tc>
        <w:tc>
          <w:tcPr>
            <w:tcW w:w="860" w:type="dxa"/>
            <w:vAlign w:val="bottom"/>
          </w:tcPr>
          <w:p>
            <w:pPr>
              <w:jc w:val="right"/>
              <w:ind w:right="79"/>
              <w:spacing w:after="0"/>
              <w:rPr>
                <w:sz w:val="20"/>
                <w:szCs w:val="20"/>
                <w:color w:val="auto"/>
              </w:rPr>
            </w:pPr>
            <w:r>
              <w:rPr>
                <w:rFonts w:ascii="Arial" w:cs="Arial" w:eastAsia="Arial" w:hAnsi="Arial"/>
                <w:sz w:val="16"/>
                <w:szCs w:val="16"/>
                <w:b w:val="1"/>
                <w:bCs w:val="1"/>
                <w:color w:val="auto"/>
              </w:rPr>
              <w:t>1,120</w:t>
            </w:r>
          </w:p>
        </w:tc>
        <w:tc>
          <w:tcPr>
            <w:tcW w:w="3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(6,544)</w:t>
            </w:r>
          </w:p>
        </w:tc>
        <w:tc>
          <w:tcPr>
            <w:tcW w:w="3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19,168</w:t>
            </w:r>
          </w:p>
        </w:tc>
      </w:tr>
      <w:tr>
        <w:trPr>
          <w:trHeight w:val="270"/>
        </w:trPr>
        <w:tc>
          <w:tcPr>
            <w:tcW w:w="340" w:type="dxa"/>
            <w:vAlign w:val="bottom"/>
          </w:tcPr>
          <w:p>
            <w:pPr>
              <w:spacing w:after="0"/>
              <w:rPr>
                <w:sz w:val="23"/>
                <w:szCs w:val="23"/>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360" w:type="dxa"/>
            <w:vAlign w:val="bottom"/>
          </w:tcPr>
          <w:p>
            <w:pPr>
              <w:spacing w:after="0"/>
              <w:rPr>
                <w:sz w:val="23"/>
                <w:szCs w:val="23"/>
                <w:color w:val="auto"/>
              </w:rPr>
            </w:pP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3"/>
                <w:szCs w:val="23"/>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1,600</w:t>
            </w:r>
          </w:p>
        </w:tc>
      </w:tr>
      <w:tr>
        <w:trPr>
          <w:trHeight w:val="270"/>
        </w:trPr>
        <w:tc>
          <w:tcPr>
            <w:tcW w:w="3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b w:val="1"/>
                <w:bCs w:val="1"/>
                <w:color w:val="auto"/>
              </w:rPr>
              <w:t>(457)</w:t>
            </w:r>
          </w:p>
        </w:tc>
        <w:tc>
          <w:tcPr>
            <w:tcW w:w="36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(457)</w:t>
            </w:r>
          </w:p>
        </w:tc>
        <w:tc>
          <w:tcPr>
            <w:tcW w:w="3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(47)</w:t>
            </w:r>
          </w:p>
        </w:tc>
      </w:tr>
      <w:tr>
        <w:trPr>
          <w:trHeight w:val="270"/>
        </w:trPr>
        <w:tc>
          <w:tcPr>
            <w:tcW w:w="3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b w:val="1"/>
                <w:bCs w:val="1"/>
                <w:color w:val="auto"/>
              </w:rPr>
              <w:t>(2,659)</w:t>
            </w:r>
          </w:p>
        </w:tc>
        <w:tc>
          <w:tcPr>
            <w:tcW w:w="36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(3,015)</w:t>
            </w:r>
          </w:p>
        </w:tc>
        <w:tc>
          <w:tcPr>
            <w:tcW w:w="3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(1,544)</w:t>
            </w:r>
          </w:p>
        </w:tc>
      </w:tr>
      <w:tr>
        <w:trPr>
          <w:trHeight w:val="274"/>
        </w:trPr>
        <w:tc>
          <w:tcPr>
            <w:tcW w:w="34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36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(834)</w:t>
            </w:r>
          </w:p>
        </w:tc>
        <w:tc>
          <w:tcPr>
            <w:tcW w:w="38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r>
      <w:tr>
        <w:trPr>
          <w:trHeight w:val="264"/>
        </w:trPr>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w:t>
            </w: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(1,996)</w:t>
            </w:r>
          </w:p>
        </w:tc>
        <w:tc>
          <w:tcPr>
            <w:tcW w:w="3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(10,850)</w:t>
            </w:r>
          </w:p>
        </w:tc>
        <w:tc>
          <w:tcPr>
            <w:tcW w:w="3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19,177</w:t>
            </w:r>
          </w:p>
        </w:tc>
      </w:tr>
      <w:tr>
        <w:trPr>
          <w:trHeight w:val="264"/>
        </w:trPr>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w:t>
            </w:r>
          </w:p>
        </w:tc>
        <w:tc>
          <w:tcPr>
            <w:tcW w:w="8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6,489</w:t>
            </w:r>
          </w:p>
        </w:tc>
        <w:tc>
          <w:tcPr>
            <w:tcW w:w="3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(882)</w:t>
            </w:r>
          </w:p>
        </w:tc>
        <w:tc>
          <w:tcPr>
            <w:tcW w:w="3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29,080</w:t>
            </w:r>
          </w:p>
        </w:tc>
      </w:tr>
      <w:tr>
        <w:trPr>
          <w:trHeight w:val="20"/>
        </w:trPr>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126" w:lineRule="exact"/>
        <w:rPr>
          <w:sz w:val="20"/>
          <w:szCs w:val="20"/>
          <w:color w:val="auto"/>
        </w:rPr>
      </w:pPr>
    </w:p>
    <w:p>
      <w:pPr>
        <w:sectPr>
          <w:pgSz w:w="11900" w:h="16838" w:orient="portrait"/>
          <w:cols w:equalWidth="0" w:num="2">
            <w:col w:w="7060" w:space="720"/>
            <w:col w:w="3640"/>
          </w:cols>
          <w:pgMar w:left="240" w:top="724" w:right="239" w:bottom="1440" w:gutter="0" w:footer="0" w:header="0"/>
          <w:type w:val="continuous"/>
        </w:sectPr>
      </w:pPr>
    </w:p>
    <w:p>
      <w:pPr>
        <w:ind w:right="80"/>
        <w:spacing w:after="0" w:line="231" w:lineRule="auto"/>
        <w:rPr>
          <w:sz w:val="20"/>
          <w:szCs w:val="20"/>
          <w:color w:val="auto"/>
        </w:rPr>
      </w:pPr>
      <w:r>
        <w:rPr>
          <w:rFonts w:ascii="Arial" w:cs="Arial" w:eastAsia="Arial" w:hAnsi="Arial"/>
          <w:sz w:val="18"/>
          <w:szCs w:val="18"/>
          <w:color w:val="auto"/>
        </w:rPr>
        <w:t>The net periodic benefit for the Company’s pension plans, as reported above, includes pension cost of $1.9 million and $3.7 million reported in discontinued operations for 2015 and 2014, respectively. The net periodic cost for the Company’s SERP, as reported above, includes cost of $0.2 million and $0.5 million reported in discontinued operations for 2015 and 2014, respectively. The curtailment gain of $ 2.2 million related to the Cable ONE spin-off is also included in discontinued operations for 2015. The curtailment gain of $1.1 million related to the sale of the KHE Campuses business is included in other (expense) income, net.</w:t>
      </w:r>
    </w:p>
    <w:p>
      <w:pPr>
        <w:sectPr>
          <w:pgSz w:w="11900" w:h="16838" w:orient="portrait"/>
          <w:cols w:equalWidth="0" w:num="1">
            <w:col w:w="11420"/>
          </w:cols>
          <w:pgMar w:left="240" w:top="724" w:right="239" w:bottom="1440" w:gutter="0" w:footer="0" w:header="0"/>
          <w:type w:val="continuous"/>
        </w:sect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96</w:t>
      </w:r>
    </w:p>
    <w:p>
      <w:pPr>
        <w:sectPr>
          <w:pgSz w:w="11900" w:h="16838" w:orient="portrait"/>
          <w:cols w:equalWidth="0" w:num="1">
            <w:col w:w="11420"/>
          </w:cols>
          <w:pgMar w:left="240" w:top="724" w:right="239" w:bottom="1440" w:gutter="0" w:footer="0" w:header="0"/>
          <w:type w:val="continuous"/>
        </w:sectPr>
      </w:pPr>
    </w:p>
    <w:bookmarkStart w:id="99" w:name="page100"/>
    <w:bookmarkEnd w:id="99"/>
    <w:p>
      <w:pPr>
        <w:ind w:right="360"/>
        <w:spacing w:after="0" w:line="260" w:lineRule="auto"/>
        <w:rPr>
          <w:sz w:val="20"/>
          <w:szCs w:val="20"/>
          <w:color w:val="auto"/>
        </w:rPr>
      </w:pPr>
      <w:r>
        <w:rPr>
          <w:rFonts w:ascii="Arial" w:cs="Arial" w:eastAsia="Arial" w:hAnsi="Arial"/>
          <w:sz w:val="18"/>
          <w:szCs w:val="18"/>
          <w:color w:val="auto"/>
        </w:rPr>
        <w:t>The costs for the Company’s defined benefit pension plans are actuarially determined. Below are the key assumptions utilized to determine periodic cost:</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460" w:type="dxa"/>
            <w:vAlign w:val="bottom"/>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Pension Plans</w:t>
            </w:r>
          </w:p>
        </w:tc>
        <w:tc>
          <w:tcPr>
            <w:tcW w:w="7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SERP</w:t>
            </w:r>
          </w:p>
        </w:tc>
        <w:tc>
          <w:tcPr>
            <w:tcW w:w="760" w:type="dxa"/>
            <w:vAlign w:val="bottom"/>
            <w:tcBorders>
              <w:bottom w:val="single" w:sz="8" w:color="auto"/>
            </w:tcBorders>
          </w:tcPr>
          <w:p>
            <w:pPr>
              <w:spacing w:after="0"/>
              <w:rPr>
                <w:sz w:val="17"/>
                <w:szCs w:val="17"/>
                <w:color w:val="auto"/>
              </w:rPr>
            </w:pPr>
          </w:p>
        </w:tc>
      </w:tr>
      <w:tr>
        <w:trPr>
          <w:trHeight w:val="264"/>
        </w:trPr>
        <w:tc>
          <w:tcPr>
            <w:tcW w:w="4460" w:type="dxa"/>
            <w:vAlign w:val="bottom"/>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Year Ended December 31</w:t>
            </w:r>
          </w:p>
        </w:tc>
        <w:tc>
          <w:tcPr>
            <w:tcW w:w="7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1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Year Ended December 31</w:t>
            </w:r>
          </w:p>
        </w:tc>
        <w:tc>
          <w:tcPr>
            <w:tcW w:w="760" w:type="dxa"/>
            <w:vAlign w:val="bottom"/>
            <w:tcBorders>
              <w:bottom w:val="single" w:sz="8" w:color="auto"/>
            </w:tcBorders>
          </w:tcPr>
          <w:p>
            <w:pPr>
              <w:spacing w:after="0"/>
              <w:rPr>
                <w:sz w:val="22"/>
                <w:szCs w:val="22"/>
                <w:color w:val="auto"/>
              </w:rPr>
            </w:pPr>
          </w:p>
        </w:tc>
      </w:tr>
      <w:tr>
        <w:trPr>
          <w:trHeight w:val="264"/>
        </w:trPr>
        <w:tc>
          <w:tcPr>
            <w:tcW w:w="44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41"/>
              <w:spacing w:after="0"/>
              <w:rPr>
                <w:sz w:val="20"/>
                <w:szCs w:val="20"/>
                <w:color w:val="auto"/>
              </w:rPr>
            </w:pPr>
            <w:r>
              <w:rPr>
                <w:rFonts w:ascii="Arial" w:cs="Arial" w:eastAsia="Arial" w:hAnsi="Arial"/>
                <w:sz w:val="14"/>
                <w:szCs w:val="14"/>
                <w:b w:val="1"/>
                <w:bCs w:val="1"/>
                <w:color w:val="auto"/>
              </w:rPr>
              <w:t>2016</w:t>
            </w: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2015</w:t>
            </w:r>
          </w:p>
        </w:tc>
        <w:tc>
          <w:tcPr>
            <w:tcW w:w="780" w:type="dxa"/>
            <w:vAlign w:val="bottom"/>
            <w:tcBorders>
              <w:bottom w:val="single" w:sz="8" w:color="auto"/>
            </w:tcBorders>
          </w:tcPr>
          <w:p>
            <w:pPr>
              <w:jc w:val="right"/>
              <w:ind w:right="221"/>
              <w:spacing w:after="0"/>
              <w:rPr>
                <w:sz w:val="20"/>
                <w:szCs w:val="20"/>
                <w:color w:val="auto"/>
              </w:rPr>
            </w:pPr>
            <w:r>
              <w:rPr>
                <w:rFonts w:ascii="Arial" w:cs="Arial" w:eastAsia="Arial" w:hAnsi="Arial"/>
                <w:sz w:val="14"/>
                <w:szCs w:val="14"/>
                <w:color w:val="auto"/>
              </w:rPr>
              <w:t>2014</w:t>
            </w:r>
          </w:p>
        </w:tc>
        <w:tc>
          <w:tcPr>
            <w:tcW w:w="840" w:type="dxa"/>
            <w:vAlign w:val="bottom"/>
            <w:tcBorders>
              <w:bottom w:val="single" w:sz="8" w:color="auto"/>
            </w:tcBorders>
          </w:tcPr>
          <w:p>
            <w:pPr>
              <w:jc w:val="right"/>
              <w:ind w:right="41"/>
              <w:spacing w:after="0"/>
              <w:rPr>
                <w:sz w:val="20"/>
                <w:szCs w:val="20"/>
                <w:color w:val="auto"/>
              </w:rPr>
            </w:pPr>
            <w:r>
              <w:rPr>
                <w:rFonts w:ascii="Arial" w:cs="Arial" w:eastAsia="Arial" w:hAnsi="Arial"/>
                <w:sz w:val="14"/>
                <w:szCs w:val="14"/>
                <w:b w:val="1"/>
                <w:bCs w:val="1"/>
                <w:color w:val="auto"/>
              </w:rPr>
              <w:t>2016</w:t>
            </w:r>
          </w:p>
        </w:tc>
        <w:tc>
          <w:tcPr>
            <w:tcW w:w="19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2015</w:t>
            </w:r>
          </w:p>
        </w:tc>
        <w:tc>
          <w:tcPr>
            <w:tcW w:w="760" w:type="dxa"/>
            <w:vAlign w:val="bottom"/>
            <w:tcBorders>
              <w:bottom w:val="single" w:sz="8" w:color="auto"/>
            </w:tcBorders>
          </w:tcPr>
          <w:p>
            <w:pPr>
              <w:jc w:val="right"/>
              <w:ind w:right="221"/>
              <w:spacing w:after="0"/>
              <w:rPr>
                <w:sz w:val="20"/>
                <w:szCs w:val="20"/>
                <w:color w:val="auto"/>
              </w:rPr>
            </w:pPr>
            <w:r>
              <w:rPr>
                <w:rFonts w:ascii="Arial" w:cs="Arial" w:eastAsia="Arial" w:hAnsi="Arial"/>
                <w:sz w:val="14"/>
                <w:szCs w:val="14"/>
                <w:color w:val="auto"/>
              </w:rPr>
              <w:t>2014</w:t>
            </w:r>
          </w:p>
        </w:tc>
      </w:tr>
      <w:tr>
        <w:trPr>
          <w:trHeight w:val="299"/>
        </w:trPr>
        <w:tc>
          <w:tcPr>
            <w:tcW w:w="4460" w:type="dxa"/>
            <w:vAlign w:val="bottom"/>
          </w:tcPr>
          <w:p>
            <w:pPr>
              <w:ind w:left="40"/>
              <w:spacing w:after="0"/>
              <w:rPr>
                <w:sz w:val="20"/>
                <w:szCs w:val="20"/>
                <w:color w:val="auto"/>
              </w:rPr>
            </w:pPr>
            <w:r>
              <w:rPr>
                <w:rFonts w:ascii="Arial" w:cs="Arial" w:eastAsia="Arial" w:hAnsi="Arial"/>
                <w:sz w:val="16"/>
                <w:szCs w:val="16"/>
                <w:color w:val="auto"/>
              </w:rPr>
              <w:t xml:space="preserve">Discount rate </w:t>
            </w:r>
            <w:r>
              <w:rPr>
                <w:rFonts w:ascii="Arial" w:cs="Arial" w:eastAsia="Arial" w:hAnsi="Arial"/>
                <w:sz w:val="21"/>
                <w:szCs w:val="21"/>
                <w:color w:val="auto"/>
                <w:vertAlign w:val="superscript"/>
              </w:rPr>
              <w:t>(1)</w:t>
            </w:r>
          </w:p>
        </w:tc>
        <w:tc>
          <w:tcPr>
            <w:tcW w:w="740" w:type="dxa"/>
            <w:vAlign w:val="bottom"/>
          </w:tcPr>
          <w:p>
            <w:pPr>
              <w:jc w:val="right"/>
              <w:ind w:right="81"/>
              <w:spacing w:after="0"/>
              <w:rPr>
                <w:sz w:val="20"/>
                <w:szCs w:val="20"/>
                <w:color w:val="auto"/>
              </w:rPr>
            </w:pPr>
            <w:r>
              <w:rPr>
                <w:rFonts w:ascii="Arial" w:cs="Arial" w:eastAsia="Arial" w:hAnsi="Arial"/>
                <w:sz w:val="16"/>
                <w:szCs w:val="16"/>
                <w:b w:val="1"/>
                <w:bCs w:val="1"/>
                <w:color w:val="auto"/>
              </w:rPr>
              <w:t>4.3%</w:t>
            </w:r>
          </w:p>
        </w:tc>
        <w:tc>
          <w:tcPr>
            <w:tcW w:w="1940" w:type="dxa"/>
            <w:vAlign w:val="bottom"/>
          </w:tcPr>
          <w:p>
            <w:pPr>
              <w:jc w:val="center"/>
              <w:ind w:right="3"/>
              <w:spacing w:after="0"/>
              <w:rPr>
                <w:sz w:val="20"/>
                <w:szCs w:val="20"/>
                <w:color w:val="auto"/>
              </w:rPr>
            </w:pPr>
            <w:r>
              <w:rPr>
                <w:rFonts w:ascii="Arial" w:cs="Arial" w:eastAsia="Arial" w:hAnsi="Arial"/>
                <w:sz w:val="16"/>
                <w:szCs w:val="16"/>
                <w:color w:val="auto"/>
              </w:rPr>
              <w:t>4.4%/4.0%</w:t>
            </w:r>
          </w:p>
        </w:tc>
        <w:tc>
          <w:tcPr>
            <w:tcW w:w="780" w:type="dxa"/>
            <w:vAlign w:val="bottom"/>
          </w:tcPr>
          <w:p>
            <w:pPr>
              <w:jc w:val="right"/>
              <w:ind w:right="261"/>
              <w:spacing w:after="0"/>
              <w:rPr>
                <w:sz w:val="20"/>
                <w:szCs w:val="20"/>
                <w:color w:val="auto"/>
              </w:rPr>
            </w:pPr>
            <w:r>
              <w:rPr>
                <w:rFonts w:ascii="Arial" w:cs="Arial" w:eastAsia="Arial" w:hAnsi="Arial"/>
                <w:sz w:val="16"/>
                <w:szCs w:val="16"/>
                <w:color w:val="auto"/>
              </w:rPr>
              <w:t>4.8%</w:t>
            </w:r>
          </w:p>
        </w:tc>
        <w:tc>
          <w:tcPr>
            <w:tcW w:w="840" w:type="dxa"/>
            <w:vAlign w:val="bottom"/>
          </w:tcPr>
          <w:p>
            <w:pPr>
              <w:jc w:val="center"/>
              <w:ind w:left="81"/>
              <w:spacing w:after="0"/>
              <w:rPr>
                <w:sz w:val="20"/>
                <w:szCs w:val="20"/>
                <w:color w:val="auto"/>
              </w:rPr>
            </w:pPr>
            <w:r>
              <w:rPr>
                <w:rFonts w:ascii="Arial" w:cs="Arial" w:eastAsia="Arial" w:hAnsi="Arial"/>
                <w:sz w:val="16"/>
                <w:szCs w:val="16"/>
                <w:b w:val="1"/>
                <w:bCs w:val="1"/>
                <w:color w:val="auto"/>
                <w:w w:val="98"/>
              </w:rPr>
              <w:t>4.3%</w:t>
            </w:r>
          </w:p>
        </w:tc>
        <w:tc>
          <w:tcPr>
            <w:tcW w:w="1900" w:type="dxa"/>
            <w:vAlign w:val="bottom"/>
          </w:tcPr>
          <w:p>
            <w:pPr>
              <w:jc w:val="center"/>
              <w:ind w:right="43"/>
              <w:spacing w:after="0"/>
              <w:rPr>
                <w:sz w:val="20"/>
                <w:szCs w:val="20"/>
                <w:color w:val="auto"/>
              </w:rPr>
            </w:pPr>
            <w:r>
              <w:rPr>
                <w:rFonts w:ascii="Arial" w:cs="Arial" w:eastAsia="Arial" w:hAnsi="Arial"/>
                <w:sz w:val="16"/>
                <w:szCs w:val="16"/>
                <w:color w:val="auto"/>
              </w:rPr>
              <w:t>4.4%/4.0%</w:t>
            </w:r>
          </w:p>
        </w:tc>
        <w:tc>
          <w:tcPr>
            <w:tcW w:w="760" w:type="dxa"/>
            <w:vAlign w:val="bottom"/>
          </w:tcPr>
          <w:p>
            <w:pPr>
              <w:jc w:val="center"/>
              <w:ind w:right="201"/>
              <w:spacing w:after="0"/>
              <w:rPr>
                <w:sz w:val="20"/>
                <w:szCs w:val="20"/>
                <w:color w:val="auto"/>
              </w:rPr>
            </w:pPr>
            <w:r>
              <w:rPr>
                <w:rFonts w:ascii="Arial" w:cs="Arial" w:eastAsia="Arial" w:hAnsi="Arial"/>
                <w:sz w:val="16"/>
                <w:szCs w:val="16"/>
                <w:color w:val="auto"/>
                <w:w w:val="98"/>
              </w:rPr>
              <w:t>4.8%</w:t>
            </w:r>
          </w:p>
        </w:tc>
      </w:tr>
      <w:tr>
        <w:trPr>
          <w:trHeight w:val="229"/>
        </w:trPr>
        <w:tc>
          <w:tcPr>
            <w:tcW w:w="4460" w:type="dxa"/>
            <w:vAlign w:val="bottom"/>
          </w:tcPr>
          <w:p>
            <w:pPr>
              <w:ind w:left="40"/>
              <w:spacing w:after="0"/>
              <w:rPr>
                <w:sz w:val="20"/>
                <w:szCs w:val="20"/>
                <w:color w:val="auto"/>
              </w:rPr>
            </w:pPr>
            <w:r>
              <w:rPr>
                <w:rFonts w:ascii="Arial" w:cs="Arial" w:eastAsia="Arial" w:hAnsi="Arial"/>
                <w:sz w:val="16"/>
                <w:szCs w:val="16"/>
                <w:color w:val="auto"/>
              </w:rPr>
              <w:t>Expected return on plan assets</w:t>
            </w:r>
          </w:p>
        </w:tc>
        <w:tc>
          <w:tcPr>
            <w:tcW w:w="740" w:type="dxa"/>
            <w:vAlign w:val="bottom"/>
          </w:tcPr>
          <w:p>
            <w:pPr>
              <w:jc w:val="right"/>
              <w:ind w:right="81"/>
              <w:spacing w:after="0"/>
              <w:rPr>
                <w:sz w:val="20"/>
                <w:szCs w:val="20"/>
                <w:color w:val="auto"/>
              </w:rPr>
            </w:pPr>
            <w:r>
              <w:rPr>
                <w:rFonts w:ascii="Arial" w:cs="Arial" w:eastAsia="Arial" w:hAnsi="Arial"/>
                <w:sz w:val="16"/>
                <w:szCs w:val="16"/>
                <w:b w:val="1"/>
                <w:bCs w:val="1"/>
                <w:color w:val="auto"/>
              </w:rPr>
              <w:t>6.5%</w:t>
            </w:r>
          </w:p>
        </w:tc>
        <w:tc>
          <w:tcPr>
            <w:tcW w:w="1940" w:type="dxa"/>
            <w:vAlign w:val="bottom"/>
          </w:tcPr>
          <w:p>
            <w:pPr>
              <w:jc w:val="center"/>
              <w:ind w:right="3"/>
              <w:spacing w:after="0"/>
              <w:rPr>
                <w:sz w:val="20"/>
                <w:szCs w:val="20"/>
                <w:color w:val="auto"/>
              </w:rPr>
            </w:pPr>
            <w:r>
              <w:rPr>
                <w:rFonts w:ascii="Arial" w:cs="Arial" w:eastAsia="Arial" w:hAnsi="Arial"/>
                <w:sz w:val="16"/>
                <w:szCs w:val="16"/>
                <w:color w:val="auto"/>
              </w:rPr>
              <w:t>6.5%</w:t>
            </w:r>
          </w:p>
        </w:tc>
        <w:tc>
          <w:tcPr>
            <w:tcW w:w="780" w:type="dxa"/>
            <w:vAlign w:val="bottom"/>
          </w:tcPr>
          <w:p>
            <w:pPr>
              <w:jc w:val="right"/>
              <w:ind w:right="261"/>
              <w:spacing w:after="0"/>
              <w:rPr>
                <w:sz w:val="20"/>
                <w:szCs w:val="20"/>
                <w:color w:val="auto"/>
              </w:rPr>
            </w:pPr>
            <w:r>
              <w:rPr>
                <w:rFonts w:ascii="Arial" w:cs="Arial" w:eastAsia="Arial" w:hAnsi="Arial"/>
                <w:sz w:val="16"/>
                <w:szCs w:val="16"/>
                <w:color w:val="auto"/>
              </w:rPr>
              <w:t>6.5%</w:t>
            </w:r>
          </w:p>
        </w:tc>
        <w:tc>
          <w:tcPr>
            <w:tcW w:w="840" w:type="dxa"/>
            <w:vAlign w:val="bottom"/>
          </w:tcPr>
          <w:p>
            <w:pPr>
              <w:jc w:val="center"/>
              <w:ind w:left="81"/>
              <w:spacing w:after="0"/>
              <w:rPr>
                <w:sz w:val="20"/>
                <w:szCs w:val="20"/>
                <w:color w:val="auto"/>
              </w:rPr>
            </w:pPr>
            <w:r>
              <w:rPr>
                <w:rFonts w:ascii="Arial" w:cs="Arial" w:eastAsia="Arial" w:hAnsi="Arial"/>
                <w:sz w:val="16"/>
                <w:szCs w:val="16"/>
                <w:b w:val="1"/>
                <w:bCs w:val="1"/>
                <w:color w:val="auto"/>
                <w:w w:val="99"/>
              </w:rPr>
              <w:t>—</w:t>
            </w:r>
          </w:p>
        </w:tc>
        <w:tc>
          <w:tcPr>
            <w:tcW w:w="1900" w:type="dxa"/>
            <w:vAlign w:val="bottom"/>
          </w:tcPr>
          <w:p>
            <w:pPr>
              <w:jc w:val="center"/>
              <w:ind w:right="23"/>
              <w:spacing w:after="0"/>
              <w:rPr>
                <w:sz w:val="20"/>
                <w:szCs w:val="20"/>
                <w:color w:val="auto"/>
              </w:rPr>
            </w:pPr>
            <w:r>
              <w:rPr>
                <w:rFonts w:ascii="Arial" w:cs="Arial" w:eastAsia="Arial" w:hAnsi="Arial"/>
                <w:sz w:val="16"/>
                <w:szCs w:val="16"/>
                <w:color w:val="auto"/>
                <w:w w:val="99"/>
              </w:rPr>
              <w:t>—</w:t>
            </w:r>
          </w:p>
        </w:tc>
        <w:tc>
          <w:tcPr>
            <w:tcW w:w="760" w:type="dxa"/>
            <w:vAlign w:val="bottom"/>
          </w:tcPr>
          <w:p>
            <w:pPr>
              <w:jc w:val="center"/>
              <w:ind w:right="201"/>
              <w:spacing w:after="0"/>
              <w:rPr>
                <w:sz w:val="20"/>
                <w:szCs w:val="20"/>
                <w:color w:val="auto"/>
              </w:rPr>
            </w:pPr>
            <w:r>
              <w:rPr>
                <w:rFonts w:ascii="Arial" w:cs="Arial" w:eastAsia="Arial" w:hAnsi="Arial"/>
                <w:sz w:val="16"/>
                <w:szCs w:val="16"/>
                <w:color w:val="auto"/>
                <w:w w:val="99"/>
              </w:rPr>
              <w:t>—</w:t>
            </w:r>
          </w:p>
        </w:tc>
      </w:tr>
      <w:tr>
        <w:trPr>
          <w:trHeight w:val="256"/>
        </w:trPr>
        <w:tc>
          <w:tcPr>
            <w:tcW w:w="4460" w:type="dxa"/>
            <w:vAlign w:val="bottom"/>
          </w:tcPr>
          <w:p>
            <w:pPr>
              <w:ind w:left="40"/>
              <w:spacing w:after="0"/>
              <w:rPr>
                <w:sz w:val="20"/>
                <w:szCs w:val="20"/>
                <w:color w:val="auto"/>
              </w:rPr>
            </w:pPr>
            <w:r>
              <w:rPr>
                <w:rFonts w:ascii="Arial" w:cs="Arial" w:eastAsia="Arial" w:hAnsi="Arial"/>
                <w:sz w:val="16"/>
                <w:szCs w:val="16"/>
                <w:color w:val="auto"/>
              </w:rPr>
              <w:t>Rate of compensation increase</w:t>
            </w:r>
          </w:p>
        </w:tc>
        <w:tc>
          <w:tcPr>
            <w:tcW w:w="740" w:type="dxa"/>
            <w:vAlign w:val="bottom"/>
          </w:tcPr>
          <w:p>
            <w:pPr>
              <w:jc w:val="right"/>
              <w:ind w:right="81"/>
              <w:spacing w:after="0"/>
              <w:rPr>
                <w:sz w:val="20"/>
                <w:szCs w:val="20"/>
                <w:color w:val="auto"/>
              </w:rPr>
            </w:pPr>
            <w:r>
              <w:rPr>
                <w:rFonts w:ascii="Arial" w:cs="Arial" w:eastAsia="Arial" w:hAnsi="Arial"/>
                <w:sz w:val="16"/>
                <w:szCs w:val="16"/>
                <w:b w:val="1"/>
                <w:bCs w:val="1"/>
                <w:color w:val="auto"/>
              </w:rPr>
              <w:t>4.0%</w:t>
            </w:r>
          </w:p>
        </w:tc>
        <w:tc>
          <w:tcPr>
            <w:tcW w:w="1940" w:type="dxa"/>
            <w:vAlign w:val="bottom"/>
          </w:tcPr>
          <w:p>
            <w:pPr>
              <w:jc w:val="center"/>
              <w:ind w:right="3"/>
              <w:spacing w:after="0"/>
              <w:rPr>
                <w:sz w:val="20"/>
                <w:szCs w:val="20"/>
                <w:color w:val="auto"/>
              </w:rPr>
            </w:pPr>
            <w:r>
              <w:rPr>
                <w:rFonts w:ascii="Arial" w:cs="Arial" w:eastAsia="Arial" w:hAnsi="Arial"/>
                <w:sz w:val="16"/>
                <w:szCs w:val="16"/>
                <w:color w:val="auto"/>
              </w:rPr>
              <w:t>4.0%</w:t>
            </w:r>
          </w:p>
        </w:tc>
        <w:tc>
          <w:tcPr>
            <w:tcW w:w="780" w:type="dxa"/>
            <w:vAlign w:val="bottom"/>
          </w:tcPr>
          <w:p>
            <w:pPr>
              <w:jc w:val="right"/>
              <w:ind w:right="261"/>
              <w:spacing w:after="0"/>
              <w:rPr>
                <w:sz w:val="20"/>
                <w:szCs w:val="20"/>
                <w:color w:val="auto"/>
              </w:rPr>
            </w:pPr>
            <w:r>
              <w:rPr>
                <w:rFonts w:ascii="Arial" w:cs="Arial" w:eastAsia="Arial" w:hAnsi="Arial"/>
                <w:sz w:val="16"/>
                <w:szCs w:val="16"/>
                <w:color w:val="auto"/>
              </w:rPr>
              <w:t>4.0%</w:t>
            </w:r>
          </w:p>
        </w:tc>
        <w:tc>
          <w:tcPr>
            <w:tcW w:w="840" w:type="dxa"/>
            <w:vAlign w:val="bottom"/>
          </w:tcPr>
          <w:p>
            <w:pPr>
              <w:jc w:val="center"/>
              <w:ind w:left="81"/>
              <w:spacing w:after="0"/>
              <w:rPr>
                <w:sz w:val="20"/>
                <w:szCs w:val="20"/>
                <w:color w:val="auto"/>
              </w:rPr>
            </w:pPr>
            <w:r>
              <w:rPr>
                <w:rFonts w:ascii="Arial" w:cs="Arial" w:eastAsia="Arial" w:hAnsi="Arial"/>
                <w:sz w:val="16"/>
                <w:szCs w:val="16"/>
                <w:b w:val="1"/>
                <w:bCs w:val="1"/>
                <w:color w:val="auto"/>
                <w:w w:val="98"/>
              </w:rPr>
              <w:t>4.0%</w:t>
            </w:r>
          </w:p>
        </w:tc>
        <w:tc>
          <w:tcPr>
            <w:tcW w:w="1900" w:type="dxa"/>
            <w:vAlign w:val="bottom"/>
          </w:tcPr>
          <w:p>
            <w:pPr>
              <w:jc w:val="center"/>
              <w:ind w:right="23"/>
              <w:spacing w:after="0"/>
              <w:rPr>
                <w:sz w:val="20"/>
                <w:szCs w:val="20"/>
                <w:color w:val="auto"/>
              </w:rPr>
            </w:pPr>
            <w:r>
              <w:rPr>
                <w:rFonts w:ascii="Arial" w:cs="Arial" w:eastAsia="Arial" w:hAnsi="Arial"/>
                <w:sz w:val="16"/>
                <w:szCs w:val="16"/>
                <w:color w:val="auto"/>
                <w:w w:val="98"/>
              </w:rPr>
              <w:t>4.0%</w:t>
            </w:r>
          </w:p>
        </w:tc>
        <w:tc>
          <w:tcPr>
            <w:tcW w:w="760" w:type="dxa"/>
            <w:vAlign w:val="bottom"/>
          </w:tcPr>
          <w:p>
            <w:pPr>
              <w:jc w:val="center"/>
              <w:ind w:right="201"/>
              <w:spacing w:after="0"/>
              <w:rPr>
                <w:sz w:val="20"/>
                <w:szCs w:val="20"/>
                <w:color w:val="auto"/>
              </w:rPr>
            </w:pPr>
            <w:r>
              <w:rPr>
                <w:rFonts w:ascii="Arial" w:cs="Arial" w:eastAsia="Arial" w:hAnsi="Arial"/>
                <w:sz w:val="16"/>
                <w:szCs w:val="16"/>
                <w:color w:val="auto"/>
                <w:w w:val="98"/>
              </w:rPr>
              <w:t>4.0%</w:t>
            </w:r>
          </w:p>
        </w:tc>
      </w:tr>
      <w:tr>
        <w:trPr>
          <w:trHeight w:val="170"/>
        </w:trPr>
        <w:tc>
          <w:tcPr>
            <w:tcW w:w="4460" w:type="dxa"/>
            <w:vAlign w:val="bottom"/>
          </w:tcPr>
          <w:p>
            <w:pPr>
              <w:spacing w:after="0"/>
              <w:rPr>
                <w:sz w:val="20"/>
                <w:szCs w:val="20"/>
                <w:color w:val="auto"/>
              </w:rPr>
            </w:pPr>
            <w:r>
              <w:rPr>
                <w:rFonts w:ascii="Arial" w:cs="Arial" w:eastAsia="Arial" w:hAnsi="Arial"/>
                <w:sz w:val="11"/>
                <w:szCs w:val="11"/>
                <w:color w:val="auto"/>
              </w:rPr>
              <w:t>___________</w:t>
            </w:r>
            <w:r>
              <w:rPr>
                <w:rFonts w:ascii="Arial" w:cs="Arial" w:eastAsia="Arial" w:hAnsi="Arial"/>
                <w:sz w:val="12"/>
                <w:szCs w:val="12"/>
                <w:color w:val="auto"/>
              </w:rPr>
              <w:t>_</w:t>
            </w:r>
          </w:p>
        </w:tc>
        <w:tc>
          <w:tcPr>
            <w:tcW w:w="7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760" w:type="dxa"/>
            <w:vAlign w:val="bottom"/>
          </w:tcPr>
          <w:p>
            <w:pPr>
              <w:spacing w:after="0"/>
              <w:rPr>
                <w:sz w:val="14"/>
                <w:szCs w:val="14"/>
                <w:color w:val="auto"/>
              </w:rPr>
            </w:pPr>
          </w:p>
        </w:tc>
      </w:tr>
    </w:tbl>
    <w:p>
      <w:pPr>
        <w:spacing w:after="0" w:line="33" w:lineRule="exact"/>
        <w:rPr>
          <w:sz w:val="20"/>
          <w:szCs w:val="20"/>
          <w:color w:val="auto"/>
        </w:rPr>
      </w:pPr>
    </w:p>
    <w:p>
      <w:pPr>
        <w:ind w:left="260" w:right="40" w:hanging="252"/>
        <w:spacing w:after="0" w:line="235" w:lineRule="auto"/>
        <w:tabs>
          <w:tab w:leader="none" w:pos="260" w:val="left"/>
        </w:tabs>
        <w:numPr>
          <w:ilvl w:val="0"/>
          <w:numId w:val="72"/>
        </w:numPr>
        <w:rPr>
          <w:rFonts w:ascii="Arial" w:cs="Arial" w:eastAsia="Arial" w:hAnsi="Arial"/>
          <w:sz w:val="13"/>
          <w:szCs w:val="13"/>
          <w:color w:val="auto"/>
        </w:rPr>
      </w:pPr>
      <w:r>
        <w:rPr>
          <w:rFonts w:ascii="Arial" w:cs="Arial" w:eastAsia="Arial" w:hAnsi="Arial"/>
          <w:sz w:val="13"/>
          <w:szCs w:val="13"/>
          <w:color w:val="auto"/>
        </w:rPr>
        <w:t>As a result of the spin-off of Cable ONE and the sale of the KHE Campuses business, the Company remeasured the accumulated and projected benefit obligation of the pension plan as of July 1, 2015 and September 3, 2015, respectively. As a result of the spin-off of Cable ONE, the accumulated and projected benefit obligation of the SERP was remeasured as of July 1, 2015. The remeasurement changed the discount rate from 4.0% for the first six months to 4.4% for the second half of 2015.</w:t>
      </w:r>
    </w:p>
    <w:p>
      <w:pPr>
        <w:spacing w:after="0" w:line="114" w:lineRule="exact"/>
        <w:rPr>
          <w:sz w:val="20"/>
          <w:szCs w:val="20"/>
          <w:color w:val="auto"/>
        </w:rPr>
      </w:pPr>
    </w:p>
    <w:p>
      <w:pPr>
        <w:ind w:right="120"/>
        <w:spacing w:after="0" w:line="260" w:lineRule="auto"/>
        <w:rPr>
          <w:sz w:val="20"/>
          <w:szCs w:val="20"/>
          <w:color w:val="auto"/>
        </w:rPr>
      </w:pPr>
      <w:r>
        <w:rPr>
          <w:rFonts w:ascii="Arial" w:cs="Arial" w:eastAsia="Arial" w:hAnsi="Arial"/>
          <w:sz w:val="18"/>
          <w:szCs w:val="18"/>
          <w:color w:val="auto"/>
        </w:rPr>
        <w:t>Accumulated other comprehensive income (AOCI) includes the following components of unrecognized net periodic cost for the defined benefit plans: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5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200" w:type="dxa"/>
            <w:vAlign w:val="bottom"/>
            <w:tcBorders>
              <w:bottom w:val="single" w:sz="8" w:color="auto"/>
            </w:tcBorders>
            <w:gridSpan w:val="3"/>
          </w:tcPr>
          <w:p>
            <w:pPr>
              <w:jc w:val="right"/>
              <w:ind w:right="660"/>
              <w:spacing w:after="0"/>
              <w:rPr>
                <w:sz w:val="20"/>
                <w:szCs w:val="20"/>
                <w:color w:val="auto"/>
              </w:rPr>
            </w:pPr>
            <w:r>
              <w:rPr>
                <w:rFonts w:ascii="Arial" w:cs="Arial" w:eastAsia="Arial" w:hAnsi="Arial"/>
                <w:sz w:val="14"/>
                <w:szCs w:val="14"/>
                <w:b w:val="1"/>
                <w:bCs w:val="1"/>
                <w:color w:val="auto"/>
              </w:rPr>
              <w:t>Pension Plans</w:t>
            </w:r>
          </w:p>
        </w:tc>
        <w:tc>
          <w:tcPr>
            <w:tcW w:w="3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2"/>
          </w:tcPr>
          <w:p>
            <w:pPr>
              <w:jc w:val="right"/>
              <w:ind w:right="39"/>
              <w:spacing w:after="0"/>
              <w:rPr>
                <w:sz w:val="20"/>
                <w:szCs w:val="20"/>
                <w:color w:val="auto"/>
              </w:rPr>
            </w:pPr>
            <w:r>
              <w:rPr>
                <w:rFonts w:ascii="Arial" w:cs="Arial" w:eastAsia="Arial" w:hAnsi="Arial"/>
                <w:sz w:val="14"/>
                <w:szCs w:val="14"/>
                <w:b w:val="1"/>
                <w:bCs w:val="1"/>
                <w:color w:val="auto"/>
              </w:rPr>
              <w:t>SERP</w:t>
            </w:r>
          </w:p>
        </w:tc>
        <w:tc>
          <w:tcPr>
            <w:tcW w:w="860" w:type="dxa"/>
            <w:vAlign w:val="bottom"/>
            <w:tcBorders>
              <w:bottom w:val="single" w:sz="8" w:color="auto"/>
            </w:tcBorders>
          </w:tcPr>
          <w:p>
            <w:pPr>
              <w:spacing w:after="0"/>
              <w:rPr>
                <w:sz w:val="17"/>
                <w:szCs w:val="17"/>
                <w:color w:val="auto"/>
              </w:rPr>
            </w:pPr>
          </w:p>
        </w:tc>
      </w:tr>
      <w:tr>
        <w:trPr>
          <w:trHeight w:val="264"/>
        </w:trPr>
        <w:tc>
          <w:tcPr>
            <w:tcW w:w="65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2200" w:type="dxa"/>
            <w:vAlign w:val="bottom"/>
            <w:tcBorders>
              <w:bottom w:val="single" w:sz="8" w:color="auto"/>
            </w:tcBorders>
            <w:gridSpan w:val="3"/>
          </w:tcPr>
          <w:p>
            <w:pPr>
              <w:jc w:val="right"/>
              <w:ind w:right="520"/>
              <w:spacing w:after="0"/>
              <w:rPr>
                <w:sz w:val="20"/>
                <w:szCs w:val="20"/>
                <w:color w:val="auto"/>
              </w:rPr>
            </w:pPr>
            <w:r>
              <w:rPr>
                <w:rFonts w:ascii="Arial" w:cs="Arial" w:eastAsia="Arial" w:hAnsi="Arial"/>
                <w:sz w:val="14"/>
                <w:szCs w:val="14"/>
                <w:b w:val="1"/>
                <w:bCs w:val="1"/>
                <w:color w:val="auto"/>
              </w:rPr>
              <w:t>As of December 31</w:t>
            </w:r>
          </w:p>
        </w:tc>
        <w:tc>
          <w:tcPr>
            <w:tcW w:w="320" w:type="dxa"/>
            <w:vAlign w:val="bottom"/>
            <w:tcBorders>
              <w:bottom w:val="single" w:sz="8" w:color="auto"/>
            </w:tcBorders>
          </w:tcPr>
          <w:p>
            <w:pPr>
              <w:spacing w:after="0"/>
              <w:rPr>
                <w:sz w:val="22"/>
                <w:szCs w:val="22"/>
                <w:color w:val="auto"/>
              </w:rPr>
            </w:pPr>
          </w:p>
        </w:tc>
        <w:tc>
          <w:tcPr>
            <w:tcW w:w="2120" w:type="dxa"/>
            <w:vAlign w:val="bottom"/>
            <w:tcBorders>
              <w:bottom w:val="single" w:sz="8" w:color="auto"/>
            </w:tcBorders>
            <w:gridSpan w:val="3"/>
          </w:tcPr>
          <w:p>
            <w:pPr>
              <w:jc w:val="right"/>
              <w:ind w:right="440"/>
              <w:spacing w:after="0"/>
              <w:rPr>
                <w:sz w:val="20"/>
                <w:szCs w:val="20"/>
                <w:color w:val="auto"/>
              </w:rPr>
            </w:pPr>
            <w:r>
              <w:rPr>
                <w:rFonts w:ascii="Arial" w:cs="Arial" w:eastAsia="Arial" w:hAnsi="Arial"/>
                <w:sz w:val="14"/>
                <w:szCs w:val="14"/>
                <w:b w:val="1"/>
                <w:bCs w:val="1"/>
                <w:color w:val="auto"/>
              </w:rPr>
              <w:t>As of December 31</w:t>
            </w:r>
          </w:p>
        </w:tc>
      </w:tr>
      <w:tr>
        <w:trPr>
          <w:trHeight w:val="264"/>
        </w:trPr>
        <w:tc>
          <w:tcPr>
            <w:tcW w:w="65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82"/>
              <w:spacing w:after="0"/>
              <w:rPr>
                <w:sz w:val="20"/>
                <w:szCs w:val="20"/>
                <w:color w:val="auto"/>
              </w:rPr>
            </w:pPr>
            <w:r>
              <w:rPr>
                <w:rFonts w:ascii="Arial" w:cs="Arial" w:eastAsia="Arial" w:hAnsi="Arial"/>
                <w:sz w:val="14"/>
                <w:szCs w:val="14"/>
                <w:b w:val="1"/>
                <w:bCs w:val="1"/>
                <w:color w:val="auto"/>
              </w:rPr>
              <w:t>2016</w:t>
            </w:r>
          </w:p>
        </w:tc>
        <w:tc>
          <w:tcPr>
            <w:tcW w:w="3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color w:val="auto"/>
              </w:rPr>
              <w:t>2015</w:t>
            </w:r>
          </w:p>
        </w:tc>
        <w:tc>
          <w:tcPr>
            <w:tcW w:w="3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62"/>
              <w:spacing w:after="0"/>
              <w:rPr>
                <w:sz w:val="20"/>
                <w:szCs w:val="20"/>
                <w:color w:val="auto"/>
              </w:rPr>
            </w:pPr>
            <w:r>
              <w:rPr>
                <w:rFonts w:ascii="Arial" w:cs="Arial" w:eastAsia="Arial" w:hAnsi="Arial"/>
                <w:sz w:val="14"/>
                <w:szCs w:val="14"/>
                <w:b w:val="1"/>
                <w:bCs w:val="1"/>
                <w:color w:val="auto"/>
              </w:rPr>
              <w:t>2016</w:t>
            </w:r>
          </w:p>
        </w:tc>
        <w:tc>
          <w:tcPr>
            <w:tcW w:w="3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color w:val="auto"/>
              </w:rPr>
              <w:t>2015</w:t>
            </w:r>
          </w:p>
        </w:tc>
      </w:tr>
      <w:tr>
        <w:trPr>
          <w:trHeight w:val="257"/>
        </w:trPr>
        <w:tc>
          <w:tcPr>
            <w:tcW w:w="6520" w:type="dxa"/>
            <w:vAlign w:val="bottom"/>
          </w:tcPr>
          <w:p>
            <w:pPr>
              <w:ind w:left="40"/>
              <w:spacing w:after="0"/>
              <w:rPr>
                <w:sz w:val="20"/>
                <w:szCs w:val="20"/>
                <w:color w:val="auto"/>
              </w:rPr>
            </w:pPr>
            <w:r>
              <w:rPr>
                <w:rFonts w:ascii="Arial" w:cs="Arial" w:eastAsia="Arial" w:hAnsi="Arial"/>
                <w:sz w:val="16"/>
                <w:szCs w:val="16"/>
                <w:color w:val="auto"/>
              </w:rPr>
              <w:t>Unrecognized actuarial (gain) loss</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22"/>
              <w:spacing w:after="0"/>
              <w:rPr>
                <w:sz w:val="20"/>
                <w:szCs w:val="20"/>
                <w:color w:val="auto"/>
              </w:rPr>
            </w:pPr>
            <w:r>
              <w:rPr>
                <w:rFonts w:ascii="Arial" w:cs="Arial" w:eastAsia="Arial" w:hAnsi="Arial"/>
                <w:sz w:val="16"/>
                <w:szCs w:val="16"/>
                <w:b w:val="1"/>
                <w:bCs w:val="1"/>
                <w:color w:val="auto"/>
              </w:rPr>
              <w:t>(285,304)</w:t>
            </w: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(451,076)</w:t>
            </w:r>
          </w:p>
        </w:tc>
        <w:tc>
          <w:tcPr>
            <w:tcW w:w="32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ind w:right="82"/>
              <w:spacing w:after="0"/>
              <w:rPr>
                <w:sz w:val="20"/>
                <w:szCs w:val="20"/>
                <w:color w:val="auto"/>
              </w:rPr>
            </w:pPr>
            <w:r>
              <w:rPr>
                <w:rFonts w:ascii="Arial" w:cs="Arial" w:eastAsia="Arial" w:hAnsi="Arial"/>
                <w:sz w:val="16"/>
                <w:szCs w:val="16"/>
                <w:b w:val="1"/>
                <w:bCs w:val="1"/>
                <w:color w:val="auto"/>
              </w:rPr>
              <w:t>24,958</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26,497</w:t>
            </w:r>
          </w:p>
        </w:tc>
      </w:tr>
      <w:tr>
        <w:trPr>
          <w:trHeight w:val="274"/>
        </w:trPr>
        <w:tc>
          <w:tcPr>
            <w:tcW w:w="6520" w:type="dxa"/>
            <w:vAlign w:val="bottom"/>
          </w:tcPr>
          <w:p>
            <w:pPr>
              <w:ind w:left="40"/>
              <w:spacing w:after="0"/>
              <w:rPr>
                <w:sz w:val="20"/>
                <w:szCs w:val="20"/>
                <w:color w:val="auto"/>
              </w:rPr>
            </w:pPr>
            <w:r>
              <w:rPr>
                <w:rFonts w:ascii="Arial" w:cs="Arial" w:eastAsia="Arial" w:hAnsi="Arial"/>
                <w:sz w:val="16"/>
                <w:szCs w:val="16"/>
                <w:color w:val="auto"/>
              </w:rPr>
              <w:t>Unrecognized prior service cost</w:t>
            </w:r>
          </w:p>
        </w:tc>
        <w:tc>
          <w:tcPr>
            <w:tcW w:w="26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b w:val="1"/>
                <w:bCs w:val="1"/>
                <w:color w:val="auto"/>
              </w:rPr>
              <w:t>365</w:t>
            </w:r>
          </w:p>
        </w:tc>
        <w:tc>
          <w:tcPr>
            <w:tcW w:w="34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662</w:t>
            </w:r>
          </w:p>
        </w:tc>
        <w:tc>
          <w:tcPr>
            <w:tcW w:w="32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b w:val="1"/>
                <w:bCs w:val="1"/>
                <w:color w:val="auto"/>
              </w:rPr>
              <w:t>775</w:t>
            </w:r>
          </w:p>
        </w:tc>
        <w:tc>
          <w:tcPr>
            <w:tcW w:w="34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1,232</w:t>
            </w:r>
          </w:p>
        </w:tc>
      </w:tr>
      <w:tr>
        <w:trPr>
          <w:trHeight w:val="260"/>
        </w:trPr>
        <w:tc>
          <w:tcPr>
            <w:tcW w:w="6520" w:type="dxa"/>
            <w:vAlign w:val="bottom"/>
          </w:tcPr>
          <w:p>
            <w:pPr>
              <w:ind w:left="40"/>
              <w:spacing w:after="0"/>
              <w:rPr>
                <w:sz w:val="20"/>
                <w:szCs w:val="20"/>
                <w:color w:val="auto"/>
              </w:rPr>
            </w:pPr>
            <w:r>
              <w:rPr>
                <w:rFonts w:ascii="Arial" w:cs="Arial" w:eastAsia="Arial" w:hAnsi="Arial"/>
                <w:sz w:val="16"/>
                <w:szCs w:val="16"/>
                <w:b w:val="1"/>
                <w:bCs w:val="1"/>
                <w:color w:val="auto"/>
              </w:rPr>
              <w:t>Gross Amount</w:t>
            </w:r>
          </w:p>
        </w:tc>
        <w:tc>
          <w:tcPr>
            <w:tcW w:w="260" w:type="dxa"/>
            <w:vAlign w:val="bottom"/>
          </w:tcPr>
          <w:p>
            <w:pPr>
              <w:spacing w:after="0"/>
              <w:rPr>
                <w:sz w:val="22"/>
                <w:szCs w:val="22"/>
                <w:color w:val="auto"/>
              </w:rPr>
            </w:pPr>
          </w:p>
        </w:tc>
        <w:tc>
          <w:tcPr>
            <w:tcW w:w="940" w:type="dxa"/>
            <w:vAlign w:val="bottom"/>
          </w:tcPr>
          <w:p>
            <w:pPr>
              <w:jc w:val="right"/>
              <w:ind w:right="22"/>
              <w:spacing w:after="0"/>
              <w:rPr>
                <w:sz w:val="20"/>
                <w:szCs w:val="20"/>
                <w:color w:val="auto"/>
              </w:rPr>
            </w:pPr>
            <w:r>
              <w:rPr>
                <w:rFonts w:ascii="Arial" w:cs="Arial" w:eastAsia="Arial" w:hAnsi="Arial"/>
                <w:sz w:val="16"/>
                <w:szCs w:val="16"/>
                <w:b w:val="1"/>
                <w:bCs w:val="1"/>
                <w:color w:val="auto"/>
              </w:rPr>
              <w:t>(284,939)</w:t>
            </w:r>
          </w:p>
        </w:tc>
        <w:tc>
          <w:tcPr>
            <w:tcW w:w="340" w:type="dxa"/>
            <w:vAlign w:val="bottom"/>
          </w:tcPr>
          <w:p>
            <w:pPr>
              <w:spacing w:after="0"/>
              <w:rPr>
                <w:sz w:val="22"/>
                <w:szCs w:val="22"/>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(450,414)</w:t>
            </w:r>
          </w:p>
        </w:tc>
        <w:tc>
          <w:tcPr>
            <w:tcW w:w="320" w:type="dxa"/>
            <w:vAlign w:val="bottom"/>
          </w:tcPr>
          <w:p>
            <w:pPr>
              <w:spacing w:after="0"/>
              <w:rPr>
                <w:sz w:val="22"/>
                <w:szCs w:val="22"/>
                <w:color w:val="auto"/>
              </w:rPr>
            </w:pPr>
          </w:p>
        </w:tc>
        <w:tc>
          <w:tcPr>
            <w:tcW w:w="920" w:type="dxa"/>
            <w:vAlign w:val="bottom"/>
          </w:tcPr>
          <w:p>
            <w:pPr>
              <w:jc w:val="right"/>
              <w:ind w:right="82"/>
              <w:spacing w:after="0"/>
              <w:rPr>
                <w:sz w:val="20"/>
                <w:szCs w:val="20"/>
                <w:color w:val="auto"/>
              </w:rPr>
            </w:pPr>
            <w:r>
              <w:rPr>
                <w:rFonts w:ascii="Arial" w:cs="Arial" w:eastAsia="Arial" w:hAnsi="Arial"/>
                <w:sz w:val="16"/>
                <w:szCs w:val="16"/>
                <w:b w:val="1"/>
                <w:bCs w:val="1"/>
                <w:color w:val="auto"/>
              </w:rPr>
              <w:t>25,733</w:t>
            </w:r>
          </w:p>
        </w:tc>
        <w:tc>
          <w:tcPr>
            <w:tcW w:w="340" w:type="dxa"/>
            <w:vAlign w:val="bottom"/>
          </w:tcPr>
          <w:p>
            <w:pPr>
              <w:spacing w:after="0"/>
              <w:rPr>
                <w:sz w:val="22"/>
                <w:szCs w:val="22"/>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27,729</w:t>
            </w:r>
          </w:p>
        </w:tc>
      </w:tr>
      <w:tr>
        <w:trPr>
          <w:trHeight w:val="274"/>
        </w:trPr>
        <w:tc>
          <w:tcPr>
            <w:tcW w:w="6520" w:type="dxa"/>
            <w:vAlign w:val="bottom"/>
          </w:tcPr>
          <w:p>
            <w:pPr>
              <w:ind w:left="40"/>
              <w:spacing w:after="0"/>
              <w:rPr>
                <w:sz w:val="20"/>
                <w:szCs w:val="20"/>
                <w:color w:val="auto"/>
              </w:rPr>
            </w:pPr>
            <w:r>
              <w:rPr>
                <w:rFonts w:ascii="Arial" w:cs="Arial" w:eastAsia="Arial" w:hAnsi="Arial"/>
                <w:sz w:val="16"/>
                <w:szCs w:val="16"/>
                <w:color w:val="auto"/>
              </w:rPr>
              <w:t>Deferred tax liability (asset)</w:t>
            </w:r>
          </w:p>
        </w:tc>
        <w:tc>
          <w:tcPr>
            <w:tcW w:w="26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b w:val="1"/>
                <w:bCs w:val="1"/>
                <w:color w:val="auto"/>
              </w:rPr>
              <w:t>113,976</w:t>
            </w:r>
          </w:p>
        </w:tc>
        <w:tc>
          <w:tcPr>
            <w:tcW w:w="34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180,166</w:t>
            </w:r>
          </w:p>
        </w:tc>
        <w:tc>
          <w:tcPr>
            <w:tcW w:w="32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b w:val="1"/>
                <w:bCs w:val="1"/>
                <w:color w:val="auto"/>
              </w:rPr>
              <w:t>(10,293)</w:t>
            </w:r>
          </w:p>
        </w:tc>
        <w:tc>
          <w:tcPr>
            <w:tcW w:w="34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(11,091)</w:t>
            </w:r>
          </w:p>
        </w:tc>
      </w:tr>
      <w:tr>
        <w:trPr>
          <w:trHeight w:val="267"/>
        </w:trPr>
        <w:tc>
          <w:tcPr>
            <w:tcW w:w="6520" w:type="dxa"/>
            <w:vAlign w:val="bottom"/>
          </w:tcPr>
          <w:p>
            <w:pPr>
              <w:ind w:left="40"/>
              <w:spacing w:after="0"/>
              <w:rPr>
                <w:sz w:val="20"/>
                <w:szCs w:val="20"/>
                <w:color w:val="auto"/>
              </w:rPr>
            </w:pPr>
            <w:r>
              <w:rPr>
                <w:rFonts w:ascii="Arial" w:cs="Arial" w:eastAsia="Arial" w:hAnsi="Arial"/>
                <w:sz w:val="16"/>
                <w:szCs w:val="16"/>
                <w:b w:val="1"/>
                <w:bCs w:val="1"/>
                <w:color w:val="auto"/>
              </w:rPr>
              <w:t>Net Amount</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b w:val="1"/>
                <w:bCs w:val="1"/>
                <w:color w:val="auto"/>
              </w:rPr>
              <w:t>(170,963)</w:t>
            </w:r>
          </w:p>
        </w:tc>
        <w:tc>
          <w:tcPr>
            <w:tcW w:w="3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(270,248)</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b w:val="1"/>
                <w:bCs w:val="1"/>
                <w:color w:val="auto"/>
              </w:rPr>
              <w:t>15,440</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16,638</w:t>
            </w:r>
          </w:p>
        </w:tc>
      </w:tr>
      <w:tr>
        <w:trPr>
          <w:trHeight w:val="20"/>
        </w:trPr>
        <w:tc>
          <w:tcPr>
            <w:tcW w:w="65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During 2017, the Company expects to recognize the following amortization components of net periodic cost for the defined benefit plans: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90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3"/>
              <w:spacing w:after="0"/>
              <w:rPr>
                <w:sz w:val="20"/>
                <w:szCs w:val="20"/>
                <w:color w:val="auto"/>
              </w:rPr>
            </w:pPr>
            <w:r>
              <w:rPr>
                <w:rFonts w:ascii="Arial" w:cs="Arial" w:eastAsia="Arial" w:hAnsi="Arial"/>
                <w:sz w:val="14"/>
                <w:szCs w:val="14"/>
                <w:color w:val="auto"/>
              </w:rPr>
              <w:t>2017</w:t>
            </w:r>
          </w:p>
        </w:tc>
        <w:tc>
          <w:tcPr>
            <w:tcW w:w="2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r>
      <w:tr>
        <w:trPr>
          <w:trHeight w:val="264"/>
        </w:trPr>
        <w:tc>
          <w:tcPr>
            <w:tcW w:w="90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223"/>
              <w:spacing w:after="0"/>
              <w:rPr>
                <w:sz w:val="20"/>
                <w:szCs w:val="20"/>
                <w:color w:val="auto"/>
              </w:rPr>
            </w:pPr>
            <w:r>
              <w:rPr>
                <w:rFonts w:ascii="Arial" w:cs="Arial" w:eastAsia="Arial" w:hAnsi="Arial"/>
                <w:sz w:val="14"/>
                <w:szCs w:val="14"/>
                <w:color w:val="auto"/>
              </w:rPr>
              <w:t>Pension Plans</w:t>
            </w:r>
          </w:p>
        </w:tc>
        <w:tc>
          <w:tcPr>
            <w:tcW w:w="2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182"/>
              <w:spacing w:after="0"/>
              <w:rPr>
                <w:sz w:val="20"/>
                <w:szCs w:val="20"/>
                <w:color w:val="auto"/>
              </w:rPr>
            </w:pPr>
            <w:r>
              <w:rPr>
                <w:rFonts w:ascii="Arial" w:cs="Arial" w:eastAsia="Arial" w:hAnsi="Arial"/>
                <w:sz w:val="14"/>
                <w:szCs w:val="14"/>
                <w:color w:val="auto"/>
              </w:rPr>
              <w:t>SERP</w:t>
            </w:r>
          </w:p>
        </w:tc>
      </w:tr>
      <w:tr>
        <w:trPr>
          <w:trHeight w:val="252"/>
        </w:trPr>
        <w:tc>
          <w:tcPr>
            <w:tcW w:w="9020" w:type="dxa"/>
            <w:vAlign w:val="bottom"/>
          </w:tcPr>
          <w:p>
            <w:pPr>
              <w:ind w:left="40"/>
              <w:spacing w:after="0"/>
              <w:rPr>
                <w:sz w:val="20"/>
                <w:szCs w:val="20"/>
                <w:color w:val="auto"/>
              </w:rPr>
            </w:pPr>
            <w:r>
              <w:rPr>
                <w:rFonts w:ascii="Arial" w:cs="Arial" w:eastAsia="Arial" w:hAnsi="Arial"/>
                <w:sz w:val="16"/>
                <w:szCs w:val="16"/>
                <w:color w:val="auto"/>
              </w:rPr>
              <w:t>Actuarial (gain) loss recognition</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43"/>
              <w:spacing w:after="0"/>
              <w:rPr>
                <w:sz w:val="20"/>
                <w:szCs w:val="20"/>
                <w:color w:val="auto"/>
              </w:rPr>
            </w:pPr>
            <w:r>
              <w:rPr>
                <w:rFonts w:ascii="Arial" w:cs="Arial" w:eastAsia="Arial" w:hAnsi="Arial"/>
                <w:sz w:val="16"/>
                <w:szCs w:val="16"/>
                <w:color w:val="auto"/>
              </w:rPr>
              <w:t>(5,161)</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22"/>
              <w:spacing w:after="0"/>
              <w:rPr>
                <w:sz w:val="20"/>
                <w:szCs w:val="20"/>
                <w:color w:val="auto"/>
              </w:rPr>
            </w:pPr>
            <w:r>
              <w:rPr>
                <w:rFonts w:ascii="Arial" w:cs="Arial" w:eastAsia="Arial" w:hAnsi="Arial"/>
                <w:sz w:val="16"/>
                <w:szCs w:val="16"/>
                <w:color w:val="auto"/>
              </w:rPr>
              <w:t>1,827</w:t>
            </w:r>
          </w:p>
        </w:tc>
      </w:tr>
      <w:tr>
        <w:trPr>
          <w:trHeight w:val="270"/>
        </w:trPr>
        <w:tc>
          <w:tcPr>
            <w:tcW w:w="9020" w:type="dxa"/>
            <w:vAlign w:val="bottom"/>
          </w:tcPr>
          <w:p>
            <w:pPr>
              <w:ind w:left="40"/>
              <w:spacing w:after="0"/>
              <w:rPr>
                <w:sz w:val="20"/>
                <w:szCs w:val="20"/>
                <w:color w:val="auto"/>
              </w:rPr>
            </w:pPr>
            <w:r>
              <w:rPr>
                <w:rFonts w:ascii="Arial" w:cs="Arial" w:eastAsia="Arial" w:hAnsi="Arial"/>
                <w:sz w:val="16"/>
                <w:szCs w:val="16"/>
                <w:color w:val="auto"/>
              </w:rPr>
              <w:t>Prior service cost recognition</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103"/>
              <w:spacing w:after="0"/>
              <w:rPr>
                <w:sz w:val="20"/>
                <w:szCs w:val="20"/>
                <w:color w:val="auto"/>
              </w:rPr>
            </w:pPr>
            <w:r>
              <w:rPr>
                <w:rFonts w:ascii="Arial" w:cs="Arial" w:eastAsia="Arial" w:hAnsi="Arial"/>
                <w:sz w:val="16"/>
                <w:szCs w:val="16"/>
                <w:color w:val="auto"/>
              </w:rPr>
              <w:t>156</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22"/>
              <w:spacing w:after="0"/>
              <w:rPr>
                <w:sz w:val="20"/>
                <w:szCs w:val="20"/>
                <w:color w:val="auto"/>
              </w:rPr>
            </w:pPr>
            <w:r>
              <w:rPr>
                <w:rFonts w:ascii="Arial" w:cs="Arial" w:eastAsia="Arial" w:hAnsi="Arial"/>
                <w:sz w:val="16"/>
                <w:szCs w:val="16"/>
                <w:color w:val="auto"/>
              </w:rPr>
              <w:t>457</w:t>
            </w:r>
          </w:p>
        </w:tc>
      </w:tr>
    </w:tbl>
    <w:p>
      <w:pPr>
        <w:spacing w:after="0" w:line="139" w:lineRule="exact"/>
        <w:rPr>
          <w:sz w:val="20"/>
          <w:szCs w:val="20"/>
          <w:color w:val="auto"/>
        </w:rPr>
      </w:pPr>
    </w:p>
    <w:p>
      <w:pPr>
        <w:ind w:right="340"/>
        <w:spacing w:after="0" w:line="241" w:lineRule="auto"/>
        <w:rPr>
          <w:sz w:val="20"/>
          <w:szCs w:val="20"/>
          <w:color w:val="auto"/>
        </w:rPr>
      </w:pPr>
      <w:r>
        <w:rPr>
          <w:rFonts w:ascii="Arial" w:cs="Arial" w:eastAsia="Arial" w:hAnsi="Arial"/>
          <w:sz w:val="18"/>
          <w:szCs w:val="18"/>
          <w:b w:val="1"/>
          <w:bCs w:val="1"/>
          <w:color w:val="auto"/>
        </w:rPr>
        <w:t xml:space="preserve">Defined Benefit Plan Assets. </w:t>
      </w:r>
      <w:r>
        <w:rPr>
          <w:rFonts w:ascii="Arial" w:cs="Arial" w:eastAsia="Arial" w:hAnsi="Arial"/>
          <w:sz w:val="18"/>
          <w:szCs w:val="18"/>
          <w:color w:val="auto"/>
        </w:rPr>
        <w:t>The Company’s defined benefit pension obligations are funded by a portfolio made up of a U.S. stock index</w:t>
      </w:r>
      <w:r>
        <w:rPr>
          <w:rFonts w:ascii="Arial" w:cs="Arial" w:eastAsia="Arial" w:hAnsi="Arial"/>
          <w:sz w:val="18"/>
          <w:szCs w:val="18"/>
          <w:b w:val="1"/>
          <w:bCs w:val="1"/>
          <w:color w:val="auto"/>
        </w:rPr>
        <w:t xml:space="preserve"> </w:t>
      </w:r>
      <w:r>
        <w:rPr>
          <w:rFonts w:ascii="Arial" w:cs="Arial" w:eastAsia="Arial" w:hAnsi="Arial"/>
          <w:sz w:val="18"/>
          <w:szCs w:val="18"/>
          <w:color w:val="auto"/>
        </w:rPr>
        <w:t>fund, a relatively small number of stocks and high-quality fixed-income securities that are held by a third-party trustee. The assets of the Company’s pension plans were allocated as follows: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9360" w:type="dxa"/>
            <w:vAlign w:val="bottom"/>
          </w:tcPr>
          <w:p>
            <w:pPr>
              <w:spacing w:after="0"/>
              <w:rPr>
                <w:sz w:val="17"/>
                <w:szCs w:val="17"/>
                <w:color w:val="auto"/>
              </w:rPr>
            </w:pPr>
          </w:p>
        </w:tc>
        <w:tc>
          <w:tcPr>
            <w:tcW w:w="206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4"/>
                <w:szCs w:val="14"/>
                <w:b w:val="1"/>
                <w:bCs w:val="1"/>
                <w:color w:val="auto"/>
              </w:rPr>
              <w:t>As of December 31</w:t>
            </w:r>
          </w:p>
        </w:tc>
      </w:tr>
      <w:tr>
        <w:trPr>
          <w:trHeight w:val="264"/>
        </w:trPr>
        <w:tc>
          <w:tcPr>
            <w:tcW w:w="93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42"/>
              <w:spacing w:after="0"/>
              <w:rPr>
                <w:sz w:val="20"/>
                <w:szCs w:val="20"/>
                <w:color w:val="auto"/>
              </w:rPr>
            </w:pPr>
            <w:r>
              <w:rPr>
                <w:rFonts w:ascii="Arial" w:cs="Arial" w:eastAsia="Arial" w:hAnsi="Arial"/>
                <w:sz w:val="14"/>
                <w:szCs w:val="14"/>
                <w:b w:val="1"/>
                <w:bCs w:val="1"/>
                <w:color w:val="auto"/>
              </w:rPr>
              <w:t>2016</w:t>
            </w:r>
          </w:p>
        </w:tc>
        <w:tc>
          <w:tcPr>
            <w:tcW w:w="88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color w:val="auto"/>
              </w:rPr>
              <w:t>2015</w:t>
            </w:r>
          </w:p>
        </w:tc>
      </w:tr>
      <w:tr>
        <w:trPr>
          <w:trHeight w:val="257"/>
        </w:trPr>
        <w:tc>
          <w:tcPr>
            <w:tcW w:w="9360" w:type="dxa"/>
            <w:vAlign w:val="bottom"/>
          </w:tcPr>
          <w:p>
            <w:pPr>
              <w:ind w:left="40"/>
              <w:spacing w:after="0"/>
              <w:rPr>
                <w:sz w:val="20"/>
                <w:szCs w:val="20"/>
                <w:color w:val="auto"/>
              </w:rPr>
            </w:pPr>
            <w:r>
              <w:rPr>
                <w:rFonts w:ascii="Arial" w:cs="Arial" w:eastAsia="Arial" w:hAnsi="Arial"/>
                <w:sz w:val="16"/>
                <w:szCs w:val="16"/>
                <w:color w:val="auto"/>
              </w:rPr>
              <w:t>U.S. equities</w:t>
            </w:r>
          </w:p>
        </w:tc>
        <w:tc>
          <w:tcPr>
            <w:tcW w:w="1180" w:type="dxa"/>
            <w:vAlign w:val="bottom"/>
          </w:tcPr>
          <w:p>
            <w:pPr>
              <w:jc w:val="right"/>
              <w:ind w:right="162"/>
              <w:spacing w:after="0"/>
              <w:rPr>
                <w:sz w:val="20"/>
                <w:szCs w:val="20"/>
                <w:color w:val="auto"/>
              </w:rPr>
            </w:pPr>
            <w:r>
              <w:rPr>
                <w:rFonts w:ascii="Arial" w:cs="Arial" w:eastAsia="Arial" w:hAnsi="Arial"/>
                <w:sz w:val="16"/>
                <w:szCs w:val="16"/>
                <w:b w:val="1"/>
                <w:bCs w:val="1"/>
                <w:color w:val="auto"/>
              </w:rPr>
              <w:t>53%</w:t>
            </w:r>
          </w:p>
        </w:tc>
        <w:tc>
          <w:tcPr>
            <w:tcW w:w="880" w:type="dxa"/>
            <w:vAlign w:val="bottom"/>
          </w:tcPr>
          <w:p>
            <w:pPr>
              <w:jc w:val="right"/>
              <w:spacing w:after="0"/>
              <w:rPr>
                <w:sz w:val="20"/>
                <w:szCs w:val="20"/>
                <w:color w:val="auto"/>
              </w:rPr>
            </w:pPr>
            <w:r>
              <w:rPr>
                <w:rFonts w:ascii="Arial" w:cs="Arial" w:eastAsia="Arial" w:hAnsi="Arial"/>
                <w:sz w:val="16"/>
                <w:szCs w:val="16"/>
                <w:color w:val="auto"/>
              </w:rPr>
              <w:t>62%</w:t>
            </w:r>
          </w:p>
        </w:tc>
      </w:tr>
      <w:tr>
        <w:trPr>
          <w:trHeight w:val="270"/>
        </w:trPr>
        <w:tc>
          <w:tcPr>
            <w:tcW w:w="9360" w:type="dxa"/>
            <w:vAlign w:val="bottom"/>
          </w:tcPr>
          <w:p>
            <w:pPr>
              <w:ind w:left="40"/>
              <w:spacing w:after="0"/>
              <w:rPr>
                <w:sz w:val="20"/>
                <w:szCs w:val="20"/>
                <w:color w:val="auto"/>
              </w:rPr>
            </w:pPr>
            <w:r>
              <w:rPr>
                <w:rFonts w:ascii="Arial" w:cs="Arial" w:eastAsia="Arial" w:hAnsi="Arial"/>
                <w:sz w:val="16"/>
                <w:szCs w:val="16"/>
                <w:color w:val="auto"/>
              </w:rPr>
              <w:t>U.S. stock index fund</w:t>
            </w:r>
          </w:p>
        </w:tc>
        <w:tc>
          <w:tcPr>
            <w:tcW w:w="1180" w:type="dxa"/>
            <w:vAlign w:val="bottom"/>
          </w:tcPr>
          <w:p>
            <w:pPr>
              <w:jc w:val="right"/>
              <w:ind w:right="162"/>
              <w:spacing w:after="0"/>
              <w:rPr>
                <w:sz w:val="20"/>
                <w:szCs w:val="20"/>
                <w:color w:val="auto"/>
              </w:rPr>
            </w:pPr>
            <w:r>
              <w:rPr>
                <w:rFonts w:ascii="Arial" w:cs="Arial" w:eastAsia="Arial" w:hAnsi="Arial"/>
                <w:sz w:val="16"/>
                <w:szCs w:val="16"/>
                <w:b w:val="1"/>
                <w:bCs w:val="1"/>
                <w:color w:val="auto"/>
              </w:rPr>
              <w:t>30%</w:t>
            </w: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70"/>
        </w:trPr>
        <w:tc>
          <w:tcPr>
            <w:tcW w:w="9360" w:type="dxa"/>
            <w:vAlign w:val="bottom"/>
          </w:tcPr>
          <w:p>
            <w:pPr>
              <w:ind w:left="40"/>
              <w:spacing w:after="0"/>
              <w:rPr>
                <w:sz w:val="20"/>
                <w:szCs w:val="20"/>
                <w:color w:val="auto"/>
              </w:rPr>
            </w:pPr>
            <w:r>
              <w:rPr>
                <w:rFonts w:ascii="Arial" w:cs="Arial" w:eastAsia="Arial" w:hAnsi="Arial"/>
                <w:sz w:val="16"/>
                <w:szCs w:val="16"/>
                <w:color w:val="auto"/>
              </w:rPr>
              <w:t>U.S. fixed income</w:t>
            </w:r>
          </w:p>
        </w:tc>
        <w:tc>
          <w:tcPr>
            <w:tcW w:w="1180" w:type="dxa"/>
            <w:vAlign w:val="bottom"/>
          </w:tcPr>
          <w:p>
            <w:pPr>
              <w:jc w:val="right"/>
              <w:ind w:right="162"/>
              <w:spacing w:after="0"/>
              <w:rPr>
                <w:sz w:val="20"/>
                <w:szCs w:val="20"/>
                <w:color w:val="auto"/>
              </w:rPr>
            </w:pPr>
            <w:r>
              <w:rPr>
                <w:rFonts w:ascii="Arial" w:cs="Arial" w:eastAsia="Arial" w:hAnsi="Arial"/>
                <w:sz w:val="16"/>
                <w:szCs w:val="16"/>
                <w:b w:val="1"/>
                <w:bCs w:val="1"/>
                <w:color w:val="auto"/>
              </w:rPr>
              <w:t>11%</w:t>
            </w:r>
          </w:p>
        </w:tc>
        <w:tc>
          <w:tcPr>
            <w:tcW w:w="880" w:type="dxa"/>
            <w:vAlign w:val="bottom"/>
          </w:tcPr>
          <w:p>
            <w:pPr>
              <w:jc w:val="right"/>
              <w:spacing w:after="0"/>
              <w:rPr>
                <w:sz w:val="20"/>
                <w:szCs w:val="20"/>
                <w:color w:val="auto"/>
              </w:rPr>
            </w:pPr>
            <w:r>
              <w:rPr>
                <w:rFonts w:ascii="Arial" w:cs="Arial" w:eastAsia="Arial" w:hAnsi="Arial"/>
                <w:sz w:val="16"/>
                <w:szCs w:val="16"/>
                <w:color w:val="auto"/>
              </w:rPr>
              <w:t>13%</w:t>
            </w:r>
          </w:p>
        </w:tc>
      </w:tr>
      <w:tr>
        <w:trPr>
          <w:trHeight w:val="274"/>
        </w:trPr>
        <w:tc>
          <w:tcPr>
            <w:tcW w:w="9360" w:type="dxa"/>
            <w:vAlign w:val="bottom"/>
          </w:tcPr>
          <w:p>
            <w:pPr>
              <w:ind w:left="40"/>
              <w:spacing w:after="0"/>
              <w:rPr>
                <w:sz w:val="20"/>
                <w:szCs w:val="20"/>
                <w:color w:val="auto"/>
              </w:rPr>
            </w:pPr>
            <w:r>
              <w:rPr>
                <w:rFonts w:ascii="Arial" w:cs="Arial" w:eastAsia="Arial" w:hAnsi="Arial"/>
                <w:sz w:val="16"/>
                <w:szCs w:val="16"/>
                <w:color w:val="auto"/>
              </w:rPr>
              <w:t>International equities</w:t>
            </w:r>
          </w:p>
        </w:tc>
        <w:tc>
          <w:tcPr>
            <w:tcW w:w="1180" w:type="dxa"/>
            <w:vAlign w:val="bottom"/>
            <w:tcBorders>
              <w:bottom w:val="single" w:sz="8" w:color="auto"/>
            </w:tcBorders>
          </w:tcPr>
          <w:p>
            <w:pPr>
              <w:jc w:val="right"/>
              <w:ind w:right="162"/>
              <w:spacing w:after="0"/>
              <w:rPr>
                <w:sz w:val="20"/>
                <w:szCs w:val="20"/>
                <w:color w:val="auto"/>
              </w:rPr>
            </w:pPr>
            <w:r>
              <w:rPr>
                <w:rFonts w:ascii="Arial" w:cs="Arial" w:eastAsia="Arial" w:hAnsi="Arial"/>
                <w:sz w:val="16"/>
                <w:szCs w:val="16"/>
                <w:b w:val="1"/>
                <w:bCs w:val="1"/>
                <w:color w:val="auto"/>
              </w:rPr>
              <w:t>6%</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w:t>
            </w:r>
          </w:p>
        </w:tc>
      </w:tr>
      <w:tr>
        <w:trPr>
          <w:trHeight w:val="264"/>
        </w:trPr>
        <w:tc>
          <w:tcPr>
            <w:tcW w:w="9360" w:type="dxa"/>
            <w:vAlign w:val="bottom"/>
          </w:tcPr>
          <w:p>
            <w:pPr>
              <w:spacing w:after="0"/>
              <w:rPr>
                <w:sz w:val="22"/>
                <w:szCs w:val="22"/>
                <w:color w:val="auto"/>
              </w:rPr>
            </w:pPr>
          </w:p>
        </w:tc>
        <w:tc>
          <w:tcPr>
            <w:tcW w:w="1180" w:type="dxa"/>
            <w:vAlign w:val="bottom"/>
            <w:tcBorders>
              <w:bottom w:val="single" w:sz="8" w:color="auto"/>
            </w:tcBorders>
          </w:tcPr>
          <w:p>
            <w:pPr>
              <w:jc w:val="right"/>
              <w:ind w:right="162"/>
              <w:spacing w:after="0"/>
              <w:rPr>
                <w:sz w:val="20"/>
                <w:szCs w:val="20"/>
                <w:color w:val="auto"/>
              </w:rPr>
            </w:pPr>
            <w:r>
              <w:rPr>
                <w:rFonts w:ascii="Arial" w:cs="Arial" w:eastAsia="Arial" w:hAnsi="Arial"/>
                <w:sz w:val="16"/>
                <w:szCs w:val="16"/>
                <w:b w:val="1"/>
                <w:bCs w:val="1"/>
                <w:color w:val="auto"/>
              </w:rPr>
              <w:t>100%</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w:t>
            </w:r>
          </w:p>
        </w:tc>
      </w:tr>
      <w:tr>
        <w:trPr>
          <w:trHeight w:val="20"/>
        </w:trPr>
        <w:tc>
          <w:tcPr>
            <w:tcW w:w="936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26" w:lineRule="exact"/>
        <w:rPr>
          <w:sz w:val="20"/>
          <w:szCs w:val="20"/>
          <w:color w:val="auto"/>
        </w:rPr>
      </w:pPr>
    </w:p>
    <w:p>
      <w:pPr>
        <w:ind w:right="240"/>
        <w:spacing w:after="0" w:line="222" w:lineRule="auto"/>
        <w:rPr>
          <w:sz w:val="20"/>
          <w:szCs w:val="20"/>
          <w:color w:val="auto"/>
        </w:rPr>
      </w:pPr>
      <w:r>
        <w:rPr>
          <w:rFonts w:ascii="Arial" w:cs="Arial" w:eastAsia="Arial" w:hAnsi="Arial"/>
          <w:sz w:val="18"/>
          <w:szCs w:val="18"/>
          <w:color w:val="auto"/>
        </w:rPr>
        <w:t>Beginning in the second quarter of 2016, the Company started managing approximately 44% of the pension assets internally, of which the majority is invested in a U.S. stock index fund with the remaining investments in Berkshire Hathaway stock and short-term income securities. The remaining 56% of plan assets are still managed by two investment companies. The goal of the investment managers is to produce moderate long-term growth in the value of these assets, while protecting them against large decreases in value. Both investment managers may invest in a combination of equity and fixed-income securities and cash. The managers are not permitted to invest in securities of the Company or in alternative investments. The investment managers cannot invest more than 20% of the assets at the time of purchase in the stock of Berkshire Hathaway or more than 10% of the assets in the securities of any other single issuer, except for obligations of the</w:t>
      </w:r>
    </w:p>
    <w:p>
      <w:pPr>
        <w:spacing w:after="0" w:line="5" w:lineRule="exact"/>
        <w:rPr>
          <w:sz w:val="20"/>
          <w:szCs w:val="20"/>
          <w:color w:val="auto"/>
        </w:rPr>
      </w:pPr>
    </w:p>
    <w:p>
      <w:pPr>
        <w:ind w:right="20"/>
        <w:spacing w:after="0" w:line="231" w:lineRule="auto"/>
        <w:rPr>
          <w:sz w:val="20"/>
          <w:szCs w:val="20"/>
          <w:color w:val="auto"/>
        </w:rPr>
      </w:pPr>
      <w:r>
        <w:rPr>
          <w:rFonts w:ascii="Arial" w:cs="Arial" w:eastAsia="Arial" w:hAnsi="Arial"/>
          <w:sz w:val="18"/>
          <w:szCs w:val="18"/>
          <w:color w:val="auto"/>
        </w:rPr>
        <w:t>U.S. Government, without receiving prior approval by the Plan administrator. As of December 31, 2016, the investment managers can invest no more than 23% of the assets they manage in specified international exchanges, at the time the investment is made, and no less than 10% of the assets could be invested in fixed-income securities.</w:t>
      </w:r>
    </w:p>
    <w:p>
      <w:pPr>
        <w:spacing w:after="0" w:line="110" w:lineRule="exact"/>
        <w:rPr>
          <w:sz w:val="20"/>
          <w:szCs w:val="20"/>
          <w:color w:val="auto"/>
        </w:rPr>
      </w:pPr>
    </w:p>
    <w:p>
      <w:pPr>
        <w:ind w:right="720"/>
        <w:spacing w:after="0"/>
        <w:rPr>
          <w:sz w:val="20"/>
          <w:szCs w:val="20"/>
          <w:color w:val="auto"/>
        </w:rPr>
      </w:pPr>
      <w:r>
        <w:rPr>
          <w:rFonts w:ascii="Arial" w:cs="Arial" w:eastAsia="Arial" w:hAnsi="Arial"/>
          <w:sz w:val="18"/>
          <w:szCs w:val="18"/>
          <w:color w:val="auto"/>
        </w:rPr>
        <w:t>In determining the expected rate of return on plan assets, the Company considers the relative weighting of plan assets, the historical performance of total plan assets and individual asset classes and economic and other indicators of future performance. In addition, the Company may consult with and consider the input of financial and other professionals in developing appropriate return benchmarks.</w:t>
      </w:r>
    </w:p>
    <w:p>
      <w:pPr>
        <w:sectPr>
          <w:pgSz w:w="11900" w:h="16838" w:orient="portrait"/>
          <w:cols w:equalWidth="0" w:num="1">
            <w:col w:w="11420"/>
          </w:cols>
          <w:pgMar w:left="240" w:top="724" w:right="239" w:bottom="1440" w:gutter="0" w:footer="0" w:header="0"/>
        </w:sect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97</w:t>
      </w:r>
    </w:p>
    <w:p>
      <w:pPr>
        <w:sectPr>
          <w:pgSz w:w="11900" w:h="16838" w:orient="portrait"/>
          <w:cols w:equalWidth="0" w:num="1">
            <w:col w:w="11420"/>
          </w:cols>
          <w:pgMar w:left="240" w:top="724" w:right="239" w:bottom="1440" w:gutter="0" w:footer="0" w:header="0"/>
          <w:type w:val="continuous"/>
        </w:sectPr>
      </w:pPr>
    </w:p>
    <w:bookmarkStart w:id="100" w:name="page101"/>
    <w:bookmarkEnd w:id="100"/>
    <w:p>
      <w:pPr>
        <w:ind w:right="40"/>
        <w:spacing w:after="0" w:line="228" w:lineRule="auto"/>
        <w:rPr>
          <w:sz w:val="20"/>
          <w:szCs w:val="20"/>
          <w:color w:val="auto"/>
        </w:rPr>
      </w:pPr>
      <w:r>
        <w:rPr>
          <w:rFonts w:ascii="Arial" w:cs="Arial" w:eastAsia="Arial" w:hAnsi="Arial"/>
          <w:sz w:val="18"/>
          <w:szCs w:val="18"/>
          <w:color w:val="auto"/>
        </w:rPr>
        <w:t>The Company evaluated its defined benefit pension plan asset portfolio for the existence of significant concentrations (defined as greater than 10% of plan assets) of credit risk as of December 31, 2016. Types of concentrations that were evaluated include, but are not limited to, investment concentrations in a single entity, type of industry, foreign country and individual fund. At December 31, 2016, the pension plan held investments in one common stock and one U.S. stock index fund that exceeded 10% of total plan assets valued at $978.8 million, or approximately 48% of total plan assets. At December 31, 2015, the pension plan held common stock in two investments that exceeded 10% of total plan assets, valued at $562.6 million, or 25% of total plan assets. At December 31, 2015, the pension plan held investments in one foreign country that exceeded 10% of total plan assets, valued at $332.4 million, or 15% of total plan assets.</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color w:val="auto"/>
        </w:rPr>
        <w:t>The Company’s pension plan assets measured at fair value on a recurring basis were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2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2360" w:type="dxa"/>
            <w:vAlign w:val="bottom"/>
            <w:tcBorders>
              <w:bottom w:val="single" w:sz="8" w:color="auto"/>
            </w:tcBorders>
            <w:gridSpan w:val="3"/>
          </w:tcPr>
          <w:p>
            <w:pPr>
              <w:jc w:val="center"/>
              <w:ind w:right="141"/>
              <w:spacing w:after="0"/>
              <w:rPr>
                <w:sz w:val="20"/>
                <w:szCs w:val="20"/>
                <w:color w:val="auto"/>
              </w:rPr>
            </w:pPr>
            <w:r>
              <w:rPr>
                <w:rFonts w:ascii="Arial" w:cs="Arial" w:eastAsia="Arial" w:hAnsi="Arial"/>
                <w:sz w:val="14"/>
                <w:szCs w:val="14"/>
                <w:b w:val="1"/>
                <w:bCs w:val="1"/>
                <w:color w:val="auto"/>
              </w:rPr>
              <w:t>As of December 31, 2016</w:t>
            </w: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r>
      <w:tr>
        <w:trPr>
          <w:trHeight w:val="264"/>
        </w:trPr>
        <w:tc>
          <w:tcPr>
            <w:tcW w:w="62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4"/>
                <w:szCs w:val="14"/>
                <w:b w:val="1"/>
                <w:bCs w:val="1"/>
                <w:color w:val="auto"/>
              </w:rPr>
              <w:t>Level 1</w:t>
            </w: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202"/>
              <w:spacing w:after="0"/>
              <w:rPr>
                <w:sz w:val="20"/>
                <w:szCs w:val="20"/>
                <w:color w:val="auto"/>
              </w:rPr>
            </w:pPr>
            <w:r>
              <w:rPr>
                <w:rFonts w:ascii="Arial" w:cs="Arial" w:eastAsia="Arial" w:hAnsi="Arial"/>
                <w:sz w:val="14"/>
                <w:szCs w:val="14"/>
                <w:b w:val="1"/>
                <w:bCs w:val="1"/>
                <w:color w:val="auto"/>
              </w:rPr>
              <w:t>Level 2</w:t>
            </w:r>
          </w:p>
        </w:tc>
        <w:tc>
          <w:tcPr>
            <w:tcW w:w="3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01"/>
              <w:spacing w:after="0"/>
              <w:rPr>
                <w:sz w:val="20"/>
                <w:szCs w:val="20"/>
                <w:color w:val="auto"/>
              </w:rPr>
            </w:pPr>
            <w:r>
              <w:rPr>
                <w:rFonts w:ascii="Arial" w:cs="Arial" w:eastAsia="Arial" w:hAnsi="Arial"/>
                <w:sz w:val="14"/>
                <w:szCs w:val="14"/>
                <w:b w:val="1"/>
                <w:bCs w:val="1"/>
                <w:color w:val="auto"/>
              </w:rPr>
              <w:t>Level 3</w:t>
            </w: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Total</w:t>
            </w:r>
          </w:p>
        </w:tc>
      </w:tr>
      <w:tr>
        <w:trPr>
          <w:trHeight w:val="257"/>
        </w:trPr>
        <w:tc>
          <w:tcPr>
            <w:tcW w:w="6280" w:type="dxa"/>
            <w:vAlign w:val="bottom"/>
          </w:tcPr>
          <w:p>
            <w:pPr>
              <w:ind w:left="40"/>
              <w:spacing w:after="0"/>
              <w:rPr>
                <w:sz w:val="20"/>
                <w:szCs w:val="20"/>
                <w:color w:val="auto"/>
              </w:rPr>
            </w:pPr>
            <w:r>
              <w:rPr>
                <w:rFonts w:ascii="Arial" w:cs="Arial" w:eastAsia="Arial" w:hAnsi="Arial"/>
                <w:sz w:val="16"/>
                <w:szCs w:val="16"/>
                <w:b w:val="1"/>
                <w:bCs w:val="1"/>
                <w:color w:val="auto"/>
              </w:rPr>
              <w:t>Cash equivalents and other short-term investments</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2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61,438</w:t>
            </w:r>
          </w:p>
        </w:tc>
        <w:tc>
          <w:tcPr>
            <w:tcW w:w="3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162,010</w:t>
            </w:r>
          </w:p>
        </w:tc>
        <w:tc>
          <w:tcPr>
            <w:tcW w:w="3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ind w:right="141"/>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ind w:right="20"/>
              <w:spacing w:after="0"/>
              <w:rPr>
                <w:sz w:val="20"/>
                <w:szCs w:val="20"/>
                <w:color w:val="auto"/>
              </w:rPr>
            </w:pPr>
            <w:r>
              <w:rPr>
                <w:rFonts w:ascii="Arial" w:cs="Arial" w:eastAsia="Arial" w:hAnsi="Arial"/>
                <w:sz w:val="16"/>
                <w:szCs w:val="16"/>
                <w:b w:val="1"/>
                <w:bCs w:val="1"/>
                <w:color w:val="auto"/>
              </w:rPr>
              <w:t>223,448</w:t>
            </w:r>
          </w:p>
        </w:tc>
      </w:tr>
      <w:tr>
        <w:trPr>
          <w:trHeight w:val="270"/>
        </w:trPr>
        <w:tc>
          <w:tcPr>
            <w:tcW w:w="6280" w:type="dxa"/>
            <w:vAlign w:val="bottom"/>
          </w:tcPr>
          <w:p>
            <w:pPr>
              <w:ind w:left="40"/>
              <w:spacing w:after="0"/>
              <w:rPr>
                <w:sz w:val="20"/>
                <w:szCs w:val="20"/>
                <w:color w:val="auto"/>
              </w:rPr>
            </w:pPr>
            <w:r>
              <w:rPr>
                <w:rFonts w:ascii="Arial" w:cs="Arial" w:eastAsia="Arial" w:hAnsi="Arial"/>
                <w:sz w:val="16"/>
                <w:szCs w:val="16"/>
                <w:b w:val="1"/>
                <w:bCs w:val="1"/>
                <w:color w:val="auto"/>
              </w:rPr>
              <w:t>Equity securities</w:t>
            </w:r>
          </w:p>
        </w:tc>
        <w:tc>
          <w:tcPr>
            <w:tcW w:w="2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spacing w:after="0"/>
              <w:rPr>
                <w:sz w:val="23"/>
                <w:szCs w:val="23"/>
                <w:color w:val="auto"/>
              </w:rPr>
            </w:pPr>
          </w:p>
        </w:tc>
      </w:tr>
      <w:tr>
        <w:trPr>
          <w:trHeight w:val="270"/>
        </w:trPr>
        <w:tc>
          <w:tcPr>
            <w:tcW w:w="6280" w:type="dxa"/>
            <w:vAlign w:val="bottom"/>
          </w:tcPr>
          <w:p>
            <w:pPr>
              <w:ind w:left="280"/>
              <w:spacing w:after="0"/>
              <w:rPr>
                <w:sz w:val="20"/>
                <w:szCs w:val="20"/>
                <w:color w:val="auto"/>
              </w:rPr>
            </w:pPr>
            <w:r>
              <w:rPr>
                <w:rFonts w:ascii="Arial" w:cs="Arial" w:eastAsia="Arial" w:hAnsi="Arial"/>
                <w:sz w:val="16"/>
                <w:szCs w:val="16"/>
                <w:b w:val="1"/>
                <w:bCs w:val="1"/>
                <w:color w:val="auto"/>
              </w:rPr>
              <w:t>U.S. equities</w:t>
            </w:r>
          </w:p>
        </w:tc>
        <w:tc>
          <w:tcPr>
            <w:tcW w:w="260" w:type="dxa"/>
            <w:vAlign w:val="bottom"/>
          </w:tcPr>
          <w:p>
            <w:pPr>
              <w:spacing w:after="0"/>
              <w:rPr>
                <w:sz w:val="23"/>
                <w:szCs w:val="23"/>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1,074,528</w:t>
            </w:r>
          </w:p>
        </w:tc>
        <w:tc>
          <w:tcPr>
            <w:tcW w:w="3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360" w:type="dxa"/>
            <w:vAlign w:val="bottom"/>
          </w:tcPr>
          <w:p>
            <w:pPr>
              <w:spacing w:after="0"/>
              <w:rPr>
                <w:sz w:val="23"/>
                <w:szCs w:val="23"/>
                <w:color w:val="auto"/>
              </w:rPr>
            </w:pPr>
          </w:p>
        </w:tc>
        <w:tc>
          <w:tcPr>
            <w:tcW w:w="980" w:type="dxa"/>
            <w:vAlign w:val="bottom"/>
          </w:tcPr>
          <w:p>
            <w:pPr>
              <w:jc w:val="right"/>
              <w:ind w:right="141"/>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spacing w:after="0"/>
              <w:rPr>
                <w:sz w:val="23"/>
                <w:szCs w:val="23"/>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b w:val="1"/>
                <w:bCs w:val="1"/>
                <w:color w:val="auto"/>
              </w:rPr>
              <w:t>1,074,528</w:t>
            </w:r>
          </w:p>
        </w:tc>
      </w:tr>
      <w:tr>
        <w:trPr>
          <w:trHeight w:val="270"/>
        </w:trPr>
        <w:tc>
          <w:tcPr>
            <w:tcW w:w="6280" w:type="dxa"/>
            <w:vAlign w:val="bottom"/>
          </w:tcPr>
          <w:p>
            <w:pPr>
              <w:ind w:left="280"/>
              <w:spacing w:after="0"/>
              <w:rPr>
                <w:sz w:val="20"/>
                <w:szCs w:val="20"/>
                <w:color w:val="auto"/>
              </w:rPr>
            </w:pPr>
            <w:r>
              <w:rPr>
                <w:rFonts w:ascii="Arial" w:cs="Arial" w:eastAsia="Arial" w:hAnsi="Arial"/>
                <w:sz w:val="16"/>
                <w:szCs w:val="16"/>
                <w:b w:val="1"/>
                <w:bCs w:val="1"/>
                <w:color w:val="auto"/>
              </w:rPr>
              <w:t>International equities</w:t>
            </w:r>
          </w:p>
        </w:tc>
        <w:tc>
          <w:tcPr>
            <w:tcW w:w="260" w:type="dxa"/>
            <w:vAlign w:val="bottom"/>
          </w:tcPr>
          <w:p>
            <w:pPr>
              <w:spacing w:after="0"/>
              <w:rPr>
                <w:sz w:val="23"/>
                <w:szCs w:val="23"/>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120,735</w:t>
            </w:r>
          </w:p>
        </w:tc>
        <w:tc>
          <w:tcPr>
            <w:tcW w:w="3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360" w:type="dxa"/>
            <w:vAlign w:val="bottom"/>
          </w:tcPr>
          <w:p>
            <w:pPr>
              <w:spacing w:after="0"/>
              <w:rPr>
                <w:sz w:val="23"/>
                <w:szCs w:val="23"/>
                <w:color w:val="auto"/>
              </w:rPr>
            </w:pPr>
          </w:p>
        </w:tc>
        <w:tc>
          <w:tcPr>
            <w:tcW w:w="980" w:type="dxa"/>
            <w:vAlign w:val="bottom"/>
          </w:tcPr>
          <w:p>
            <w:pPr>
              <w:jc w:val="right"/>
              <w:ind w:right="141"/>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spacing w:after="0"/>
              <w:rPr>
                <w:sz w:val="23"/>
                <w:szCs w:val="23"/>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b w:val="1"/>
                <w:bCs w:val="1"/>
                <w:color w:val="auto"/>
              </w:rPr>
              <w:t>120,735</w:t>
            </w:r>
          </w:p>
        </w:tc>
      </w:tr>
      <w:tr>
        <w:trPr>
          <w:trHeight w:val="274"/>
        </w:trPr>
        <w:tc>
          <w:tcPr>
            <w:tcW w:w="6280" w:type="dxa"/>
            <w:vAlign w:val="bottom"/>
          </w:tcPr>
          <w:p>
            <w:pPr>
              <w:ind w:left="40"/>
              <w:spacing w:after="0"/>
              <w:rPr>
                <w:sz w:val="20"/>
                <w:szCs w:val="20"/>
                <w:color w:val="auto"/>
              </w:rPr>
            </w:pPr>
            <w:r>
              <w:rPr>
                <w:rFonts w:ascii="Arial" w:cs="Arial" w:eastAsia="Arial" w:hAnsi="Arial"/>
                <w:sz w:val="16"/>
                <w:szCs w:val="16"/>
                <w:b w:val="1"/>
                <w:bCs w:val="1"/>
                <w:color w:val="auto"/>
              </w:rPr>
              <w:t>U.S. stock index fund</w:t>
            </w:r>
          </w:p>
        </w:tc>
        <w:tc>
          <w:tcPr>
            <w:tcW w:w="26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b w:val="1"/>
                <w:bCs w:val="1"/>
                <w:color w:val="auto"/>
              </w:rPr>
              <w:t>—</w:t>
            </w:r>
          </w:p>
        </w:tc>
        <w:tc>
          <w:tcPr>
            <w:tcW w:w="34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36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b w:val="1"/>
                <w:bCs w:val="1"/>
                <w:color w:val="auto"/>
              </w:rPr>
              <w:t>622,865</w:t>
            </w:r>
          </w:p>
        </w:tc>
        <w:tc>
          <w:tcPr>
            <w:tcW w:w="28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622,865</w:t>
            </w:r>
          </w:p>
        </w:tc>
      </w:tr>
      <w:tr>
        <w:trPr>
          <w:trHeight w:val="264"/>
        </w:trPr>
        <w:tc>
          <w:tcPr>
            <w:tcW w:w="6280" w:type="dxa"/>
            <w:vAlign w:val="bottom"/>
          </w:tcPr>
          <w:p>
            <w:pPr>
              <w:ind w:left="40"/>
              <w:spacing w:after="0"/>
              <w:rPr>
                <w:sz w:val="20"/>
                <w:szCs w:val="20"/>
                <w:color w:val="auto"/>
              </w:rPr>
            </w:pPr>
            <w:r>
              <w:rPr>
                <w:rFonts w:ascii="Arial" w:cs="Arial" w:eastAsia="Arial" w:hAnsi="Arial"/>
                <w:sz w:val="16"/>
                <w:szCs w:val="16"/>
                <w:b w:val="1"/>
                <w:bCs w:val="1"/>
                <w:color w:val="auto"/>
              </w:rPr>
              <w:t>Total Investments</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b w:val="1"/>
                <w:bCs w:val="1"/>
                <w:color w:val="auto"/>
              </w:rPr>
              <w:t>1,256,701</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162,010</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b w:val="1"/>
                <w:bCs w:val="1"/>
                <w:color w:val="auto"/>
              </w:rPr>
              <w:t>622,865</w:t>
            </w: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2,041,576</w:t>
            </w:r>
          </w:p>
        </w:tc>
      </w:tr>
      <w:tr>
        <w:trPr>
          <w:trHeight w:val="264"/>
        </w:trPr>
        <w:tc>
          <w:tcPr>
            <w:tcW w:w="6280" w:type="dxa"/>
            <w:vAlign w:val="bottom"/>
          </w:tcPr>
          <w:p>
            <w:pPr>
              <w:ind w:left="40"/>
              <w:spacing w:after="0"/>
              <w:rPr>
                <w:sz w:val="20"/>
                <w:szCs w:val="20"/>
                <w:color w:val="auto"/>
              </w:rPr>
            </w:pPr>
            <w:r>
              <w:rPr>
                <w:rFonts w:ascii="Arial" w:cs="Arial" w:eastAsia="Arial" w:hAnsi="Arial"/>
                <w:sz w:val="16"/>
                <w:szCs w:val="16"/>
                <w:b w:val="1"/>
                <w:bCs w:val="1"/>
                <w:color w:val="auto"/>
              </w:rPr>
              <w:t>Receivables</w:t>
            </w:r>
          </w:p>
        </w:tc>
        <w:tc>
          <w:tcPr>
            <w:tcW w:w="2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914</w:t>
            </w:r>
          </w:p>
        </w:tc>
      </w:tr>
      <w:tr>
        <w:trPr>
          <w:trHeight w:val="240"/>
        </w:trPr>
        <w:tc>
          <w:tcPr>
            <w:tcW w:w="6280" w:type="dxa"/>
            <w:vAlign w:val="bottom"/>
          </w:tcPr>
          <w:p>
            <w:pPr>
              <w:ind w:left="40"/>
              <w:spacing w:after="0"/>
              <w:rPr>
                <w:sz w:val="20"/>
                <w:szCs w:val="20"/>
                <w:color w:val="auto"/>
              </w:rPr>
            </w:pPr>
            <w:r>
              <w:rPr>
                <w:rFonts w:ascii="Arial" w:cs="Arial" w:eastAsia="Arial" w:hAnsi="Arial"/>
                <w:sz w:val="16"/>
                <w:szCs w:val="16"/>
                <w:b w:val="1"/>
                <w:bCs w:val="1"/>
                <w:color w:val="auto"/>
              </w:rPr>
              <w:t>Total</w:t>
            </w: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2,042,490</w:t>
            </w:r>
          </w:p>
        </w:tc>
      </w:tr>
      <w:tr>
        <w:trPr>
          <w:trHeight w:val="20"/>
        </w:trPr>
        <w:tc>
          <w:tcPr>
            <w:tcW w:w="6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360" w:type="dxa"/>
            <w:vAlign w:val="bottom"/>
            <w:gridSpan w:val="3"/>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382"/>
        </w:trPr>
        <w:tc>
          <w:tcPr>
            <w:tcW w:w="6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gridSpan w:val="4"/>
          </w:tcPr>
          <w:p>
            <w:pPr>
              <w:jc w:val="right"/>
              <w:ind w:right="99"/>
              <w:spacing w:after="0"/>
              <w:rPr>
                <w:sz w:val="20"/>
                <w:szCs w:val="20"/>
                <w:color w:val="auto"/>
              </w:rPr>
            </w:pPr>
            <w:r>
              <w:rPr>
                <w:rFonts w:ascii="Arial" w:cs="Arial" w:eastAsia="Arial" w:hAnsi="Arial"/>
                <w:sz w:val="14"/>
                <w:szCs w:val="14"/>
                <w:color w:val="auto"/>
              </w:rPr>
              <w:t>As of December 31, 2015</w:t>
            </w:r>
          </w:p>
        </w:tc>
        <w:tc>
          <w:tcPr>
            <w:tcW w:w="980" w:type="dxa"/>
            <w:vAlign w:val="bottom"/>
            <w:tcBorders>
              <w:bottom w:val="single" w:sz="8" w:color="auto"/>
            </w:tcBorders>
          </w:tcPr>
          <w:p>
            <w:pPr>
              <w:spacing w:after="0"/>
              <w:rPr>
                <w:sz w:val="24"/>
                <w:szCs w:val="24"/>
                <w:color w:val="auto"/>
              </w:rPr>
            </w:pPr>
          </w:p>
        </w:tc>
      </w:tr>
      <w:tr>
        <w:trPr>
          <w:trHeight w:val="264"/>
        </w:trPr>
        <w:tc>
          <w:tcPr>
            <w:tcW w:w="62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42"/>
              <w:spacing w:after="0"/>
              <w:rPr>
                <w:sz w:val="20"/>
                <w:szCs w:val="20"/>
                <w:color w:val="auto"/>
              </w:rPr>
            </w:pPr>
            <w:r>
              <w:rPr>
                <w:rFonts w:ascii="Arial" w:cs="Arial" w:eastAsia="Arial" w:hAnsi="Arial"/>
                <w:sz w:val="14"/>
                <w:szCs w:val="14"/>
                <w:color w:val="auto"/>
              </w:rPr>
              <w:t>Level 1</w:t>
            </w:r>
          </w:p>
        </w:tc>
        <w:tc>
          <w:tcPr>
            <w:tcW w:w="3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color w:val="auto"/>
              </w:rPr>
              <w:t>Level 2</w:t>
            </w: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color w:val="auto"/>
              </w:rPr>
              <w:t>Total</w:t>
            </w:r>
          </w:p>
        </w:tc>
      </w:tr>
      <w:tr>
        <w:trPr>
          <w:trHeight w:val="252"/>
        </w:trPr>
        <w:tc>
          <w:tcPr>
            <w:tcW w:w="6280" w:type="dxa"/>
            <w:vAlign w:val="bottom"/>
          </w:tcPr>
          <w:p>
            <w:pPr>
              <w:ind w:left="40"/>
              <w:spacing w:after="0"/>
              <w:rPr>
                <w:sz w:val="20"/>
                <w:szCs w:val="20"/>
                <w:color w:val="auto"/>
              </w:rPr>
            </w:pPr>
            <w:r>
              <w:rPr>
                <w:rFonts w:ascii="Arial" w:cs="Arial" w:eastAsia="Arial" w:hAnsi="Arial"/>
                <w:sz w:val="16"/>
                <w:szCs w:val="16"/>
                <w:color w:val="auto"/>
              </w:rPr>
              <w:t>Cash equivalents and other short-term investments</w:t>
            </w: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162"/>
              <w:spacing w:after="0"/>
              <w:rPr>
                <w:sz w:val="20"/>
                <w:szCs w:val="20"/>
                <w:color w:val="auto"/>
              </w:rPr>
            </w:pPr>
            <w:r>
              <w:rPr>
                <w:rFonts w:ascii="Arial" w:cs="Arial" w:eastAsia="Arial" w:hAnsi="Arial"/>
                <w:sz w:val="16"/>
                <w:szCs w:val="16"/>
                <w:color w:val="auto"/>
              </w:rPr>
              <w:t>256,364</w:t>
            </w:r>
          </w:p>
        </w:tc>
        <w:tc>
          <w:tcPr>
            <w:tcW w:w="360" w:type="dxa"/>
            <w:vAlign w:val="bottom"/>
          </w:tcPr>
          <w:p>
            <w:pPr>
              <w:jc w:val="center"/>
              <w:ind w:right="17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41"/>
              <w:spacing w:after="0"/>
              <w:rPr>
                <w:sz w:val="20"/>
                <w:szCs w:val="20"/>
                <w:color w:val="auto"/>
              </w:rPr>
            </w:pPr>
            <w:r>
              <w:rPr>
                <w:rFonts w:ascii="Arial" w:cs="Arial" w:eastAsia="Arial" w:hAnsi="Arial"/>
                <w:sz w:val="16"/>
                <w:szCs w:val="16"/>
                <w:color w:val="auto"/>
              </w:rPr>
              <w:t>33,909</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290,273</w:t>
            </w:r>
          </w:p>
        </w:tc>
      </w:tr>
      <w:tr>
        <w:trPr>
          <w:trHeight w:val="270"/>
        </w:trPr>
        <w:tc>
          <w:tcPr>
            <w:tcW w:w="6280" w:type="dxa"/>
            <w:vAlign w:val="bottom"/>
          </w:tcPr>
          <w:p>
            <w:pPr>
              <w:ind w:left="40"/>
              <w:spacing w:after="0"/>
              <w:rPr>
                <w:sz w:val="20"/>
                <w:szCs w:val="20"/>
                <w:color w:val="auto"/>
              </w:rPr>
            </w:pPr>
            <w:r>
              <w:rPr>
                <w:rFonts w:ascii="Arial" w:cs="Arial" w:eastAsia="Arial" w:hAnsi="Arial"/>
                <w:sz w:val="16"/>
                <w:szCs w:val="16"/>
                <w:color w:val="auto"/>
              </w:rPr>
              <w:t>Equity securities</w:t>
            </w:r>
          </w:p>
        </w:tc>
        <w:tc>
          <w:tcPr>
            <w:tcW w:w="2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spacing w:after="0"/>
              <w:rPr>
                <w:sz w:val="23"/>
                <w:szCs w:val="23"/>
                <w:color w:val="auto"/>
              </w:rPr>
            </w:pPr>
          </w:p>
        </w:tc>
      </w:tr>
      <w:tr>
        <w:trPr>
          <w:trHeight w:val="270"/>
        </w:trPr>
        <w:tc>
          <w:tcPr>
            <w:tcW w:w="6280" w:type="dxa"/>
            <w:vAlign w:val="bottom"/>
          </w:tcPr>
          <w:p>
            <w:pPr>
              <w:ind w:left="280"/>
              <w:spacing w:after="0"/>
              <w:rPr>
                <w:sz w:val="20"/>
                <w:szCs w:val="20"/>
                <w:color w:val="auto"/>
              </w:rPr>
            </w:pPr>
            <w:r>
              <w:rPr>
                <w:rFonts w:ascii="Arial" w:cs="Arial" w:eastAsia="Arial" w:hAnsi="Arial"/>
                <w:sz w:val="16"/>
                <w:szCs w:val="16"/>
                <w:color w:val="auto"/>
              </w:rPr>
              <w:t>U.S. equities</w:t>
            </w:r>
          </w:p>
        </w:tc>
        <w:tc>
          <w:tcPr>
            <w:tcW w:w="2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20" w:type="dxa"/>
            <w:vAlign w:val="bottom"/>
          </w:tcPr>
          <w:p>
            <w:pPr>
              <w:jc w:val="right"/>
              <w:ind w:right="162"/>
              <w:spacing w:after="0"/>
              <w:rPr>
                <w:sz w:val="20"/>
                <w:szCs w:val="20"/>
                <w:color w:val="auto"/>
              </w:rPr>
            </w:pPr>
            <w:r>
              <w:rPr>
                <w:rFonts w:ascii="Arial" w:cs="Arial" w:eastAsia="Arial" w:hAnsi="Arial"/>
                <w:sz w:val="16"/>
                <w:szCs w:val="16"/>
                <w:color w:val="auto"/>
              </w:rPr>
              <w:t>1,378,158</w:t>
            </w:r>
          </w:p>
        </w:tc>
        <w:tc>
          <w:tcPr>
            <w:tcW w:w="360" w:type="dxa"/>
            <w:vAlign w:val="bottom"/>
          </w:tcPr>
          <w:p>
            <w:pPr>
              <w:spacing w:after="0"/>
              <w:rPr>
                <w:sz w:val="23"/>
                <w:szCs w:val="23"/>
                <w:color w:val="auto"/>
              </w:rPr>
            </w:pPr>
          </w:p>
        </w:tc>
        <w:tc>
          <w:tcPr>
            <w:tcW w:w="980" w:type="dxa"/>
            <w:vAlign w:val="bottom"/>
          </w:tcPr>
          <w:p>
            <w:pPr>
              <w:jc w:val="right"/>
              <w:ind w:right="141"/>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3"/>
                <w:szCs w:val="23"/>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1,378,158</w:t>
            </w:r>
          </w:p>
        </w:tc>
      </w:tr>
      <w:tr>
        <w:trPr>
          <w:trHeight w:val="279"/>
        </w:trPr>
        <w:tc>
          <w:tcPr>
            <w:tcW w:w="6280" w:type="dxa"/>
            <w:vAlign w:val="bottom"/>
          </w:tcPr>
          <w:p>
            <w:pPr>
              <w:ind w:left="280"/>
              <w:spacing w:after="0"/>
              <w:rPr>
                <w:sz w:val="20"/>
                <w:szCs w:val="20"/>
                <w:color w:val="auto"/>
              </w:rPr>
            </w:pPr>
            <w:r>
              <w:rPr>
                <w:rFonts w:ascii="Arial" w:cs="Arial" w:eastAsia="Arial" w:hAnsi="Arial"/>
                <w:sz w:val="16"/>
                <w:szCs w:val="16"/>
                <w:color w:val="auto"/>
              </w:rPr>
              <w:t>International equities</w:t>
            </w: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162"/>
              <w:spacing w:after="0"/>
              <w:rPr>
                <w:sz w:val="20"/>
                <w:szCs w:val="20"/>
                <w:color w:val="auto"/>
              </w:rPr>
            </w:pPr>
            <w:r>
              <w:rPr>
                <w:rFonts w:ascii="Arial" w:cs="Arial" w:eastAsia="Arial" w:hAnsi="Arial"/>
                <w:sz w:val="16"/>
                <w:szCs w:val="16"/>
                <w:color w:val="auto"/>
              </w:rPr>
              <w:t>564,263</w:t>
            </w:r>
          </w:p>
        </w:tc>
        <w:tc>
          <w:tcPr>
            <w:tcW w:w="3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564,263</w:t>
            </w:r>
          </w:p>
        </w:tc>
      </w:tr>
      <w:tr>
        <w:trPr>
          <w:trHeight w:val="266"/>
        </w:trPr>
        <w:tc>
          <w:tcPr>
            <w:tcW w:w="6280" w:type="dxa"/>
            <w:vAlign w:val="bottom"/>
          </w:tcPr>
          <w:p>
            <w:pPr>
              <w:ind w:left="40"/>
              <w:spacing w:after="0"/>
              <w:rPr>
                <w:sz w:val="20"/>
                <w:szCs w:val="20"/>
                <w:color w:val="auto"/>
              </w:rPr>
            </w:pPr>
            <w:r>
              <w:rPr>
                <w:rFonts w:ascii="Arial" w:cs="Arial" w:eastAsia="Arial" w:hAnsi="Arial"/>
                <w:sz w:val="16"/>
                <w:szCs w:val="16"/>
                <w:b w:val="1"/>
                <w:bCs w:val="1"/>
                <w:color w:val="auto"/>
              </w:rPr>
              <w:t>Total Investments</w:t>
            </w:r>
          </w:p>
        </w:tc>
        <w:tc>
          <w:tcPr>
            <w:tcW w:w="2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ind w:right="162"/>
              <w:spacing w:after="0"/>
              <w:rPr>
                <w:sz w:val="20"/>
                <w:szCs w:val="20"/>
                <w:color w:val="auto"/>
              </w:rPr>
            </w:pPr>
            <w:r>
              <w:rPr>
                <w:rFonts w:ascii="Arial" w:cs="Arial" w:eastAsia="Arial" w:hAnsi="Arial"/>
                <w:sz w:val="16"/>
                <w:szCs w:val="16"/>
                <w:color w:val="auto"/>
              </w:rPr>
              <w:t>2,198,785</w:t>
            </w:r>
          </w:p>
        </w:tc>
        <w:tc>
          <w:tcPr>
            <w:tcW w:w="360" w:type="dxa"/>
            <w:vAlign w:val="bottom"/>
            <w:tcBorders>
              <w:bottom w:val="single" w:sz="8" w:color="auto"/>
            </w:tcBorders>
          </w:tcPr>
          <w:p>
            <w:pPr>
              <w:jc w:val="center"/>
              <w:ind w:right="1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color w:val="auto"/>
              </w:rPr>
              <w:t>33,909</w:t>
            </w: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2,232,694</w:t>
            </w:r>
          </w:p>
        </w:tc>
      </w:tr>
      <w:tr>
        <w:trPr>
          <w:trHeight w:val="261"/>
        </w:trPr>
        <w:tc>
          <w:tcPr>
            <w:tcW w:w="6280" w:type="dxa"/>
            <w:vAlign w:val="bottom"/>
          </w:tcPr>
          <w:p>
            <w:pPr>
              <w:ind w:left="40"/>
              <w:spacing w:after="0"/>
              <w:rPr>
                <w:sz w:val="20"/>
                <w:szCs w:val="20"/>
                <w:color w:val="auto"/>
              </w:rPr>
            </w:pPr>
            <w:r>
              <w:rPr>
                <w:rFonts w:ascii="Arial" w:cs="Arial" w:eastAsia="Arial" w:hAnsi="Arial"/>
                <w:sz w:val="16"/>
                <w:szCs w:val="16"/>
                <w:color w:val="auto"/>
              </w:rPr>
              <w:t>Receivables</w:t>
            </w:r>
          </w:p>
        </w:tc>
        <w:tc>
          <w:tcPr>
            <w:tcW w:w="2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1,574</w:t>
            </w:r>
          </w:p>
        </w:tc>
      </w:tr>
      <w:tr>
        <w:trPr>
          <w:trHeight w:val="243"/>
        </w:trPr>
        <w:tc>
          <w:tcPr>
            <w:tcW w:w="6280" w:type="dxa"/>
            <w:vAlign w:val="bottom"/>
          </w:tcPr>
          <w:p>
            <w:pPr>
              <w:ind w:left="40"/>
              <w:spacing w:after="0"/>
              <w:rPr>
                <w:sz w:val="20"/>
                <w:szCs w:val="20"/>
                <w:color w:val="auto"/>
              </w:rPr>
            </w:pPr>
            <w:r>
              <w:rPr>
                <w:rFonts w:ascii="Arial" w:cs="Arial" w:eastAsia="Arial" w:hAnsi="Arial"/>
                <w:sz w:val="16"/>
                <w:szCs w:val="16"/>
                <w:b w:val="1"/>
                <w:bCs w:val="1"/>
                <w:color w:val="auto"/>
              </w:rPr>
              <w:t>Total</w:t>
            </w: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2,234,268</w:t>
            </w:r>
          </w:p>
        </w:tc>
      </w:tr>
      <w:tr>
        <w:trPr>
          <w:trHeight w:val="20"/>
        </w:trPr>
        <w:tc>
          <w:tcPr>
            <w:tcW w:w="6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26" w:lineRule="exact"/>
        <w:rPr>
          <w:sz w:val="20"/>
          <w:szCs w:val="20"/>
          <w:color w:val="auto"/>
        </w:rPr>
      </w:pPr>
    </w:p>
    <w:p>
      <w:pPr>
        <w:ind w:right="140"/>
        <w:spacing w:after="0"/>
        <w:rPr>
          <w:sz w:val="20"/>
          <w:szCs w:val="20"/>
          <w:color w:val="auto"/>
        </w:rPr>
      </w:pPr>
      <w:r>
        <w:rPr>
          <w:rFonts w:ascii="Arial" w:cs="Arial" w:eastAsia="Arial" w:hAnsi="Arial"/>
          <w:sz w:val="18"/>
          <w:szCs w:val="18"/>
          <w:i w:val="1"/>
          <w:iCs w:val="1"/>
          <w:color w:val="auto"/>
        </w:rPr>
        <w:t xml:space="preserve">Cash equivalents and other short-term investments. </w:t>
      </w:r>
      <w:r>
        <w:rPr>
          <w:rFonts w:ascii="Arial" w:cs="Arial" w:eastAsia="Arial" w:hAnsi="Arial"/>
          <w:sz w:val="18"/>
          <w:szCs w:val="18"/>
          <w:color w:val="auto"/>
        </w:rPr>
        <w:t>These investments are primarily held in U.S. Treasury securities and registered money</w:t>
      </w:r>
      <w:r>
        <w:rPr>
          <w:rFonts w:ascii="Arial" w:cs="Arial" w:eastAsia="Arial" w:hAnsi="Arial"/>
          <w:sz w:val="18"/>
          <w:szCs w:val="18"/>
          <w:i w:val="1"/>
          <w:iCs w:val="1"/>
          <w:color w:val="auto"/>
        </w:rPr>
        <w:t xml:space="preserve"> </w:t>
      </w:r>
      <w:r>
        <w:rPr>
          <w:rFonts w:ascii="Arial" w:cs="Arial" w:eastAsia="Arial" w:hAnsi="Arial"/>
          <w:sz w:val="18"/>
          <w:szCs w:val="18"/>
          <w:color w:val="auto"/>
        </w:rPr>
        <w:t>market funds. These investments are valued using a market approach based on the quoted market prices of the security or inputs that include quoted market prices for similar instruments and are classified as either Level 1 or Level 2 in the valuation hierarchy.</w:t>
      </w:r>
    </w:p>
    <w:p>
      <w:pPr>
        <w:spacing w:after="0" w:line="108" w:lineRule="exact"/>
        <w:rPr>
          <w:sz w:val="20"/>
          <w:szCs w:val="20"/>
          <w:color w:val="auto"/>
        </w:rPr>
      </w:pPr>
    </w:p>
    <w:p>
      <w:pPr>
        <w:ind w:right="140"/>
        <w:spacing w:after="0"/>
        <w:rPr>
          <w:sz w:val="20"/>
          <w:szCs w:val="20"/>
          <w:color w:val="auto"/>
        </w:rPr>
      </w:pPr>
      <w:r>
        <w:rPr>
          <w:rFonts w:ascii="Arial" w:cs="Arial" w:eastAsia="Arial" w:hAnsi="Arial"/>
          <w:sz w:val="18"/>
          <w:szCs w:val="18"/>
          <w:i w:val="1"/>
          <w:iCs w:val="1"/>
          <w:color w:val="auto"/>
        </w:rPr>
        <w:t xml:space="preserve">U.S. equities. </w:t>
      </w:r>
      <w:r>
        <w:rPr>
          <w:rFonts w:ascii="Arial" w:cs="Arial" w:eastAsia="Arial" w:hAnsi="Arial"/>
          <w:sz w:val="18"/>
          <w:szCs w:val="18"/>
          <w:color w:val="auto"/>
        </w:rPr>
        <w:t>These investments are held in common and preferred stock of U.S. corporations and American Depositary Receipts (ADRs)</w:t>
      </w:r>
      <w:r>
        <w:rPr>
          <w:rFonts w:ascii="Arial" w:cs="Arial" w:eastAsia="Arial" w:hAnsi="Arial"/>
          <w:sz w:val="18"/>
          <w:szCs w:val="18"/>
          <w:i w:val="1"/>
          <w:iCs w:val="1"/>
          <w:color w:val="auto"/>
        </w:rPr>
        <w:t xml:space="preserve"> </w:t>
      </w:r>
      <w:r>
        <w:rPr>
          <w:rFonts w:ascii="Arial" w:cs="Arial" w:eastAsia="Arial" w:hAnsi="Arial"/>
          <w:sz w:val="18"/>
          <w:szCs w:val="18"/>
          <w:color w:val="auto"/>
        </w:rPr>
        <w:t>traded on U.S. exchanges. Common and preferred shares and ADRs are traded actively on exchanges, and price quotes for these shares are readily available. These investments are classified as Level 1 in the valuation hierarchy.</w:t>
      </w:r>
    </w:p>
    <w:p>
      <w:pPr>
        <w:spacing w:after="0" w:line="108" w:lineRule="exact"/>
        <w:rPr>
          <w:sz w:val="20"/>
          <w:szCs w:val="20"/>
          <w:color w:val="auto"/>
        </w:rPr>
      </w:pPr>
    </w:p>
    <w:p>
      <w:pPr>
        <w:ind w:right="180"/>
        <w:spacing w:after="0"/>
        <w:rPr>
          <w:sz w:val="20"/>
          <w:szCs w:val="20"/>
          <w:color w:val="auto"/>
        </w:rPr>
      </w:pPr>
      <w:r>
        <w:rPr>
          <w:rFonts w:ascii="Arial" w:cs="Arial" w:eastAsia="Arial" w:hAnsi="Arial"/>
          <w:sz w:val="18"/>
          <w:szCs w:val="18"/>
          <w:i w:val="1"/>
          <w:iCs w:val="1"/>
          <w:color w:val="auto"/>
        </w:rPr>
        <w:t xml:space="preserve">International equities. </w:t>
      </w:r>
      <w:r>
        <w:rPr>
          <w:rFonts w:ascii="Arial" w:cs="Arial" w:eastAsia="Arial" w:hAnsi="Arial"/>
          <w:sz w:val="18"/>
          <w:szCs w:val="18"/>
          <w:color w:val="auto"/>
        </w:rPr>
        <w:t>These investments are held in common and preferred stock issued by non-U.S. corporations. Common and preferred</w:t>
      </w:r>
      <w:r>
        <w:rPr>
          <w:rFonts w:ascii="Arial" w:cs="Arial" w:eastAsia="Arial" w:hAnsi="Arial"/>
          <w:sz w:val="18"/>
          <w:szCs w:val="18"/>
          <w:i w:val="1"/>
          <w:iCs w:val="1"/>
          <w:color w:val="auto"/>
        </w:rPr>
        <w:t xml:space="preserve"> </w:t>
      </w:r>
      <w:r>
        <w:rPr>
          <w:rFonts w:ascii="Arial" w:cs="Arial" w:eastAsia="Arial" w:hAnsi="Arial"/>
          <w:sz w:val="18"/>
          <w:szCs w:val="18"/>
          <w:color w:val="auto"/>
        </w:rPr>
        <w:t>shares are traded actively on exchanges, and price quotes for these shares are readily available. These investments are classified as Level 1 in the valuation hierarchy.</w:t>
      </w:r>
    </w:p>
    <w:p>
      <w:pPr>
        <w:spacing w:after="0" w:line="108" w:lineRule="exact"/>
        <w:rPr>
          <w:sz w:val="20"/>
          <w:szCs w:val="20"/>
          <w:color w:val="auto"/>
        </w:rPr>
      </w:pPr>
    </w:p>
    <w:p>
      <w:pPr>
        <w:spacing w:after="0" w:line="231" w:lineRule="auto"/>
        <w:rPr>
          <w:sz w:val="20"/>
          <w:szCs w:val="20"/>
          <w:color w:val="auto"/>
        </w:rPr>
      </w:pPr>
      <w:r>
        <w:rPr>
          <w:rFonts w:ascii="Arial" w:cs="Arial" w:eastAsia="Arial" w:hAnsi="Arial"/>
          <w:sz w:val="18"/>
          <w:szCs w:val="18"/>
          <w:i w:val="1"/>
          <w:iCs w:val="1"/>
          <w:color w:val="auto"/>
        </w:rPr>
        <w:t xml:space="preserve">U.S. stock index fund. </w:t>
      </w:r>
      <w:r>
        <w:rPr>
          <w:rFonts w:ascii="Arial" w:cs="Arial" w:eastAsia="Arial" w:hAnsi="Arial"/>
          <w:sz w:val="18"/>
          <w:szCs w:val="18"/>
          <w:color w:val="auto"/>
        </w:rPr>
        <w:t>This fund consists of investments held in a diversified mix of securities (U.S. and international stocks, and fixed income</w:t>
      </w:r>
      <w:r>
        <w:rPr>
          <w:rFonts w:ascii="Arial" w:cs="Arial" w:eastAsia="Arial" w:hAnsi="Arial"/>
          <w:sz w:val="18"/>
          <w:szCs w:val="18"/>
          <w:i w:val="1"/>
          <w:iCs w:val="1"/>
          <w:color w:val="auto"/>
        </w:rPr>
        <w:t xml:space="preserve"> </w:t>
      </w:r>
      <w:r>
        <w:rPr>
          <w:rFonts w:ascii="Arial" w:cs="Arial" w:eastAsia="Arial" w:hAnsi="Arial"/>
          <w:sz w:val="18"/>
          <w:szCs w:val="18"/>
          <w:color w:val="auto"/>
        </w:rPr>
        <w:t>securities) and a combination of other collective funds that together are designed to track the performance of the S&amp;P 500 Index. The fund is valued using the net asset value (NAV) provided by the administrator of the fund and reviewed by the Company. The NAV is based on the value of the underlying assets owned by the fund, minus liabilities and divided by the number of units outstanding. The investment in this fund may be redeemed daily, subjected to the restrictions of the fund. This investment is classified as Level 3 in the valuation hierarchy.</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420"/>
          </w:cols>
          <w:pgMar w:left="240" w:top="724" w:right="239" w:bottom="1440" w:gutter="0" w:footer="0" w:header="0"/>
        </w:sectPr>
      </w:pPr>
    </w:p>
    <w:bookmarkStart w:id="101" w:name="page102"/>
    <w:bookmarkEnd w:id="101"/>
    <w:p>
      <w:pPr>
        <w:spacing w:after="0"/>
        <w:rPr>
          <w:sz w:val="20"/>
          <w:szCs w:val="20"/>
          <w:color w:val="auto"/>
        </w:rPr>
      </w:pPr>
      <w:r>
        <w:rPr>
          <w:rFonts w:ascii="Arial" w:cs="Arial" w:eastAsia="Arial" w:hAnsi="Arial"/>
          <w:sz w:val="18"/>
          <w:szCs w:val="18"/>
          <w:color w:val="auto"/>
        </w:rPr>
        <w:t>The following table provides a reconciliation of changes in pension assets measured at fair value on a recurring basis, using Level 3 inputs: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160" w:type="dxa"/>
            <w:vAlign w:val="bottom"/>
          </w:tcPr>
          <w:p>
            <w:pPr>
              <w:spacing w:after="0"/>
              <w:rPr>
                <w:sz w:val="14"/>
                <w:szCs w:val="14"/>
                <w:color w:val="auto"/>
              </w:rPr>
            </w:pPr>
          </w:p>
        </w:tc>
        <w:tc>
          <w:tcPr>
            <w:tcW w:w="1260" w:type="dxa"/>
            <w:vAlign w:val="bottom"/>
            <w:gridSpan w:val="2"/>
          </w:tcPr>
          <w:p>
            <w:pPr>
              <w:jc w:val="right"/>
              <w:ind w:right="1"/>
              <w:spacing w:after="0"/>
              <w:rPr>
                <w:sz w:val="20"/>
                <w:szCs w:val="20"/>
                <w:color w:val="auto"/>
              </w:rPr>
            </w:pPr>
            <w:r>
              <w:rPr>
                <w:rFonts w:ascii="Arial" w:cs="Arial" w:eastAsia="Arial" w:hAnsi="Arial"/>
                <w:sz w:val="14"/>
                <w:szCs w:val="14"/>
                <w:b w:val="1"/>
                <w:bCs w:val="1"/>
                <w:color w:val="auto"/>
              </w:rPr>
              <w:t>U.S. stock index</w:t>
            </w:r>
          </w:p>
        </w:tc>
      </w:tr>
      <w:tr>
        <w:trPr>
          <w:trHeight w:val="203"/>
        </w:trPr>
        <w:tc>
          <w:tcPr>
            <w:tcW w:w="101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fund</w:t>
            </w:r>
          </w:p>
        </w:tc>
      </w:tr>
      <w:tr>
        <w:trPr>
          <w:trHeight w:val="230"/>
        </w:trPr>
        <w:tc>
          <w:tcPr>
            <w:tcW w:w="10160" w:type="dxa"/>
            <w:vAlign w:val="bottom"/>
          </w:tcPr>
          <w:p>
            <w:pPr>
              <w:ind w:left="40"/>
              <w:spacing w:after="0"/>
              <w:rPr>
                <w:sz w:val="20"/>
                <w:szCs w:val="20"/>
                <w:color w:val="auto"/>
              </w:rPr>
            </w:pPr>
            <w:r>
              <w:rPr>
                <w:rFonts w:ascii="Arial" w:cs="Arial" w:eastAsia="Arial" w:hAnsi="Arial"/>
                <w:sz w:val="16"/>
                <w:szCs w:val="16"/>
                <w:b w:val="1"/>
                <w:bCs w:val="1"/>
                <w:color w:val="auto"/>
              </w:rPr>
              <w:t>Balance at December 31, 2015</w:t>
            </w:r>
          </w:p>
        </w:tc>
        <w:tc>
          <w:tcPr>
            <w:tcW w:w="300" w:type="dxa"/>
            <w:vAlign w:val="bottom"/>
          </w:tcPr>
          <w:p>
            <w:pPr>
              <w:jc w:val="right"/>
              <w:ind w:right="102"/>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21"/>
              <w:spacing w:after="0"/>
              <w:rPr>
                <w:sz w:val="20"/>
                <w:szCs w:val="20"/>
                <w:color w:val="auto"/>
              </w:rPr>
            </w:pPr>
            <w:r>
              <w:rPr>
                <w:rFonts w:ascii="Arial" w:cs="Arial" w:eastAsia="Arial" w:hAnsi="Arial"/>
                <w:sz w:val="16"/>
                <w:szCs w:val="16"/>
                <w:b w:val="1"/>
                <w:bCs w:val="1"/>
                <w:color w:val="auto"/>
              </w:rPr>
              <w:t>—</w:t>
            </w:r>
          </w:p>
        </w:tc>
      </w:tr>
      <w:tr>
        <w:trPr>
          <w:trHeight w:val="235"/>
        </w:trPr>
        <w:tc>
          <w:tcPr>
            <w:tcW w:w="10160" w:type="dxa"/>
            <w:vAlign w:val="bottom"/>
          </w:tcPr>
          <w:p>
            <w:pPr>
              <w:ind w:left="40"/>
              <w:spacing w:after="0"/>
              <w:rPr>
                <w:sz w:val="20"/>
                <w:szCs w:val="20"/>
                <w:color w:val="auto"/>
              </w:rPr>
            </w:pPr>
            <w:r>
              <w:rPr>
                <w:rFonts w:ascii="Arial" w:cs="Arial" w:eastAsia="Arial" w:hAnsi="Arial"/>
                <w:sz w:val="16"/>
                <w:szCs w:val="16"/>
                <w:color w:val="auto"/>
              </w:rPr>
              <w:t>Acquisitions</w:t>
            </w:r>
          </w:p>
        </w:tc>
        <w:tc>
          <w:tcPr>
            <w:tcW w:w="300" w:type="dxa"/>
            <w:vAlign w:val="bottom"/>
          </w:tcPr>
          <w:p>
            <w:pPr>
              <w:spacing w:after="0"/>
              <w:rPr>
                <w:sz w:val="20"/>
                <w:szCs w:val="20"/>
                <w:color w:val="auto"/>
              </w:rPr>
            </w:pPr>
          </w:p>
        </w:tc>
        <w:tc>
          <w:tcPr>
            <w:tcW w:w="960" w:type="dxa"/>
            <w:vAlign w:val="bottom"/>
          </w:tcPr>
          <w:p>
            <w:pPr>
              <w:jc w:val="right"/>
              <w:ind w:right="21"/>
              <w:spacing w:after="0"/>
              <w:rPr>
                <w:sz w:val="20"/>
                <w:szCs w:val="20"/>
                <w:color w:val="auto"/>
              </w:rPr>
            </w:pPr>
            <w:r>
              <w:rPr>
                <w:rFonts w:ascii="Arial" w:cs="Arial" w:eastAsia="Arial" w:hAnsi="Arial"/>
                <w:sz w:val="16"/>
                <w:szCs w:val="16"/>
                <w:color w:val="auto"/>
              </w:rPr>
              <w:t>574,000</w:t>
            </w:r>
          </w:p>
        </w:tc>
      </w:tr>
      <w:tr>
        <w:trPr>
          <w:trHeight w:val="270"/>
        </w:trPr>
        <w:tc>
          <w:tcPr>
            <w:tcW w:w="10160" w:type="dxa"/>
            <w:vAlign w:val="bottom"/>
          </w:tcPr>
          <w:p>
            <w:pPr>
              <w:ind w:left="40"/>
              <w:spacing w:after="0"/>
              <w:rPr>
                <w:sz w:val="20"/>
                <w:szCs w:val="20"/>
                <w:color w:val="auto"/>
              </w:rPr>
            </w:pPr>
            <w:r>
              <w:rPr>
                <w:rFonts w:ascii="Arial" w:cs="Arial" w:eastAsia="Arial" w:hAnsi="Arial"/>
                <w:sz w:val="16"/>
                <w:szCs w:val="16"/>
                <w:color w:val="auto"/>
              </w:rPr>
              <w:t>Actual return on plan assets:</w:t>
            </w:r>
          </w:p>
        </w:tc>
        <w:tc>
          <w:tcPr>
            <w:tcW w:w="300" w:type="dxa"/>
            <w:vAlign w:val="bottom"/>
          </w:tcPr>
          <w:p>
            <w:pPr>
              <w:spacing w:after="0"/>
              <w:rPr>
                <w:sz w:val="23"/>
                <w:szCs w:val="23"/>
                <w:color w:val="auto"/>
              </w:rPr>
            </w:pPr>
          </w:p>
        </w:tc>
        <w:tc>
          <w:tcPr>
            <w:tcW w:w="960" w:type="dxa"/>
            <w:vAlign w:val="bottom"/>
          </w:tcPr>
          <w:p>
            <w:pPr>
              <w:spacing w:after="0"/>
              <w:rPr>
                <w:sz w:val="23"/>
                <w:szCs w:val="23"/>
                <w:color w:val="auto"/>
              </w:rPr>
            </w:pPr>
          </w:p>
        </w:tc>
      </w:tr>
      <w:tr>
        <w:trPr>
          <w:trHeight w:val="252"/>
        </w:trPr>
        <w:tc>
          <w:tcPr>
            <w:tcW w:w="10160" w:type="dxa"/>
            <w:vAlign w:val="bottom"/>
          </w:tcPr>
          <w:p>
            <w:pPr>
              <w:ind w:left="280"/>
              <w:spacing w:after="0"/>
              <w:rPr>
                <w:sz w:val="20"/>
                <w:szCs w:val="20"/>
                <w:color w:val="auto"/>
              </w:rPr>
            </w:pPr>
            <w:r>
              <w:rPr>
                <w:rFonts w:ascii="Arial" w:cs="Arial" w:eastAsia="Arial" w:hAnsi="Arial"/>
                <w:sz w:val="16"/>
                <w:szCs w:val="16"/>
                <w:color w:val="auto"/>
              </w:rPr>
              <w:t>Gains relating to assets still held at year-end</w:t>
            </w:r>
          </w:p>
        </w:tc>
        <w:tc>
          <w:tcPr>
            <w:tcW w:w="3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48,865</w:t>
            </w:r>
          </w:p>
        </w:tc>
      </w:tr>
      <w:tr>
        <w:trPr>
          <w:trHeight w:val="243"/>
        </w:trPr>
        <w:tc>
          <w:tcPr>
            <w:tcW w:w="10160" w:type="dxa"/>
            <w:vAlign w:val="bottom"/>
          </w:tcPr>
          <w:p>
            <w:pPr>
              <w:ind w:left="40"/>
              <w:spacing w:after="0"/>
              <w:rPr>
                <w:sz w:val="20"/>
                <w:szCs w:val="20"/>
                <w:color w:val="auto"/>
              </w:rPr>
            </w:pPr>
            <w:r>
              <w:rPr>
                <w:rFonts w:ascii="Arial" w:cs="Arial" w:eastAsia="Arial" w:hAnsi="Arial"/>
                <w:sz w:val="16"/>
                <w:szCs w:val="16"/>
                <w:b w:val="1"/>
                <w:bCs w:val="1"/>
                <w:color w:val="auto"/>
              </w:rPr>
              <w:t>Balance at December 31, 2016</w:t>
            </w:r>
          </w:p>
        </w:tc>
        <w:tc>
          <w:tcPr>
            <w:tcW w:w="300" w:type="dxa"/>
            <w:vAlign w:val="bottom"/>
            <w:tcBorders>
              <w:bottom w:val="single" w:sz="8" w:color="auto"/>
            </w:tcBorders>
          </w:tcPr>
          <w:p>
            <w:pPr>
              <w:jc w:val="right"/>
              <w:ind w:right="102"/>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622,865</w:t>
            </w:r>
          </w:p>
        </w:tc>
      </w:tr>
      <w:tr>
        <w:trPr>
          <w:trHeight w:val="20"/>
        </w:trPr>
        <w:tc>
          <w:tcPr>
            <w:tcW w:w="10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24"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b w:val="1"/>
          <w:bCs w:val="1"/>
          <w:color w:val="auto"/>
        </w:rPr>
        <w:t xml:space="preserve">Other Postretirement Plans. </w:t>
      </w:r>
      <w:r>
        <w:rPr>
          <w:rFonts w:ascii="Arial" w:cs="Arial" w:eastAsia="Arial" w:hAnsi="Arial"/>
          <w:sz w:val="18"/>
          <w:szCs w:val="18"/>
          <w:color w:val="auto"/>
        </w:rPr>
        <w:t>The following table sets forth obligation, asset and funding information for the Company’s other postretirement</w:t>
      </w:r>
      <w:r>
        <w:rPr>
          <w:rFonts w:ascii="Arial" w:cs="Arial" w:eastAsia="Arial" w:hAnsi="Arial"/>
          <w:sz w:val="18"/>
          <w:szCs w:val="18"/>
          <w:b w:val="1"/>
          <w:bCs w:val="1"/>
          <w:color w:val="auto"/>
        </w:rPr>
        <w:t xml:space="preserve"> </w:t>
      </w:r>
      <w:r>
        <w:rPr>
          <w:rFonts w:ascii="Arial" w:cs="Arial" w:eastAsia="Arial" w:hAnsi="Arial"/>
          <w:sz w:val="18"/>
          <w:szCs w:val="18"/>
          <w:color w:val="auto"/>
        </w:rPr>
        <w:t>plans: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92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920" w:type="dxa"/>
            <w:vAlign w:val="bottom"/>
            <w:tcBorders>
              <w:bottom w:val="single" w:sz="8" w:color="auto"/>
            </w:tcBorders>
            <w:gridSpan w:val="3"/>
          </w:tcPr>
          <w:p>
            <w:pPr>
              <w:jc w:val="right"/>
              <w:ind w:right="260"/>
              <w:spacing w:after="0"/>
              <w:rPr>
                <w:sz w:val="20"/>
                <w:szCs w:val="20"/>
                <w:color w:val="auto"/>
              </w:rPr>
            </w:pPr>
            <w:r>
              <w:rPr>
                <w:rFonts w:ascii="Arial" w:cs="Arial" w:eastAsia="Arial" w:hAnsi="Arial"/>
                <w:sz w:val="14"/>
                <w:szCs w:val="14"/>
                <w:b w:val="1"/>
                <w:bCs w:val="1"/>
                <w:color w:val="auto"/>
              </w:rPr>
              <w:t>Postretirement Plans</w:t>
            </w:r>
          </w:p>
        </w:tc>
      </w:tr>
      <w:tr>
        <w:trPr>
          <w:trHeight w:val="250"/>
        </w:trPr>
        <w:tc>
          <w:tcPr>
            <w:tcW w:w="92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920" w:type="dxa"/>
            <w:vAlign w:val="bottom"/>
            <w:tcBorders>
              <w:bottom w:val="single" w:sz="8" w:color="auto"/>
            </w:tcBorders>
            <w:gridSpan w:val="3"/>
          </w:tcPr>
          <w:p>
            <w:pPr>
              <w:jc w:val="right"/>
              <w:ind w:right="340"/>
              <w:spacing w:after="0"/>
              <w:rPr>
                <w:sz w:val="20"/>
                <w:szCs w:val="20"/>
                <w:color w:val="auto"/>
              </w:rPr>
            </w:pPr>
            <w:r>
              <w:rPr>
                <w:rFonts w:ascii="Arial" w:cs="Arial" w:eastAsia="Arial" w:hAnsi="Arial"/>
                <w:sz w:val="14"/>
                <w:szCs w:val="14"/>
                <w:b w:val="1"/>
                <w:bCs w:val="1"/>
                <w:color w:val="auto"/>
              </w:rPr>
              <w:t>As of December 31</w:t>
            </w:r>
          </w:p>
        </w:tc>
      </w:tr>
      <w:tr>
        <w:trPr>
          <w:trHeight w:val="264"/>
        </w:trPr>
        <w:tc>
          <w:tcPr>
            <w:tcW w:w="92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01"/>
              <w:spacing w:after="0"/>
              <w:rPr>
                <w:sz w:val="20"/>
                <w:szCs w:val="20"/>
                <w:color w:val="auto"/>
              </w:rPr>
            </w:pPr>
            <w:r>
              <w:rPr>
                <w:rFonts w:ascii="Arial" w:cs="Arial" w:eastAsia="Arial" w:hAnsi="Arial"/>
                <w:sz w:val="14"/>
                <w:szCs w:val="14"/>
                <w:b w:val="1"/>
                <w:bCs w:val="1"/>
                <w:color w:val="auto"/>
              </w:rPr>
              <w:t>2016</w:t>
            </w:r>
          </w:p>
        </w:tc>
        <w:tc>
          <w:tcPr>
            <w:tcW w:w="30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color w:val="auto"/>
              </w:rPr>
              <w:t>2015</w:t>
            </w:r>
          </w:p>
        </w:tc>
      </w:tr>
      <w:tr>
        <w:trPr>
          <w:trHeight w:val="257"/>
        </w:trPr>
        <w:tc>
          <w:tcPr>
            <w:tcW w:w="9260" w:type="dxa"/>
            <w:vAlign w:val="bottom"/>
          </w:tcPr>
          <w:p>
            <w:pPr>
              <w:ind w:left="40"/>
              <w:spacing w:after="0"/>
              <w:rPr>
                <w:sz w:val="20"/>
                <w:szCs w:val="20"/>
                <w:color w:val="auto"/>
              </w:rPr>
            </w:pPr>
            <w:r>
              <w:rPr>
                <w:rFonts w:ascii="Arial" w:cs="Arial" w:eastAsia="Arial" w:hAnsi="Arial"/>
                <w:sz w:val="16"/>
                <w:szCs w:val="16"/>
                <w:b w:val="1"/>
                <w:bCs w:val="1"/>
                <w:color w:val="auto"/>
              </w:rPr>
              <w:t>Change in Benefit Obligation</w:t>
            </w:r>
          </w:p>
        </w:tc>
        <w:tc>
          <w:tcPr>
            <w:tcW w:w="2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00" w:type="dxa"/>
            <w:vAlign w:val="bottom"/>
          </w:tcPr>
          <w:p>
            <w:pPr>
              <w:spacing w:after="0"/>
              <w:rPr>
                <w:sz w:val="22"/>
                <w:szCs w:val="22"/>
                <w:color w:val="auto"/>
              </w:rPr>
            </w:pPr>
          </w:p>
        </w:tc>
      </w:tr>
      <w:tr>
        <w:trPr>
          <w:trHeight w:val="270"/>
        </w:trPr>
        <w:tc>
          <w:tcPr>
            <w:tcW w:w="9260" w:type="dxa"/>
            <w:vAlign w:val="bottom"/>
          </w:tcPr>
          <w:p>
            <w:pPr>
              <w:ind w:left="40"/>
              <w:spacing w:after="0"/>
              <w:rPr>
                <w:sz w:val="20"/>
                <w:szCs w:val="20"/>
                <w:color w:val="auto"/>
              </w:rPr>
            </w:pPr>
            <w:r>
              <w:rPr>
                <w:rFonts w:ascii="Arial" w:cs="Arial" w:eastAsia="Arial" w:hAnsi="Arial"/>
                <w:sz w:val="16"/>
                <w:szCs w:val="16"/>
                <w:color w:val="auto"/>
              </w:rPr>
              <w:t>Benefit obligation at beginning of year</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820" w:type="dxa"/>
            <w:vAlign w:val="bottom"/>
          </w:tcPr>
          <w:p>
            <w:pPr>
              <w:jc w:val="right"/>
              <w:ind w:right="61"/>
              <w:spacing w:after="0"/>
              <w:rPr>
                <w:sz w:val="20"/>
                <w:szCs w:val="20"/>
                <w:color w:val="auto"/>
              </w:rPr>
            </w:pPr>
            <w:r>
              <w:rPr>
                <w:rFonts w:ascii="Arial" w:cs="Arial" w:eastAsia="Arial" w:hAnsi="Arial"/>
                <w:sz w:val="16"/>
                <w:szCs w:val="16"/>
                <w:b w:val="1"/>
                <w:bCs w:val="1"/>
                <w:color w:val="auto"/>
              </w:rPr>
              <w:t>37,391</w:t>
            </w:r>
          </w:p>
        </w:tc>
        <w:tc>
          <w:tcPr>
            <w:tcW w:w="3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41,957</w:t>
            </w:r>
          </w:p>
        </w:tc>
      </w:tr>
      <w:tr>
        <w:trPr>
          <w:trHeight w:val="270"/>
        </w:trPr>
        <w:tc>
          <w:tcPr>
            <w:tcW w:w="9260" w:type="dxa"/>
            <w:vAlign w:val="bottom"/>
          </w:tcPr>
          <w:p>
            <w:pPr>
              <w:ind w:left="40"/>
              <w:spacing w:after="0"/>
              <w:rPr>
                <w:sz w:val="20"/>
                <w:szCs w:val="20"/>
                <w:color w:val="auto"/>
              </w:rPr>
            </w:pPr>
            <w:r>
              <w:rPr>
                <w:rFonts w:ascii="Arial" w:cs="Arial" w:eastAsia="Arial" w:hAnsi="Arial"/>
                <w:sz w:val="16"/>
                <w:szCs w:val="16"/>
                <w:color w:val="auto"/>
              </w:rPr>
              <w:t>Service cost</w:t>
            </w:r>
          </w:p>
        </w:tc>
        <w:tc>
          <w:tcPr>
            <w:tcW w:w="240" w:type="dxa"/>
            <w:vAlign w:val="bottom"/>
          </w:tcPr>
          <w:p>
            <w:pPr>
              <w:spacing w:after="0"/>
              <w:rPr>
                <w:sz w:val="23"/>
                <w:szCs w:val="23"/>
                <w:color w:val="auto"/>
              </w:rPr>
            </w:pPr>
          </w:p>
        </w:tc>
        <w:tc>
          <w:tcPr>
            <w:tcW w:w="820" w:type="dxa"/>
            <w:vAlign w:val="bottom"/>
          </w:tcPr>
          <w:p>
            <w:pPr>
              <w:jc w:val="right"/>
              <w:ind w:right="61"/>
              <w:spacing w:after="0"/>
              <w:rPr>
                <w:sz w:val="20"/>
                <w:szCs w:val="20"/>
                <w:color w:val="auto"/>
              </w:rPr>
            </w:pPr>
            <w:r>
              <w:rPr>
                <w:rFonts w:ascii="Arial" w:cs="Arial" w:eastAsia="Arial" w:hAnsi="Arial"/>
                <w:sz w:val="16"/>
                <w:szCs w:val="16"/>
                <w:b w:val="1"/>
                <w:bCs w:val="1"/>
                <w:color w:val="auto"/>
              </w:rPr>
              <w:t>1,386</w:t>
            </w:r>
          </w:p>
        </w:tc>
        <w:tc>
          <w:tcPr>
            <w:tcW w:w="300" w:type="dxa"/>
            <w:vAlign w:val="bottom"/>
          </w:tcPr>
          <w:p>
            <w:pPr>
              <w:spacing w:after="0"/>
              <w:rPr>
                <w:sz w:val="23"/>
                <w:szCs w:val="23"/>
                <w:color w:val="auto"/>
              </w:rPr>
            </w:pP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1,331</w:t>
            </w:r>
          </w:p>
        </w:tc>
      </w:tr>
      <w:tr>
        <w:trPr>
          <w:trHeight w:val="270"/>
        </w:trPr>
        <w:tc>
          <w:tcPr>
            <w:tcW w:w="9260" w:type="dxa"/>
            <w:vAlign w:val="bottom"/>
          </w:tcPr>
          <w:p>
            <w:pPr>
              <w:ind w:left="40"/>
              <w:spacing w:after="0"/>
              <w:rPr>
                <w:sz w:val="20"/>
                <w:szCs w:val="20"/>
                <w:color w:val="auto"/>
              </w:rPr>
            </w:pPr>
            <w:r>
              <w:rPr>
                <w:rFonts w:ascii="Arial" w:cs="Arial" w:eastAsia="Arial" w:hAnsi="Arial"/>
                <w:sz w:val="16"/>
                <w:szCs w:val="16"/>
                <w:color w:val="auto"/>
              </w:rPr>
              <w:t>Interest cost</w:t>
            </w:r>
          </w:p>
        </w:tc>
        <w:tc>
          <w:tcPr>
            <w:tcW w:w="240" w:type="dxa"/>
            <w:vAlign w:val="bottom"/>
          </w:tcPr>
          <w:p>
            <w:pPr>
              <w:spacing w:after="0"/>
              <w:rPr>
                <w:sz w:val="23"/>
                <w:szCs w:val="23"/>
                <w:color w:val="auto"/>
              </w:rPr>
            </w:pPr>
          </w:p>
        </w:tc>
        <w:tc>
          <w:tcPr>
            <w:tcW w:w="820" w:type="dxa"/>
            <w:vAlign w:val="bottom"/>
          </w:tcPr>
          <w:p>
            <w:pPr>
              <w:jc w:val="right"/>
              <w:ind w:right="61"/>
              <w:spacing w:after="0"/>
              <w:rPr>
                <w:sz w:val="20"/>
                <w:szCs w:val="20"/>
                <w:color w:val="auto"/>
              </w:rPr>
            </w:pPr>
            <w:r>
              <w:rPr>
                <w:rFonts w:ascii="Arial" w:cs="Arial" w:eastAsia="Arial" w:hAnsi="Arial"/>
                <w:sz w:val="16"/>
                <w:szCs w:val="16"/>
                <w:b w:val="1"/>
                <w:bCs w:val="1"/>
                <w:color w:val="auto"/>
              </w:rPr>
              <w:t>1,230</w:t>
            </w:r>
          </w:p>
        </w:tc>
        <w:tc>
          <w:tcPr>
            <w:tcW w:w="300" w:type="dxa"/>
            <w:vAlign w:val="bottom"/>
          </w:tcPr>
          <w:p>
            <w:pPr>
              <w:spacing w:after="0"/>
              <w:rPr>
                <w:sz w:val="23"/>
                <w:szCs w:val="23"/>
                <w:color w:val="auto"/>
              </w:rPr>
            </w:pP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1,299</w:t>
            </w:r>
          </w:p>
        </w:tc>
      </w:tr>
      <w:tr>
        <w:trPr>
          <w:trHeight w:val="270"/>
        </w:trPr>
        <w:tc>
          <w:tcPr>
            <w:tcW w:w="9260" w:type="dxa"/>
            <w:vAlign w:val="bottom"/>
          </w:tcPr>
          <w:p>
            <w:pPr>
              <w:ind w:left="40"/>
              <w:spacing w:after="0"/>
              <w:rPr>
                <w:sz w:val="20"/>
                <w:szCs w:val="20"/>
                <w:color w:val="auto"/>
              </w:rPr>
            </w:pPr>
            <w:r>
              <w:rPr>
                <w:rFonts w:ascii="Arial" w:cs="Arial" w:eastAsia="Arial" w:hAnsi="Arial"/>
                <w:sz w:val="16"/>
                <w:szCs w:val="16"/>
                <w:color w:val="auto"/>
              </w:rPr>
              <w:t>Actuarial gain</w:t>
            </w:r>
          </w:p>
        </w:tc>
        <w:tc>
          <w:tcPr>
            <w:tcW w:w="240" w:type="dxa"/>
            <w:vAlign w:val="bottom"/>
          </w:tcPr>
          <w:p>
            <w:pPr>
              <w:spacing w:after="0"/>
              <w:rPr>
                <w:sz w:val="23"/>
                <w:szCs w:val="23"/>
                <w:color w:val="auto"/>
              </w:rPr>
            </w:pPr>
          </w:p>
        </w:tc>
        <w:tc>
          <w:tcPr>
            <w:tcW w:w="820" w:type="dxa"/>
            <w:vAlign w:val="bottom"/>
          </w:tcPr>
          <w:p>
            <w:pPr>
              <w:jc w:val="right"/>
              <w:ind w:right="1"/>
              <w:spacing w:after="0"/>
              <w:rPr>
                <w:sz w:val="20"/>
                <w:szCs w:val="20"/>
                <w:color w:val="auto"/>
              </w:rPr>
            </w:pPr>
            <w:r>
              <w:rPr>
                <w:rFonts w:ascii="Arial" w:cs="Arial" w:eastAsia="Arial" w:hAnsi="Arial"/>
                <w:sz w:val="16"/>
                <w:szCs w:val="16"/>
                <w:b w:val="1"/>
                <w:bCs w:val="1"/>
                <w:color w:val="auto"/>
              </w:rPr>
              <w:t>(14,984)</w:t>
            </w:r>
          </w:p>
        </w:tc>
        <w:tc>
          <w:tcPr>
            <w:tcW w:w="3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(5,296)</w:t>
            </w:r>
          </w:p>
        </w:tc>
      </w:tr>
      <w:tr>
        <w:trPr>
          <w:trHeight w:val="274"/>
        </w:trPr>
        <w:tc>
          <w:tcPr>
            <w:tcW w:w="9260" w:type="dxa"/>
            <w:vAlign w:val="bottom"/>
          </w:tcPr>
          <w:p>
            <w:pPr>
              <w:ind w:left="40"/>
              <w:spacing w:after="0"/>
              <w:rPr>
                <w:sz w:val="20"/>
                <w:szCs w:val="20"/>
                <w:color w:val="auto"/>
              </w:rPr>
            </w:pPr>
            <w:r>
              <w:rPr>
                <w:rFonts w:ascii="Arial" w:cs="Arial" w:eastAsia="Arial" w:hAnsi="Arial"/>
                <w:sz w:val="16"/>
                <w:szCs w:val="16"/>
                <w:color w:val="auto"/>
              </w:rPr>
              <w:t>Benefits paid, net of Medicare subsidy</w:t>
            </w:r>
          </w:p>
        </w:tc>
        <w:tc>
          <w:tcPr>
            <w:tcW w:w="24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(852)</w:t>
            </w:r>
          </w:p>
        </w:tc>
        <w:tc>
          <w:tcPr>
            <w:tcW w:w="30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(1,900)</w:t>
            </w:r>
          </w:p>
        </w:tc>
      </w:tr>
      <w:tr>
        <w:trPr>
          <w:trHeight w:val="261"/>
        </w:trPr>
        <w:tc>
          <w:tcPr>
            <w:tcW w:w="9260" w:type="dxa"/>
            <w:vAlign w:val="bottom"/>
          </w:tcPr>
          <w:p>
            <w:pPr>
              <w:ind w:left="40"/>
              <w:spacing w:after="0"/>
              <w:rPr>
                <w:sz w:val="20"/>
                <w:szCs w:val="20"/>
                <w:color w:val="auto"/>
              </w:rPr>
            </w:pPr>
            <w:r>
              <w:rPr>
                <w:rFonts w:ascii="Arial" w:cs="Arial" w:eastAsia="Arial" w:hAnsi="Arial"/>
                <w:sz w:val="16"/>
                <w:szCs w:val="16"/>
                <w:b w:val="1"/>
                <w:bCs w:val="1"/>
                <w:color w:val="auto"/>
              </w:rPr>
              <w:t>Benefit Obligation at End of Year</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82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b w:val="1"/>
                <w:bCs w:val="1"/>
                <w:color w:val="auto"/>
              </w:rPr>
              <w:t>24,171</w:t>
            </w:r>
          </w:p>
        </w:tc>
        <w:tc>
          <w:tcPr>
            <w:tcW w:w="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37,391</w:t>
            </w:r>
          </w:p>
        </w:tc>
      </w:tr>
      <w:tr>
        <w:trPr>
          <w:trHeight w:val="263"/>
        </w:trPr>
        <w:tc>
          <w:tcPr>
            <w:tcW w:w="9260" w:type="dxa"/>
            <w:vAlign w:val="bottom"/>
          </w:tcPr>
          <w:p>
            <w:pPr>
              <w:ind w:left="40"/>
              <w:spacing w:after="0"/>
              <w:rPr>
                <w:sz w:val="20"/>
                <w:szCs w:val="20"/>
                <w:color w:val="auto"/>
              </w:rPr>
            </w:pPr>
            <w:r>
              <w:rPr>
                <w:rFonts w:ascii="Arial" w:cs="Arial" w:eastAsia="Arial" w:hAnsi="Arial"/>
                <w:sz w:val="16"/>
                <w:szCs w:val="16"/>
                <w:b w:val="1"/>
                <w:bCs w:val="1"/>
                <w:color w:val="auto"/>
              </w:rPr>
              <w:t>Change in Plan Assets</w:t>
            </w:r>
          </w:p>
        </w:tc>
        <w:tc>
          <w:tcPr>
            <w:tcW w:w="2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00" w:type="dxa"/>
            <w:vAlign w:val="bottom"/>
          </w:tcPr>
          <w:p>
            <w:pPr>
              <w:spacing w:after="0"/>
              <w:rPr>
                <w:sz w:val="22"/>
                <w:szCs w:val="22"/>
                <w:color w:val="auto"/>
              </w:rPr>
            </w:pPr>
          </w:p>
        </w:tc>
      </w:tr>
      <w:tr>
        <w:trPr>
          <w:trHeight w:val="270"/>
        </w:trPr>
        <w:tc>
          <w:tcPr>
            <w:tcW w:w="9260" w:type="dxa"/>
            <w:vAlign w:val="bottom"/>
          </w:tcPr>
          <w:p>
            <w:pPr>
              <w:ind w:left="40"/>
              <w:spacing w:after="0"/>
              <w:rPr>
                <w:sz w:val="20"/>
                <w:szCs w:val="20"/>
                <w:color w:val="auto"/>
              </w:rPr>
            </w:pPr>
            <w:r>
              <w:rPr>
                <w:rFonts w:ascii="Arial" w:cs="Arial" w:eastAsia="Arial" w:hAnsi="Arial"/>
                <w:sz w:val="16"/>
                <w:szCs w:val="16"/>
                <w:color w:val="auto"/>
              </w:rPr>
              <w:t>Fair value of assets at beginning of year</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820" w:type="dxa"/>
            <w:vAlign w:val="bottom"/>
          </w:tcPr>
          <w:p>
            <w:pPr>
              <w:jc w:val="right"/>
              <w:ind w:right="61"/>
              <w:spacing w:after="0"/>
              <w:rPr>
                <w:sz w:val="20"/>
                <w:szCs w:val="20"/>
                <w:color w:val="auto"/>
              </w:rPr>
            </w:pPr>
            <w:r>
              <w:rPr>
                <w:rFonts w:ascii="Arial" w:cs="Arial" w:eastAsia="Arial" w:hAnsi="Arial"/>
                <w:sz w:val="16"/>
                <w:szCs w:val="16"/>
                <w:b w:val="1"/>
                <w:bCs w:val="1"/>
                <w:color w:val="auto"/>
              </w:rPr>
              <w:t>—</w:t>
            </w:r>
          </w:p>
        </w:tc>
        <w:tc>
          <w:tcPr>
            <w:tcW w:w="30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800" w:type="dxa"/>
            <w:vAlign w:val="bottom"/>
          </w:tcPr>
          <w:p>
            <w:pPr>
              <w:jc w:val="right"/>
              <w:ind w:right="20"/>
              <w:spacing w:after="0"/>
              <w:rPr>
                <w:sz w:val="20"/>
                <w:szCs w:val="20"/>
                <w:color w:val="auto"/>
              </w:rPr>
            </w:pPr>
            <w:r>
              <w:rPr>
                <w:rFonts w:ascii="Arial" w:cs="Arial" w:eastAsia="Arial" w:hAnsi="Arial"/>
                <w:sz w:val="16"/>
                <w:szCs w:val="16"/>
                <w:b w:val="1"/>
                <w:bCs w:val="1"/>
                <w:color w:val="auto"/>
              </w:rPr>
              <w:t>—</w:t>
            </w:r>
          </w:p>
        </w:tc>
      </w:tr>
      <w:tr>
        <w:trPr>
          <w:trHeight w:val="270"/>
        </w:trPr>
        <w:tc>
          <w:tcPr>
            <w:tcW w:w="9260" w:type="dxa"/>
            <w:vAlign w:val="bottom"/>
          </w:tcPr>
          <w:p>
            <w:pPr>
              <w:ind w:left="40"/>
              <w:spacing w:after="0"/>
              <w:rPr>
                <w:sz w:val="20"/>
                <w:szCs w:val="20"/>
                <w:color w:val="auto"/>
              </w:rPr>
            </w:pPr>
            <w:r>
              <w:rPr>
                <w:rFonts w:ascii="Arial" w:cs="Arial" w:eastAsia="Arial" w:hAnsi="Arial"/>
                <w:sz w:val="16"/>
                <w:szCs w:val="16"/>
                <w:color w:val="auto"/>
              </w:rPr>
              <w:t>Employer contributions</w:t>
            </w:r>
          </w:p>
        </w:tc>
        <w:tc>
          <w:tcPr>
            <w:tcW w:w="240" w:type="dxa"/>
            <w:vAlign w:val="bottom"/>
          </w:tcPr>
          <w:p>
            <w:pPr>
              <w:spacing w:after="0"/>
              <w:rPr>
                <w:sz w:val="23"/>
                <w:szCs w:val="23"/>
                <w:color w:val="auto"/>
              </w:rPr>
            </w:pPr>
          </w:p>
        </w:tc>
        <w:tc>
          <w:tcPr>
            <w:tcW w:w="820" w:type="dxa"/>
            <w:vAlign w:val="bottom"/>
          </w:tcPr>
          <w:p>
            <w:pPr>
              <w:jc w:val="right"/>
              <w:ind w:right="61"/>
              <w:spacing w:after="0"/>
              <w:rPr>
                <w:sz w:val="20"/>
                <w:szCs w:val="20"/>
                <w:color w:val="auto"/>
              </w:rPr>
            </w:pPr>
            <w:r>
              <w:rPr>
                <w:rFonts w:ascii="Arial" w:cs="Arial" w:eastAsia="Arial" w:hAnsi="Arial"/>
                <w:sz w:val="16"/>
                <w:szCs w:val="16"/>
                <w:b w:val="1"/>
                <w:bCs w:val="1"/>
                <w:color w:val="auto"/>
              </w:rPr>
              <w:t>852</w:t>
            </w:r>
          </w:p>
        </w:tc>
        <w:tc>
          <w:tcPr>
            <w:tcW w:w="300" w:type="dxa"/>
            <w:vAlign w:val="bottom"/>
          </w:tcPr>
          <w:p>
            <w:pPr>
              <w:spacing w:after="0"/>
              <w:rPr>
                <w:sz w:val="23"/>
                <w:szCs w:val="23"/>
                <w:color w:val="auto"/>
              </w:rPr>
            </w:pP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1,900</w:t>
            </w:r>
          </w:p>
        </w:tc>
      </w:tr>
      <w:tr>
        <w:trPr>
          <w:trHeight w:val="274"/>
        </w:trPr>
        <w:tc>
          <w:tcPr>
            <w:tcW w:w="9260" w:type="dxa"/>
            <w:vAlign w:val="bottom"/>
          </w:tcPr>
          <w:p>
            <w:pPr>
              <w:ind w:left="40"/>
              <w:spacing w:after="0"/>
              <w:rPr>
                <w:sz w:val="20"/>
                <w:szCs w:val="20"/>
                <w:color w:val="auto"/>
              </w:rPr>
            </w:pPr>
            <w:r>
              <w:rPr>
                <w:rFonts w:ascii="Arial" w:cs="Arial" w:eastAsia="Arial" w:hAnsi="Arial"/>
                <w:sz w:val="16"/>
                <w:szCs w:val="16"/>
                <w:color w:val="auto"/>
              </w:rPr>
              <w:t>Benefits paid, net of Medicare subsidy</w:t>
            </w:r>
          </w:p>
        </w:tc>
        <w:tc>
          <w:tcPr>
            <w:tcW w:w="24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(852)</w:t>
            </w:r>
          </w:p>
        </w:tc>
        <w:tc>
          <w:tcPr>
            <w:tcW w:w="30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(1,900)</w:t>
            </w:r>
          </w:p>
        </w:tc>
      </w:tr>
      <w:tr>
        <w:trPr>
          <w:trHeight w:val="264"/>
        </w:trPr>
        <w:tc>
          <w:tcPr>
            <w:tcW w:w="9260" w:type="dxa"/>
            <w:vAlign w:val="bottom"/>
          </w:tcPr>
          <w:p>
            <w:pPr>
              <w:ind w:left="40"/>
              <w:spacing w:after="0"/>
              <w:rPr>
                <w:sz w:val="20"/>
                <w:szCs w:val="20"/>
                <w:color w:val="auto"/>
              </w:rPr>
            </w:pPr>
            <w:r>
              <w:rPr>
                <w:rFonts w:ascii="Arial" w:cs="Arial" w:eastAsia="Arial" w:hAnsi="Arial"/>
                <w:sz w:val="16"/>
                <w:szCs w:val="16"/>
                <w:b w:val="1"/>
                <w:bCs w:val="1"/>
                <w:color w:val="auto"/>
              </w:rPr>
              <w:t>Fair Value of Assets at End of Year</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82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b w:val="1"/>
                <w:bCs w:val="1"/>
                <w:color w:val="auto"/>
              </w:rPr>
              <w:t>—</w:t>
            </w:r>
          </w:p>
        </w:tc>
        <w:tc>
          <w:tcPr>
            <w:tcW w:w="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8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w:t>
            </w:r>
          </w:p>
        </w:tc>
      </w:tr>
      <w:tr>
        <w:trPr>
          <w:trHeight w:val="267"/>
        </w:trPr>
        <w:tc>
          <w:tcPr>
            <w:tcW w:w="9260" w:type="dxa"/>
            <w:vAlign w:val="bottom"/>
          </w:tcPr>
          <w:p>
            <w:pPr>
              <w:ind w:left="40"/>
              <w:spacing w:after="0"/>
              <w:rPr>
                <w:sz w:val="20"/>
                <w:szCs w:val="20"/>
                <w:color w:val="auto"/>
              </w:rPr>
            </w:pPr>
            <w:r>
              <w:rPr>
                <w:rFonts w:ascii="Arial" w:cs="Arial" w:eastAsia="Arial" w:hAnsi="Arial"/>
                <w:sz w:val="16"/>
                <w:szCs w:val="16"/>
                <w:b w:val="1"/>
                <w:bCs w:val="1"/>
                <w:color w:val="auto"/>
              </w:rPr>
              <w:t>Funded Status</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8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(24,171)</w:t>
            </w:r>
          </w:p>
        </w:tc>
        <w:tc>
          <w:tcPr>
            <w:tcW w:w="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(37,391)</w:t>
            </w:r>
          </w:p>
        </w:tc>
      </w:tr>
      <w:tr>
        <w:trPr>
          <w:trHeight w:val="20"/>
        </w:trPr>
        <w:tc>
          <w:tcPr>
            <w:tcW w:w="9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The amounts recognized in the Company’s Consolidated Balance Sheets for its other postretirement plans are as follows:</w:t>
      </w:r>
    </w:p>
    <w:p>
      <w:pPr>
        <w:sectPr>
          <w:pgSz w:w="11900" w:h="16838" w:orient="portrait"/>
          <w:cols w:equalWidth="0" w:num="1">
            <w:col w:w="11420"/>
          </w:cols>
          <w:pgMar w:left="240" w:top="724"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40"/>
        <w:spacing w:after="0"/>
        <w:rPr>
          <w:sz w:val="20"/>
          <w:szCs w:val="20"/>
          <w:color w:val="auto"/>
        </w:rPr>
      </w:pPr>
      <w:r>
        <w:rPr>
          <w:rFonts w:ascii="Arial" w:cs="Arial" w:eastAsia="Arial" w:hAnsi="Arial"/>
          <w:sz w:val="14"/>
          <w:szCs w:val="14"/>
          <w:color w:val="auto"/>
        </w:rPr>
        <w:t>(in thousands)</w:t>
      </w:r>
    </w:p>
    <w:p>
      <w:pPr>
        <w:spacing w:after="0" w:line="91" w:lineRule="exact"/>
        <w:rPr>
          <w:sz w:val="20"/>
          <w:szCs w:val="20"/>
          <w:color w:val="auto"/>
        </w:rPr>
      </w:pPr>
    </w:p>
    <w:p>
      <w:pPr>
        <w:ind w:left="40"/>
        <w:spacing w:after="0"/>
        <w:rPr>
          <w:sz w:val="20"/>
          <w:szCs w:val="20"/>
          <w:color w:val="auto"/>
        </w:rPr>
      </w:pPr>
      <w:r>
        <w:rPr>
          <w:rFonts w:ascii="Arial" w:cs="Arial" w:eastAsia="Arial" w:hAnsi="Arial"/>
          <w:sz w:val="16"/>
          <w:szCs w:val="16"/>
          <w:color w:val="auto"/>
        </w:rPr>
        <w:t>Current liability</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Noncurrent liability</w:t>
      </w:r>
    </w:p>
    <w:p>
      <w:pPr>
        <w:spacing w:after="0" w:line="111"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Recognized Liability</w:t>
      </w:r>
    </w:p>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Postretirement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27305</wp:posOffset>
            </wp:positionV>
            <wp:extent cx="137223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372235" cy="8890"/>
                    </a:xfrm>
                    <a:prstGeom prst="rect">
                      <a:avLst/>
                    </a:prstGeom>
                    <a:noFill/>
                  </pic:spPr>
                </pic:pic>
              </a:graphicData>
            </a:graphic>
          </wp:anchor>
        </w:drawing>
      </w:r>
    </w:p>
    <w:p>
      <w:pPr>
        <w:spacing w:after="0" w:line="8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27305</wp:posOffset>
            </wp:positionV>
            <wp:extent cx="137223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372235" cy="8890"/>
                    </a:xfrm>
                    <a:prstGeom prst="rect">
                      <a:avLst/>
                    </a:prstGeom>
                    <a:noFill/>
                  </pic:spPr>
                </pic:pic>
              </a:graphicData>
            </a:graphic>
          </wp:anchor>
        </w:drawing>
      </w:r>
    </w:p>
    <w:p>
      <w:pPr>
        <w:spacing w:after="0" w:line="103" w:lineRule="exact"/>
        <w:rPr>
          <w:sz w:val="20"/>
          <w:szCs w:val="20"/>
          <w:color w:val="auto"/>
        </w:rPr>
      </w:pPr>
    </w:p>
    <w:p>
      <w:pPr>
        <w:ind w:left="340"/>
        <w:spacing w:after="0"/>
        <w:tabs>
          <w:tab w:leader="none" w:pos="1440" w:val="left"/>
        </w:tabs>
        <w:rPr>
          <w:sz w:val="20"/>
          <w:szCs w:val="20"/>
          <w:color w:val="auto"/>
        </w:rPr>
      </w:pPr>
      <w:r>
        <w:rPr>
          <w:rFonts w:ascii="Arial" w:cs="Arial" w:eastAsia="Arial" w:hAnsi="Arial"/>
          <w:sz w:val="14"/>
          <w:szCs w:val="14"/>
          <w:b w:val="1"/>
          <w:bCs w:val="1"/>
          <w:color w:val="auto"/>
        </w:rPr>
        <w:t>2016</w:t>
      </w:r>
      <w:r>
        <w:rPr>
          <w:sz w:val="20"/>
          <w:szCs w:val="20"/>
          <w:color w:val="auto"/>
        </w:rPr>
        <w:tab/>
      </w:r>
      <w:r>
        <w:rPr>
          <w:rFonts w:ascii="Arial" w:cs="Arial" w:eastAsia="Arial" w:hAnsi="Arial"/>
          <w:sz w:val="14"/>
          <w:szCs w:val="14"/>
          <w:color w:val="auto"/>
        </w:rPr>
        <w:t>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-5887085</wp:posOffset>
            </wp:positionH>
            <wp:positionV relativeFrom="paragraph">
              <wp:posOffset>27305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71" w:lineRule="exact"/>
        <w:rPr>
          <w:sz w:val="20"/>
          <w:szCs w:val="20"/>
          <w:color w:val="auto"/>
        </w:rPr>
      </w:pPr>
    </w:p>
    <w:p>
      <w:pPr>
        <w:ind w:left="440" w:hanging="434"/>
        <w:spacing w:after="0"/>
        <w:tabs>
          <w:tab w:leader="none" w:pos="440" w:val="left"/>
        </w:tabs>
        <w:numPr>
          <w:ilvl w:val="0"/>
          <w:numId w:val="7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(2,312)  </w:t>
      </w:r>
      <w:r>
        <w:rPr>
          <w:rFonts w:ascii="Arial" w:cs="Arial" w:eastAsia="Arial" w:hAnsi="Arial"/>
          <w:sz w:val="16"/>
          <w:szCs w:val="16"/>
          <w:color w:val="auto"/>
        </w:rPr>
        <w:t>$</w:t>
      </w:r>
      <w:r>
        <w:rPr>
          <w:rFonts w:ascii="Arial" w:cs="Arial" w:eastAsia="Arial" w:hAnsi="Arial"/>
          <w:sz w:val="15"/>
          <w:szCs w:val="15"/>
          <w:color w:val="auto"/>
        </w:rPr>
        <w:t>(3,444)</w:t>
      </w:r>
    </w:p>
    <w:p>
      <w:pPr>
        <w:spacing w:after="0" w:line="86" w:lineRule="exact"/>
        <w:rPr>
          <w:rFonts w:ascii="Arial" w:cs="Arial" w:eastAsia="Arial" w:hAnsi="Arial"/>
          <w:sz w:val="16"/>
          <w:szCs w:val="16"/>
          <w:b w:val="1"/>
          <w:bCs w:val="1"/>
          <w:color w:val="auto"/>
        </w:rPr>
      </w:pPr>
    </w:p>
    <w:p>
      <w:pPr>
        <w:ind w:left="340"/>
        <w:spacing w:after="0"/>
        <w:rPr>
          <w:rFonts w:ascii="Arial" w:cs="Arial" w:eastAsia="Arial" w:hAnsi="Arial"/>
          <w:sz w:val="16"/>
          <w:szCs w:val="16"/>
          <w:b w:val="1"/>
          <w:bCs w:val="1"/>
          <w:color w:val="auto"/>
        </w:rPr>
      </w:pPr>
      <w:r>
        <w:rPr>
          <w:rFonts w:ascii="Arial" w:cs="Arial" w:eastAsia="Arial" w:hAnsi="Arial"/>
          <w:sz w:val="16"/>
          <w:szCs w:val="16"/>
          <w:b w:val="1"/>
          <w:bCs w:val="1"/>
          <w:color w:val="auto"/>
        </w:rPr>
        <w:t>(21,859)</w:t>
      </w:r>
      <w:r>
        <w:rPr>
          <w:rFonts w:ascii="Arial" w:cs="Arial" w:eastAsia="Arial" w:hAnsi="Arial"/>
          <w:sz w:val="16"/>
          <w:szCs w:val="16"/>
          <w:color w:val="auto"/>
        </w:rPr>
        <w:t>(33,947)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33020</wp:posOffset>
            </wp:positionV>
            <wp:extent cx="137223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372235" cy="8890"/>
                    </a:xfrm>
                    <a:prstGeom prst="rect">
                      <a:avLst/>
                    </a:prstGeom>
                    <a:noFill/>
                  </pic:spPr>
                </pic:pic>
              </a:graphicData>
            </a:graphic>
          </wp:anchor>
        </w:drawing>
      </w:r>
    </w:p>
    <w:p>
      <w:pPr>
        <w:spacing w:after="0" w:line="80" w:lineRule="exact"/>
        <w:rPr>
          <w:sz w:val="20"/>
          <w:szCs w:val="20"/>
          <w:color w:val="auto"/>
        </w:rPr>
      </w:pPr>
    </w:p>
    <w:p>
      <w:pPr>
        <w:spacing w:after="0"/>
        <w:tabs>
          <w:tab w:leader="none" w:pos="320" w:val="left"/>
          <w:tab w:leader="none" w:pos="1120" w:val="left"/>
          <w:tab w:leader="none" w:pos="1460" w:val="left"/>
        </w:tabs>
        <w:rPr>
          <w:sz w:val="20"/>
          <w:szCs w:val="20"/>
          <w:color w:val="auto"/>
        </w:rPr>
      </w:pPr>
      <w:r>
        <w:rPr>
          <w:rFonts w:ascii="Arial" w:cs="Arial" w:eastAsia="Arial" w:hAnsi="Arial"/>
          <w:sz w:val="16"/>
          <w:szCs w:val="16"/>
          <w:b w:val="1"/>
          <w:bCs w:val="1"/>
          <w:color w:val="auto"/>
        </w:rPr>
        <w:t>$</w:t>
        <w:tab/>
        <w:t>(24,171)</w:t>
      </w:r>
      <w:r>
        <w:rPr>
          <w:sz w:val="20"/>
          <w:szCs w:val="20"/>
          <w:color w:val="auto"/>
        </w:rPr>
        <w:tab/>
      </w:r>
      <w:r>
        <w:rPr>
          <w:rFonts w:ascii="Arial" w:cs="Arial" w:eastAsia="Arial" w:hAnsi="Arial"/>
          <w:sz w:val="16"/>
          <w:szCs w:val="16"/>
          <w:color w:val="auto"/>
        </w:rPr>
        <w:t>$</w:t>
        <w:tab/>
        <w:t>(37,391)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33020</wp:posOffset>
            </wp:positionV>
            <wp:extent cx="137223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372235" cy="8890"/>
                    </a:xfrm>
                    <a:prstGeom prst="rect">
                      <a:avLst/>
                    </a:prstGeom>
                    <a:noFill/>
                  </pic:spPr>
                </pic:pic>
              </a:graphicData>
            </a:graphic>
          </wp:anchor>
        </w:drawing>
        <w:drawing>
          <wp:anchor simplePos="0" relativeHeight="251657728" behindDoc="1" locked="0" layoutInCell="0" allowOverlap="1">
            <wp:simplePos x="0" y="0"/>
            <wp:positionH relativeFrom="column">
              <wp:posOffset>-12700</wp:posOffset>
            </wp:positionH>
            <wp:positionV relativeFrom="paragraph">
              <wp:posOffset>50165</wp:posOffset>
            </wp:positionV>
            <wp:extent cx="137223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372235" cy="8890"/>
                    </a:xfrm>
                    <a:prstGeom prst="rect">
                      <a:avLst/>
                    </a:prstGeom>
                    <a:noFill/>
                  </pic:spPr>
                </pic:pic>
              </a:graphicData>
            </a:graphic>
          </wp:anchor>
        </w:drawing>
      </w:r>
    </w:p>
    <w:p>
      <w:pPr>
        <w:spacing w:after="0" w:line="213" w:lineRule="exact"/>
        <w:rPr>
          <w:sz w:val="20"/>
          <w:szCs w:val="20"/>
          <w:color w:val="auto"/>
        </w:rPr>
      </w:pPr>
    </w:p>
    <w:p>
      <w:pPr>
        <w:sectPr>
          <w:pgSz w:w="11900" w:h="16838" w:orient="portrait"/>
          <w:cols w:equalWidth="0" w:num="2">
            <w:col w:w="8560" w:space="720"/>
            <w:col w:w="2140"/>
          </w:cols>
          <w:pgMar w:left="240" w:top="724" w:right="239" w:bottom="1440" w:gutter="0" w:footer="0" w:header="0"/>
          <w:type w:val="continuous"/>
        </w:sectPr>
      </w:pPr>
    </w:p>
    <w:p>
      <w:pPr>
        <w:spacing w:after="0" w:line="5" w:lineRule="exact"/>
        <w:rPr>
          <w:sz w:val="20"/>
          <w:szCs w:val="20"/>
          <w:color w:val="auto"/>
        </w:rPr>
      </w:pPr>
    </w:p>
    <w:p>
      <w:pPr>
        <w:ind w:right="60"/>
        <w:spacing w:after="0" w:line="234" w:lineRule="auto"/>
        <w:rPr>
          <w:sz w:val="20"/>
          <w:szCs w:val="20"/>
          <w:color w:val="auto"/>
        </w:rPr>
      </w:pPr>
      <w:r>
        <w:rPr>
          <w:rFonts w:ascii="Arial" w:cs="Arial" w:eastAsia="Arial" w:hAnsi="Arial"/>
          <w:sz w:val="18"/>
          <w:szCs w:val="18"/>
          <w:color w:val="auto"/>
        </w:rPr>
        <w:t>The discount rates utilized for determining the benefit obligation at December 31, 2016 and 2015, for the postretirement plans were 3.31% and 3.45%, respectively. The assumed health care cost trend rate used in measuring the postretirement benefit obligation at December 31, 2016, was 7.15% for pre-age 65, decreasing to 4.5% in the year 2025 and thereafter. The assumed health care cost trend rate used in measuring the postretirement benefit obligation at December 31, 2016, was 8.65% for post-age 65, decreasing to 4.5% in the year 2025 and thereafter.</w:t>
      </w:r>
    </w:p>
    <w:p>
      <w:pPr>
        <w:spacing w:after="0" w:line="111" w:lineRule="exact"/>
        <w:rPr>
          <w:sz w:val="20"/>
          <w:szCs w:val="20"/>
          <w:color w:val="auto"/>
        </w:rPr>
      </w:pPr>
    </w:p>
    <w:p>
      <w:pPr>
        <w:ind w:right="140"/>
        <w:spacing w:after="0" w:line="260" w:lineRule="auto"/>
        <w:rPr>
          <w:sz w:val="20"/>
          <w:szCs w:val="20"/>
          <w:color w:val="auto"/>
        </w:rPr>
      </w:pPr>
      <w:r>
        <w:rPr>
          <w:rFonts w:ascii="Arial" w:cs="Arial" w:eastAsia="Arial" w:hAnsi="Arial"/>
          <w:sz w:val="18"/>
          <w:szCs w:val="18"/>
          <w:color w:val="auto"/>
        </w:rPr>
        <w:t>Assumed health care cost trend rates have a significant effect on the amounts reported for the health care plans. A change of one percentage point in the assumed health care cost trend rates would have the following effects: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5800" w:type="dxa"/>
            <w:vAlign w:val="bottom"/>
          </w:tcPr>
          <w:p>
            <w:pPr>
              <w:spacing w:after="0"/>
              <w:rPr>
                <w:sz w:val="17"/>
                <w:szCs w:val="17"/>
                <w:color w:val="auto"/>
              </w:rPr>
            </w:pPr>
          </w:p>
        </w:tc>
        <w:tc>
          <w:tcPr>
            <w:tcW w:w="3620" w:type="dxa"/>
            <w:vAlign w:val="bottom"/>
          </w:tcPr>
          <w:p>
            <w:pPr>
              <w:spacing w:after="0"/>
              <w:rPr>
                <w:sz w:val="17"/>
                <w:szCs w:val="17"/>
                <w:color w:val="auto"/>
              </w:rPr>
            </w:pPr>
          </w:p>
        </w:tc>
        <w:tc>
          <w:tcPr>
            <w:tcW w:w="880" w:type="dxa"/>
            <w:vAlign w:val="bottom"/>
          </w:tcPr>
          <w:p>
            <w:pPr>
              <w:jc w:val="right"/>
              <w:ind w:right="343"/>
              <w:spacing w:after="0"/>
              <w:rPr>
                <w:sz w:val="20"/>
                <w:szCs w:val="20"/>
                <w:color w:val="auto"/>
              </w:rPr>
            </w:pPr>
            <w:r>
              <w:rPr>
                <w:rFonts w:ascii="Arial" w:cs="Arial" w:eastAsia="Arial" w:hAnsi="Arial"/>
                <w:sz w:val="14"/>
                <w:szCs w:val="14"/>
                <w:b w:val="1"/>
                <w:bCs w:val="1"/>
                <w:color w:val="auto"/>
              </w:rPr>
              <w:t>1%</w:t>
            </w:r>
          </w:p>
        </w:tc>
        <w:tc>
          <w:tcPr>
            <w:tcW w:w="240" w:type="dxa"/>
            <w:vAlign w:val="bottom"/>
          </w:tcPr>
          <w:p>
            <w:pPr>
              <w:spacing w:after="0"/>
              <w:rPr>
                <w:sz w:val="17"/>
                <w:szCs w:val="17"/>
                <w:color w:val="auto"/>
              </w:rPr>
            </w:pPr>
          </w:p>
        </w:tc>
        <w:tc>
          <w:tcPr>
            <w:tcW w:w="880" w:type="dxa"/>
            <w:vAlign w:val="bottom"/>
          </w:tcPr>
          <w:p>
            <w:pPr>
              <w:jc w:val="right"/>
              <w:ind w:right="323"/>
              <w:spacing w:after="0"/>
              <w:rPr>
                <w:sz w:val="20"/>
                <w:szCs w:val="20"/>
                <w:color w:val="auto"/>
              </w:rPr>
            </w:pPr>
            <w:r>
              <w:rPr>
                <w:rFonts w:ascii="Arial" w:cs="Arial" w:eastAsia="Arial" w:hAnsi="Arial"/>
                <w:sz w:val="14"/>
                <w:szCs w:val="14"/>
                <w:b w:val="1"/>
                <w:bCs w:val="1"/>
                <w:color w:val="auto"/>
              </w:rPr>
              <w:t>1%</w:t>
            </w:r>
          </w:p>
        </w:tc>
      </w:tr>
      <w:tr>
        <w:trPr>
          <w:trHeight w:val="271"/>
        </w:trPr>
        <w:tc>
          <w:tcPr>
            <w:tcW w:w="58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362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163"/>
              <w:spacing w:after="0"/>
              <w:rPr>
                <w:sz w:val="20"/>
                <w:szCs w:val="20"/>
                <w:color w:val="auto"/>
              </w:rPr>
            </w:pPr>
            <w:r>
              <w:rPr>
                <w:rFonts w:ascii="Arial" w:cs="Arial" w:eastAsia="Arial" w:hAnsi="Arial"/>
                <w:sz w:val="14"/>
                <w:szCs w:val="14"/>
                <w:b w:val="1"/>
                <w:bCs w:val="1"/>
                <w:color w:val="auto"/>
              </w:rPr>
              <w:t>Increase</w:t>
            </w:r>
          </w:p>
        </w:tc>
        <w:tc>
          <w:tcPr>
            <w:tcW w:w="24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123"/>
              <w:spacing w:after="0"/>
              <w:rPr>
                <w:sz w:val="20"/>
                <w:szCs w:val="20"/>
                <w:color w:val="auto"/>
              </w:rPr>
            </w:pPr>
            <w:r>
              <w:rPr>
                <w:rFonts w:ascii="Arial" w:cs="Arial" w:eastAsia="Arial" w:hAnsi="Arial"/>
                <w:sz w:val="14"/>
                <w:szCs w:val="14"/>
                <w:b w:val="1"/>
                <w:bCs w:val="1"/>
                <w:color w:val="auto"/>
              </w:rPr>
              <w:t>Decrease</w:t>
            </w:r>
          </w:p>
        </w:tc>
      </w:tr>
      <w:tr>
        <w:trPr>
          <w:trHeight w:val="249"/>
        </w:trPr>
        <w:tc>
          <w:tcPr>
            <w:tcW w:w="5800" w:type="dxa"/>
            <w:vAlign w:val="bottom"/>
          </w:tcPr>
          <w:p>
            <w:pPr>
              <w:ind w:left="40"/>
              <w:spacing w:after="0"/>
              <w:rPr>
                <w:sz w:val="20"/>
                <w:szCs w:val="20"/>
                <w:color w:val="auto"/>
              </w:rPr>
            </w:pPr>
            <w:r>
              <w:rPr>
                <w:rFonts w:ascii="Arial" w:cs="Arial" w:eastAsia="Arial" w:hAnsi="Arial"/>
                <w:sz w:val="16"/>
                <w:szCs w:val="16"/>
                <w:color w:val="auto"/>
              </w:rPr>
              <w:t>Benefit obligation at end of year</w:t>
            </w:r>
          </w:p>
        </w:tc>
        <w:tc>
          <w:tcPr>
            <w:tcW w:w="362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43"/>
              <w:spacing w:after="0"/>
              <w:rPr>
                <w:sz w:val="20"/>
                <w:szCs w:val="20"/>
                <w:color w:val="auto"/>
              </w:rPr>
            </w:pPr>
            <w:r>
              <w:rPr>
                <w:rFonts w:ascii="Arial" w:cs="Arial" w:eastAsia="Arial" w:hAnsi="Arial"/>
                <w:sz w:val="16"/>
                <w:szCs w:val="16"/>
                <w:color w:val="auto"/>
              </w:rPr>
              <w:t>1,330</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(1,220)</w:t>
            </w:r>
          </w:p>
        </w:tc>
      </w:tr>
      <w:tr>
        <w:trPr>
          <w:trHeight w:val="270"/>
        </w:trPr>
        <w:tc>
          <w:tcPr>
            <w:tcW w:w="5800" w:type="dxa"/>
            <w:vAlign w:val="bottom"/>
          </w:tcPr>
          <w:p>
            <w:pPr>
              <w:ind w:left="40"/>
              <w:spacing w:after="0"/>
              <w:rPr>
                <w:sz w:val="20"/>
                <w:szCs w:val="20"/>
                <w:color w:val="auto"/>
              </w:rPr>
            </w:pPr>
            <w:r>
              <w:rPr>
                <w:rFonts w:ascii="Arial" w:cs="Arial" w:eastAsia="Arial" w:hAnsi="Arial"/>
                <w:sz w:val="16"/>
                <w:szCs w:val="16"/>
                <w:color w:val="auto"/>
              </w:rPr>
              <w:t>Service cost plus interest cost</w:t>
            </w:r>
          </w:p>
        </w:tc>
        <w:tc>
          <w:tcPr>
            <w:tcW w:w="362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43"/>
              <w:spacing w:after="0"/>
              <w:rPr>
                <w:sz w:val="20"/>
                <w:szCs w:val="20"/>
                <w:color w:val="auto"/>
              </w:rPr>
            </w:pPr>
            <w:r>
              <w:rPr>
                <w:rFonts w:ascii="Arial" w:cs="Arial" w:eastAsia="Arial" w:hAnsi="Arial"/>
                <w:sz w:val="16"/>
                <w:szCs w:val="16"/>
                <w:color w:val="auto"/>
              </w:rPr>
              <w:t>165</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(148)</w:t>
            </w:r>
          </w:p>
        </w:tc>
      </w:tr>
    </w:tbl>
    <w:p>
      <w:pPr>
        <w:spacing w:after="0" w:line="141" w:lineRule="exact"/>
        <w:rPr>
          <w:sz w:val="20"/>
          <w:szCs w:val="20"/>
          <w:color w:val="auto"/>
        </w:rPr>
      </w:pPr>
    </w:p>
    <w:p>
      <w:pPr>
        <w:ind w:right="300"/>
        <w:spacing w:after="0"/>
        <w:rPr>
          <w:sz w:val="20"/>
          <w:szCs w:val="20"/>
          <w:color w:val="auto"/>
        </w:rPr>
      </w:pPr>
      <w:r>
        <w:rPr>
          <w:rFonts w:ascii="Arial" w:cs="Arial" w:eastAsia="Arial" w:hAnsi="Arial"/>
          <w:sz w:val="18"/>
          <w:szCs w:val="18"/>
          <w:color w:val="auto"/>
        </w:rPr>
        <w:t>The Company made contributions to its postretirement benefit plans of $ 0.9 million and $1.9 million for the years ended December 31, 2016 and 2015, respectively. As the plans are unfunded, the Company makes contributions to its postretirement plans based on actual benefit payments.</w:t>
      </w:r>
    </w:p>
    <w:p>
      <w:pPr>
        <w:sectPr>
          <w:pgSz w:w="11900" w:h="16838" w:orient="portrait"/>
          <w:cols w:equalWidth="0" w:num="1">
            <w:col w:w="11420"/>
          </w:cols>
          <w:pgMar w:left="240" w:top="724" w:right="239" w:bottom="1440" w:gutter="0" w:footer="0" w:header="0"/>
          <w:type w:val="continuous"/>
        </w:sect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99</w:t>
      </w:r>
    </w:p>
    <w:p>
      <w:pPr>
        <w:sectPr>
          <w:pgSz w:w="11900" w:h="16838" w:orient="portrait"/>
          <w:cols w:equalWidth="0" w:num="1">
            <w:col w:w="11420"/>
          </w:cols>
          <w:pgMar w:left="240" w:top="724" w:right="239" w:bottom="1440" w:gutter="0" w:footer="0" w:header="0"/>
          <w:type w:val="continuous"/>
        </w:sectPr>
      </w:pPr>
    </w:p>
    <w:bookmarkStart w:id="102" w:name="page103"/>
    <w:bookmarkEnd w:id="102"/>
    <w:p>
      <w:pPr>
        <w:spacing w:after="0"/>
        <w:rPr>
          <w:sz w:val="20"/>
          <w:szCs w:val="20"/>
          <w:color w:val="auto"/>
        </w:rPr>
      </w:pPr>
      <w:r>
        <w:rPr>
          <w:rFonts w:ascii="Arial" w:cs="Arial" w:eastAsia="Arial" w:hAnsi="Arial"/>
          <w:sz w:val="18"/>
          <w:szCs w:val="18"/>
          <w:color w:val="auto"/>
        </w:rPr>
        <w:t>At December 31, 2016, future estimated benefit payments are as follows: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99"/>
              </w:rPr>
              <w:t>Postretirement</w:t>
            </w:r>
          </w:p>
        </w:tc>
      </w:tr>
      <w:tr>
        <w:trPr>
          <w:trHeight w:val="203"/>
        </w:trPr>
        <w:tc>
          <w:tcPr>
            <w:tcW w:w="81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b w:val="1"/>
                <w:bCs w:val="1"/>
                <w:color w:val="auto"/>
              </w:rPr>
              <w:t>Plans</w:t>
            </w:r>
          </w:p>
        </w:tc>
      </w:tr>
      <w:tr>
        <w:trPr>
          <w:trHeight w:val="222"/>
        </w:trPr>
        <w:tc>
          <w:tcPr>
            <w:tcW w:w="8120" w:type="dxa"/>
            <w:vAlign w:val="bottom"/>
          </w:tcPr>
          <w:p>
            <w:pPr>
              <w:ind w:left="40"/>
              <w:spacing w:after="0"/>
              <w:rPr>
                <w:sz w:val="20"/>
                <w:szCs w:val="20"/>
                <w:color w:val="auto"/>
              </w:rPr>
            </w:pPr>
            <w:r>
              <w:rPr>
                <w:rFonts w:ascii="Arial" w:cs="Arial" w:eastAsia="Arial" w:hAnsi="Arial"/>
                <w:sz w:val="16"/>
                <w:szCs w:val="16"/>
                <w:color w:val="auto"/>
              </w:rPr>
              <w:t>2017</w:t>
            </w: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9"/>
                <w:szCs w:val="19"/>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2,312</w:t>
            </w:r>
          </w:p>
        </w:tc>
      </w:tr>
      <w:tr>
        <w:trPr>
          <w:trHeight w:val="243"/>
        </w:trPr>
        <w:tc>
          <w:tcPr>
            <w:tcW w:w="8120" w:type="dxa"/>
            <w:vAlign w:val="bottom"/>
          </w:tcPr>
          <w:p>
            <w:pPr>
              <w:ind w:left="40"/>
              <w:spacing w:after="0"/>
              <w:rPr>
                <w:sz w:val="20"/>
                <w:szCs w:val="20"/>
                <w:color w:val="auto"/>
              </w:rPr>
            </w:pPr>
            <w:r>
              <w:rPr>
                <w:rFonts w:ascii="Arial" w:cs="Arial" w:eastAsia="Arial" w:hAnsi="Arial"/>
                <w:sz w:val="16"/>
                <w:szCs w:val="16"/>
                <w:color w:val="auto"/>
              </w:rPr>
              <w:t>2018</w:t>
            </w: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1"/>
                <w:szCs w:val="21"/>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2,240</w:t>
            </w:r>
          </w:p>
        </w:tc>
      </w:tr>
      <w:tr>
        <w:trPr>
          <w:trHeight w:val="243"/>
        </w:trPr>
        <w:tc>
          <w:tcPr>
            <w:tcW w:w="8120" w:type="dxa"/>
            <w:vAlign w:val="bottom"/>
          </w:tcPr>
          <w:p>
            <w:pPr>
              <w:ind w:left="40"/>
              <w:spacing w:after="0"/>
              <w:rPr>
                <w:sz w:val="20"/>
                <w:szCs w:val="20"/>
                <w:color w:val="auto"/>
              </w:rPr>
            </w:pPr>
            <w:r>
              <w:rPr>
                <w:rFonts w:ascii="Arial" w:cs="Arial" w:eastAsia="Arial" w:hAnsi="Arial"/>
                <w:sz w:val="16"/>
                <w:szCs w:val="16"/>
                <w:color w:val="auto"/>
              </w:rPr>
              <w:t>2019</w:t>
            </w: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1"/>
                <w:szCs w:val="21"/>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2,199</w:t>
            </w:r>
          </w:p>
        </w:tc>
      </w:tr>
      <w:tr>
        <w:trPr>
          <w:trHeight w:val="243"/>
        </w:trPr>
        <w:tc>
          <w:tcPr>
            <w:tcW w:w="8120" w:type="dxa"/>
            <w:vAlign w:val="bottom"/>
          </w:tcPr>
          <w:p>
            <w:pPr>
              <w:ind w:left="40"/>
              <w:spacing w:after="0"/>
              <w:rPr>
                <w:sz w:val="20"/>
                <w:szCs w:val="20"/>
                <w:color w:val="auto"/>
              </w:rPr>
            </w:pPr>
            <w:r>
              <w:rPr>
                <w:rFonts w:ascii="Arial" w:cs="Arial" w:eastAsia="Arial" w:hAnsi="Arial"/>
                <w:sz w:val="16"/>
                <w:szCs w:val="16"/>
                <w:color w:val="auto"/>
              </w:rPr>
              <w:t>2020</w:t>
            </w: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1"/>
                <w:szCs w:val="21"/>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2,319</w:t>
            </w:r>
          </w:p>
        </w:tc>
      </w:tr>
      <w:tr>
        <w:trPr>
          <w:trHeight w:val="243"/>
        </w:trPr>
        <w:tc>
          <w:tcPr>
            <w:tcW w:w="8120" w:type="dxa"/>
            <w:vAlign w:val="bottom"/>
          </w:tcPr>
          <w:p>
            <w:pPr>
              <w:ind w:left="40"/>
              <w:spacing w:after="0"/>
              <w:rPr>
                <w:sz w:val="20"/>
                <w:szCs w:val="20"/>
                <w:color w:val="auto"/>
              </w:rPr>
            </w:pPr>
            <w:r>
              <w:rPr>
                <w:rFonts w:ascii="Arial" w:cs="Arial" w:eastAsia="Arial" w:hAnsi="Arial"/>
                <w:sz w:val="16"/>
                <w:szCs w:val="16"/>
                <w:color w:val="auto"/>
              </w:rPr>
              <w:t>2021</w:t>
            </w: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1"/>
                <w:szCs w:val="21"/>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2,277</w:t>
            </w:r>
          </w:p>
        </w:tc>
      </w:tr>
      <w:tr>
        <w:trPr>
          <w:trHeight w:val="243"/>
        </w:trPr>
        <w:tc>
          <w:tcPr>
            <w:tcW w:w="8120" w:type="dxa"/>
            <w:vAlign w:val="bottom"/>
          </w:tcPr>
          <w:p>
            <w:pPr>
              <w:ind w:left="40"/>
              <w:spacing w:after="0"/>
              <w:rPr>
                <w:sz w:val="20"/>
                <w:szCs w:val="20"/>
                <w:color w:val="auto"/>
              </w:rPr>
            </w:pPr>
            <w:r>
              <w:rPr>
                <w:rFonts w:ascii="Arial" w:cs="Arial" w:eastAsia="Arial" w:hAnsi="Arial"/>
                <w:sz w:val="16"/>
                <w:szCs w:val="16"/>
                <w:color w:val="auto"/>
              </w:rPr>
              <w:t>2022–2026</w:t>
            </w: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1"/>
                <w:szCs w:val="21"/>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10,725</w:t>
            </w:r>
          </w:p>
        </w:tc>
      </w:tr>
      <w:tr>
        <w:trPr>
          <w:trHeight w:val="384"/>
        </w:trPr>
        <w:tc>
          <w:tcPr>
            <w:tcW w:w="9240" w:type="dxa"/>
            <w:vAlign w:val="bottom"/>
            <w:gridSpan w:val="3"/>
          </w:tcPr>
          <w:p>
            <w:pPr>
              <w:spacing w:after="0"/>
              <w:rPr>
                <w:sz w:val="20"/>
                <w:szCs w:val="20"/>
                <w:color w:val="auto"/>
              </w:rPr>
            </w:pPr>
            <w:r>
              <w:rPr>
                <w:rFonts w:ascii="Arial" w:cs="Arial" w:eastAsia="Arial" w:hAnsi="Arial"/>
                <w:sz w:val="18"/>
                <w:szCs w:val="18"/>
                <w:color w:val="auto"/>
              </w:rPr>
              <w:t>The total (benefit) cost arising from the Company’s other postretirement plans consists of the following components:</w:t>
            </w: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387"/>
        </w:trPr>
        <w:tc>
          <w:tcPr>
            <w:tcW w:w="8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gridSpan w:val="4"/>
          </w:tcPr>
          <w:p>
            <w:pPr>
              <w:jc w:val="center"/>
              <w:ind w:left="621"/>
              <w:spacing w:after="0"/>
              <w:rPr>
                <w:sz w:val="20"/>
                <w:szCs w:val="20"/>
                <w:color w:val="auto"/>
              </w:rPr>
            </w:pPr>
            <w:r>
              <w:rPr>
                <w:rFonts w:ascii="Arial" w:cs="Arial" w:eastAsia="Arial" w:hAnsi="Arial"/>
                <w:sz w:val="14"/>
                <w:szCs w:val="14"/>
                <w:b w:val="1"/>
                <w:bCs w:val="1"/>
                <w:color w:val="auto"/>
              </w:rPr>
              <w:t>Postretirement Plans</w:t>
            </w:r>
          </w:p>
        </w:tc>
        <w:tc>
          <w:tcPr>
            <w:tcW w:w="900" w:type="dxa"/>
            <w:vAlign w:val="bottom"/>
            <w:tcBorders>
              <w:bottom w:val="single" w:sz="8" w:color="auto"/>
            </w:tcBorders>
          </w:tcPr>
          <w:p>
            <w:pPr>
              <w:spacing w:after="0"/>
              <w:rPr>
                <w:sz w:val="24"/>
                <w:szCs w:val="24"/>
                <w:color w:val="auto"/>
              </w:rPr>
            </w:pPr>
          </w:p>
        </w:tc>
      </w:tr>
      <w:tr>
        <w:trPr>
          <w:trHeight w:val="250"/>
        </w:trPr>
        <w:tc>
          <w:tcPr>
            <w:tcW w:w="81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3080" w:type="dxa"/>
            <w:vAlign w:val="bottom"/>
            <w:tcBorders>
              <w:bottom w:val="single" w:sz="8" w:color="auto"/>
            </w:tcBorders>
            <w:gridSpan w:val="5"/>
          </w:tcPr>
          <w:p>
            <w:pPr>
              <w:jc w:val="center"/>
              <w:ind w:right="120"/>
              <w:spacing w:after="0"/>
              <w:rPr>
                <w:sz w:val="20"/>
                <w:szCs w:val="20"/>
                <w:color w:val="auto"/>
              </w:rPr>
            </w:pPr>
            <w:r>
              <w:rPr>
                <w:rFonts w:ascii="Arial" w:cs="Arial" w:eastAsia="Arial" w:hAnsi="Arial"/>
                <w:sz w:val="14"/>
                <w:szCs w:val="14"/>
                <w:b w:val="1"/>
                <w:bCs w:val="1"/>
                <w:color w:val="auto"/>
              </w:rPr>
              <w:t>Year Ended December 31</w:t>
            </w:r>
          </w:p>
        </w:tc>
      </w:tr>
      <w:tr>
        <w:trPr>
          <w:trHeight w:val="264"/>
        </w:trPr>
        <w:tc>
          <w:tcPr>
            <w:tcW w:w="81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2016</w:t>
            </w:r>
          </w:p>
        </w:tc>
        <w:tc>
          <w:tcPr>
            <w:tcW w:w="2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center"/>
              <w:ind w:right="99"/>
              <w:spacing w:after="0"/>
              <w:rPr>
                <w:sz w:val="20"/>
                <w:szCs w:val="20"/>
                <w:color w:val="auto"/>
              </w:rPr>
            </w:pPr>
            <w:r>
              <w:rPr>
                <w:rFonts w:ascii="Arial" w:cs="Arial" w:eastAsia="Arial" w:hAnsi="Arial"/>
                <w:sz w:val="14"/>
                <w:szCs w:val="14"/>
                <w:color w:val="auto"/>
              </w:rPr>
              <w:t>2015</w:t>
            </w:r>
          </w:p>
        </w:tc>
        <w:tc>
          <w:tcPr>
            <w:tcW w:w="2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color w:val="auto"/>
              </w:rPr>
              <w:t>2014</w:t>
            </w:r>
          </w:p>
        </w:tc>
      </w:tr>
      <w:tr>
        <w:trPr>
          <w:trHeight w:val="257"/>
        </w:trPr>
        <w:tc>
          <w:tcPr>
            <w:tcW w:w="8120" w:type="dxa"/>
            <w:vAlign w:val="bottom"/>
          </w:tcPr>
          <w:p>
            <w:pPr>
              <w:ind w:left="40"/>
              <w:spacing w:after="0"/>
              <w:rPr>
                <w:sz w:val="20"/>
                <w:szCs w:val="20"/>
                <w:color w:val="auto"/>
              </w:rPr>
            </w:pPr>
            <w:r>
              <w:rPr>
                <w:rFonts w:ascii="Arial" w:cs="Arial" w:eastAsia="Arial" w:hAnsi="Arial"/>
                <w:sz w:val="16"/>
                <w:szCs w:val="16"/>
                <w:color w:val="auto"/>
              </w:rPr>
              <w:t>Service cost</w:t>
            </w:r>
          </w:p>
        </w:tc>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Pr>
          <w:p>
            <w:pPr>
              <w:jc w:val="right"/>
              <w:ind w:right="121"/>
              <w:spacing w:after="0"/>
              <w:rPr>
                <w:sz w:val="20"/>
                <w:szCs w:val="20"/>
                <w:color w:val="auto"/>
              </w:rPr>
            </w:pPr>
            <w:r>
              <w:rPr>
                <w:rFonts w:ascii="Arial" w:cs="Arial" w:eastAsia="Arial" w:hAnsi="Arial"/>
                <w:sz w:val="16"/>
                <w:szCs w:val="16"/>
                <w:b w:val="1"/>
                <w:bCs w:val="1"/>
                <w:color w:val="auto"/>
              </w:rPr>
              <w:t>1,386</w:t>
            </w:r>
          </w:p>
        </w:tc>
        <w:tc>
          <w:tcPr>
            <w:tcW w:w="2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1,331</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1,500</w:t>
            </w:r>
          </w:p>
        </w:tc>
      </w:tr>
      <w:tr>
        <w:trPr>
          <w:trHeight w:val="270"/>
        </w:trPr>
        <w:tc>
          <w:tcPr>
            <w:tcW w:w="8120" w:type="dxa"/>
            <w:vAlign w:val="bottom"/>
          </w:tcPr>
          <w:p>
            <w:pPr>
              <w:ind w:left="40"/>
              <w:spacing w:after="0"/>
              <w:rPr>
                <w:sz w:val="20"/>
                <w:szCs w:val="20"/>
                <w:color w:val="auto"/>
              </w:rPr>
            </w:pPr>
            <w:r>
              <w:rPr>
                <w:rFonts w:ascii="Arial" w:cs="Arial" w:eastAsia="Arial" w:hAnsi="Arial"/>
                <w:sz w:val="16"/>
                <w:szCs w:val="16"/>
                <w:color w:val="auto"/>
              </w:rPr>
              <w:t>Interest cost</w:t>
            </w:r>
          </w:p>
        </w:tc>
        <w:tc>
          <w:tcPr>
            <w:tcW w:w="220" w:type="dxa"/>
            <w:vAlign w:val="bottom"/>
          </w:tcPr>
          <w:p>
            <w:pPr>
              <w:spacing w:after="0"/>
              <w:rPr>
                <w:sz w:val="23"/>
                <w:szCs w:val="23"/>
                <w:color w:val="auto"/>
              </w:rPr>
            </w:pPr>
          </w:p>
        </w:tc>
        <w:tc>
          <w:tcPr>
            <w:tcW w:w="900" w:type="dxa"/>
            <w:vAlign w:val="bottom"/>
          </w:tcPr>
          <w:p>
            <w:pPr>
              <w:jc w:val="right"/>
              <w:ind w:right="121"/>
              <w:spacing w:after="0"/>
              <w:rPr>
                <w:sz w:val="20"/>
                <w:szCs w:val="20"/>
                <w:color w:val="auto"/>
              </w:rPr>
            </w:pPr>
            <w:r>
              <w:rPr>
                <w:rFonts w:ascii="Arial" w:cs="Arial" w:eastAsia="Arial" w:hAnsi="Arial"/>
                <w:sz w:val="16"/>
                <w:szCs w:val="16"/>
                <w:b w:val="1"/>
                <w:bCs w:val="1"/>
                <w:color w:val="auto"/>
              </w:rPr>
              <w:t>1,230</w:t>
            </w:r>
          </w:p>
        </w:tc>
        <w:tc>
          <w:tcPr>
            <w:tcW w:w="26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1,299</w:t>
            </w:r>
          </w:p>
        </w:tc>
        <w:tc>
          <w:tcPr>
            <w:tcW w:w="280" w:type="dxa"/>
            <w:vAlign w:val="bottom"/>
          </w:tcPr>
          <w:p>
            <w:pPr>
              <w:spacing w:after="0"/>
              <w:rPr>
                <w:sz w:val="23"/>
                <w:szCs w:val="23"/>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1,448</w:t>
            </w:r>
          </w:p>
        </w:tc>
      </w:tr>
      <w:tr>
        <w:trPr>
          <w:trHeight w:val="270"/>
        </w:trPr>
        <w:tc>
          <w:tcPr>
            <w:tcW w:w="8120" w:type="dxa"/>
            <w:vAlign w:val="bottom"/>
          </w:tcPr>
          <w:p>
            <w:pPr>
              <w:ind w:left="40"/>
              <w:spacing w:after="0"/>
              <w:rPr>
                <w:sz w:val="20"/>
                <w:szCs w:val="20"/>
                <w:color w:val="auto"/>
              </w:rPr>
            </w:pPr>
            <w:r>
              <w:rPr>
                <w:rFonts w:ascii="Arial" w:cs="Arial" w:eastAsia="Arial" w:hAnsi="Arial"/>
                <w:sz w:val="16"/>
                <w:szCs w:val="16"/>
                <w:color w:val="auto"/>
              </w:rPr>
              <w:t>Amortization of prior service credit</w:t>
            </w:r>
          </w:p>
        </w:tc>
        <w:tc>
          <w:tcPr>
            <w:tcW w:w="220" w:type="dxa"/>
            <w:vAlign w:val="bottom"/>
          </w:tcPr>
          <w:p>
            <w:pPr>
              <w:spacing w:after="0"/>
              <w:rPr>
                <w:sz w:val="23"/>
                <w:szCs w:val="23"/>
                <w:color w:val="auto"/>
              </w:rPr>
            </w:pPr>
          </w:p>
        </w:tc>
        <w:tc>
          <w:tcPr>
            <w:tcW w:w="900" w:type="dxa"/>
            <w:vAlign w:val="bottom"/>
          </w:tcPr>
          <w:p>
            <w:pPr>
              <w:jc w:val="right"/>
              <w:ind w:right="61"/>
              <w:spacing w:after="0"/>
              <w:rPr>
                <w:sz w:val="20"/>
                <w:szCs w:val="20"/>
                <w:color w:val="auto"/>
              </w:rPr>
            </w:pPr>
            <w:r>
              <w:rPr>
                <w:rFonts w:ascii="Arial" w:cs="Arial" w:eastAsia="Arial" w:hAnsi="Arial"/>
                <w:sz w:val="16"/>
                <w:szCs w:val="16"/>
                <w:b w:val="1"/>
                <w:bCs w:val="1"/>
                <w:color w:val="auto"/>
              </w:rPr>
              <w:t>(335)</w:t>
            </w:r>
          </w:p>
        </w:tc>
        <w:tc>
          <w:tcPr>
            <w:tcW w:w="26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(502)</w:t>
            </w:r>
          </w:p>
        </w:tc>
        <w:tc>
          <w:tcPr>
            <w:tcW w:w="28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(783)</w:t>
            </w:r>
          </w:p>
        </w:tc>
      </w:tr>
      <w:tr>
        <w:trPr>
          <w:trHeight w:val="274"/>
        </w:trPr>
        <w:tc>
          <w:tcPr>
            <w:tcW w:w="8120" w:type="dxa"/>
            <w:vAlign w:val="bottom"/>
          </w:tcPr>
          <w:p>
            <w:pPr>
              <w:ind w:left="40"/>
              <w:spacing w:after="0"/>
              <w:rPr>
                <w:sz w:val="20"/>
                <w:szCs w:val="20"/>
                <w:color w:val="auto"/>
              </w:rPr>
            </w:pPr>
            <w:r>
              <w:rPr>
                <w:rFonts w:ascii="Arial" w:cs="Arial" w:eastAsia="Arial" w:hAnsi="Arial"/>
                <w:sz w:val="16"/>
                <w:szCs w:val="16"/>
                <w:color w:val="auto"/>
              </w:rPr>
              <w:t>Recognized actuarial gain</w:t>
            </w:r>
          </w:p>
        </w:tc>
        <w:tc>
          <w:tcPr>
            <w:tcW w:w="22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b w:val="1"/>
                <w:bCs w:val="1"/>
                <w:color w:val="auto"/>
              </w:rPr>
              <w:t>(1,502)</w:t>
            </w:r>
          </w:p>
        </w:tc>
        <w:tc>
          <w:tcPr>
            <w:tcW w:w="26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(996)</w:t>
            </w:r>
          </w:p>
        </w:tc>
        <w:tc>
          <w:tcPr>
            <w:tcW w:w="28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(2,076)</w:t>
            </w:r>
          </w:p>
        </w:tc>
      </w:tr>
      <w:tr>
        <w:trPr>
          <w:trHeight w:val="260"/>
        </w:trPr>
        <w:tc>
          <w:tcPr>
            <w:tcW w:w="8120" w:type="dxa"/>
            <w:vAlign w:val="bottom"/>
          </w:tcPr>
          <w:p>
            <w:pPr>
              <w:ind w:left="40"/>
              <w:spacing w:after="0"/>
              <w:rPr>
                <w:sz w:val="20"/>
                <w:szCs w:val="20"/>
                <w:color w:val="auto"/>
              </w:rPr>
            </w:pPr>
            <w:r>
              <w:rPr>
                <w:rFonts w:ascii="Arial" w:cs="Arial" w:eastAsia="Arial" w:hAnsi="Arial"/>
                <w:sz w:val="16"/>
                <w:szCs w:val="16"/>
                <w:b w:val="1"/>
                <w:bCs w:val="1"/>
                <w:color w:val="auto"/>
              </w:rPr>
              <w:t>Net Periodic Cost</w:t>
            </w:r>
          </w:p>
        </w:tc>
        <w:tc>
          <w:tcPr>
            <w:tcW w:w="220" w:type="dxa"/>
            <w:vAlign w:val="bottom"/>
          </w:tcPr>
          <w:p>
            <w:pPr>
              <w:spacing w:after="0"/>
              <w:rPr>
                <w:sz w:val="22"/>
                <w:szCs w:val="22"/>
                <w:color w:val="auto"/>
              </w:rPr>
            </w:pPr>
          </w:p>
        </w:tc>
        <w:tc>
          <w:tcPr>
            <w:tcW w:w="900" w:type="dxa"/>
            <w:vAlign w:val="bottom"/>
          </w:tcPr>
          <w:p>
            <w:pPr>
              <w:jc w:val="right"/>
              <w:ind w:right="121"/>
              <w:spacing w:after="0"/>
              <w:rPr>
                <w:sz w:val="20"/>
                <w:szCs w:val="20"/>
                <w:color w:val="auto"/>
              </w:rPr>
            </w:pPr>
            <w:r>
              <w:rPr>
                <w:rFonts w:ascii="Arial" w:cs="Arial" w:eastAsia="Arial" w:hAnsi="Arial"/>
                <w:sz w:val="16"/>
                <w:szCs w:val="16"/>
                <w:b w:val="1"/>
                <w:bCs w:val="1"/>
                <w:color w:val="auto"/>
              </w:rPr>
              <w:t>779</w:t>
            </w:r>
          </w:p>
        </w:tc>
        <w:tc>
          <w:tcPr>
            <w:tcW w:w="26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1,132</w:t>
            </w:r>
          </w:p>
        </w:tc>
        <w:tc>
          <w:tcPr>
            <w:tcW w:w="280" w:type="dxa"/>
            <w:vAlign w:val="bottom"/>
          </w:tcPr>
          <w:p>
            <w:pPr>
              <w:spacing w:after="0"/>
              <w:rPr>
                <w:sz w:val="22"/>
                <w:szCs w:val="22"/>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89</w:t>
            </w:r>
          </w:p>
        </w:tc>
      </w:tr>
      <w:tr>
        <w:trPr>
          <w:trHeight w:val="274"/>
        </w:trPr>
        <w:tc>
          <w:tcPr>
            <w:tcW w:w="8120" w:type="dxa"/>
            <w:vAlign w:val="bottom"/>
          </w:tcPr>
          <w:p>
            <w:pPr>
              <w:ind w:left="40"/>
              <w:spacing w:after="0"/>
              <w:rPr>
                <w:sz w:val="20"/>
                <w:szCs w:val="20"/>
                <w:color w:val="auto"/>
              </w:rPr>
            </w:pPr>
            <w:r>
              <w:rPr>
                <w:rFonts w:ascii="Arial" w:cs="Arial" w:eastAsia="Arial" w:hAnsi="Arial"/>
                <w:sz w:val="16"/>
                <w:szCs w:val="16"/>
                <w:color w:val="auto"/>
              </w:rPr>
              <w:t>Curtailment</w:t>
            </w:r>
          </w:p>
        </w:tc>
        <w:tc>
          <w:tcPr>
            <w:tcW w:w="22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b w:val="1"/>
                <w:bCs w:val="1"/>
                <w:color w:val="auto"/>
              </w:rPr>
              <w:t>—</w:t>
            </w:r>
          </w:p>
        </w:tc>
        <w:tc>
          <w:tcPr>
            <w:tcW w:w="26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(1,292)</w:t>
            </w:r>
          </w:p>
        </w:tc>
      </w:tr>
      <w:tr>
        <w:trPr>
          <w:trHeight w:val="261"/>
        </w:trPr>
        <w:tc>
          <w:tcPr>
            <w:tcW w:w="8120" w:type="dxa"/>
            <w:vAlign w:val="bottom"/>
          </w:tcPr>
          <w:p>
            <w:pPr>
              <w:ind w:left="40"/>
              <w:spacing w:after="0"/>
              <w:rPr>
                <w:sz w:val="20"/>
                <w:szCs w:val="20"/>
                <w:color w:val="auto"/>
              </w:rPr>
            </w:pPr>
            <w:r>
              <w:rPr>
                <w:rFonts w:ascii="Arial" w:cs="Arial" w:eastAsia="Arial" w:hAnsi="Arial"/>
                <w:sz w:val="16"/>
                <w:szCs w:val="16"/>
                <w:b w:val="1"/>
                <w:bCs w:val="1"/>
                <w:color w:val="auto"/>
              </w:rPr>
              <w:t>Total Cost (Benefit) for the Year</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b w:val="1"/>
                <w:bCs w:val="1"/>
                <w:color w:val="auto"/>
              </w:rPr>
              <w:t>779</w:t>
            </w:r>
          </w:p>
        </w:tc>
        <w:tc>
          <w:tcPr>
            <w:tcW w:w="2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1,132</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(1,203)</w:t>
            </w:r>
          </w:p>
        </w:tc>
      </w:tr>
      <w:tr>
        <w:trPr>
          <w:trHeight w:val="263"/>
        </w:trPr>
        <w:tc>
          <w:tcPr>
            <w:tcW w:w="8120" w:type="dxa"/>
            <w:vAlign w:val="bottom"/>
          </w:tcPr>
          <w:p>
            <w:pPr>
              <w:ind w:left="40"/>
              <w:spacing w:after="0"/>
              <w:rPr>
                <w:sz w:val="20"/>
                <w:szCs w:val="20"/>
                <w:color w:val="auto"/>
              </w:rPr>
            </w:pPr>
            <w:r>
              <w:rPr>
                <w:rFonts w:ascii="Arial" w:cs="Arial" w:eastAsia="Arial" w:hAnsi="Arial"/>
                <w:sz w:val="16"/>
                <w:szCs w:val="16"/>
                <w:b w:val="1"/>
                <w:bCs w:val="1"/>
                <w:color w:val="auto"/>
              </w:rPr>
              <w:t>Other Changes in Benefit Obligations Recognized in Other Comprehensive Income</w:t>
            </w:r>
          </w:p>
        </w:tc>
        <w:tc>
          <w:tcPr>
            <w:tcW w:w="2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70"/>
        </w:trPr>
        <w:tc>
          <w:tcPr>
            <w:tcW w:w="8120" w:type="dxa"/>
            <w:vAlign w:val="bottom"/>
          </w:tcPr>
          <w:p>
            <w:pPr>
              <w:ind w:left="40"/>
              <w:spacing w:after="0"/>
              <w:rPr>
                <w:sz w:val="20"/>
                <w:szCs w:val="20"/>
                <w:color w:val="auto"/>
              </w:rPr>
            </w:pPr>
            <w:r>
              <w:rPr>
                <w:rFonts w:ascii="Arial" w:cs="Arial" w:eastAsia="Arial" w:hAnsi="Arial"/>
                <w:sz w:val="16"/>
                <w:szCs w:val="16"/>
                <w:color w:val="auto"/>
              </w:rPr>
              <w:t>Current year actuarial (gain) loss</w:t>
            </w:r>
          </w:p>
        </w:tc>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Pr>
          <w:p>
            <w:pPr>
              <w:jc w:val="right"/>
              <w:ind w:right="61"/>
              <w:spacing w:after="0"/>
              <w:rPr>
                <w:sz w:val="20"/>
                <w:szCs w:val="20"/>
                <w:color w:val="auto"/>
              </w:rPr>
            </w:pPr>
            <w:r>
              <w:rPr>
                <w:rFonts w:ascii="Arial" w:cs="Arial" w:eastAsia="Arial" w:hAnsi="Arial"/>
                <w:sz w:val="16"/>
                <w:szCs w:val="16"/>
                <w:b w:val="1"/>
                <w:bCs w:val="1"/>
                <w:color w:val="auto"/>
              </w:rPr>
              <w:t>(14,984)</w:t>
            </w:r>
          </w:p>
        </w:tc>
        <w:tc>
          <w:tcPr>
            <w:tcW w:w="2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(5,296)</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4,448</w:t>
            </w:r>
          </w:p>
        </w:tc>
      </w:tr>
      <w:tr>
        <w:trPr>
          <w:trHeight w:val="270"/>
        </w:trPr>
        <w:tc>
          <w:tcPr>
            <w:tcW w:w="8120" w:type="dxa"/>
            <w:vAlign w:val="bottom"/>
          </w:tcPr>
          <w:p>
            <w:pPr>
              <w:ind w:left="40"/>
              <w:spacing w:after="0"/>
              <w:rPr>
                <w:sz w:val="20"/>
                <w:szCs w:val="20"/>
                <w:color w:val="auto"/>
              </w:rPr>
            </w:pPr>
            <w:r>
              <w:rPr>
                <w:rFonts w:ascii="Arial" w:cs="Arial" w:eastAsia="Arial" w:hAnsi="Arial"/>
                <w:sz w:val="16"/>
                <w:szCs w:val="16"/>
                <w:color w:val="auto"/>
              </w:rPr>
              <w:t>Amortization of prior service credit</w:t>
            </w:r>
          </w:p>
        </w:tc>
        <w:tc>
          <w:tcPr>
            <w:tcW w:w="220" w:type="dxa"/>
            <w:vAlign w:val="bottom"/>
          </w:tcPr>
          <w:p>
            <w:pPr>
              <w:spacing w:after="0"/>
              <w:rPr>
                <w:sz w:val="23"/>
                <w:szCs w:val="23"/>
                <w:color w:val="auto"/>
              </w:rPr>
            </w:pPr>
          </w:p>
        </w:tc>
        <w:tc>
          <w:tcPr>
            <w:tcW w:w="900" w:type="dxa"/>
            <w:vAlign w:val="bottom"/>
          </w:tcPr>
          <w:p>
            <w:pPr>
              <w:jc w:val="right"/>
              <w:ind w:right="121"/>
              <w:spacing w:after="0"/>
              <w:rPr>
                <w:sz w:val="20"/>
                <w:szCs w:val="20"/>
                <w:color w:val="auto"/>
              </w:rPr>
            </w:pPr>
            <w:r>
              <w:rPr>
                <w:rFonts w:ascii="Arial" w:cs="Arial" w:eastAsia="Arial" w:hAnsi="Arial"/>
                <w:sz w:val="16"/>
                <w:szCs w:val="16"/>
                <w:b w:val="1"/>
                <w:bCs w:val="1"/>
                <w:color w:val="auto"/>
              </w:rPr>
              <w:t>335</w:t>
            </w:r>
          </w:p>
        </w:tc>
        <w:tc>
          <w:tcPr>
            <w:tcW w:w="26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502</w:t>
            </w:r>
          </w:p>
        </w:tc>
        <w:tc>
          <w:tcPr>
            <w:tcW w:w="280" w:type="dxa"/>
            <w:vAlign w:val="bottom"/>
          </w:tcPr>
          <w:p>
            <w:pPr>
              <w:spacing w:after="0"/>
              <w:rPr>
                <w:sz w:val="23"/>
                <w:szCs w:val="23"/>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783</w:t>
            </w:r>
          </w:p>
        </w:tc>
      </w:tr>
      <w:tr>
        <w:trPr>
          <w:trHeight w:val="270"/>
        </w:trPr>
        <w:tc>
          <w:tcPr>
            <w:tcW w:w="8120" w:type="dxa"/>
            <w:vAlign w:val="bottom"/>
          </w:tcPr>
          <w:p>
            <w:pPr>
              <w:ind w:left="40"/>
              <w:spacing w:after="0"/>
              <w:rPr>
                <w:sz w:val="20"/>
                <w:szCs w:val="20"/>
                <w:color w:val="auto"/>
              </w:rPr>
            </w:pPr>
            <w:r>
              <w:rPr>
                <w:rFonts w:ascii="Arial" w:cs="Arial" w:eastAsia="Arial" w:hAnsi="Arial"/>
                <w:sz w:val="16"/>
                <w:szCs w:val="16"/>
                <w:color w:val="auto"/>
              </w:rPr>
              <w:t>Recognized actuarial gain</w:t>
            </w:r>
          </w:p>
        </w:tc>
        <w:tc>
          <w:tcPr>
            <w:tcW w:w="220" w:type="dxa"/>
            <w:vAlign w:val="bottom"/>
          </w:tcPr>
          <w:p>
            <w:pPr>
              <w:spacing w:after="0"/>
              <w:rPr>
                <w:sz w:val="23"/>
                <w:szCs w:val="23"/>
                <w:color w:val="auto"/>
              </w:rPr>
            </w:pPr>
          </w:p>
        </w:tc>
        <w:tc>
          <w:tcPr>
            <w:tcW w:w="900" w:type="dxa"/>
            <w:vAlign w:val="bottom"/>
          </w:tcPr>
          <w:p>
            <w:pPr>
              <w:jc w:val="right"/>
              <w:ind w:right="121"/>
              <w:spacing w:after="0"/>
              <w:rPr>
                <w:sz w:val="20"/>
                <w:szCs w:val="20"/>
                <w:color w:val="auto"/>
              </w:rPr>
            </w:pPr>
            <w:r>
              <w:rPr>
                <w:rFonts w:ascii="Arial" w:cs="Arial" w:eastAsia="Arial" w:hAnsi="Arial"/>
                <w:sz w:val="16"/>
                <w:szCs w:val="16"/>
                <w:b w:val="1"/>
                <w:bCs w:val="1"/>
                <w:color w:val="auto"/>
              </w:rPr>
              <w:t>1,502</w:t>
            </w:r>
          </w:p>
        </w:tc>
        <w:tc>
          <w:tcPr>
            <w:tcW w:w="26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996</w:t>
            </w:r>
          </w:p>
        </w:tc>
        <w:tc>
          <w:tcPr>
            <w:tcW w:w="280" w:type="dxa"/>
            <w:vAlign w:val="bottom"/>
          </w:tcPr>
          <w:p>
            <w:pPr>
              <w:spacing w:after="0"/>
              <w:rPr>
                <w:sz w:val="23"/>
                <w:szCs w:val="23"/>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2,076</w:t>
            </w:r>
          </w:p>
        </w:tc>
      </w:tr>
      <w:tr>
        <w:trPr>
          <w:trHeight w:val="274"/>
        </w:trPr>
        <w:tc>
          <w:tcPr>
            <w:tcW w:w="8120" w:type="dxa"/>
            <w:vAlign w:val="bottom"/>
          </w:tcPr>
          <w:p>
            <w:pPr>
              <w:ind w:left="40"/>
              <w:spacing w:after="0"/>
              <w:rPr>
                <w:sz w:val="20"/>
                <w:szCs w:val="20"/>
                <w:color w:val="auto"/>
              </w:rPr>
            </w:pPr>
            <w:r>
              <w:rPr>
                <w:rFonts w:ascii="Arial" w:cs="Arial" w:eastAsia="Arial" w:hAnsi="Arial"/>
                <w:sz w:val="16"/>
                <w:szCs w:val="16"/>
                <w:color w:val="auto"/>
              </w:rPr>
              <w:t>Curtailment and settlement</w:t>
            </w:r>
          </w:p>
        </w:tc>
        <w:tc>
          <w:tcPr>
            <w:tcW w:w="22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b w:val="1"/>
                <w:bCs w:val="1"/>
                <w:color w:val="auto"/>
              </w:rPr>
              <w:t>—</w:t>
            </w:r>
          </w:p>
        </w:tc>
        <w:tc>
          <w:tcPr>
            <w:tcW w:w="26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360</w:t>
            </w:r>
          </w:p>
        </w:tc>
      </w:tr>
      <w:tr>
        <w:trPr>
          <w:trHeight w:val="264"/>
        </w:trPr>
        <w:tc>
          <w:tcPr>
            <w:tcW w:w="8120" w:type="dxa"/>
            <w:vAlign w:val="bottom"/>
          </w:tcPr>
          <w:p>
            <w:pPr>
              <w:ind w:left="40"/>
              <w:spacing w:after="0"/>
              <w:rPr>
                <w:sz w:val="20"/>
                <w:szCs w:val="20"/>
                <w:color w:val="auto"/>
              </w:rPr>
            </w:pPr>
            <w:r>
              <w:rPr>
                <w:rFonts w:ascii="Arial" w:cs="Arial" w:eastAsia="Arial" w:hAnsi="Arial"/>
                <w:sz w:val="16"/>
                <w:szCs w:val="16"/>
                <w:b w:val="1"/>
                <w:bCs w:val="1"/>
                <w:color w:val="auto"/>
              </w:rPr>
              <w:t>Total Recognized in Other Comprehensive Income (Before Tax Effects)</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b w:val="1"/>
                <w:bCs w:val="1"/>
                <w:color w:val="auto"/>
              </w:rPr>
              <w:t>(13,147)</w:t>
            </w:r>
          </w:p>
        </w:tc>
        <w:tc>
          <w:tcPr>
            <w:tcW w:w="2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(3,798)</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7,667</w:t>
            </w:r>
          </w:p>
        </w:tc>
      </w:tr>
      <w:tr>
        <w:trPr>
          <w:trHeight w:val="267"/>
        </w:trPr>
        <w:tc>
          <w:tcPr>
            <w:tcW w:w="8120" w:type="dxa"/>
            <w:vAlign w:val="bottom"/>
          </w:tcPr>
          <w:p>
            <w:pPr>
              <w:ind w:left="40"/>
              <w:spacing w:after="0"/>
              <w:rPr>
                <w:sz w:val="20"/>
                <w:szCs w:val="20"/>
                <w:color w:val="auto"/>
              </w:rPr>
            </w:pPr>
            <w:r>
              <w:rPr>
                <w:rFonts w:ascii="Arial" w:cs="Arial" w:eastAsia="Arial" w:hAnsi="Arial"/>
                <w:sz w:val="16"/>
                <w:szCs w:val="16"/>
                <w:b w:val="1"/>
                <w:bCs w:val="1"/>
                <w:color w:val="auto"/>
              </w:rPr>
              <w:t>Total Recognized in (Benefit) Cost and Other Comprehensive Income (Before Tax Effects)</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b w:val="1"/>
                <w:bCs w:val="1"/>
                <w:color w:val="auto"/>
              </w:rPr>
              <w:t>(12,368)</w:t>
            </w:r>
          </w:p>
        </w:tc>
        <w:tc>
          <w:tcPr>
            <w:tcW w:w="2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(2,666)</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6,464</w:t>
            </w:r>
          </w:p>
        </w:tc>
      </w:tr>
      <w:tr>
        <w:trPr>
          <w:trHeight w:val="20"/>
        </w:trPr>
        <w:tc>
          <w:tcPr>
            <w:tcW w:w="8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26" w:lineRule="exact"/>
        <w:rPr>
          <w:sz w:val="20"/>
          <w:szCs w:val="20"/>
          <w:color w:val="auto"/>
        </w:rPr>
      </w:pPr>
    </w:p>
    <w:p>
      <w:pPr>
        <w:ind w:right="520"/>
        <w:spacing w:after="0" w:line="260" w:lineRule="auto"/>
        <w:rPr>
          <w:sz w:val="20"/>
          <w:szCs w:val="20"/>
          <w:color w:val="auto"/>
        </w:rPr>
      </w:pPr>
      <w:r>
        <w:rPr>
          <w:rFonts w:ascii="Arial" w:cs="Arial" w:eastAsia="Arial" w:hAnsi="Arial"/>
          <w:sz w:val="18"/>
          <w:szCs w:val="18"/>
          <w:color w:val="auto"/>
        </w:rPr>
        <w:t>The Company recorded a curtailment gain of $1.3 million in the fourth quarter of 2014 in connection with the exchange of WPLG, and the Separation Incentive Program and VRIP offered to certain Corporate employees.</w:t>
      </w:r>
    </w:p>
    <w:p>
      <w:pPr>
        <w:spacing w:after="0" w:line="92" w:lineRule="exact"/>
        <w:rPr>
          <w:sz w:val="20"/>
          <w:szCs w:val="20"/>
          <w:color w:val="auto"/>
        </w:rPr>
      </w:pPr>
    </w:p>
    <w:p>
      <w:pPr>
        <w:ind w:right="340"/>
        <w:spacing w:after="0"/>
        <w:rPr>
          <w:sz w:val="20"/>
          <w:szCs w:val="20"/>
          <w:color w:val="auto"/>
        </w:rPr>
      </w:pPr>
      <w:r>
        <w:rPr>
          <w:rFonts w:ascii="Arial" w:cs="Arial" w:eastAsia="Arial" w:hAnsi="Arial"/>
          <w:sz w:val="18"/>
          <w:szCs w:val="18"/>
          <w:color w:val="auto"/>
        </w:rPr>
        <w:t>The costs for the Company’s postretirement plans are actuarially determined. The discount rates utilized to determine periodic cost for the years ended December 31, 2016, 2015 and 2014, were 3.45%, 3.25% and 3.80%, respectively. AOCI included the following components of unrecognized net periodic benefit for the postretirement plans: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92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920" w:type="dxa"/>
            <w:vAlign w:val="bottom"/>
            <w:tcBorders>
              <w:bottom w:val="single" w:sz="8" w:color="auto"/>
            </w:tcBorders>
            <w:gridSpan w:val="3"/>
          </w:tcPr>
          <w:p>
            <w:pPr>
              <w:jc w:val="right"/>
              <w:ind w:right="340"/>
              <w:spacing w:after="0"/>
              <w:rPr>
                <w:sz w:val="20"/>
                <w:szCs w:val="20"/>
                <w:color w:val="auto"/>
              </w:rPr>
            </w:pPr>
            <w:r>
              <w:rPr>
                <w:rFonts w:ascii="Arial" w:cs="Arial" w:eastAsia="Arial" w:hAnsi="Arial"/>
                <w:sz w:val="14"/>
                <w:szCs w:val="14"/>
                <w:b w:val="1"/>
                <w:bCs w:val="1"/>
                <w:color w:val="auto"/>
              </w:rPr>
              <w:t>As of December 31</w:t>
            </w:r>
          </w:p>
        </w:tc>
      </w:tr>
      <w:tr>
        <w:trPr>
          <w:trHeight w:val="264"/>
        </w:trPr>
        <w:tc>
          <w:tcPr>
            <w:tcW w:w="92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02"/>
              <w:spacing w:after="0"/>
              <w:rPr>
                <w:sz w:val="20"/>
                <w:szCs w:val="20"/>
                <w:color w:val="auto"/>
              </w:rPr>
            </w:pPr>
            <w:r>
              <w:rPr>
                <w:rFonts w:ascii="Arial" w:cs="Arial" w:eastAsia="Arial" w:hAnsi="Arial"/>
                <w:sz w:val="14"/>
                <w:szCs w:val="14"/>
                <w:b w:val="1"/>
                <w:bCs w:val="1"/>
                <w:color w:val="auto"/>
              </w:rPr>
              <w:t>2016</w:t>
            </w:r>
          </w:p>
        </w:tc>
        <w:tc>
          <w:tcPr>
            <w:tcW w:w="30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color w:val="auto"/>
              </w:rPr>
              <w:t>2015</w:t>
            </w:r>
          </w:p>
        </w:tc>
      </w:tr>
      <w:tr>
        <w:trPr>
          <w:trHeight w:val="257"/>
        </w:trPr>
        <w:tc>
          <w:tcPr>
            <w:tcW w:w="9260" w:type="dxa"/>
            <w:vAlign w:val="bottom"/>
          </w:tcPr>
          <w:p>
            <w:pPr>
              <w:ind w:left="40"/>
              <w:spacing w:after="0"/>
              <w:rPr>
                <w:sz w:val="20"/>
                <w:szCs w:val="20"/>
                <w:color w:val="auto"/>
              </w:rPr>
            </w:pPr>
            <w:r>
              <w:rPr>
                <w:rFonts w:ascii="Arial" w:cs="Arial" w:eastAsia="Arial" w:hAnsi="Arial"/>
                <w:sz w:val="16"/>
                <w:szCs w:val="16"/>
                <w:color w:val="auto"/>
              </w:rPr>
              <w:t>Unrecognized actuarial gain</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820" w:type="dxa"/>
            <w:vAlign w:val="bottom"/>
          </w:tcPr>
          <w:p>
            <w:pPr>
              <w:jc w:val="right"/>
              <w:ind w:right="2"/>
              <w:spacing w:after="0"/>
              <w:rPr>
                <w:sz w:val="20"/>
                <w:szCs w:val="20"/>
                <w:color w:val="auto"/>
              </w:rPr>
            </w:pPr>
            <w:r>
              <w:rPr>
                <w:rFonts w:ascii="Arial" w:cs="Arial" w:eastAsia="Arial" w:hAnsi="Arial"/>
                <w:sz w:val="16"/>
                <w:szCs w:val="16"/>
                <w:b w:val="1"/>
                <w:bCs w:val="1"/>
                <w:color w:val="auto"/>
              </w:rPr>
              <w:t>(25,186)</w:t>
            </w:r>
          </w:p>
        </w:tc>
        <w:tc>
          <w:tcPr>
            <w:tcW w:w="3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(11,704)</w:t>
            </w:r>
          </w:p>
        </w:tc>
      </w:tr>
      <w:tr>
        <w:trPr>
          <w:trHeight w:val="274"/>
        </w:trPr>
        <w:tc>
          <w:tcPr>
            <w:tcW w:w="9260" w:type="dxa"/>
            <w:vAlign w:val="bottom"/>
          </w:tcPr>
          <w:p>
            <w:pPr>
              <w:ind w:left="40"/>
              <w:spacing w:after="0"/>
              <w:rPr>
                <w:sz w:val="20"/>
                <w:szCs w:val="20"/>
                <w:color w:val="auto"/>
              </w:rPr>
            </w:pPr>
            <w:r>
              <w:rPr>
                <w:rFonts w:ascii="Arial" w:cs="Arial" w:eastAsia="Arial" w:hAnsi="Arial"/>
                <w:sz w:val="16"/>
                <w:szCs w:val="16"/>
                <w:color w:val="auto"/>
              </w:rPr>
              <w:t>Unrecognized prior service credit</w:t>
            </w:r>
          </w:p>
        </w:tc>
        <w:tc>
          <w:tcPr>
            <w:tcW w:w="24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(326)</w:t>
            </w:r>
          </w:p>
        </w:tc>
        <w:tc>
          <w:tcPr>
            <w:tcW w:w="30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(661)</w:t>
            </w:r>
          </w:p>
        </w:tc>
      </w:tr>
      <w:tr>
        <w:trPr>
          <w:trHeight w:val="260"/>
        </w:trPr>
        <w:tc>
          <w:tcPr>
            <w:tcW w:w="9260" w:type="dxa"/>
            <w:vAlign w:val="bottom"/>
          </w:tcPr>
          <w:p>
            <w:pPr>
              <w:ind w:left="40"/>
              <w:spacing w:after="0"/>
              <w:rPr>
                <w:sz w:val="20"/>
                <w:szCs w:val="20"/>
                <w:color w:val="auto"/>
              </w:rPr>
            </w:pPr>
            <w:r>
              <w:rPr>
                <w:rFonts w:ascii="Arial" w:cs="Arial" w:eastAsia="Arial" w:hAnsi="Arial"/>
                <w:sz w:val="16"/>
                <w:szCs w:val="16"/>
                <w:b w:val="1"/>
                <w:bCs w:val="1"/>
                <w:color w:val="auto"/>
              </w:rPr>
              <w:t>Gross Amount</w:t>
            </w:r>
          </w:p>
        </w:tc>
        <w:tc>
          <w:tcPr>
            <w:tcW w:w="240" w:type="dxa"/>
            <w:vAlign w:val="bottom"/>
          </w:tcPr>
          <w:p>
            <w:pPr>
              <w:spacing w:after="0"/>
              <w:rPr>
                <w:sz w:val="22"/>
                <w:szCs w:val="22"/>
                <w:color w:val="auto"/>
              </w:rPr>
            </w:pPr>
          </w:p>
        </w:tc>
        <w:tc>
          <w:tcPr>
            <w:tcW w:w="820" w:type="dxa"/>
            <w:vAlign w:val="bottom"/>
          </w:tcPr>
          <w:p>
            <w:pPr>
              <w:jc w:val="right"/>
              <w:ind w:right="2"/>
              <w:spacing w:after="0"/>
              <w:rPr>
                <w:sz w:val="20"/>
                <w:szCs w:val="20"/>
                <w:color w:val="auto"/>
              </w:rPr>
            </w:pPr>
            <w:r>
              <w:rPr>
                <w:rFonts w:ascii="Arial" w:cs="Arial" w:eastAsia="Arial" w:hAnsi="Arial"/>
                <w:sz w:val="16"/>
                <w:szCs w:val="16"/>
                <w:b w:val="1"/>
                <w:bCs w:val="1"/>
                <w:color w:val="auto"/>
              </w:rPr>
              <w:t>(25,512)</w:t>
            </w:r>
          </w:p>
        </w:tc>
        <w:tc>
          <w:tcPr>
            <w:tcW w:w="30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(12,365)</w:t>
            </w:r>
          </w:p>
        </w:tc>
      </w:tr>
      <w:tr>
        <w:trPr>
          <w:trHeight w:val="274"/>
        </w:trPr>
        <w:tc>
          <w:tcPr>
            <w:tcW w:w="9260" w:type="dxa"/>
            <w:vAlign w:val="bottom"/>
          </w:tcPr>
          <w:p>
            <w:pPr>
              <w:ind w:left="40"/>
              <w:spacing w:after="0"/>
              <w:rPr>
                <w:sz w:val="20"/>
                <w:szCs w:val="20"/>
                <w:color w:val="auto"/>
              </w:rPr>
            </w:pPr>
            <w:r>
              <w:rPr>
                <w:rFonts w:ascii="Arial" w:cs="Arial" w:eastAsia="Arial" w:hAnsi="Arial"/>
                <w:sz w:val="16"/>
                <w:szCs w:val="16"/>
                <w:color w:val="auto"/>
              </w:rPr>
              <w:t>Deferred tax liability</w:t>
            </w:r>
          </w:p>
        </w:tc>
        <w:tc>
          <w:tcPr>
            <w:tcW w:w="24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b w:val="1"/>
                <w:bCs w:val="1"/>
                <w:color w:val="auto"/>
              </w:rPr>
              <w:t>10,205</w:t>
            </w:r>
          </w:p>
        </w:tc>
        <w:tc>
          <w:tcPr>
            <w:tcW w:w="30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4,946</w:t>
            </w:r>
          </w:p>
        </w:tc>
      </w:tr>
      <w:tr>
        <w:trPr>
          <w:trHeight w:val="267"/>
        </w:trPr>
        <w:tc>
          <w:tcPr>
            <w:tcW w:w="9260" w:type="dxa"/>
            <w:vAlign w:val="bottom"/>
          </w:tcPr>
          <w:p>
            <w:pPr>
              <w:ind w:left="40"/>
              <w:spacing w:after="0"/>
              <w:rPr>
                <w:sz w:val="20"/>
                <w:szCs w:val="20"/>
                <w:color w:val="auto"/>
              </w:rPr>
            </w:pPr>
            <w:r>
              <w:rPr>
                <w:rFonts w:ascii="Arial" w:cs="Arial" w:eastAsia="Arial" w:hAnsi="Arial"/>
                <w:sz w:val="16"/>
                <w:szCs w:val="16"/>
                <w:b w:val="1"/>
                <w:bCs w:val="1"/>
                <w:color w:val="auto"/>
              </w:rPr>
              <w:t>Net Amount</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8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(15,307)</w:t>
            </w:r>
          </w:p>
        </w:tc>
        <w:tc>
          <w:tcPr>
            <w:tcW w:w="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(7,419)</w:t>
            </w:r>
          </w:p>
        </w:tc>
      </w:tr>
      <w:tr>
        <w:trPr>
          <w:trHeight w:val="20"/>
        </w:trPr>
        <w:tc>
          <w:tcPr>
            <w:tcW w:w="9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During 2017, the Company expects to recognize the following amortization components of net periodic cost for the other postretirement plans: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63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43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222"/>
              <w:spacing w:after="0"/>
              <w:rPr>
                <w:sz w:val="20"/>
                <w:szCs w:val="20"/>
                <w:color w:val="auto"/>
              </w:rPr>
            </w:pPr>
            <w:r>
              <w:rPr>
                <w:rFonts w:ascii="Arial" w:cs="Arial" w:eastAsia="Arial" w:hAnsi="Arial"/>
                <w:sz w:val="14"/>
                <w:szCs w:val="14"/>
                <w:color w:val="auto"/>
              </w:rPr>
              <w:t>2017</w:t>
            </w:r>
          </w:p>
        </w:tc>
      </w:tr>
      <w:tr>
        <w:trPr>
          <w:trHeight w:val="225"/>
        </w:trPr>
        <w:tc>
          <w:tcPr>
            <w:tcW w:w="6380" w:type="dxa"/>
            <w:vAlign w:val="bottom"/>
          </w:tcPr>
          <w:p>
            <w:pPr>
              <w:ind w:left="40"/>
              <w:spacing w:after="0"/>
              <w:rPr>
                <w:sz w:val="20"/>
                <w:szCs w:val="20"/>
                <w:color w:val="auto"/>
              </w:rPr>
            </w:pPr>
            <w:r>
              <w:rPr>
                <w:rFonts w:ascii="Arial" w:cs="Arial" w:eastAsia="Arial" w:hAnsi="Arial"/>
                <w:sz w:val="16"/>
                <w:szCs w:val="16"/>
                <w:color w:val="auto"/>
              </w:rPr>
              <w:t>Actuarial gain recognition</w:t>
            </w:r>
          </w:p>
        </w:tc>
        <w:tc>
          <w:tcPr>
            <w:tcW w:w="434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(3,953)</w:t>
            </w:r>
          </w:p>
        </w:tc>
      </w:tr>
      <w:tr>
        <w:trPr>
          <w:trHeight w:val="243"/>
        </w:trPr>
        <w:tc>
          <w:tcPr>
            <w:tcW w:w="6380" w:type="dxa"/>
            <w:vAlign w:val="bottom"/>
          </w:tcPr>
          <w:p>
            <w:pPr>
              <w:ind w:left="40"/>
              <w:spacing w:after="0"/>
              <w:rPr>
                <w:sz w:val="20"/>
                <w:szCs w:val="20"/>
                <w:color w:val="auto"/>
              </w:rPr>
            </w:pPr>
            <w:r>
              <w:rPr>
                <w:rFonts w:ascii="Arial" w:cs="Arial" w:eastAsia="Arial" w:hAnsi="Arial"/>
                <w:sz w:val="16"/>
                <w:szCs w:val="16"/>
                <w:color w:val="auto"/>
              </w:rPr>
              <w:t>Prior service credit recognition</w:t>
            </w:r>
          </w:p>
        </w:tc>
        <w:tc>
          <w:tcPr>
            <w:tcW w:w="434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(291)</w:t>
            </w:r>
          </w:p>
        </w:tc>
      </w:tr>
    </w:tbl>
    <w:p>
      <w:pPr>
        <w:spacing w:after="0" w:line="139" w:lineRule="exact"/>
        <w:rPr>
          <w:sz w:val="20"/>
          <w:szCs w:val="20"/>
          <w:color w:val="auto"/>
        </w:rPr>
      </w:pPr>
    </w:p>
    <w:p>
      <w:pPr>
        <w:ind w:right="220"/>
        <w:spacing w:after="0" w:line="241" w:lineRule="auto"/>
        <w:rPr>
          <w:sz w:val="20"/>
          <w:szCs w:val="20"/>
          <w:color w:val="auto"/>
        </w:rPr>
      </w:pPr>
      <w:r>
        <w:rPr>
          <w:rFonts w:ascii="Arial" w:cs="Arial" w:eastAsia="Arial" w:hAnsi="Arial"/>
          <w:sz w:val="18"/>
          <w:szCs w:val="18"/>
          <w:b w:val="1"/>
          <w:bCs w:val="1"/>
          <w:color w:val="auto"/>
        </w:rPr>
        <w:t>Multiemployer Pension Plans</w:t>
      </w:r>
      <w:r>
        <w:rPr>
          <w:rFonts w:ascii="Arial" w:cs="Arial" w:eastAsia="Arial" w:hAnsi="Arial"/>
          <w:sz w:val="18"/>
          <w:szCs w:val="18"/>
          <w:color w:val="auto"/>
        </w:rPr>
        <w:t>. In 2016, 2015 and 2014, the Company contributed to one multiemployer defined benefit pension plan under</w:t>
      </w:r>
      <w:r>
        <w:rPr>
          <w:rFonts w:ascii="Arial" w:cs="Arial" w:eastAsia="Arial" w:hAnsi="Arial"/>
          <w:sz w:val="18"/>
          <w:szCs w:val="18"/>
          <w:b w:val="1"/>
          <w:bCs w:val="1"/>
          <w:color w:val="auto"/>
        </w:rPr>
        <w:t xml:space="preserve"> </w:t>
      </w:r>
      <w:r>
        <w:rPr>
          <w:rFonts w:ascii="Arial" w:cs="Arial" w:eastAsia="Arial" w:hAnsi="Arial"/>
          <w:sz w:val="18"/>
          <w:szCs w:val="18"/>
          <w:color w:val="auto"/>
        </w:rPr>
        <w:t>the terms of a collective-bargaining agreement that covered certain union-represented employees. The Company’s total contributions to all multiemployer pension plans amounted to $0.1 million in each year for 2016, 2015 and 2014.</w:t>
      </w:r>
    </w:p>
    <w:p>
      <w:pPr>
        <w:spacing w:after="0" w:line="106"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b w:val="1"/>
          <w:bCs w:val="1"/>
          <w:color w:val="auto"/>
        </w:rPr>
        <w:t xml:space="preserve">Savings Plans. </w:t>
      </w:r>
      <w:r>
        <w:rPr>
          <w:rFonts w:ascii="Arial" w:cs="Arial" w:eastAsia="Arial" w:hAnsi="Arial"/>
          <w:sz w:val="18"/>
          <w:szCs w:val="18"/>
          <w:color w:val="auto"/>
        </w:rPr>
        <w:t>The Company recorded expense associated with retirement benefits provided under incentive savings plans (primarily 401(k)</w:t>
      </w:r>
      <w:r>
        <w:rPr>
          <w:rFonts w:ascii="Arial" w:cs="Arial" w:eastAsia="Arial" w:hAnsi="Arial"/>
          <w:sz w:val="18"/>
          <w:szCs w:val="18"/>
          <w:b w:val="1"/>
          <w:bCs w:val="1"/>
          <w:color w:val="auto"/>
        </w:rPr>
        <w:t xml:space="preserve"> </w:t>
      </w:r>
      <w:r>
        <w:rPr>
          <w:rFonts w:ascii="Arial" w:cs="Arial" w:eastAsia="Arial" w:hAnsi="Arial"/>
          <w:sz w:val="18"/>
          <w:szCs w:val="18"/>
          <w:color w:val="auto"/>
        </w:rPr>
        <w:t>plans) of approximately $7.5 million in 2016, $7.6 million in 2015 and $8.6 million in 2014.</w:t>
      </w:r>
    </w:p>
    <w:p>
      <w:pPr>
        <w:sectPr>
          <w:pgSz w:w="11900" w:h="16838" w:orient="portrait"/>
          <w:cols w:equalWidth="0" w:num="1">
            <w:col w:w="11420"/>
          </w:cols>
          <w:pgMar w:left="240" w:top="724" w:right="239" w:bottom="1440" w:gutter="0" w:footer="0" w:header="0"/>
        </w:sect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100</w:t>
      </w:r>
    </w:p>
    <w:p>
      <w:pPr>
        <w:sectPr>
          <w:pgSz w:w="11900" w:h="16838" w:orient="portrait"/>
          <w:cols w:equalWidth="0" w:num="1">
            <w:col w:w="11420"/>
          </w:cols>
          <w:pgMar w:left="240" w:top="724" w:right="239" w:bottom="1440" w:gutter="0" w:footer="0" w:header="0"/>
          <w:type w:val="continuous"/>
        </w:sectPr>
      </w:pPr>
    </w:p>
    <w:bookmarkStart w:id="103" w:name="page104"/>
    <w:bookmarkEnd w:id="103"/>
    <w:p>
      <w:pPr>
        <w:ind w:left="500" w:hanging="492"/>
        <w:spacing w:after="0"/>
        <w:tabs>
          <w:tab w:leader="none" w:pos="500" w:val="left"/>
        </w:tabs>
        <w:numPr>
          <w:ilvl w:val="0"/>
          <w:numId w:val="74"/>
        </w:numPr>
        <w:rPr>
          <w:rFonts w:ascii="Arial" w:cs="Arial" w:eastAsia="Arial" w:hAnsi="Arial"/>
          <w:sz w:val="18"/>
          <w:szCs w:val="18"/>
          <w:b w:val="1"/>
          <w:bCs w:val="1"/>
          <w:color w:val="auto"/>
        </w:rPr>
      </w:pPr>
      <w:r>
        <w:rPr>
          <w:rFonts w:ascii="Arial" w:cs="Arial" w:eastAsia="Arial" w:hAnsi="Arial"/>
          <w:sz w:val="18"/>
          <w:szCs w:val="18"/>
          <w:b w:val="1"/>
          <w:bCs w:val="1"/>
          <w:color w:val="auto"/>
        </w:rPr>
        <w:t>OTHER NON-OPERATING (EXPENSE) INCOME</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A summary of non-operating (expense) income is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7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540" w:type="dxa"/>
            <w:vAlign w:val="bottom"/>
            <w:tcBorders>
              <w:bottom w:val="single" w:sz="8" w:color="auto"/>
            </w:tcBorders>
            <w:gridSpan w:val="4"/>
          </w:tcPr>
          <w:p>
            <w:pPr>
              <w:jc w:val="right"/>
              <w:ind w:right="19"/>
              <w:spacing w:after="0"/>
              <w:rPr>
                <w:sz w:val="20"/>
                <w:szCs w:val="20"/>
                <w:color w:val="auto"/>
              </w:rPr>
            </w:pPr>
            <w:r>
              <w:rPr>
                <w:rFonts w:ascii="Arial" w:cs="Arial" w:eastAsia="Arial" w:hAnsi="Arial"/>
                <w:sz w:val="14"/>
                <w:szCs w:val="14"/>
                <w:b w:val="1"/>
                <w:bCs w:val="1"/>
                <w:color w:val="auto"/>
              </w:rPr>
              <w:t>Year Ended December 31</w:t>
            </w:r>
          </w:p>
        </w:tc>
        <w:tc>
          <w:tcPr>
            <w:tcW w:w="840" w:type="dxa"/>
            <w:vAlign w:val="bottom"/>
            <w:tcBorders>
              <w:bottom w:val="single" w:sz="8" w:color="auto"/>
            </w:tcBorders>
          </w:tcPr>
          <w:p>
            <w:pPr>
              <w:spacing w:after="0"/>
              <w:rPr>
                <w:sz w:val="17"/>
                <w:szCs w:val="17"/>
                <w:color w:val="auto"/>
              </w:rPr>
            </w:pPr>
          </w:p>
        </w:tc>
      </w:tr>
      <w:tr>
        <w:trPr>
          <w:trHeight w:val="264"/>
        </w:trPr>
        <w:tc>
          <w:tcPr>
            <w:tcW w:w="77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2016</w:t>
            </w:r>
          </w:p>
        </w:tc>
        <w:tc>
          <w:tcPr>
            <w:tcW w:w="3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color w:val="auto"/>
              </w:rPr>
              <w:t>2015</w:t>
            </w:r>
          </w:p>
        </w:tc>
        <w:tc>
          <w:tcPr>
            <w:tcW w:w="3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color w:val="auto"/>
              </w:rPr>
              <w:t>2014</w:t>
            </w:r>
          </w:p>
        </w:tc>
      </w:tr>
      <w:tr>
        <w:trPr>
          <w:trHeight w:val="257"/>
        </w:trPr>
        <w:tc>
          <w:tcPr>
            <w:tcW w:w="7780" w:type="dxa"/>
            <w:vAlign w:val="bottom"/>
          </w:tcPr>
          <w:p>
            <w:pPr>
              <w:ind w:left="40"/>
              <w:spacing w:after="0"/>
              <w:rPr>
                <w:sz w:val="20"/>
                <w:szCs w:val="20"/>
                <w:color w:val="auto"/>
              </w:rPr>
            </w:pPr>
            <w:r>
              <w:rPr>
                <w:rFonts w:ascii="Arial" w:cs="Arial" w:eastAsia="Arial" w:hAnsi="Arial"/>
                <w:sz w:val="16"/>
                <w:szCs w:val="16"/>
                <w:color w:val="auto"/>
              </w:rPr>
              <w:t>Gain on sale of property, plant and equipment</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80"/>
              <w:spacing w:after="0"/>
              <w:rPr>
                <w:sz w:val="20"/>
                <w:szCs w:val="20"/>
                <w:color w:val="auto"/>
              </w:rPr>
            </w:pPr>
            <w:r>
              <w:rPr>
                <w:rFonts w:ascii="Arial" w:cs="Arial" w:eastAsia="Arial" w:hAnsi="Arial"/>
                <w:sz w:val="16"/>
                <w:szCs w:val="16"/>
                <w:b w:val="1"/>
                <w:bCs w:val="1"/>
                <w:color w:val="auto"/>
              </w:rPr>
              <w:t>34,072</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80"/>
              <w:spacing w:after="0"/>
              <w:rPr>
                <w:sz w:val="20"/>
                <w:szCs w:val="20"/>
                <w:color w:val="auto"/>
              </w:rPr>
            </w:pPr>
            <w:r>
              <w:rPr>
                <w:rFonts w:ascii="Arial" w:cs="Arial" w:eastAsia="Arial" w:hAnsi="Arial"/>
                <w:sz w:val="16"/>
                <w:szCs w:val="16"/>
                <w:color w:val="auto"/>
              </w:rPr>
              <w:t>21,379</w:t>
            </w:r>
          </w:p>
        </w:tc>
        <w:tc>
          <w:tcPr>
            <w:tcW w:w="3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127,670</w:t>
            </w:r>
          </w:p>
        </w:tc>
      </w:tr>
      <w:tr>
        <w:trPr>
          <w:trHeight w:val="270"/>
        </w:trPr>
        <w:tc>
          <w:tcPr>
            <w:tcW w:w="7780" w:type="dxa"/>
            <w:vAlign w:val="bottom"/>
          </w:tcPr>
          <w:p>
            <w:pPr>
              <w:ind w:left="40"/>
              <w:spacing w:after="0"/>
              <w:rPr>
                <w:sz w:val="20"/>
                <w:szCs w:val="20"/>
                <w:color w:val="auto"/>
              </w:rPr>
            </w:pPr>
            <w:r>
              <w:rPr>
                <w:rFonts w:ascii="Arial" w:cs="Arial" w:eastAsia="Arial" w:hAnsi="Arial"/>
                <w:sz w:val="16"/>
                <w:szCs w:val="16"/>
                <w:color w:val="auto"/>
              </w:rPr>
              <w:t>Foreign currency losses, net</w:t>
            </w:r>
          </w:p>
        </w:tc>
        <w:tc>
          <w:tcPr>
            <w:tcW w:w="260" w:type="dxa"/>
            <w:vAlign w:val="bottom"/>
          </w:tcPr>
          <w:p>
            <w:pPr>
              <w:spacing w:after="0"/>
              <w:rPr>
                <w:sz w:val="23"/>
                <w:szCs w:val="23"/>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b w:val="1"/>
                <w:bCs w:val="1"/>
                <w:color w:val="auto"/>
              </w:rPr>
              <w:t>(39,890)</w:t>
            </w:r>
          </w:p>
        </w:tc>
        <w:tc>
          <w:tcPr>
            <w:tcW w:w="320" w:type="dxa"/>
            <w:vAlign w:val="bottom"/>
          </w:tcPr>
          <w:p>
            <w:pPr>
              <w:spacing w:after="0"/>
              <w:rPr>
                <w:sz w:val="23"/>
                <w:szCs w:val="23"/>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(15,564)</w:t>
            </w:r>
          </w:p>
        </w:tc>
        <w:tc>
          <w:tcPr>
            <w:tcW w:w="3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(11,129)</w:t>
            </w:r>
          </w:p>
        </w:tc>
      </w:tr>
      <w:tr>
        <w:trPr>
          <w:trHeight w:val="270"/>
        </w:trPr>
        <w:tc>
          <w:tcPr>
            <w:tcW w:w="7780" w:type="dxa"/>
            <w:vAlign w:val="bottom"/>
          </w:tcPr>
          <w:p>
            <w:pPr>
              <w:ind w:left="40"/>
              <w:spacing w:after="0"/>
              <w:rPr>
                <w:sz w:val="20"/>
                <w:szCs w:val="20"/>
                <w:color w:val="auto"/>
              </w:rPr>
            </w:pPr>
            <w:r>
              <w:rPr>
                <w:rFonts w:ascii="Arial" w:cs="Arial" w:eastAsia="Arial" w:hAnsi="Arial"/>
                <w:sz w:val="16"/>
                <w:szCs w:val="16"/>
                <w:color w:val="auto"/>
              </w:rPr>
              <w:t>Net losses on sales or write-downs of cost method investments</w:t>
            </w:r>
          </w:p>
        </w:tc>
        <w:tc>
          <w:tcPr>
            <w:tcW w:w="260" w:type="dxa"/>
            <w:vAlign w:val="bottom"/>
          </w:tcPr>
          <w:p>
            <w:pPr>
              <w:spacing w:after="0"/>
              <w:rPr>
                <w:sz w:val="23"/>
                <w:szCs w:val="23"/>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b w:val="1"/>
                <w:bCs w:val="1"/>
                <w:color w:val="auto"/>
              </w:rPr>
              <w:t>(28,571)</w:t>
            </w:r>
          </w:p>
        </w:tc>
        <w:tc>
          <w:tcPr>
            <w:tcW w:w="320" w:type="dxa"/>
            <w:vAlign w:val="bottom"/>
          </w:tcPr>
          <w:p>
            <w:pPr>
              <w:spacing w:after="0"/>
              <w:rPr>
                <w:sz w:val="23"/>
                <w:szCs w:val="23"/>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(1,124)</w:t>
            </w:r>
          </w:p>
        </w:tc>
        <w:tc>
          <w:tcPr>
            <w:tcW w:w="3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(94)</w:t>
            </w:r>
          </w:p>
        </w:tc>
      </w:tr>
      <w:tr>
        <w:trPr>
          <w:trHeight w:val="270"/>
        </w:trPr>
        <w:tc>
          <w:tcPr>
            <w:tcW w:w="7780" w:type="dxa"/>
            <w:vAlign w:val="bottom"/>
          </w:tcPr>
          <w:p>
            <w:pPr>
              <w:ind w:left="40"/>
              <w:spacing w:after="0"/>
              <w:rPr>
                <w:sz w:val="20"/>
                <w:szCs w:val="20"/>
                <w:color w:val="auto"/>
              </w:rPr>
            </w:pPr>
            <w:r>
              <w:rPr>
                <w:rFonts w:ascii="Arial" w:cs="Arial" w:eastAsia="Arial" w:hAnsi="Arial"/>
                <w:sz w:val="16"/>
                <w:szCs w:val="16"/>
                <w:color w:val="auto"/>
              </w:rPr>
              <w:t>Net gain (losses) on sales of businesses</w:t>
            </w:r>
          </w:p>
        </w:tc>
        <w:tc>
          <w:tcPr>
            <w:tcW w:w="260" w:type="dxa"/>
            <w:vAlign w:val="bottom"/>
          </w:tcPr>
          <w:p>
            <w:pPr>
              <w:spacing w:after="0"/>
              <w:rPr>
                <w:sz w:val="23"/>
                <w:szCs w:val="23"/>
                <w:color w:val="auto"/>
              </w:rPr>
            </w:pPr>
          </w:p>
        </w:tc>
        <w:tc>
          <w:tcPr>
            <w:tcW w:w="940" w:type="dxa"/>
            <w:vAlign w:val="bottom"/>
          </w:tcPr>
          <w:p>
            <w:pPr>
              <w:jc w:val="right"/>
              <w:ind w:right="80"/>
              <w:spacing w:after="0"/>
              <w:rPr>
                <w:sz w:val="20"/>
                <w:szCs w:val="20"/>
                <w:color w:val="auto"/>
              </w:rPr>
            </w:pPr>
            <w:r>
              <w:rPr>
                <w:rFonts w:ascii="Arial" w:cs="Arial" w:eastAsia="Arial" w:hAnsi="Arial"/>
                <w:sz w:val="16"/>
                <w:szCs w:val="16"/>
                <w:b w:val="1"/>
                <w:bCs w:val="1"/>
                <w:color w:val="auto"/>
              </w:rPr>
              <w:t>18,931</w:t>
            </w:r>
          </w:p>
        </w:tc>
        <w:tc>
          <w:tcPr>
            <w:tcW w:w="320" w:type="dxa"/>
            <w:vAlign w:val="bottom"/>
          </w:tcPr>
          <w:p>
            <w:pPr>
              <w:spacing w:after="0"/>
              <w:rPr>
                <w:sz w:val="23"/>
                <w:szCs w:val="23"/>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(23,335)</w:t>
            </w:r>
          </w:p>
        </w:tc>
        <w:tc>
          <w:tcPr>
            <w:tcW w:w="360" w:type="dxa"/>
            <w:vAlign w:val="bottom"/>
          </w:tcPr>
          <w:p>
            <w:pPr>
              <w:spacing w:after="0"/>
              <w:rPr>
                <w:sz w:val="23"/>
                <w:szCs w:val="23"/>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70"/>
        </w:trPr>
        <w:tc>
          <w:tcPr>
            <w:tcW w:w="7780" w:type="dxa"/>
            <w:vAlign w:val="bottom"/>
          </w:tcPr>
          <w:p>
            <w:pPr>
              <w:ind w:left="40"/>
              <w:spacing w:after="0"/>
              <w:rPr>
                <w:sz w:val="20"/>
                <w:szCs w:val="20"/>
                <w:color w:val="auto"/>
              </w:rPr>
            </w:pPr>
            <w:r>
              <w:rPr>
                <w:rFonts w:ascii="Arial" w:cs="Arial" w:eastAsia="Arial" w:hAnsi="Arial"/>
                <w:sz w:val="16"/>
                <w:szCs w:val="16"/>
                <w:color w:val="auto"/>
              </w:rPr>
              <w:t>Gain on formation of a joint venture</w:t>
            </w:r>
          </w:p>
        </w:tc>
        <w:tc>
          <w:tcPr>
            <w:tcW w:w="260" w:type="dxa"/>
            <w:vAlign w:val="bottom"/>
          </w:tcPr>
          <w:p>
            <w:pPr>
              <w:spacing w:after="0"/>
              <w:rPr>
                <w:sz w:val="23"/>
                <w:szCs w:val="23"/>
                <w:color w:val="auto"/>
              </w:rPr>
            </w:pPr>
          </w:p>
        </w:tc>
        <w:tc>
          <w:tcPr>
            <w:tcW w:w="940" w:type="dxa"/>
            <w:vAlign w:val="bottom"/>
          </w:tcPr>
          <w:p>
            <w:pPr>
              <w:jc w:val="right"/>
              <w:ind w:right="80"/>
              <w:spacing w:after="0"/>
              <w:rPr>
                <w:sz w:val="20"/>
                <w:szCs w:val="20"/>
                <w:color w:val="auto"/>
              </w:rPr>
            </w:pPr>
            <w:r>
              <w:rPr>
                <w:rFonts w:ascii="Arial" w:cs="Arial" w:eastAsia="Arial" w:hAnsi="Arial"/>
                <w:sz w:val="16"/>
                <w:szCs w:val="16"/>
                <w:b w:val="1"/>
                <w:bCs w:val="1"/>
                <w:color w:val="auto"/>
              </w:rPr>
              <w:t>3,232</w:t>
            </w:r>
          </w:p>
        </w:tc>
        <w:tc>
          <w:tcPr>
            <w:tcW w:w="320" w:type="dxa"/>
            <w:vAlign w:val="bottom"/>
          </w:tcPr>
          <w:p>
            <w:pPr>
              <w:spacing w:after="0"/>
              <w:rPr>
                <w:sz w:val="23"/>
                <w:szCs w:val="23"/>
                <w:color w:val="auto"/>
              </w:rPr>
            </w:pPr>
          </w:p>
        </w:tc>
        <w:tc>
          <w:tcPr>
            <w:tcW w:w="920" w:type="dxa"/>
            <w:vAlign w:val="bottom"/>
          </w:tcPr>
          <w:p>
            <w:pPr>
              <w:jc w:val="right"/>
              <w:ind w:right="80"/>
              <w:spacing w:after="0"/>
              <w:rPr>
                <w:sz w:val="20"/>
                <w:szCs w:val="20"/>
                <w:color w:val="auto"/>
              </w:rPr>
            </w:pPr>
            <w:r>
              <w:rPr>
                <w:rFonts w:ascii="Arial" w:cs="Arial" w:eastAsia="Arial" w:hAnsi="Arial"/>
                <w:sz w:val="16"/>
                <w:szCs w:val="16"/>
                <w:color w:val="auto"/>
              </w:rPr>
              <w:t>5,972</w:t>
            </w:r>
          </w:p>
        </w:tc>
        <w:tc>
          <w:tcPr>
            <w:tcW w:w="360" w:type="dxa"/>
            <w:vAlign w:val="bottom"/>
          </w:tcPr>
          <w:p>
            <w:pPr>
              <w:spacing w:after="0"/>
              <w:rPr>
                <w:sz w:val="23"/>
                <w:szCs w:val="23"/>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70"/>
        </w:trPr>
        <w:tc>
          <w:tcPr>
            <w:tcW w:w="7780" w:type="dxa"/>
            <w:vAlign w:val="bottom"/>
          </w:tcPr>
          <w:p>
            <w:pPr>
              <w:ind w:left="40"/>
              <w:spacing w:after="0"/>
              <w:rPr>
                <w:sz w:val="20"/>
                <w:szCs w:val="20"/>
                <w:color w:val="auto"/>
              </w:rPr>
            </w:pPr>
            <w:r>
              <w:rPr>
                <w:rFonts w:ascii="Arial" w:cs="Arial" w:eastAsia="Arial" w:hAnsi="Arial"/>
                <w:sz w:val="16"/>
                <w:szCs w:val="16"/>
                <w:color w:val="auto"/>
              </w:rPr>
              <w:t>Gain on sale of Classified Ventures</w:t>
            </w:r>
          </w:p>
        </w:tc>
        <w:tc>
          <w:tcPr>
            <w:tcW w:w="260" w:type="dxa"/>
            <w:vAlign w:val="bottom"/>
          </w:tcPr>
          <w:p>
            <w:pPr>
              <w:spacing w:after="0"/>
              <w:rPr>
                <w:sz w:val="23"/>
                <w:szCs w:val="23"/>
                <w:color w:val="auto"/>
              </w:rPr>
            </w:pPr>
          </w:p>
        </w:tc>
        <w:tc>
          <w:tcPr>
            <w:tcW w:w="940" w:type="dxa"/>
            <w:vAlign w:val="bottom"/>
          </w:tcPr>
          <w:p>
            <w:pPr>
              <w:jc w:val="right"/>
              <w:ind w:right="80"/>
              <w:spacing w:after="0"/>
              <w:rPr>
                <w:sz w:val="20"/>
                <w:szCs w:val="20"/>
                <w:color w:val="auto"/>
              </w:rPr>
            </w:pPr>
            <w:r>
              <w:rPr>
                <w:rFonts w:ascii="Arial" w:cs="Arial" w:eastAsia="Arial" w:hAnsi="Arial"/>
                <w:sz w:val="16"/>
                <w:szCs w:val="16"/>
                <w:b w:val="1"/>
                <w:bCs w:val="1"/>
                <w:color w:val="auto"/>
              </w:rPr>
              <w:t>—</w:t>
            </w:r>
          </w:p>
        </w:tc>
        <w:tc>
          <w:tcPr>
            <w:tcW w:w="320" w:type="dxa"/>
            <w:vAlign w:val="bottom"/>
          </w:tcPr>
          <w:p>
            <w:pPr>
              <w:spacing w:after="0"/>
              <w:rPr>
                <w:sz w:val="23"/>
                <w:szCs w:val="23"/>
                <w:color w:val="auto"/>
              </w:rPr>
            </w:pPr>
          </w:p>
        </w:tc>
        <w:tc>
          <w:tcPr>
            <w:tcW w:w="920" w:type="dxa"/>
            <w:vAlign w:val="bottom"/>
          </w:tcPr>
          <w:p>
            <w:pPr>
              <w:jc w:val="right"/>
              <w:ind w:right="80"/>
              <w:spacing w:after="0"/>
              <w:rPr>
                <w:sz w:val="20"/>
                <w:szCs w:val="20"/>
                <w:color w:val="auto"/>
              </w:rPr>
            </w:pPr>
            <w:r>
              <w:rPr>
                <w:rFonts w:ascii="Arial" w:cs="Arial" w:eastAsia="Arial" w:hAnsi="Arial"/>
                <w:sz w:val="16"/>
                <w:szCs w:val="16"/>
                <w:color w:val="auto"/>
              </w:rPr>
              <w:t>4,827</w:t>
            </w:r>
          </w:p>
        </w:tc>
        <w:tc>
          <w:tcPr>
            <w:tcW w:w="360" w:type="dxa"/>
            <w:vAlign w:val="bottom"/>
          </w:tcPr>
          <w:p>
            <w:pPr>
              <w:spacing w:after="0"/>
              <w:rPr>
                <w:sz w:val="23"/>
                <w:szCs w:val="23"/>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396,553</w:t>
            </w:r>
          </w:p>
        </w:tc>
      </w:tr>
      <w:tr>
        <w:trPr>
          <w:trHeight w:val="270"/>
        </w:trPr>
        <w:tc>
          <w:tcPr>
            <w:tcW w:w="7780" w:type="dxa"/>
            <w:vAlign w:val="bottom"/>
          </w:tcPr>
          <w:p>
            <w:pPr>
              <w:ind w:left="40"/>
              <w:spacing w:after="0"/>
              <w:rPr>
                <w:sz w:val="20"/>
                <w:szCs w:val="20"/>
                <w:color w:val="auto"/>
              </w:rPr>
            </w:pPr>
            <w:r>
              <w:rPr>
                <w:rFonts w:ascii="Arial" w:cs="Arial" w:eastAsia="Arial" w:hAnsi="Arial"/>
                <w:sz w:val="16"/>
                <w:szCs w:val="16"/>
                <w:color w:val="auto"/>
              </w:rPr>
              <w:t>Gain on Berkshire marketable equity securities exchange</w:t>
            </w:r>
          </w:p>
        </w:tc>
        <w:tc>
          <w:tcPr>
            <w:tcW w:w="260" w:type="dxa"/>
            <w:vAlign w:val="bottom"/>
          </w:tcPr>
          <w:p>
            <w:pPr>
              <w:spacing w:after="0"/>
              <w:rPr>
                <w:sz w:val="23"/>
                <w:szCs w:val="23"/>
                <w:color w:val="auto"/>
              </w:rPr>
            </w:pPr>
          </w:p>
        </w:tc>
        <w:tc>
          <w:tcPr>
            <w:tcW w:w="940" w:type="dxa"/>
            <w:vAlign w:val="bottom"/>
          </w:tcPr>
          <w:p>
            <w:pPr>
              <w:jc w:val="right"/>
              <w:ind w:right="80"/>
              <w:spacing w:after="0"/>
              <w:rPr>
                <w:sz w:val="20"/>
                <w:szCs w:val="20"/>
                <w:color w:val="auto"/>
              </w:rPr>
            </w:pPr>
            <w:r>
              <w:rPr>
                <w:rFonts w:ascii="Arial" w:cs="Arial" w:eastAsia="Arial" w:hAnsi="Arial"/>
                <w:sz w:val="16"/>
                <w:szCs w:val="16"/>
                <w:b w:val="1"/>
                <w:bCs w:val="1"/>
                <w:color w:val="auto"/>
              </w:rPr>
              <w:t>—</w:t>
            </w:r>
          </w:p>
        </w:tc>
        <w:tc>
          <w:tcPr>
            <w:tcW w:w="320" w:type="dxa"/>
            <w:vAlign w:val="bottom"/>
          </w:tcPr>
          <w:p>
            <w:pPr>
              <w:spacing w:after="0"/>
              <w:rPr>
                <w:sz w:val="23"/>
                <w:szCs w:val="23"/>
                <w:color w:val="auto"/>
              </w:rPr>
            </w:pPr>
          </w:p>
        </w:tc>
        <w:tc>
          <w:tcPr>
            <w:tcW w:w="92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3"/>
                <w:szCs w:val="23"/>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266,733</w:t>
            </w:r>
          </w:p>
        </w:tc>
      </w:tr>
      <w:tr>
        <w:trPr>
          <w:trHeight w:val="270"/>
        </w:trPr>
        <w:tc>
          <w:tcPr>
            <w:tcW w:w="7780" w:type="dxa"/>
            <w:vAlign w:val="bottom"/>
          </w:tcPr>
          <w:p>
            <w:pPr>
              <w:ind w:left="40"/>
              <w:spacing w:after="0"/>
              <w:rPr>
                <w:sz w:val="20"/>
                <w:szCs w:val="20"/>
                <w:color w:val="auto"/>
              </w:rPr>
            </w:pPr>
            <w:r>
              <w:rPr>
                <w:rFonts w:ascii="Arial" w:cs="Arial" w:eastAsia="Arial" w:hAnsi="Arial"/>
                <w:sz w:val="16"/>
                <w:szCs w:val="16"/>
                <w:color w:val="auto"/>
              </w:rPr>
              <w:t>Net losses on sales or write-down of marketable equity securities</w:t>
            </w:r>
          </w:p>
        </w:tc>
        <w:tc>
          <w:tcPr>
            <w:tcW w:w="260" w:type="dxa"/>
            <w:vAlign w:val="bottom"/>
          </w:tcPr>
          <w:p>
            <w:pPr>
              <w:spacing w:after="0"/>
              <w:rPr>
                <w:sz w:val="23"/>
                <w:szCs w:val="23"/>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b w:val="1"/>
                <w:bCs w:val="1"/>
                <w:color w:val="auto"/>
              </w:rPr>
              <w:t>(1,791)</w:t>
            </w:r>
          </w:p>
        </w:tc>
        <w:tc>
          <w:tcPr>
            <w:tcW w:w="320" w:type="dxa"/>
            <w:vAlign w:val="bottom"/>
          </w:tcPr>
          <w:p>
            <w:pPr>
              <w:spacing w:after="0"/>
              <w:rPr>
                <w:sz w:val="23"/>
                <w:szCs w:val="23"/>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(14)</w:t>
            </w:r>
          </w:p>
        </w:tc>
        <w:tc>
          <w:tcPr>
            <w:tcW w:w="3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(3,044)</w:t>
            </w:r>
          </w:p>
        </w:tc>
      </w:tr>
      <w:tr>
        <w:trPr>
          <w:trHeight w:val="274"/>
        </w:trPr>
        <w:tc>
          <w:tcPr>
            <w:tcW w:w="7780" w:type="dxa"/>
            <w:vAlign w:val="bottom"/>
          </w:tcPr>
          <w:p>
            <w:pPr>
              <w:ind w:left="40"/>
              <w:spacing w:after="0"/>
              <w:rPr>
                <w:sz w:val="20"/>
                <w:szCs w:val="20"/>
                <w:color w:val="auto"/>
              </w:rPr>
            </w:pPr>
            <w:r>
              <w:rPr>
                <w:rFonts w:ascii="Arial" w:cs="Arial" w:eastAsia="Arial" w:hAnsi="Arial"/>
                <w:sz w:val="16"/>
                <w:szCs w:val="16"/>
                <w:color w:val="auto"/>
              </w:rPr>
              <w:t>Other, net</w:t>
            </w:r>
          </w:p>
        </w:tc>
        <w:tc>
          <w:tcPr>
            <w:tcW w:w="26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1,375</w:t>
            </w:r>
          </w:p>
        </w:tc>
        <w:tc>
          <w:tcPr>
            <w:tcW w:w="32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(764)</w:t>
            </w:r>
          </w:p>
        </w:tc>
        <w:tc>
          <w:tcPr>
            <w:tcW w:w="36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1,321</w:t>
            </w:r>
          </w:p>
        </w:tc>
      </w:tr>
      <w:tr>
        <w:trPr>
          <w:trHeight w:val="267"/>
        </w:trPr>
        <w:tc>
          <w:tcPr>
            <w:tcW w:w="7780" w:type="dxa"/>
            <w:vAlign w:val="bottom"/>
          </w:tcPr>
          <w:p>
            <w:pPr>
              <w:ind w:left="40"/>
              <w:spacing w:after="0"/>
              <w:rPr>
                <w:sz w:val="20"/>
                <w:szCs w:val="20"/>
                <w:color w:val="auto"/>
              </w:rPr>
            </w:pPr>
            <w:r>
              <w:rPr>
                <w:rFonts w:ascii="Arial" w:cs="Arial" w:eastAsia="Arial" w:hAnsi="Arial"/>
                <w:sz w:val="16"/>
                <w:szCs w:val="16"/>
                <w:b w:val="1"/>
                <w:bCs w:val="1"/>
                <w:color w:val="auto"/>
              </w:rPr>
              <w:t>Total Other Non-Operating (Expense) Income</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(12,642)</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(8,623)</w:t>
            </w:r>
          </w:p>
        </w:tc>
        <w:tc>
          <w:tcPr>
            <w:tcW w:w="3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778,010</w:t>
            </w:r>
          </w:p>
        </w:tc>
      </w:tr>
      <w:tr>
        <w:trPr>
          <w:trHeight w:val="20"/>
        </w:trPr>
        <w:tc>
          <w:tcPr>
            <w:tcW w:w="77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126" w:lineRule="exact"/>
        <w:rPr>
          <w:sz w:val="20"/>
          <w:szCs w:val="20"/>
          <w:color w:val="auto"/>
        </w:rPr>
      </w:pPr>
    </w:p>
    <w:p>
      <w:pPr>
        <w:ind w:right="680"/>
        <w:spacing w:after="0" w:line="260" w:lineRule="auto"/>
        <w:rPr>
          <w:sz w:val="20"/>
          <w:szCs w:val="20"/>
          <w:color w:val="auto"/>
        </w:rPr>
      </w:pPr>
      <w:r>
        <w:rPr>
          <w:rFonts w:ascii="Arial" w:cs="Arial" w:eastAsia="Arial" w:hAnsi="Arial"/>
          <w:sz w:val="18"/>
          <w:szCs w:val="18"/>
          <w:color w:val="auto"/>
        </w:rPr>
        <w:t>In the third quarter of 2016, the Company recorded an impairment of $15.0 million to the preferred equity interest in a vocational school company. In the fourth quarter of 2016, an additional $12.0 million impairment was recorded.</w:t>
      </w:r>
    </w:p>
    <w:p>
      <w:pPr>
        <w:spacing w:after="0" w:line="92" w:lineRule="exact"/>
        <w:rPr>
          <w:sz w:val="20"/>
          <w:szCs w:val="20"/>
          <w:color w:val="auto"/>
        </w:rPr>
      </w:pPr>
    </w:p>
    <w:p>
      <w:pPr>
        <w:ind w:right="540"/>
        <w:spacing w:after="0" w:line="260" w:lineRule="auto"/>
        <w:rPr>
          <w:sz w:val="20"/>
          <w:szCs w:val="20"/>
          <w:color w:val="auto"/>
        </w:rPr>
      </w:pPr>
      <w:r>
        <w:rPr>
          <w:rFonts w:ascii="Arial" w:cs="Arial" w:eastAsia="Arial" w:hAnsi="Arial"/>
          <w:sz w:val="18"/>
          <w:szCs w:val="18"/>
          <w:color w:val="auto"/>
        </w:rPr>
        <w:t>In the second quarter of 2016, the Company sold the remaining portion of the Robinson Terminal real estate retained from the sale of the Publishing Subsidiaries, for a gain of $34.1 million.</w:t>
      </w:r>
    </w:p>
    <w:p>
      <w:pPr>
        <w:spacing w:after="0" w:line="92" w:lineRule="exact"/>
        <w:rPr>
          <w:sz w:val="20"/>
          <w:szCs w:val="20"/>
          <w:color w:val="auto"/>
        </w:rPr>
      </w:pPr>
    </w:p>
    <w:p>
      <w:pPr>
        <w:ind w:right="60"/>
        <w:spacing w:after="0" w:line="234" w:lineRule="auto"/>
        <w:rPr>
          <w:sz w:val="20"/>
          <w:szCs w:val="20"/>
          <w:color w:val="auto"/>
        </w:rPr>
      </w:pPr>
      <w:r>
        <w:rPr>
          <w:rFonts w:ascii="Arial" w:cs="Arial" w:eastAsia="Arial" w:hAnsi="Arial"/>
          <w:sz w:val="18"/>
          <w:szCs w:val="18"/>
          <w:color w:val="auto"/>
        </w:rPr>
        <w:t>In June 2016, Residential contributed assets to a joint venture entered into with a Michigan hospital in exchange for a 40% equity interest and other assets, resulting in a $3.2 million gain (see Note 7). The Company used an income and market approach to value the equity interest. The measurement of the equity interest in the joint venture is classified as a Level 3 fair value assessment due to the significance of unobservable inputs developed in the determination of the fair value.</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In the first quarter of 2016, Kaplan sold Colloquy, which was part of Kaplan corporate and other, for a gain of $18.9 million.</w:t>
      </w:r>
    </w:p>
    <w:p>
      <w:pPr>
        <w:spacing w:after="0" w:line="144" w:lineRule="exact"/>
        <w:rPr>
          <w:sz w:val="20"/>
          <w:szCs w:val="20"/>
          <w:color w:val="auto"/>
        </w:rPr>
      </w:pPr>
    </w:p>
    <w:p>
      <w:pPr>
        <w:ind w:right="640"/>
        <w:spacing w:after="0" w:line="260" w:lineRule="auto"/>
        <w:rPr>
          <w:sz w:val="20"/>
          <w:szCs w:val="20"/>
          <w:color w:val="auto"/>
        </w:rPr>
      </w:pPr>
      <w:r>
        <w:rPr>
          <w:rFonts w:ascii="Arial" w:cs="Arial" w:eastAsia="Arial" w:hAnsi="Arial"/>
          <w:sz w:val="18"/>
          <w:szCs w:val="18"/>
          <w:color w:val="auto"/>
        </w:rPr>
        <w:t>In the fourth quarter of 2015, the Company sold a portion of the Robinson Terminal real estate remaining from the sale of the Publishing Subsidiaries, for a gain of $21.4 million.</w:t>
      </w:r>
    </w:p>
    <w:p>
      <w:pPr>
        <w:spacing w:after="0" w:line="92" w:lineRule="exact"/>
        <w:rPr>
          <w:sz w:val="20"/>
          <w:szCs w:val="20"/>
          <w:color w:val="auto"/>
        </w:rPr>
      </w:pPr>
    </w:p>
    <w:p>
      <w:pPr>
        <w:ind w:right="80"/>
        <w:spacing w:after="0" w:line="260" w:lineRule="auto"/>
        <w:rPr>
          <w:sz w:val="20"/>
          <w:szCs w:val="20"/>
          <w:color w:val="auto"/>
        </w:rPr>
      </w:pPr>
      <w:r>
        <w:rPr>
          <w:rFonts w:ascii="Arial" w:cs="Arial" w:eastAsia="Arial" w:hAnsi="Arial"/>
          <w:sz w:val="18"/>
          <w:szCs w:val="18"/>
          <w:color w:val="auto"/>
        </w:rPr>
        <w:t>In the third quarter of 2015, Kaplan sold the KHE Campuses business, and Franklyn Scholar, which was part of Kaplan International, for a total loss of $26.3 million.</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color w:val="auto"/>
        </w:rPr>
        <w:t>In the second quarter of 2015, the Company sold The Root and Kaplan sold two small businesses for a total gain of $2.9 million.</w:t>
      </w:r>
    </w:p>
    <w:p>
      <w:pPr>
        <w:spacing w:after="0" w:line="144" w:lineRule="exact"/>
        <w:rPr>
          <w:sz w:val="20"/>
          <w:szCs w:val="20"/>
          <w:color w:val="auto"/>
        </w:rPr>
      </w:pPr>
    </w:p>
    <w:p>
      <w:pPr>
        <w:ind w:right="200"/>
        <w:spacing w:after="0" w:line="234" w:lineRule="auto"/>
        <w:rPr>
          <w:sz w:val="20"/>
          <w:szCs w:val="20"/>
          <w:color w:val="auto"/>
        </w:rPr>
      </w:pPr>
      <w:r>
        <w:rPr>
          <w:rFonts w:ascii="Arial" w:cs="Arial" w:eastAsia="Arial" w:hAnsi="Arial"/>
          <w:sz w:val="18"/>
          <w:szCs w:val="18"/>
          <w:color w:val="auto"/>
        </w:rPr>
        <w:t>In the second quarter of 2015, the Company benefited from a favorable $4.8 million out of period adjustment to the gain on the sale of Classified Ventures related to the fourth quarter of 2014. With respect to this error, the Company has concluded that it was not material to the Company’s financial position or results of operations for 2015 and 2014 and the related interim periods, based on its consideration of quantitative and qualitative factors.</w:t>
      </w:r>
    </w:p>
    <w:p>
      <w:pPr>
        <w:spacing w:after="0" w:line="111" w:lineRule="exact"/>
        <w:rPr>
          <w:sz w:val="20"/>
          <w:szCs w:val="20"/>
          <w:color w:val="auto"/>
        </w:rPr>
      </w:pPr>
    </w:p>
    <w:p>
      <w:pPr>
        <w:ind w:right="160"/>
        <w:spacing w:after="0" w:line="234" w:lineRule="auto"/>
        <w:rPr>
          <w:sz w:val="20"/>
          <w:szCs w:val="20"/>
          <w:color w:val="auto"/>
        </w:rPr>
      </w:pPr>
      <w:r>
        <w:rPr>
          <w:rFonts w:ascii="Arial" w:cs="Arial" w:eastAsia="Arial" w:hAnsi="Arial"/>
          <w:sz w:val="18"/>
          <w:szCs w:val="18"/>
          <w:color w:val="auto"/>
        </w:rPr>
        <w:t>In January 2015, Celtic contributed assets to a joint venture entered into with AHN in exchange for a 40% equity interest, resulting in the Company recording a $6.0 million gain (see Note 7). The Company used an income and market approach to value the equity interest. The measurement of the equity interest in the joint venture is classified as a Level 3 fair value assessment due to the significance of unobservable inputs developed in the determination of the fair value.</w:t>
      </w:r>
    </w:p>
    <w:p>
      <w:pPr>
        <w:spacing w:after="0" w:line="111" w:lineRule="exact"/>
        <w:rPr>
          <w:sz w:val="20"/>
          <w:szCs w:val="20"/>
          <w:color w:val="auto"/>
        </w:rPr>
      </w:pPr>
    </w:p>
    <w:p>
      <w:pPr>
        <w:jc w:val="both"/>
        <w:ind w:right="180"/>
        <w:spacing w:after="0"/>
        <w:rPr>
          <w:sz w:val="20"/>
          <w:szCs w:val="20"/>
          <w:color w:val="auto"/>
        </w:rPr>
      </w:pPr>
      <w:r>
        <w:rPr>
          <w:rFonts w:ascii="Arial" w:cs="Arial" w:eastAsia="Arial" w:hAnsi="Arial"/>
          <w:sz w:val="18"/>
          <w:szCs w:val="18"/>
          <w:color w:val="auto"/>
        </w:rPr>
        <w:t>On October 1, 2014, the Company and the remaining partners completed the sale of their entire stakes in Classified Ventures. Total proceeds to the Company, net of transaction costs, were $408.5 million, of which $16.5 million was held in escrow until October 1, 2015. The Company recorded a pre-tax gain of $396.6 million on the sale of its interest in Classified Ventures in the fourth quarter of 2014.</w:t>
      </w:r>
    </w:p>
    <w:p>
      <w:pPr>
        <w:spacing w:after="0" w:line="108" w:lineRule="exact"/>
        <w:rPr>
          <w:sz w:val="20"/>
          <w:szCs w:val="20"/>
          <w:color w:val="auto"/>
        </w:rPr>
      </w:pPr>
    </w:p>
    <w:p>
      <w:pPr>
        <w:ind w:right="480"/>
        <w:spacing w:after="0" w:line="260" w:lineRule="auto"/>
        <w:rPr>
          <w:sz w:val="20"/>
          <w:szCs w:val="20"/>
          <w:color w:val="auto"/>
        </w:rPr>
      </w:pPr>
      <w:r>
        <w:rPr>
          <w:rFonts w:ascii="Arial" w:cs="Arial" w:eastAsia="Arial" w:hAnsi="Arial"/>
          <w:sz w:val="18"/>
          <w:szCs w:val="18"/>
          <w:color w:val="auto"/>
        </w:rPr>
        <w:t>On June 30, 2014, the Company completed a transaction with Berkshire Hathaway, as described in Note 7, that included the exchange of 2,107 Class A Berkshire shares and 1,278 Class B Berkshire shares owned by the Company; a $266.7 million gain was recorded.</w:t>
      </w:r>
    </w:p>
    <w:p>
      <w:pPr>
        <w:spacing w:after="0" w:line="92" w:lineRule="exact"/>
        <w:rPr>
          <w:sz w:val="20"/>
          <w:szCs w:val="20"/>
          <w:color w:val="auto"/>
        </w:rPr>
      </w:pPr>
    </w:p>
    <w:p>
      <w:pPr>
        <w:ind w:right="260"/>
        <w:spacing w:after="0" w:line="260" w:lineRule="auto"/>
        <w:rPr>
          <w:sz w:val="20"/>
          <w:szCs w:val="20"/>
          <w:color w:val="auto"/>
        </w:rPr>
      </w:pPr>
      <w:r>
        <w:rPr>
          <w:rFonts w:ascii="Arial" w:cs="Arial" w:eastAsia="Arial" w:hAnsi="Arial"/>
          <w:sz w:val="18"/>
          <w:szCs w:val="18"/>
          <w:color w:val="auto"/>
        </w:rPr>
        <w:t>On March 27, 2014, the Company completed the sale of its headquarters building for $158 million. In connection with the sale, the Company recorded a $127.7 million pre-tax gain.</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420"/>
          </w:cols>
          <w:pgMar w:left="240" w:top="722" w:right="239" w:bottom="1440" w:gutter="0" w:footer="0" w:header="0"/>
        </w:sectPr>
      </w:pPr>
    </w:p>
    <w:bookmarkStart w:id="104" w:name="page105"/>
    <w:bookmarkEnd w:id="104"/>
    <w:p>
      <w:pPr>
        <w:ind w:left="500" w:hanging="492"/>
        <w:spacing w:after="0"/>
        <w:tabs>
          <w:tab w:leader="none" w:pos="500" w:val="left"/>
        </w:tabs>
        <w:numPr>
          <w:ilvl w:val="0"/>
          <w:numId w:val="75"/>
        </w:numPr>
        <w:rPr>
          <w:rFonts w:ascii="Arial" w:cs="Arial" w:eastAsia="Arial" w:hAnsi="Arial"/>
          <w:sz w:val="18"/>
          <w:szCs w:val="18"/>
          <w:b w:val="1"/>
          <w:bCs w:val="1"/>
          <w:color w:val="auto"/>
        </w:rPr>
      </w:pPr>
      <w:r>
        <w:rPr>
          <w:rFonts w:ascii="Arial" w:cs="Arial" w:eastAsia="Arial" w:hAnsi="Arial"/>
          <w:sz w:val="18"/>
          <w:szCs w:val="18"/>
          <w:b w:val="1"/>
          <w:bCs w:val="1"/>
          <w:color w:val="auto"/>
        </w:rPr>
        <w:t>ACCUMULATED OTHER COMPREHENSIVE INCOME (LOSS)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The other comprehensive loss consists of the following components: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7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3480" w:type="dxa"/>
            <w:vAlign w:val="bottom"/>
            <w:tcBorders>
              <w:bottom w:val="single" w:sz="8" w:color="auto"/>
            </w:tcBorders>
            <w:gridSpan w:val="5"/>
          </w:tcPr>
          <w:p>
            <w:pPr>
              <w:jc w:val="center"/>
              <w:ind w:right="41"/>
              <w:spacing w:after="0"/>
              <w:rPr>
                <w:sz w:val="20"/>
                <w:szCs w:val="20"/>
                <w:color w:val="auto"/>
              </w:rPr>
            </w:pPr>
            <w:r>
              <w:rPr>
                <w:rFonts w:ascii="Arial" w:cs="Arial" w:eastAsia="Arial" w:hAnsi="Arial"/>
                <w:sz w:val="14"/>
                <w:szCs w:val="14"/>
                <w:b w:val="1"/>
                <w:bCs w:val="1"/>
                <w:color w:val="auto"/>
              </w:rPr>
              <w:t>Year Ended December 31, 2016</w:t>
            </w:r>
          </w:p>
        </w:tc>
        <w:tc>
          <w:tcPr>
            <w:tcW w:w="0" w:type="dxa"/>
            <w:vAlign w:val="bottom"/>
          </w:tcPr>
          <w:p>
            <w:pPr>
              <w:spacing w:after="0"/>
              <w:rPr>
                <w:sz w:val="1"/>
                <w:szCs w:val="1"/>
                <w:color w:val="auto"/>
              </w:rPr>
            </w:pPr>
          </w:p>
        </w:tc>
      </w:tr>
      <w:tr>
        <w:trPr>
          <w:trHeight w:val="263"/>
        </w:trPr>
        <w:tc>
          <w:tcPr>
            <w:tcW w:w="77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40" w:type="dxa"/>
            <w:vAlign w:val="bottom"/>
          </w:tcPr>
          <w:p>
            <w:pPr>
              <w:jc w:val="center"/>
              <w:ind w:right="142"/>
              <w:spacing w:after="0"/>
              <w:rPr>
                <w:sz w:val="20"/>
                <w:szCs w:val="20"/>
                <w:color w:val="auto"/>
              </w:rPr>
            </w:pPr>
            <w:r>
              <w:rPr>
                <w:rFonts w:ascii="Arial" w:cs="Arial" w:eastAsia="Arial" w:hAnsi="Arial"/>
                <w:sz w:val="14"/>
                <w:szCs w:val="14"/>
                <w:b w:val="1"/>
                <w:bCs w:val="1"/>
                <w:color w:val="auto"/>
              </w:rPr>
              <w:t>Before-Tax</w:t>
            </w:r>
          </w:p>
        </w:tc>
        <w:tc>
          <w:tcPr>
            <w:tcW w:w="280" w:type="dxa"/>
            <w:vAlign w:val="bottom"/>
          </w:tcPr>
          <w:p>
            <w:pPr>
              <w:spacing w:after="0"/>
              <w:rPr>
                <w:sz w:val="22"/>
                <w:szCs w:val="22"/>
                <w:color w:val="auto"/>
              </w:rPr>
            </w:pPr>
          </w:p>
        </w:tc>
        <w:tc>
          <w:tcPr>
            <w:tcW w:w="960" w:type="dxa"/>
            <w:vAlign w:val="bottom"/>
          </w:tcPr>
          <w:p>
            <w:pPr>
              <w:jc w:val="center"/>
              <w:ind w:right="181"/>
              <w:spacing w:after="0"/>
              <w:rPr>
                <w:sz w:val="20"/>
                <w:szCs w:val="20"/>
                <w:color w:val="auto"/>
              </w:rPr>
            </w:pPr>
            <w:r>
              <w:rPr>
                <w:rFonts w:ascii="Arial" w:cs="Arial" w:eastAsia="Arial" w:hAnsi="Arial"/>
                <w:sz w:val="14"/>
                <w:szCs w:val="14"/>
                <w:b w:val="1"/>
                <w:bCs w:val="1"/>
                <w:color w:val="auto"/>
              </w:rPr>
              <w:t>Income</w:t>
            </w:r>
          </w:p>
        </w:tc>
        <w:tc>
          <w:tcPr>
            <w:tcW w:w="260" w:type="dxa"/>
            <w:vAlign w:val="bottom"/>
          </w:tcPr>
          <w:p>
            <w:pPr>
              <w:spacing w:after="0"/>
              <w:rPr>
                <w:sz w:val="22"/>
                <w:szCs w:val="22"/>
                <w:color w:val="auto"/>
              </w:rPr>
            </w:pPr>
          </w:p>
        </w:tc>
        <w:tc>
          <w:tcPr>
            <w:tcW w:w="940" w:type="dxa"/>
            <w:vAlign w:val="bottom"/>
          </w:tcPr>
          <w:p>
            <w:pPr>
              <w:jc w:val="center"/>
              <w:ind w:right="121"/>
              <w:spacing w:after="0"/>
              <w:rPr>
                <w:sz w:val="20"/>
                <w:szCs w:val="20"/>
                <w:color w:val="auto"/>
              </w:rPr>
            </w:pPr>
            <w:r>
              <w:rPr>
                <w:rFonts w:ascii="Arial" w:cs="Arial" w:eastAsia="Arial" w:hAnsi="Arial"/>
                <w:sz w:val="14"/>
                <w:szCs w:val="14"/>
                <w:b w:val="1"/>
                <w:bCs w:val="1"/>
                <w:color w:val="auto"/>
              </w:rPr>
              <w:t>After-Tax</w:t>
            </w:r>
          </w:p>
        </w:tc>
        <w:tc>
          <w:tcPr>
            <w:tcW w:w="0" w:type="dxa"/>
            <w:vAlign w:val="bottom"/>
          </w:tcPr>
          <w:p>
            <w:pPr>
              <w:spacing w:after="0"/>
              <w:rPr>
                <w:sz w:val="1"/>
                <w:szCs w:val="1"/>
                <w:color w:val="auto"/>
              </w:rPr>
            </w:pPr>
          </w:p>
        </w:tc>
      </w:tr>
      <w:tr>
        <w:trPr>
          <w:trHeight w:val="268"/>
        </w:trPr>
        <w:tc>
          <w:tcPr>
            <w:tcW w:w="77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6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center"/>
              <w:ind w:right="142"/>
              <w:spacing w:after="0"/>
              <w:rPr>
                <w:sz w:val="20"/>
                <w:szCs w:val="20"/>
                <w:color w:val="auto"/>
              </w:rPr>
            </w:pPr>
            <w:r>
              <w:rPr>
                <w:rFonts w:ascii="Arial" w:cs="Arial" w:eastAsia="Arial" w:hAnsi="Arial"/>
                <w:sz w:val="14"/>
                <w:szCs w:val="14"/>
                <w:b w:val="1"/>
                <w:bCs w:val="1"/>
                <w:color w:val="auto"/>
              </w:rPr>
              <w:t>Amount</w:t>
            </w:r>
          </w:p>
        </w:tc>
        <w:tc>
          <w:tcPr>
            <w:tcW w:w="2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center"/>
              <w:ind w:right="181"/>
              <w:spacing w:after="0"/>
              <w:rPr>
                <w:sz w:val="20"/>
                <w:szCs w:val="20"/>
                <w:color w:val="auto"/>
              </w:rPr>
            </w:pPr>
            <w:r>
              <w:rPr>
                <w:rFonts w:ascii="Arial" w:cs="Arial" w:eastAsia="Arial" w:hAnsi="Arial"/>
                <w:sz w:val="14"/>
                <w:szCs w:val="14"/>
                <w:b w:val="1"/>
                <w:bCs w:val="1"/>
                <w:color w:val="auto"/>
                <w:w w:val="90"/>
              </w:rPr>
              <w:t>Tax</w:t>
            </w:r>
          </w:p>
        </w:tc>
        <w:tc>
          <w:tcPr>
            <w:tcW w:w="26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center"/>
              <w:ind w:right="121"/>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252"/>
        </w:trPr>
        <w:tc>
          <w:tcPr>
            <w:tcW w:w="7780" w:type="dxa"/>
            <w:vAlign w:val="bottom"/>
          </w:tcPr>
          <w:p>
            <w:pPr>
              <w:ind w:left="40"/>
              <w:spacing w:after="0"/>
              <w:rPr>
                <w:sz w:val="20"/>
                <w:szCs w:val="20"/>
                <w:color w:val="auto"/>
              </w:rPr>
            </w:pPr>
            <w:r>
              <w:rPr>
                <w:rFonts w:ascii="Arial" w:cs="Arial" w:eastAsia="Arial" w:hAnsi="Arial"/>
                <w:sz w:val="16"/>
                <w:szCs w:val="16"/>
                <w:color w:val="auto"/>
              </w:rPr>
              <w:t>Foreign currency translation adjustments:</w:t>
            </w:r>
          </w:p>
        </w:tc>
        <w:tc>
          <w:tcPr>
            <w:tcW w:w="1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8"/>
        </w:trPr>
        <w:tc>
          <w:tcPr>
            <w:tcW w:w="7780" w:type="dxa"/>
            <w:vAlign w:val="bottom"/>
          </w:tcPr>
          <w:p>
            <w:pPr>
              <w:ind w:left="180"/>
              <w:spacing w:after="0"/>
              <w:rPr>
                <w:sz w:val="20"/>
                <w:szCs w:val="20"/>
                <w:color w:val="auto"/>
              </w:rPr>
            </w:pPr>
            <w:r>
              <w:rPr>
                <w:rFonts w:ascii="Arial" w:cs="Arial" w:eastAsia="Arial" w:hAnsi="Arial"/>
                <w:sz w:val="16"/>
                <w:szCs w:val="16"/>
                <w:color w:val="auto"/>
              </w:rPr>
              <w:t>Translation adjustments arising during the year</w:t>
            </w: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040" w:type="dxa"/>
            <w:vAlign w:val="bottom"/>
          </w:tcPr>
          <w:p>
            <w:pPr>
              <w:jc w:val="right"/>
              <w:ind w:right="22"/>
              <w:spacing w:after="0"/>
              <w:rPr>
                <w:sz w:val="20"/>
                <w:szCs w:val="20"/>
                <w:color w:val="auto"/>
              </w:rPr>
            </w:pPr>
            <w:r>
              <w:rPr>
                <w:rFonts w:ascii="Arial" w:cs="Arial" w:eastAsia="Arial" w:hAnsi="Arial"/>
                <w:sz w:val="16"/>
                <w:szCs w:val="16"/>
                <w:b w:val="1"/>
                <w:bCs w:val="1"/>
                <w:color w:val="auto"/>
              </w:rPr>
              <w:t>(22,149)</w:t>
            </w:r>
          </w:p>
        </w:tc>
        <w:tc>
          <w:tcPr>
            <w:tcW w:w="28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81"/>
              <w:spacing w:after="0"/>
              <w:rPr>
                <w:sz w:val="20"/>
                <w:szCs w:val="20"/>
                <w:color w:val="auto"/>
              </w:rPr>
            </w:pPr>
            <w:r>
              <w:rPr>
                <w:rFonts w:ascii="Arial" w:cs="Arial" w:eastAsia="Arial" w:hAnsi="Arial"/>
                <w:sz w:val="16"/>
                <w:szCs w:val="16"/>
                <w:b w:val="1"/>
                <w:bCs w:val="1"/>
                <w:color w:val="auto"/>
              </w:rPr>
              <w:t>—</w:t>
            </w:r>
          </w:p>
        </w:tc>
        <w:tc>
          <w:tcPr>
            <w:tcW w:w="2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(22,149)</w:t>
            </w:r>
          </w:p>
        </w:tc>
        <w:tc>
          <w:tcPr>
            <w:tcW w:w="0" w:type="dxa"/>
            <w:vAlign w:val="bottom"/>
          </w:tcPr>
          <w:p>
            <w:pPr>
              <w:spacing w:after="0"/>
              <w:rPr>
                <w:sz w:val="1"/>
                <w:szCs w:val="1"/>
                <w:color w:val="auto"/>
              </w:rPr>
            </w:pPr>
          </w:p>
        </w:tc>
      </w:tr>
      <w:tr>
        <w:trPr>
          <w:trHeight w:val="262"/>
        </w:trPr>
        <w:tc>
          <w:tcPr>
            <w:tcW w:w="7780" w:type="dxa"/>
            <w:vAlign w:val="bottom"/>
          </w:tcPr>
          <w:p>
            <w:pPr>
              <w:ind w:left="40"/>
              <w:spacing w:after="0"/>
              <w:rPr>
                <w:sz w:val="20"/>
                <w:szCs w:val="20"/>
                <w:color w:val="auto"/>
              </w:rPr>
            </w:pPr>
            <w:r>
              <w:rPr>
                <w:rFonts w:ascii="Arial" w:cs="Arial" w:eastAsia="Arial" w:hAnsi="Arial"/>
                <w:sz w:val="16"/>
                <w:szCs w:val="16"/>
                <w:color w:val="auto"/>
              </w:rPr>
              <w:t>Unrealized gains on available-for-sale securities:</w:t>
            </w:r>
          </w:p>
        </w:tc>
        <w:tc>
          <w:tcPr>
            <w:tcW w:w="1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8"/>
        </w:trPr>
        <w:tc>
          <w:tcPr>
            <w:tcW w:w="7780" w:type="dxa"/>
            <w:vAlign w:val="bottom"/>
          </w:tcPr>
          <w:p>
            <w:pPr>
              <w:ind w:left="180"/>
              <w:spacing w:after="0"/>
              <w:rPr>
                <w:sz w:val="20"/>
                <w:szCs w:val="20"/>
                <w:color w:val="auto"/>
              </w:rPr>
            </w:pPr>
            <w:r>
              <w:rPr>
                <w:rFonts w:ascii="Arial" w:cs="Arial" w:eastAsia="Arial" w:hAnsi="Arial"/>
                <w:sz w:val="16"/>
                <w:szCs w:val="16"/>
                <w:color w:val="auto"/>
              </w:rPr>
              <w:t>Unrealized gains for the year</w:t>
            </w:r>
          </w:p>
        </w:tc>
        <w:tc>
          <w:tcPr>
            <w:tcW w:w="160" w:type="dxa"/>
            <w:vAlign w:val="bottom"/>
          </w:tcPr>
          <w:p>
            <w:pPr>
              <w:spacing w:after="0"/>
              <w:rPr>
                <w:sz w:val="24"/>
                <w:szCs w:val="24"/>
                <w:color w:val="auto"/>
              </w:rPr>
            </w:pPr>
          </w:p>
        </w:tc>
        <w:tc>
          <w:tcPr>
            <w:tcW w:w="1040" w:type="dxa"/>
            <w:vAlign w:val="bottom"/>
          </w:tcPr>
          <w:p>
            <w:pPr>
              <w:jc w:val="right"/>
              <w:ind w:right="82"/>
              <w:spacing w:after="0"/>
              <w:rPr>
                <w:sz w:val="20"/>
                <w:szCs w:val="20"/>
                <w:color w:val="auto"/>
              </w:rPr>
            </w:pPr>
            <w:r>
              <w:rPr>
                <w:rFonts w:ascii="Arial" w:cs="Arial" w:eastAsia="Arial" w:hAnsi="Arial"/>
                <w:sz w:val="16"/>
                <w:szCs w:val="16"/>
                <w:b w:val="1"/>
                <w:bCs w:val="1"/>
                <w:color w:val="auto"/>
              </w:rPr>
              <w:t>55,507</w:t>
            </w:r>
          </w:p>
        </w:tc>
        <w:tc>
          <w:tcPr>
            <w:tcW w:w="280" w:type="dxa"/>
            <w:vAlign w:val="bottom"/>
          </w:tcPr>
          <w:p>
            <w:pPr>
              <w:spacing w:after="0"/>
              <w:rPr>
                <w:sz w:val="24"/>
                <w:szCs w:val="24"/>
                <w:color w:val="auto"/>
              </w:rPr>
            </w:pPr>
          </w:p>
        </w:tc>
        <w:tc>
          <w:tcPr>
            <w:tcW w:w="960" w:type="dxa"/>
            <w:vAlign w:val="bottom"/>
          </w:tcPr>
          <w:p>
            <w:pPr>
              <w:jc w:val="right"/>
              <w:ind w:right="21"/>
              <w:spacing w:after="0"/>
              <w:rPr>
                <w:sz w:val="20"/>
                <w:szCs w:val="20"/>
                <w:color w:val="auto"/>
              </w:rPr>
            </w:pPr>
            <w:r>
              <w:rPr>
                <w:rFonts w:ascii="Arial" w:cs="Arial" w:eastAsia="Arial" w:hAnsi="Arial"/>
                <w:sz w:val="16"/>
                <w:szCs w:val="16"/>
                <w:b w:val="1"/>
                <w:bCs w:val="1"/>
                <w:color w:val="auto"/>
              </w:rPr>
              <w:t>(22,203)</w:t>
            </w:r>
          </w:p>
        </w:tc>
        <w:tc>
          <w:tcPr>
            <w:tcW w:w="260" w:type="dxa"/>
            <w:vAlign w:val="bottom"/>
          </w:tcPr>
          <w:p>
            <w:pPr>
              <w:spacing w:after="0"/>
              <w:rPr>
                <w:sz w:val="24"/>
                <w:szCs w:val="24"/>
                <w:color w:val="auto"/>
              </w:rPr>
            </w:pPr>
          </w:p>
        </w:tc>
        <w:tc>
          <w:tcPr>
            <w:tcW w:w="940" w:type="dxa"/>
            <w:vAlign w:val="bottom"/>
          </w:tcPr>
          <w:p>
            <w:pPr>
              <w:jc w:val="right"/>
              <w:ind w:right="21"/>
              <w:spacing w:after="0"/>
              <w:rPr>
                <w:sz w:val="20"/>
                <w:szCs w:val="20"/>
                <w:color w:val="auto"/>
              </w:rPr>
            </w:pPr>
            <w:r>
              <w:rPr>
                <w:rFonts w:ascii="Arial" w:cs="Arial" w:eastAsia="Arial" w:hAnsi="Arial"/>
                <w:sz w:val="16"/>
                <w:szCs w:val="16"/>
                <w:b w:val="1"/>
                <w:bCs w:val="1"/>
                <w:color w:val="auto"/>
              </w:rPr>
              <w:t>33,304</w:t>
            </w:r>
          </w:p>
        </w:tc>
        <w:tc>
          <w:tcPr>
            <w:tcW w:w="0" w:type="dxa"/>
            <w:vAlign w:val="bottom"/>
          </w:tcPr>
          <w:p>
            <w:pPr>
              <w:spacing w:after="0"/>
              <w:rPr>
                <w:sz w:val="1"/>
                <w:szCs w:val="1"/>
                <w:color w:val="auto"/>
              </w:rPr>
            </w:pPr>
          </w:p>
        </w:tc>
      </w:tr>
      <w:tr>
        <w:trPr>
          <w:trHeight w:val="206"/>
        </w:trPr>
        <w:tc>
          <w:tcPr>
            <w:tcW w:w="7780" w:type="dxa"/>
            <w:vAlign w:val="bottom"/>
          </w:tcPr>
          <w:p>
            <w:pPr>
              <w:ind w:left="180"/>
              <w:spacing w:after="0"/>
              <w:rPr>
                <w:sz w:val="20"/>
                <w:szCs w:val="20"/>
                <w:color w:val="auto"/>
              </w:rPr>
            </w:pPr>
            <w:r>
              <w:rPr>
                <w:rFonts w:ascii="Arial" w:cs="Arial" w:eastAsia="Arial" w:hAnsi="Arial"/>
                <w:sz w:val="16"/>
                <w:szCs w:val="16"/>
                <w:color w:val="auto"/>
              </w:rPr>
              <w:t>Reclassification adjustment for net realized loss on sale of available-for-sale securities included in net</w:t>
            </w:r>
          </w:p>
        </w:tc>
        <w:tc>
          <w:tcPr>
            <w:tcW w:w="160" w:type="dxa"/>
            <w:vAlign w:val="bottom"/>
          </w:tcPr>
          <w:p>
            <w:pPr>
              <w:spacing w:after="0"/>
              <w:rPr>
                <w:sz w:val="17"/>
                <w:szCs w:val="17"/>
                <w:color w:val="auto"/>
              </w:rPr>
            </w:pPr>
          </w:p>
        </w:tc>
        <w:tc>
          <w:tcPr>
            <w:tcW w:w="1040" w:type="dxa"/>
            <w:vAlign w:val="bottom"/>
            <w:vMerge w:val="restart"/>
          </w:tcPr>
          <w:p>
            <w:pPr>
              <w:jc w:val="right"/>
              <w:ind w:right="82"/>
              <w:spacing w:after="0"/>
              <w:rPr>
                <w:sz w:val="20"/>
                <w:szCs w:val="20"/>
                <w:color w:val="auto"/>
              </w:rPr>
            </w:pPr>
            <w:r>
              <w:rPr>
                <w:rFonts w:ascii="Arial" w:cs="Arial" w:eastAsia="Arial" w:hAnsi="Arial"/>
                <w:sz w:val="16"/>
                <w:szCs w:val="16"/>
                <w:b w:val="1"/>
                <w:bCs w:val="1"/>
                <w:color w:val="auto"/>
              </w:rPr>
              <w:t>1,879</w:t>
            </w:r>
          </w:p>
        </w:tc>
        <w:tc>
          <w:tcPr>
            <w:tcW w:w="280" w:type="dxa"/>
            <w:vAlign w:val="bottom"/>
          </w:tcPr>
          <w:p>
            <w:pPr>
              <w:spacing w:after="0"/>
              <w:rPr>
                <w:sz w:val="17"/>
                <w:szCs w:val="17"/>
                <w:color w:val="auto"/>
              </w:rPr>
            </w:pPr>
          </w:p>
        </w:tc>
        <w:tc>
          <w:tcPr>
            <w:tcW w:w="960" w:type="dxa"/>
            <w:vAlign w:val="bottom"/>
            <w:vMerge w:val="restart"/>
          </w:tcPr>
          <w:p>
            <w:pPr>
              <w:jc w:val="right"/>
              <w:ind w:right="21"/>
              <w:spacing w:after="0"/>
              <w:rPr>
                <w:sz w:val="20"/>
                <w:szCs w:val="20"/>
                <w:color w:val="auto"/>
              </w:rPr>
            </w:pPr>
            <w:r>
              <w:rPr>
                <w:rFonts w:ascii="Arial" w:cs="Arial" w:eastAsia="Arial" w:hAnsi="Arial"/>
                <w:sz w:val="16"/>
                <w:szCs w:val="16"/>
                <w:b w:val="1"/>
                <w:bCs w:val="1"/>
                <w:color w:val="auto"/>
              </w:rPr>
              <w:t>(752)</w:t>
            </w:r>
          </w:p>
        </w:tc>
        <w:tc>
          <w:tcPr>
            <w:tcW w:w="260" w:type="dxa"/>
            <w:vAlign w:val="bottom"/>
          </w:tcPr>
          <w:p>
            <w:pPr>
              <w:spacing w:after="0"/>
              <w:rPr>
                <w:sz w:val="17"/>
                <w:szCs w:val="17"/>
                <w:color w:val="auto"/>
              </w:rPr>
            </w:pPr>
          </w:p>
        </w:tc>
        <w:tc>
          <w:tcPr>
            <w:tcW w:w="940" w:type="dxa"/>
            <w:vAlign w:val="bottom"/>
            <w:vMerge w:val="restart"/>
          </w:tcPr>
          <w:p>
            <w:pPr>
              <w:jc w:val="right"/>
              <w:ind w:right="21"/>
              <w:spacing w:after="0"/>
              <w:rPr>
                <w:sz w:val="20"/>
                <w:szCs w:val="20"/>
                <w:color w:val="auto"/>
              </w:rPr>
            </w:pPr>
            <w:r>
              <w:rPr>
                <w:rFonts w:ascii="Arial" w:cs="Arial" w:eastAsia="Arial" w:hAnsi="Arial"/>
                <w:sz w:val="16"/>
                <w:szCs w:val="16"/>
                <w:b w:val="1"/>
                <w:bCs w:val="1"/>
                <w:color w:val="auto"/>
              </w:rPr>
              <w:t>1,127</w:t>
            </w:r>
          </w:p>
        </w:tc>
        <w:tc>
          <w:tcPr>
            <w:tcW w:w="0" w:type="dxa"/>
            <w:vAlign w:val="bottom"/>
          </w:tcPr>
          <w:p>
            <w:pPr>
              <w:spacing w:after="0"/>
              <w:rPr>
                <w:sz w:val="1"/>
                <w:szCs w:val="1"/>
                <w:color w:val="auto"/>
              </w:rPr>
            </w:pPr>
          </w:p>
        </w:tc>
      </w:tr>
      <w:tr>
        <w:trPr>
          <w:trHeight w:val="230"/>
        </w:trPr>
        <w:tc>
          <w:tcPr>
            <w:tcW w:w="7780" w:type="dxa"/>
            <w:vAlign w:val="bottom"/>
          </w:tcPr>
          <w:p>
            <w:pPr>
              <w:ind w:left="340"/>
              <w:spacing w:after="0"/>
              <w:rPr>
                <w:sz w:val="20"/>
                <w:szCs w:val="20"/>
                <w:color w:val="auto"/>
              </w:rPr>
            </w:pPr>
            <w:r>
              <w:rPr>
                <w:rFonts w:ascii="Arial" w:cs="Arial" w:eastAsia="Arial" w:hAnsi="Arial"/>
                <w:sz w:val="16"/>
                <w:szCs w:val="16"/>
                <w:color w:val="auto"/>
              </w:rPr>
              <w:t>income</w:t>
            </w:r>
          </w:p>
        </w:tc>
        <w:tc>
          <w:tcPr>
            <w:tcW w:w="1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vMerge w:val="continue"/>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vMerge w:val="continue"/>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61"/>
        </w:trPr>
        <w:tc>
          <w:tcPr>
            <w:tcW w:w="778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b w:val="1"/>
                <w:bCs w:val="1"/>
                <w:color w:val="auto"/>
              </w:rPr>
              <w:t>57,386</w:t>
            </w: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(22,955)</w:t>
            </w:r>
          </w:p>
        </w:tc>
        <w:tc>
          <w:tcPr>
            <w:tcW w:w="2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34,431</w:t>
            </w:r>
          </w:p>
        </w:tc>
        <w:tc>
          <w:tcPr>
            <w:tcW w:w="0" w:type="dxa"/>
            <w:vAlign w:val="bottom"/>
          </w:tcPr>
          <w:p>
            <w:pPr>
              <w:spacing w:after="0"/>
              <w:rPr>
                <w:sz w:val="1"/>
                <w:szCs w:val="1"/>
                <w:color w:val="auto"/>
              </w:rPr>
            </w:pPr>
          </w:p>
        </w:tc>
      </w:tr>
      <w:tr>
        <w:trPr>
          <w:trHeight w:val="255"/>
        </w:trPr>
        <w:tc>
          <w:tcPr>
            <w:tcW w:w="7780" w:type="dxa"/>
            <w:vAlign w:val="bottom"/>
          </w:tcPr>
          <w:p>
            <w:pPr>
              <w:ind w:left="40"/>
              <w:spacing w:after="0"/>
              <w:rPr>
                <w:sz w:val="20"/>
                <w:szCs w:val="20"/>
                <w:color w:val="auto"/>
              </w:rPr>
            </w:pPr>
            <w:r>
              <w:rPr>
                <w:rFonts w:ascii="Arial" w:cs="Arial" w:eastAsia="Arial" w:hAnsi="Arial"/>
                <w:sz w:val="16"/>
                <w:szCs w:val="16"/>
                <w:color w:val="auto"/>
              </w:rPr>
              <w:t>Pension and other postretirement plans:</w:t>
            </w:r>
          </w:p>
        </w:tc>
        <w:tc>
          <w:tcPr>
            <w:tcW w:w="1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8"/>
        </w:trPr>
        <w:tc>
          <w:tcPr>
            <w:tcW w:w="7780" w:type="dxa"/>
            <w:vAlign w:val="bottom"/>
          </w:tcPr>
          <w:p>
            <w:pPr>
              <w:ind w:left="180"/>
              <w:spacing w:after="0"/>
              <w:rPr>
                <w:sz w:val="20"/>
                <w:szCs w:val="20"/>
                <w:color w:val="auto"/>
              </w:rPr>
            </w:pPr>
            <w:r>
              <w:rPr>
                <w:rFonts w:ascii="Arial" w:cs="Arial" w:eastAsia="Arial" w:hAnsi="Arial"/>
                <w:sz w:val="16"/>
                <w:szCs w:val="16"/>
                <w:color w:val="auto"/>
              </w:rPr>
              <w:t>Actuarial loss</w:t>
            </w:r>
          </w:p>
        </w:tc>
        <w:tc>
          <w:tcPr>
            <w:tcW w:w="160" w:type="dxa"/>
            <w:vAlign w:val="bottom"/>
          </w:tcPr>
          <w:p>
            <w:pPr>
              <w:spacing w:after="0"/>
              <w:rPr>
                <w:sz w:val="24"/>
                <w:szCs w:val="24"/>
                <w:color w:val="auto"/>
              </w:rPr>
            </w:pPr>
          </w:p>
        </w:tc>
        <w:tc>
          <w:tcPr>
            <w:tcW w:w="1040" w:type="dxa"/>
            <w:vAlign w:val="bottom"/>
          </w:tcPr>
          <w:p>
            <w:pPr>
              <w:jc w:val="right"/>
              <w:ind w:right="22"/>
              <w:spacing w:after="0"/>
              <w:rPr>
                <w:sz w:val="20"/>
                <w:szCs w:val="20"/>
                <w:color w:val="auto"/>
              </w:rPr>
            </w:pPr>
            <w:r>
              <w:rPr>
                <w:rFonts w:ascii="Arial" w:cs="Arial" w:eastAsia="Arial" w:hAnsi="Arial"/>
                <w:sz w:val="16"/>
                <w:szCs w:val="16"/>
                <w:b w:val="1"/>
                <w:bCs w:val="1"/>
                <w:color w:val="auto"/>
              </w:rPr>
              <w:t>(133,915)</w:t>
            </w:r>
          </w:p>
        </w:tc>
        <w:tc>
          <w:tcPr>
            <w:tcW w:w="280" w:type="dxa"/>
            <w:vAlign w:val="bottom"/>
          </w:tcPr>
          <w:p>
            <w:pPr>
              <w:spacing w:after="0"/>
              <w:rPr>
                <w:sz w:val="24"/>
                <w:szCs w:val="24"/>
                <w:color w:val="auto"/>
              </w:rPr>
            </w:pPr>
          </w:p>
        </w:tc>
        <w:tc>
          <w:tcPr>
            <w:tcW w:w="960" w:type="dxa"/>
            <w:vAlign w:val="bottom"/>
          </w:tcPr>
          <w:p>
            <w:pPr>
              <w:jc w:val="right"/>
              <w:ind w:right="81"/>
              <w:spacing w:after="0"/>
              <w:rPr>
                <w:sz w:val="20"/>
                <w:szCs w:val="20"/>
                <w:color w:val="auto"/>
              </w:rPr>
            </w:pPr>
            <w:r>
              <w:rPr>
                <w:rFonts w:ascii="Arial" w:cs="Arial" w:eastAsia="Arial" w:hAnsi="Arial"/>
                <w:sz w:val="16"/>
                <w:szCs w:val="16"/>
                <w:b w:val="1"/>
                <w:bCs w:val="1"/>
                <w:color w:val="auto"/>
              </w:rPr>
              <w:t>53,566</w:t>
            </w:r>
          </w:p>
        </w:tc>
        <w:tc>
          <w:tcPr>
            <w:tcW w:w="2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(80,349)</w:t>
            </w:r>
          </w:p>
        </w:tc>
        <w:tc>
          <w:tcPr>
            <w:tcW w:w="0" w:type="dxa"/>
            <w:vAlign w:val="bottom"/>
          </w:tcPr>
          <w:p>
            <w:pPr>
              <w:spacing w:after="0"/>
              <w:rPr>
                <w:sz w:val="1"/>
                <w:szCs w:val="1"/>
                <w:color w:val="auto"/>
              </w:rPr>
            </w:pPr>
          </w:p>
        </w:tc>
      </w:tr>
      <w:tr>
        <w:trPr>
          <w:trHeight w:val="270"/>
        </w:trPr>
        <w:tc>
          <w:tcPr>
            <w:tcW w:w="7780" w:type="dxa"/>
            <w:vAlign w:val="bottom"/>
          </w:tcPr>
          <w:p>
            <w:pPr>
              <w:ind w:left="180"/>
              <w:spacing w:after="0"/>
              <w:rPr>
                <w:sz w:val="20"/>
                <w:szCs w:val="20"/>
                <w:color w:val="auto"/>
              </w:rPr>
            </w:pPr>
            <w:r>
              <w:rPr>
                <w:rFonts w:ascii="Arial" w:cs="Arial" w:eastAsia="Arial" w:hAnsi="Arial"/>
                <w:sz w:val="16"/>
                <w:szCs w:val="16"/>
                <w:color w:val="auto"/>
              </w:rPr>
              <w:t>Amortization of net actuarial loss included in net income</w:t>
            </w:r>
          </w:p>
        </w:tc>
        <w:tc>
          <w:tcPr>
            <w:tcW w:w="160" w:type="dxa"/>
            <w:vAlign w:val="bottom"/>
          </w:tcPr>
          <w:p>
            <w:pPr>
              <w:spacing w:after="0"/>
              <w:rPr>
                <w:sz w:val="23"/>
                <w:szCs w:val="23"/>
                <w:color w:val="auto"/>
              </w:rPr>
            </w:pPr>
          </w:p>
        </w:tc>
        <w:tc>
          <w:tcPr>
            <w:tcW w:w="1040" w:type="dxa"/>
            <w:vAlign w:val="bottom"/>
          </w:tcPr>
          <w:p>
            <w:pPr>
              <w:jc w:val="right"/>
              <w:ind w:right="82"/>
              <w:spacing w:after="0"/>
              <w:rPr>
                <w:sz w:val="20"/>
                <w:szCs w:val="20"/>
                <w:color w:val="auto"/>
              </w:rPr>
            </w:pPr>
            <w:r>
              <w:rPr>
                <w:rFonts w:ascii="Arial" w:cs="Arial" w:eastAsia="Arial" w:hAnsi="Arial"/>
                <w:sz w:val="16"/>
                <w:szCs w:val="16"/>
                <w:b w:val="1"/>
                <w:bCs w:val="1"/>
                <w:color w:val="auto"/>
              </w:rPr>
              <w:t>1,157</w:t>
            </w:r>
          </w:p>
        </w:tc>
        <w:tc>
          <w:tcPr>
            <w:tcW w:w="280" w:type="dxa"/>
            <w:vAlign w:val="bottom"/>
          </w:tcPr>
          <w:p>
            <w:pPr>
              <w:spacing w:after="0"/>
              <w:rPr>
                <w:sz w:val="23"/>
                <w:szCs w:val="23"/>
                <w:color w:val="auto"/>
              </w:rPr>
            </w:pPr>
          </w:p>
        </w:tc>
        <w:tc>
          <w:tcPr>
            <w:tcW w:w="960" w:type="dxa"/>
            <w:vAlign w:val="bottom"/>
          </w:tcPr>
          <w:p>
            <w:pPr>
              <w:jc w:val="right"/>
              <w:ind w:right="21"/>
              <w:spacing w:after="0"/>
              <w:rPr>
                <w:sz w:val="20"/>
                <w:szCs w:val="20"/>
                <w:color w:val="auto"/>
              </w:rPr>
            </w:pPr>
            <w:r>
              <w:rPr>
                <w:rFonts w:ascii="Arial" w:cs="Arial" w:eastAsia="Arial" w:hAnsi="Arial"/>
                <w:sz w:val="16"/>
                <w:szCs w:val="16"/>
                <w:b w:val="1"/>
                <w:bCs w:val="1"/>
                <w:color w:val="auto"/>
              </w:rPr>
              <w:t>(463)</w:t>
            </w:r>
          </w:p>
        </w:tc>
        <w:tc>
          <w:tcPr>
            <w:tcW w:w="260" w:type="dxa"/>
            <w:vAlign w:val="bottom"/>
          </w:tcPr>
          <w:p>
            <w:pPr>
              <w:spacing w:after="0"/>
              <w:rPr>
                <w:sz w:val="23"/>
                <w:szCs w:val="23"/>
                <w:color w:val="auto"/>
              </w:rPr>
            </w:pPr>
          </w:p>
        </w:tc>
        <w:tc>
          <w:tcPr>
            <w:tcW w:w="940" w:type="dxa"/>
            <w:vAlign w:val="bottom"/>
          </w:tcPr>
          <w:p>
            <w:pPr>
              <w:jc w:val="right"/>
              <w:ind w:right="21"/>
              <w:spacing w:after="0"/>
              <w:rPr>
                <w:sz w:val="20"/>
                <w:szCs w:val="20"/>
                <w:color w:val="auto"/>
              </w:rPr>
            </w:pPr>
            <w:r>
              <w:rPr>
                <w:rFonts w:ascii="Arial" w:cs="Arial" w:eastAsia="Arial" w:hAnsi="Arial"/>
                <w:sz w:val="16"/>
                <w:szCs w:val="16"/>
                <w:b w:val="1"/>
                <w:bCs w:val="1"/>
                <w:color w:val="auto"/>
              </w:rPr>
              <w:t>694</w:t>
            </w:r>
          </w:p>
        </w:tc>
        <w:tc>
          <w:tcPr>
            <w:tcW w:w="0" w:type="dxa"/>
            <w:vAlign w:val="bottom"/>
          </w:tcPr>
          <w:p>
            <w:pPr>
              <w:spacing w:after="0"/>
              <w:rPr>
                <w:sz w:val="1"/>
                <w:szCs w:val="1"/>
                <w:color w:val="auto"/>
              </w:rPr>
            </w:pPr>
          </w:p>
        </w:tc>
      </w:tr>
      <w:tr>
        <w:trPr>
          <w:trHeight w:val="270"/>
        </w:trPr>
        <w:tc>
          <w:tcPr>
            <w:tcW w:w="7780" w:type="dxa"/>
            <w:vAlign w:val="bottom"/>
          </w:tcPr>
          <w:p>
            <w:pPr>
              <w:ind w:left="180"/>
              <w:spacing w:after="0"/>
              <w:rPr>
                <w:sz w:val="20"/>
                <w:szCs w:val="20"/>
                <w:color w:val="auto"/>
              </w:rPr>
            </w:pPr>
            <w:r>
              <w:rPr>
                <w:rFonts w:ascii="Arial" w:cs="Arial" w:eastAsia="Arial" w:hAnsi="Arial"/>
                <w:sz w:val="16"/>
                <w:szCs w:val="16"/>
                <w:color w:val="auto"/>
              </w:rPr>
              <w:t>Amortization of net prior service cost included in net income</w:t>
            </w:r>
          </w:p>
        </w:tc>
        <w:tc>
          <w:tcPr>
            <w:tcW w:w="160" w:type="dxa"/>
            <w:vAlign w:val="bottom"/>
          </w:tcPr>
          <w:p>
            <w:pPr>
              <w:spacing w:after="0"/>
              <w:rPr>
                <w:sz w:val="23"/>
                <w:szCs w:val="23"/>
                <w:color w:val="auto"/>
              </w:rPr>
            </w:pPr>
          </w:p>
        </w:tc>
        <w:tc>
          <w:tcPr>
            <w:tcW w:w="1040" w:type="dxa"/>
            <w:vAlign w:val="bottom"/>
          </w:tcPr>
          <w:p>
            <w:pPr>
              <w:jc w:val="right"/>
              <w:ind w:right="82"/>
              <w:spacing w:after="0"/>
              <w:rPr>
                <w:sz w:val="20"/>
                <w:szCs w:val="20"/>
                <w:color w:val="auto"/>
              </w:rPr>
            </w:pPr>
            <w:r>
              <w:rPr>
                <w:rFonts w:ascii="Arial" w:cs="Arial" w:eastAsia="Arial" w:hAnsi="Arial"/>
                <w:sz w:val="16"/>
                <w:szCs w:val="16"/>
                <w:b w:val="1"/>
                <w:bCs w:val="1"/>
                <w:color w:val="auto"/>
              </w:rPr>
              <w:t>419</w:t>
            </w:r>
          </w:p>
        </w:tc>
        <w:tc>
          <w:tcPr>
            <w:tcW w:w="280" w:type="dxa"/>
            <w:vAlign w:val="bottom"/>
          </w:tcPr>
          <w:p>
            <w:pPr>
              <w:spacing w:after="0"/>
              <w:rPr>
                <w:sz w:val="23"/>
                <w:szCs w:val="23"/>
                <w:color w:val="auto"/>
              </w:rPr>
            </w:pPr>
          </w:p>
        </w:tc>
        <w:tc>
          <w:tcPr>
            <w:tcW w:w="960" w:type="dxa"/>
            <w:vAlign w:val="bottom"/>
          </w:tcPr>
          <w:p>
            <w:pPr>
              <w:jc w:val="right"/>
              <w:ind w:right="21"/>
              <w:spacing w:after="0"/>
              <w:rPr>
                <w:sz w:val="20"/>
                <w:szCs w:val="20"/>
                <w:color w:val="auto"/>
              </w:rPr>
            </w:pPr>
            <w:r>
              <w:rPr>
                <w:rFonts w:ascii="Arial" w:cs="Arial" w:eastAsia="Arial" w:hAnsi="Arial"/>
                <w:sz w:val="16"/>
                <w:szCs w:val="16"/>
                <w:b w:val="1"/>
                <w:bCs w:val="1"/>
                <w:color w:val="auto"/>
              </w:rPr>
              <w:t>(167)</w:t>
            </w:r>
          </w:p>
        </w:tc>
        <w:tc>
          <w:tcPr>
            <w:tcW w:w="260" w:type="dxa"/>
            <w:vAlign w:val="bottom"/>
          </w:tcPr>
          <w:p>
            <w:pPr>
              <w:spacing w:after="0"/>
              <w:rPr>
                <w:sz w:val="23"/>
                <w:szCs w:val="23"/>
                <w:color w:val="auto"/>
              </w:rPr>
            </w:pPr>
          </w:p>
        </w:tc>
        <w:tc>
          <w:tcPr>
            <w:tcW w:w="940" w:type="dxa"/>
            <w:vAlign w:val="bottom"/>
          </w:tcPr>
          <w:p>
            <w:pPr>
              <w:jc w:val="right"/>
              <w:ind w:right="21"/>
              <w:spacing w:after="0"/>
              <w:rPr>
                <w:sz w:val="20"/>
                <w:szCs w:val="20"/>
                <w:color w:val="auto"/>
              </w:rPr>
            </w:pPr>
            <w:r>
              <w:rPr>
                <w:rFonts w:ascii="Arial" w:cs="Arial" w:eastAsia="Arial" w:hAnsi="Arial"/>
                <w:sz w:val="16"/>
                <w:szCs w:val="16"/>
                <w:b w:val="1"/>
                <w:bCs w:val="1"/>
                <w:color w:val="auto"/>
              </w:rPr>
              <w:t>252</w:t>
            </w:r>
          </w:p>
        </w:tc>
        <w:tc>
          <w:tcPr>
            <w:tcW w:w="0" w:type="dxa"/>
            <w:vAlign w:val="bottom"/>
          </w:tcPr>
          <w:p>
            <w:pPr>
              <w:spacing w:after="0"/>
              <w:rPr>
                <w:sz w:val="1"/>
                <w:szCs w:val="1"/>
                <w:color w:val="auto"/>
              </w:rPr>
            </w:pPr>
          </w:p>
        </w:tc>
      </w:tr>
      <w:tr>
        <w:trPr>
          <w:trHeight w:val="274"/>
        </w:trPr>
        <w:tc>
          <w:tcPr>
            <w:tcW w:w="7780" w:type="dxa"/>
            <w:vAlign w:val="bottom"/>
          </w:tcPr>
          <w:p>
            <w:pPr>
              <w:ind w:left="180"/>
              <w:spacing w:after="0"/>
              <w:rPr>
                <w:sz w:val="20"/>
                <w:szCs w:val="20"/>
                <w:color w:val="auto"/>
              </w:rPr>
            </w:pPr>
            <w:r>
              <w:rPr>
                <w:rFonts w:ascii="Arial" w:cs="Arial" w:eastAsia="Arial" w:hAnsi="Arial"/>
                <w:sz w:val="16"/>
                <w:szCs w:val="16"/>
                <w:color w:val="auto"/>
              </w:rPr>
              <w:t>Curtailments and settlements included in net income</w:t>
            </w:r>
          </w:p>
        </w:tc>
        <w:tc>
          <w:tcPr>
            <w:tcW w:w="16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b w:val="1"/>
                <w:bCs w:val="1"/>
                <w:color w:val="auto"/>
              </w:rPr>
              <w:t>(17,993)</w:t>
            </w:r>
          </w:p>
        </w:tc>
        <w:tc>
          <w:tcPr>
            <w:tcW w:w="2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rPr>
              <w:t>7,197</w:t>
            </w:r>
          </w:p>
        </w:tc>
        <w:tc>
          <w:tcPr>
            <w:tcW w:w="26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(10,796)</w:t>
            </w:r>
          </w:p>
        </w:tc>
        <w:tc>
          <w:tcPr>
            <w:tcW w:w="0" w:type="dxa"/>
            <w:vAlign w:val="bottom"/>
          </w:tcPr>
          <w:p>
            <w:pPr>
              <w:spacing w:after="0"/>
              <w:rPr>
                <w:sz w:val="1"/>
                <w:szCs w:val="1"/>
                <w:color w:val="auto"/>
              </w:rPr>
            </w:pPr>
          </w:p>
        </w:tc>
      </w:tr>
      <w:tr>
        <w:trPr>
          <w:trHeight w:val="261"/>
        </w:trPr>
        <w:tc>
          <w:tcPr>
            <w:tcW w:w="778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b w:val="1"/>
                <w:bCs w:val="1"/>
                <w:color w:val="auto"/>
              </w:rPr>
              <w:t>(150,332)</w:t>
            </w: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rPr>
              <w:t>60,133</w:t>
            </w:r>
          </w:p>
        </w:tc>
        <w:tc>
          <w:tcPr>
            <w:tcW w:w="2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(90,199)</w:t>
            </w:r>
          </w:p>
        </w:tc>
        <w:tc>
          <w:tcPr>
            <w:tcW w:w="0" w:type="dxa"/>
            <w:vAlign w:val="bottom"/>
          </w:tcPr>
          <w:p>
            <w:pPr>
              <w:spacing w:after="0"/>
              <w:rPr>
                <w:sz w:val="1"/>
                <w:szCs w:val="1"/>
                <w:color w:val="auto"/>
              </w:rPr>
            </w:pPr>
          </w:p>
        </w:tc>
      </w:tr>
      <w:tr>
        <w:trPr>
          <w:trHeight w:val="255"/>
        </w:trPr>
        <w:tc>
          <w:tcPr>
            <w:tcW w:w="7780" w:type="dxa"/>
            <w:vAlign w:val="bottom"/>
          </w:tcPr>
          <w:p>
            <w:pPr>
              <w:ind w:left="40"/>
              <w:spacing w:after="0"/>
              <w:rPr>
                <w:sz w:val="20"/>
                <w:szCs w:val="20"/>
                <w:color w:val="auto"/>
              </w:rPr>
            </w:pPr>
            <w:r>
              <w:rPr>
                <w:rFonts w:ascii="Arial" w:cs="Arial" w:eastAsia="Arial" w:hAnsi="Arial"/>
                <w:sz w:val="16"/>
                <w:szCs w:val="16"/>
                <w:color w:val="auto"/>
              </w:rPr>
              <w:t>Cash flow hedge:</w:t>
            </w:r>
          </w:p>
        </w:tc>
        <w:tc>
          <w:tcPr>
            <w:tcW w:w="1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2"/>
        </w:trPr>
        <w:tc>
          <w:tcPr>
            <w:tcW w:w="7780" w:type="dxa"/>
            <w:vAlign w:val="bottom"/>
          </w:tcPr>
          <w:p>
            <w:pPr>
              <w:ind w:left="180"/>
              <w:spacing w:after="0"/>
              <w:rPr>
                <w:sz w:val="20"/>
                <w:szCs w:val="20"/>
                <w:color w:val="auto"/>
              </w:rPr>
            </w:pPr>
            <w:r>
              <w:rPr>
                <w:rFonts w:ascii="Arial" w:cs="Arial" w:eastAsia="Arial" w:hAnsi="Arial"/>
                <w:sz w:val="16"/>
                <w:szCs w:val="16"/>
                <w:color w:val="auto"/>
              </w:rPr>
              <w:t>Loss for the year</w:t>
            </w:r>
          </w:p>
        </w:tc>
        <w:tc>
          <w:tcPr>
            <w:tcW w:w="1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b w:val="1"/>
                <w:bCs w:val="1"/>
                <w:color w:val="auto"/>
              </w:rPr>
              <w:t>(334)</w:t>
            </w: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rPr>
              <w:t>57</w:t>
            </w: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(277)</w:t>
            </w:r>
          </w:p>
        </w:tc>
        <w:tc>
          <w:tcPr>
            <w:tcW w:w="0" w:type="dxa"/>
            <w:vAlign w:val="bottom"/>
          </w:tcPr>
          <w:p>
            <w:pPr>
              <w:spacing w:after="0"/>
              <w:rPr>
                <w:sz w:val="1"/>
                <w:szCs w:val="1"/>
                <w:color w:val="auto"/>
              </w:rPr>
            </w:pPr>
          </w:p>
        </w:tc>
      </w:tr>
      <w:tr>
        <w:trPr>
          <w:trHeight w:val="267"/>
        </w:trPr>
        <w:tc>
          <w:tcPr>
            <w:tcW w:w="7780" w:type="dxa"/>
            <w:vAlign w:val="bottom"/>
          </w:tcPr>
          <w:p>
            <w:pPr>
              <w:ind w:left="40"/>
              <w:spacing w:after="0"/>
              <w:rPr>
                <w:sz w:val="20"/>
                <w:szCs w:val="20"/>
                <w:color w:val="auto"/>
              </w:rPr>
            </w:pPr>
            <w:r>
              <w:rPr>
                <w:rFonts w:ascii="Arial" w:cs="Arial" w:eastAsia="Arial" w:hAnsi="Arial"/>
                <w:sz w:val="16"/>
                <w:szCs w:val="16"/>
                <w:b w:val="1"/>
                <w:bCs w:val="1"/>
                <w:color w:val="auto"/>
              </w:rPr>
              <w:t>Other Comprehensive Loss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04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b w:val="1"/>
                <w:bCs w:val="1"/>
                <w:color w:val="auto"/>
              </w:rPr>
              <w:t>(115,429)</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rPr>
              <w:t>37,235</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(78,194)</w:t>
            </w:r>
          </w:p>
        </w:tc>
        <w:tc>
          <w:tcPr>
            <w:tcW w:w="0" w:type="dxa"/>
            <w:vAlign w:val="bottom"/>
          </w:tcPr>
          <w:p>
            <w:pPr>
              <w:spacing w:after="0"/>
              <w:rPr>
                <w:sz w:val="1"/>
                <w:szCs w:val="1"/>
                <w:color w:val="auto"/>
              </w:rPr>
            </w:pPr>
          </w:p>
        </w:tc>
      </w:tr>
      <w:tr>
        <w:trPr>
          <w:trHeight w:val="20"/>
        </w:trPr>
        <w:tc>
          <w:tcPr>
            <w:tcW w:w="77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480" w:type="dxa"/>
            <w:vAlign w:val="bottom"/>
            <w:tcBorders>
              <w:bottom w:val="single" w:sz="8" w:color="auto"/>
            </w:tcBorders>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4"/>
        </w:trPr>
        <w:tc>
          <w:tcPr>
            <w:tcW w:w="77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480" w:type="dxa"/>
            <w:vAlign w:val="bottom"/>
            <w:tcBorders>
              <w:bottom w:val="single" w:sz="8" w:color="auto"/>
            </w:tcBorders>
            <w:gridSpan w:val="5"/>
          </w:tcPr>
          <w:p>
            <w:pPr>
              <w:jc w:val="center"/>
              <w:ind w:right="61"/>
              <w:spacing w:after="0"/>
              <w:rPr>
                <w:sz w:val="20"/>
                <w:szCs w:val="20"/>
                <w:color w:val="auto"/>
              </w:rPr>
            </w:pPr>
            <w:r>
              <w:rPr>
                <w:rFonts w:ascii="Arial" w:cs="Arial" w:eastAsia="Arial" w:hAnsi="Arial"/>
                <w:sz w:val="14"/>
                <w:szCs w:val="14"/>
                <w:color w:val="auto"/>
              </w:rPr>
              <w:t>Year Ended December 31, 2015</w:t>
            </w:r>
          </w:p>
        </w:tc>
        <w:tc>
          <w:tcPr>
            <w:tcW w:w="0" w:type="dxa"/>
            <w:vAlign w:val="bottom"/>
          </w:tcPr>
          <w:p>
            <w:pPr>
              <w:spacing w:after="0"/>
              <w:rPr>
                <w:sz w:val="1"/>
                <w:szCs w:val="1"/>
                <w:color w:val="auto"/>
              </w:rPr>
            </w:pPr>
          </w:p>
        </w:tc>
      </w:tr>
      <w:tr>
        <w:trPr>
          <w:trHeight w:val="260"/>
        </w:trPr>
        <w:tc>
          <w:tcPr>
            <w:tcW w:w="77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40" w:type="dxa"/>
            <w:vAlign w:val="bottom"/>
          </w:tcPr>
          <w:p>
            <w:pPr>
              <w:jc w:val="center"/>
              <w:ind w:right="142"/>
              <w:spacing w:after="0"/>
              <w:rPr>
                <w:sz w:val="20"/>
                <w:szCs w:val="20"/>
                <w:color w:val="auto"/>
              </w:rPr>
            </w:pPr>
            <w:r>
              <w:rPr>
                <w:rFonts w:ascii="Arial" w:cs="Arial" w:eastAsia="Arial" w:hAnsi="Arial"/>
                <w:sz w:val="14"/>
                <w:szCs w:val="14"/>
                <w:color w:val="auto"/>
              </w:rPr>
              <w:t>Before-Tax</w:t>
            </w:r>
          </w:p>
        </w:tc>
        <w:tc>
          <w:tcPr>
            <w:tcW w:w="280" w:type="dxa"/>
            <w:vAlign w:val="bottom"/>
          </w:tcPr>
          <w:p>
            <w:pPr>
              <w:spacing w:after="0"/>
              <w:rPr>
                <w:sz w:val="22"/>
                <w:szCs w:val="22"/>
                <w:color w:val="auto"/>
              </w:rPr>
            </w:pPr>
          </w:p>
        </w:tc>
        <w:tc>
          <w:tcPr>
            <w:tcW w:w="960" w:type="dxa"/>
            <w:vAlign w:val="bottom"/>
          </w:tcPr>
          <w:p>
            <w:pPr>
              <w:jc w:val="center"/>
              <w:ind w:right="181"/>
              <w:spacing w:after="0"/>
              <w:rPr>
                <w:sz w:val="20"/>
                <w:szCs w:val="20"/>
                <w:color w:val="auto"/>
              </w:rPr>
            </w:pPr>
            <w:r>
              <w:rPr>
                <w:rFonts w:ascii="Arial" w:cs="Arial" w:eastAsia="Arial" w:hAnsi="Arial"/>
                <w:sz w:val="14"/>
                <w:szCs w:val="14"/>
                <w:color w:val="auto"/>
              </w:rPr>
              <w:t>Income</w:t>
            </w:r>
          </w:p>
        </w:tc>
        <w:tc>
          <w:tcPr>
            <w:tcW w:w="260" w:type="dxa"/>
            <w:vAlign w:val="bottom"/>
          </w:tcPr>
          <w:p>
            <w:pPr>
              <w:spacing w:after="0"/>
              <w:rPr>
                <w:sz w:val="22"/>
                <w:szCs w:val="22"/>
                <w:color w:val="auto"/>
              </w:rPr>
            </w:pPr>
          </w:p>
        </w:tc>
        <w:tc>
          <w:tcPr>
            <w:tcW w:w="940" w:type="dxa"/>
            <w:vAlign w:val="bottom"/>
          </w:tcPr>
          <w:p>
            <w:pPr>
              <w:jc w:val="center"/>
              <w:ind w:right="121"/>
              <w:spacing w:after="0"/>
              <w:rPr>
                <w:sz w:val="20"/>
                <w:szCs w:val="20"/>
                <w:color w:val="auto"/>
              </w:rPr>
            </w:pPr>
            <w:r>
              <w:rPr>
                <w:rFonts w:ascii="Arial" w:cs="Arial" w:eastAsia="Arial" w:hAnsi="Arial"/>
                <w:sz w:val="14"/>
                <w:szCs w:val="14"/>
                <w:color w:val="auto"/>
              </w:rPr>
              <w:t>After-Tax</w:t>
            </w:r>
          </w:p>
        </w:tc>
        <w:tc>
          <w:tcPr>
            <w:tcW w:w="0" w:type="dxa"/>
            <w:vAlign w:val="bottom"/>
          </w:tcPr>
          <w:p>
            <w:pPr>
              <w:spacing w:after="0"/>
              <w:rPr>
                <w:sz w:val="1"/>
                <w:szCs w:val="1"/>
                <w:color w:val="auto"/>
              </w:rPr>
            </w:pPr>
          </w:p>
        </w:tc>
      </w:tr>
      <w:tr>
        <w:trPr>
          <w:trHeight w:val="216"/>
        </w:trPr>
        <w:tc>
          <w:tcPr>
            <w:tcW w:w="7780" w:type="dxa"/>
            <w:vAlign w:val="bottom"/>
            <w:vMerge w:val="restart"/>
          </w:tcPr>
          <w:p>
            <w:pPr>
              <w:ind w:left="40"/>
              <w:spacing w:after="0"/>
              <w:rPr>
                <w:sz w:val="20"/>
                <w:szCs w:val="20"/>
                <w:color w:val="auto"/>
              </w:rPr>
            </w:pPr>
            <w:r>
              <w:rPr>
                <w:rFonts w:ascii="Arial" w:cs="Arial" w:eastAsia="Arial" w:hAnsi="Arial"/>
                <w:sz w:val="14"/>
                <w:szCs w:val="14"/>
                <w:color w:val="auto"/>
              </w:rPr>
              <w:t>(in thousands)</w:t>
            </w:r>
          </w:p>
        </w:tc>
        <w:tc>
          <w:tcPr>
            <w:tcW w:w="160" w:type="dxa"/>
            <w:vAlign w:val="bottom"/>
          </w:tcPr>
          <w:p>
            <w:pPr>
              <w:spacing w:after="0"/>
              <w:rPr>
                <w:sz w:val="18"/>
                <w:szCs w:val="18"/>
                <w:color w:val="auto"/>
              </w:rPr>
            </w:pPr>
          </w:p>
        </w:tc>
        <w:tc>
          <w:tcPr>
            <w:tcW w:w="1040" w:type="dxa"/>
            <w:vAlign w:val="bottom"/>
          </w:tcPr>
          <w:p>
            <w:pPr>
              <w:jc w:val="center"/>
              <w:ind w:right="142"/>
              <w:spacing w:after="0"/>
              <w:rPr>
                <w:sz w:val="20"/>
                <w:szCs w:val="20"/>
                <w:color w:val="auto"/>
              </w:rPr>
            </w:pPr>
            <w:r>
              <w:rPr>
                <w:rFonts w:ascii="Arial" w:cs="Arial" w:eastAsia="Arial" w:hAnsi="Arial"/>
                <w:sz w:val="14"/>
                <w:szCs w:val="14"/>
                <w:color w:val="auto"/>
              </w:rPr>
              <w:t>Amount</w:t>
            </w:r>
          </w:p>
        </w:tc>
        <w:tc>
          <w:tcPr>
            <w:tcW w:w="280" w:type="dxa"/>
            <w:vAlign w:val="bottom"/>
          </w:tcPr>
          <w:p>
            <w:pPr>
              <w:spacing w:after="0"/>
              <w:rPr>
                <w:sz w:val="18"/>
                <w:szCs w:val="18"/>
                <w:color w:val="auto"/>
              </w:rPr>
            </w:pPr>
          </w:p>
        </w:tc>
        <w:tc>
          <w:tcPr>
            <w:tcW w:w="960" w:type="dxa"/>
            <w:vAlign w:val="bottom"/>
          </w:tcPr>
          <w:p>
            <w:pPr>
              <w:jc w:val="center"/>
              <w:ind w:right="181"/>
              <w:spacing w:after="0"/>
              <w:rPr>
                <w:sz w:val="20"/>
                <w:szCs w:val="20"/>
                <w:color w:val="auto"/>
              </w:rPr>
            </w:pPr>
            <w:r>
              <w:rPr>
                <w:rFonts w:ascii="Arial" w:cs="Arial" w:eastAsia="Arial" w:hAnsi="Arial"/>
                <w:sz w:val="14"/>
                <w:szCs w:val="14"/>
                <w:color w:val="auto"/>
                <w:w w:val="94"/>
              </w:rPr>
              <w:t>Tax</w:t>
            </w:r>
          </w:p>
        </w:tc>
        <w:tc>
          <w:tcPr>
            <w:tcW w:w="260" w:type="dxa"/>
            <w:vAlign w:val="bottom"/>
          </w:tcPr>
          <w:p>
            <w:pPr>
              <w:spacing w:after="0"/>
              <w:rPr>
                <w:sz w:val="18"/>
                <w:szCs w:val="18"/>
                <w:color w:val="auto"/>
              </w:rPr>
            </w:pPr>
          </w:p>
        </w:tc>
        <w:tc>
          <w:tcPr>
            <w:tcW w:w="940" w:type="dxa"/>
            <w:vAlign w:val="bottom"/>
          </w:tcPr>
          <w:p>
            <w:pPr>
              <w:jc w:val="center"/>
              <w:ind w:right="121"/>
              <w:spacing w:after="0"/>
              <w:rPr>
                <w:sz w:val="20"/>
                <w:szCs w:val="20"/>
                <w:color w:val="auto"/>
              </w:rPr>
            </w:pPr>
            <w:r>
              <w:rPr>
                <w:rFonts w:ascii="Arial" w:cs="Arial" w:eastAsia="Arial" w:hAnsi="Arial"/>
                <w:sz w:val="14"/>
                <w:szCs w:val="14"/>
                <w:color w:val="auto"/>
              </w:rPr>
              <w:t>Amount</w:t>
            </w:r>
          </w:p>
        </w:tc>
        <w:tc>
          <w:tcPr>
            <w:tcW w:w="0" w:type="dxa"/>
            <w:vAlign w:val="bottom"/>
          </w:tcPr>
          <w:p>
            <w:pPr>
              <w:spacing w:after="0"/>
              <w:rPr>
                <w:sz w:val="1"/>
                <w:szCs w:val="1"/>
                <w:color w:val="auto"/>
              </w:rPr>
            </w:pPr>
          </w:p>
        </w:tc>
      </w:tr>
      <w:tr>
        <w:trPr>
          <w:trHeight w:val="58"/>
        </w:trPr>
        <w:tc>
          <w:tcPr>
            <w:tcW w:w="7780" w:type="dxa"/>
            <w:vAlign w:val="bottom"/>
            <w:tcBorders>
              <w:bottom w:val="single" w:sz="8" w:color="auto"/>
            </w:tcBorders>
            <w:vMerge w:val="continue"/>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36" w:lineRule="exact"/>
        <w:rPr>
          <w:sz w:val="20"/>
          <w:szCs w:val="20"/>
          <w:color w:val="auto"/>
        </w:rPr>
      </w:pPr>
    </w:p>
    <w:p>
      <w:pPr>
        <w:sectPr>
          <w:pgSz w:w="11900" w:h="16838" w:orient="portrait"/>
          <w:cols w:equalWidth="0" w:num="1">
            <w:col w:w="11420"/>
          </w:cols>
          <w:pgMar w:left="240" w:top="722" w:right="239" w:bottom="1440" w:gutter="0" w:footer="0" w:header="0"/>
        </w:sectPr>
      </w:pPr>
    </w:p>
    <w:p>
      <w:pPr>
        <w:ind w:left="40"/>
        <w:spacing w:after="0"/>
        <w:rPr>
          <w:sz w:val="20"/>
          <w:szCs w:val="20"/>
          <w:color w:val="auto"/>
        </w:rPr>
      </w:pPr>
      <w:r>
        <w:rPr>
          <w:rFonts w:ascii="Arial" w:cs="Arial" w:eastAsia="Arial" w:hAnsi="Arial"/>
          <w:sz w:val="16"/>
          <w:szCs w:val="16"/>
          <w:color w:val="auto"/>
        </w:rPr>
        <w:t>Foreign currency translation adjustments:</w:t>
      </w:r>
    </w:p>
    <w:p>
      <w:pPr>
        <w:spacing w:after="0" w:line="86" w:lineRule="exact"/>
        <w:rPr>
          <w:sz w:val="20"/>
          <w:szCs w:val="20"/>
          <w:color w:val="auto"/>
        </w:rPr>
      </w:pPr>
    </w:p>
    <w:p>
      <w:pPr>
        <w:ind w:left="180" w:right="3400"/>
        <w:spacing w:after="0" w:line="397" w:lineRule="auto"/>
        <w:rPr>
          <w:sz w:val="20"/>
          <w:szCs w:val="20"/>
          <w:color w:val="auto"/>
        </w:rPr>
      </w:pPr>
      <w:r>
        <w:rPr>
          <w:rFonts w:ascii="Arial" w:cs="Arial" w:eastAsia="Arial" w:hAnsi="Arial"/>
          <w:sz w:val="16"/>
          <w:szCs w:val="16"/>
          <w:color w:val="auto"/>
        </w:rPr>
        <w:t>Translation adjustments arising during the year Adjustment for sales of businesses with foreign operations</w:t>
      </w:r>
    </w:p>
    <w:p>
      <w:pPr>
        <w:spacing w:after="0" w:line="229" w:lineRule="exact"/>
        <w:rPr>
          <w:sz w:val="20"/>
          <w:szCs w:val="20"/>
          <w:color w:val="auto"/>
        </w:rPr>
      </w:pPr>
    </w:p>
    <w:p>
      <w:pPr>
        <w:ind w:left="40"/>
        <w:spacing w:after="0"/>
        <w:rPr>
          <w:sz w:val="20"/>
          <w:szCs w:val="20"/>
          <w:color w:val="auto"/>
        </w:rPr>
      </w:pPr>
      <w:r>
        <w:rPr>
          <w:rFonts w:ascii="Arial" w:cs="Arial" w:eastAsia="Arial" w:hAnsi="Arial"/>
          <w:sz w:val="16"/>
          <w:szCs w:val="16"/>
          <w:color w:val="auto"/>
        </w:rPr>
        <w:t>Unrealized gains on available-for-sale securities:</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Unrealized gains for the year</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Reclassification adjustment for realized gain on sale of available-for-sale securities included in net income</w:t>
      </w:r>
    </w:p>
    <w:p>
      <w:pPr>
        <w:spacing w:after="0" w:line="383" w:lineRule="exact"/>
        <w:rPr>
          <w:sz w:val="20"/>
          <w:szCs w:val="20"/>
          <w:color w:val="auto"/>
        </w:rPr>
      </w:pPr>
    </w:p>
    <w:p>
      <w:pPr>
        <w:ind w:left="40"/>
        <w:spacing w:after="0"/>
        <w:rPr>
          <w:sz w:val="20"/>
          <w:szCs w:val="20"/>
          <w:color w:val="auto"/>
        </w:rPr>
      </w:pPr>
      <w:r>
        <w:rPr>
          <w:rFonts w:ascii="Arial" w:cs="Arial" w:eastAsia="Arial" w:hAnsi="Arial"/>
          <w:sz w:val="16"/>
          <w:szCs w:val="16"/>
          <w:color w:val="auto"/>
        </w:rPr>
        <w:t>Pension and other postretirement plans:</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Actuarial loss</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Amortization of net actuarial gain included in net income</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Amortization of net prior service cost included in net income</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Curtailments and settlements included in net income</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Curtailments and settlements included in distribution to Cable ONE</w:t>
      </w:r>
    </w:p>
    <w:p>
      <w:pPr>
        <w:spacing w:after="0" w:line="383" w:lineRule="exact"/>
        <w:rPr>
          <w:sz w:val="20"/>
          <w:szCs w:val="20"/>
          <w:color w:val="auto"/>
        </w:rPr>
      </w:pPr>
    </w:p>
    <w:p>
      <w:pPr>
        <w:ind w:left="40"/>
        <w:spacing w:after="0"/>
        <w:rPr>
          <w:sz w:val="20"/>
          <w:szCs w:val="20"/>
          <w:color w:val="auto"/>
        </w:rPr>
      </w:pPr>
      <w:r>
        <w:rPr>
          <w:rFonts w:ascii="Arial" w:cs="Arial" w:eastAsia="Arial" w:hAnsi="Arial"/>
          <w:sz w:val="16"/>
          <w:szCs w:val="16"/>
          <w:color w:val="auto"/>
        </w:rPr>
        <w:t>Cash flow hedge:</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Gain for the year</w:t>
      </w:r>
    </w:p>
    <w:p>
      <w:pPr>
        <w:spacing w:after="0" w:line="111"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Other Comprehensive Loss</w:t>
      </w:r>
    </w:p>
    <w:p>
      <w:pPr>
        <w:spacing w:after="0" w:line="20" w:lineRule="exact"/>
        <w:rPr>
          <w:sz w:val="20"/>
          <w:szCs w:val="20"/>
          <w:color w:val="auto"/>
        </w:rPr>
      </w:pPr>
      <w:r>
        <w:rPr>
          <w:sz w:val="20"/>
          <w:szCs w:val="20"/>
          <w:color w:val="auto"/>
        </w:rPr>
        <w:br w:type="column"/>
      </w:r>
    </w:p>
    <w:p>
      <w:pPr>
        <w:spacing w:after="0" w:line="25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9"/>
        </w:trPr>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(18,898)</w:t>
            </w:r>
          </w:p>
        </w:tc>
        <w:tc>
          <w:tcPr>
            <w:tcW w:w="3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(18,898)</w:t>
            </w:r>
          </w:p>
        </w:tc>
      </w:tr>
      <w:tr>
        <w:trPr>
          <w:trHeight w:val="279"/>
        </w:trPr>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5,501</w:t>
            </w:r>
          </w:p>
        </w:tc>
        <w:tc>
          <w:tcPr>
            <w:tcW w:w="3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5,501</w:t>
            </w:r>
          </w:p>
        </w:tc>
      </w:tr>
      <w:tr>
        <w:trPr>
          <w:trHeight w:val="264"/>
        </w:trPr>
        <w:tc>
          <w:tcPr>
            <w:tcW w:w="2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(13,397)</w:t>
            </w:r>
          </w:p>
        </w:tc>
        <w:tc>
          <w:tcPr>
            <w:tcW w:w="3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(13,397)</w:t>
            </w:r>
          </w:p>
        </w:tc>
      </w:tr>
      <w:tr>
        <w:trPr>
          <w:trHeight w:val="525"/>
        </w:trPr>
        <w:tc>
          <w:tcPr>
            <w:tcW w:w="260" w:type="dxa"/>
            <w:vAlign w:val="bottom"/>
          </w:tcPr>
          <w:p>
            <w:pPr>
              <w:spacing w:after="0"/>
              <w:rPr>
                <w:sz w:val="24"/>
                <w:szCs w:val="24"/>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10,620</w:t>
            </w:r>
          </w:p>
        </w:tc>
        <w:tc>
          <w:tcPr>
            <w:tcW w:w="380" w:type="dxa"/>
            <w:vAlign w:val="bottom"/>
          </w:tcPr>
          <w:p>
            <w:pPr>
              <w:spacing w:after="0"/>
              <w:rPr>
                <w:sz w:val="24"/>
                <w:szCs w:val="24"/>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(4,248)</w:t>
            </w:r>
          </w:p>
        </w:tc>
        <w:tc>
          <w:tcPr>
            <w:tcW w:w="320" w:type="dxa"/>
            <w:vAlign w:val="bottom"/>
          </w:tcPr>
          <w:p>
            <w:pPr>
              <w:spacing w:after="0"/>
              <w:rPr>
                <w:sz w:val="24"/>
                <w:szCs w:val="24"/>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6,372</w:t>
            </w:r>
          </w:p>
        </w:tc>
      </w:tr>
      <w:tr>
        <w:trPr>
          <w:trHeight w:val="279"/>
        </w:trPr>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w:t>
            </w:r>
          </w:p>
        </w:tc>
        <w:tc>
          <w:tcPr>
            <w:tcW w:w="3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w:t>
            </w:r>
          </w:p>
        </w:tc>
        <w:tc>
          <w:tcPr>
            <w:tcW w:w="3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r>
      <w:tr>
        <w:trPr>
          <w:trHeight w:val="264"/>
        </w:trPr>
        <w:tc>
          <w:tcPr>
            <w:tcW w:w="2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10,616</w:t>
            </w:r>
          </w:p>
        </w:tc>
        <w:tc>
          <w:tcPr>
            <w:tcW w:w="3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(4,246)</w:t>
            </w:r>
          </w:p>
        </w:tc>
        <w:tc>
          <w:tcPr>
            <w:tcW w:w="3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6,370</w:t>
            </w:r>
          </w:p>
        </w:tc>
      </w:tr>
      <w:tr>
        <w:trPr>
          <w:trHeight w:val="525"/>
        </w:trPr>
        <w:tc>
          <w:tcPr>
            <w:tcW w:w="260" w:type="dxa"/>
            <w:vAlign w:val="bottom"/>
          </w:tcPr>
          <w:p>
            <w:pPr>
              <w:spacing w:after="0"/>
              <w:rPr>
                <w:sz w:val="24"/>
                <w:szCs w:val="24"/>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(211,054)</w:t>
            </w:r>
          </w:p>
        </w:tc>
        <w:tc>
          <w:tcPr>
            <w:tcW w:w="380" w:type="dxa"/>
            <w:vAlign w:val="bottom"/>
          </w:tcPr>
          <w:p>
            <w:pPr>
              <w:spacing w:after="0"/>
              <w:rPr>
                <w:sz w:val="24"/>
                <w:szCs w:val="24"/>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84,421</w:t>
            </w:r>
          </w:p>
        </w:tc>
        <w:tc>
          <w:tcPr>
            <w:tcW w:w="3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(126,633)</w:t>
            </w:r>
          </w:p>
        </w:tc>
      </w:tr>
      <w:tr>
        <w:trPr>
          <w:trHeight w:val="270"/>
        </w:trPr>
        <w:tc>
          <w:tcPr>
            <w:tcW w:w="260" w:type="dxa"/>
            <w:vAlign w:val="bottom"/>
          </w:tcPr>
          <w:p>
            <w:pPr>
              <w:spacing w:after="0"/>
              <w:rPr>
                <w:sz w:val="23"/>
                <w:szCs w:val="23"/>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(9,906)</w:t>
            </w:r>
          </w:p>
        </w:tc>
        <w:tc>
          <w:tcPr>
            <w:tcW w:w="380" w:type="dxa"/>
            <w:vAlign w:val="bottom"/>
          </w:tcPr>
          <w:p>
            <w:pPr>
              <w:spacing w:after="0"/>
              <w:rPr>
                <w:sz w:val="23"/>
                <w:szCs w:val="23"/>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3,962</w:t>
            </w:r>
          </w:p>
        </w:tc>
        <w:tc>
          <w:tcPr>
            <w:tcW w:w="3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(5,944)</w:t>
            </w:r>
          </w:p>
        </w:tc>
      </w:tr>
      <w:tr>
        <w:trPr>
          <w:trHeight w:val="270"/>
        </w:trPr>
        <w:tc>
          <w:tcPr>
            <w:tcW w:w="260" w:type="dxa"/>
            <w:vAlign w:val="bottom"/>
          </w:tcPr>
          <w:p>
            <w:pPr>
              <w:spacing w:after="0"/>
              <w:rPr>
                <w:sz w:val="23"/>
                <w:szCs w:val="23"/>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275</w:t>
            </w:r>
          </w:p>
        </w:tc>
        <w:tc>
          <w:tcPr>
            <w:tcW w:w="38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(110)</w:t>
            </w:r>
          </w:p>
        </w:tc>
        <w:tc>
          <w:tcPr>
            <w:tcW w:w="32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165</w:t>
            </w:r>
          </w:p>
        </w:tc>
      </w:tr>
      <w:tr>
        <w:trPr>
          <w:trHeight w:val="270"/>
        </w:trPr>
        <w:tc>
          <w:tcPr>
            <w:tcW w:w="260" w:type="dxa"/>
            <w:vAlign w:val="bottom"/>
          </w:tcPr>
          <w:p>
            <w:pPr>
              <w:spacing w:after="0"/>
              <w:rPr>
                <w:sz w:val="23"/>
                <w:szCs w:val="23"/>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51</w:t>
            </w:r>
          </w:p>
        </w:tc>
        <w:tc>
          <w:tcPr>
            <w:tcW w:w="38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(21)</w:t>
            </w:r>
          </w:p>
        </w:tc>
        <w:tc>
          <w:tcPr>
            <w:tcW w:w="32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30</w:t>
            </w:r>
          </w:p>
        </w:tc>
      </w:tr>
      <w:tr>
        <w:trPr>
          <w:trHeight w:val="279"/>
        </w:trPr>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834</w:t>
            </w:r>
          </w:p>
        </w:tc>
        <w:tc>
          <w:tcPr>
            <w:tcW w:w="3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(333)</w:t>
            </w:r>
          </w:p>
        </w:tc>
        <w:tc>
          <w:tcPr>
            <w:tcW w:w="3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501</w:t>
            </w:r>
          </w:p>
        </w:tc>
      </w:tr>
      <w:tr>
        <w:trPr>
          <w:trHeight w:val="264"/>
        </w:trPr>
        <w:tc>
          <w:tcPr>
            <w:tcW w:w="2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(219,800)</w:t>
            </w:r>
          </w:p>
        </w:tc>
        <w:tc>
          <w:tcPr>
            <w:tcW w:w="3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87,919</w:t>
            </w:r>
          </w:p>
        </w:tc>
        <w:tc>
          <w:tcPr>
            <w:tcW w:w="3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(131,881)</w:t>
            </w:r>
          </w:p>
        </w:tc>
      </w:tr>
      <w:tr>
        <w:trPr>
          <w:trHeight w:val="534"/>
        </w:trPr>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179</w:t>
            </w:r>
          </w:p>
        </w:tc>
        <w:tc>
          <w:tcPr>
            <w:tcW w:w="3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(71)</w:t>
            </w:r>
          </w:p>
        </w:tc>
        <w:tc>
          <w:tcPr>
            <w:tcW w:w="3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108</w:t>
            </w:r>
          </w:p>
        </w:tc>
      </w:tr>
      <w:tr>
        <w:trPr>
          <w:trHeight w:val="264"/>
        </w:trPr>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(222,402)</w:t>
            </w:r>
          </w:p>
        </w:tc>
        <w:tc>
          <w:tcPr>
            <w:tcW w:w="3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83,602</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(138,800)</w:t>
            </w:r>
          </w:p>
        </w:tc>
      </w:tr>
      <w:tr>
        <w:trPr>
          <w:trHeight w:val="20"/>
        </w:trPr>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740" w:space="40"/>
            <w:col w:w="3640"/>
          </w:cols>
          <w:pgMar w:left="240" w:top="722" w:right="239" w:bottom="1440" w:gutter="0" w:footer="0" w:header="0"/>
          <w:type w:val="continuous"/>
        </w:sect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102</w:t>
      </w:r>
    </w:p>
    <w:p>
      <w:pPr>
        <w:sectPr>
          <w:pgSz w:w="11900" w:h="16838" w:orient="portrait"/>
          <w:cols w:equalWidth="0" w:num="1">
            <w:col w:w="11420"/>
          </w:cols>
          <w:pgMar w:left="240" w:top="722" w:right="239" w:bottom="1440" w:gutter="0" w:footer="0" w:header="0"/>
          <w:type w:val="continuous"/>
        </w:sectPr>
      </w:pPr>
    </w:p>
    <w:bookmarkStart w:id="105" w:name="page106"/>
    <w:bookmarkEnd w:id="105"/>
    <w:tbl>
      <w:tblPr>
        <w:tblLayout w:type="fixed"/>
        <w:tblInd w:w="0" w:type="dxa"/>
        <w:tblCellMar>
          <w:top w:w="0" w:type="dxa"/>
          <w:left w:w="0" w:type="dxa"/>
          <w:bottom w:w="0" w:type="dxa"/>
          <w:right w:w="0" w:type="dxa"/>
        </w:tblCellMar>
      </w:tblPr>
      <w:tr>
        <w:trPr>
          <w:trHeight w:val="198"/>
        </w:trPr>
        <w:tc>
          <w:tcPr>
            <w:tcW w:w="7780" w:type="dxa"/>
            <w:vAlign w:val="bottom"/>
          </w:tcPr>
          <w:p>
            <w:pPr>
              <w:spacing w:after="0"/>
              <w:rPr>
                <w:sz w:val="17"/>
                <w:szCs w:val="17"/>
                <w:color w:val="auto"/>
              </w:rPr>
            </w:pPr>
          </w:p>
        </w:tc>
        <w:tc>
          <w:tcPr>
            <w:tcW w:w="36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color w:val="auto"/>
              </w:rPr>
              <w:t>Year Ended December 31, 2014</w:t>
            </w:r>
          </w:p>
        </w:tc>
        <w:tc>
          <w:tcPr>
            <w:tcW w:w="0" w:type="dxa"/>
            <w:vAlign w:val="bottom"/>
          </w:tcPr>
          <w:p>
            <w:pPr>
              <w:spacing w:after="0"/>
              <w:rPr>
                <w:sz w:val="1"/>
                <w:szCs w:val="1"/>
                <w:color w:val="auto"/>
              </w:rPr>
            </w:pPr>
          </w:p>
        </w:tc>
      </w:tr>
      <w:tr>
        <w:trPr>
          <w:trHeight w:val="260"/>
        </w:trPr>
        <w:tc>
          <w:tcPr>
            <w:tcW w:w="7780" w:type="dxa"/>
            <w:vAlign w:val="bottom"/>
          </w:tcPr>
          <w:p>
            <w:pPr>
              <w:spacing w:after="0"/>
              <w:rPr>
                <w:sz w:val="22"/>
                <w:szCs w:val="22"/>
                <w:color w:val="auto"/>
              </w:rPr>
            </w:pPr>
          </w:p>
        </w:tc>
        <w:tc>
          <w:tcPr>
            <w:tcW w:w="1260" w:type="dxa"/>
            <w:vAlign w:val="bottom"/>
          </w:tcPr>
          <w:p>
            <w:pPr>
              <w:jc w:val="center"/>
              <w:ind w:right="48"/>
              <w:spacing w:after="0"/>
              <w:rPr>
                <w:sz w:val="20"/>
                <w:szCs w:val="20"/>
                <w:color w:val="auto"/>
              </w:rPr>
            </w:pPr>
            <w:r>
              <w:rPr>
                <w:rFonts w:ascii="Arial" w:cs="Arial" w:eastAsia="Arial" w:hAnsi="Arial"/>
                <w:sz w:val="14"/>
                <w:szCs w:val="14"/>
                <w:color w:val="auto"/>
              </w:rPr>
              <w:t>Before-Tax</w:t>
            </w:r>
          </w:p>
        </w:tc>
        <w:tc>
          <w:tcPr>
            <w:tcW w:w="1160" w:type="dxa"/>
            <w:vAlign w:val="bottom"/>
          </w:tcPr>
          <w:p>
            <w:pPr>
              <w:jc w:val="center"/>
              <w:spacing w:after="0"/>
              <w:rPr>
                <w:sz w:val="20"/>
                <w:szCs w:val="20"/>
                <w:color w:val="auto"/>
              </w:rPr>
            </w:pPr>
            <w:r>
              <w:rPr>
                <w:rFonts w:ascii="Arial" w:cs="Arial" w:eastAsia="Arial" w:hAnsi="Arial"/>
                <w:sz w:val="14"/>
                <w:szCs w:val="14"/>
                <w:color w:val="auto"/>
              </w:rPr>
              <w:t>Income</w:t>
            </w:r>
          </w:p>
        </w:tc>
        <w:tc>
          <w:tcPr>
            <w:tcW w:w="1220" w:type="dxa"/>
            <w:vAlign w:val="bottom"/>
          </w:tcPr>
          <w:p>
            <w:pPr>
              <w:jc w:val="center"/>
              <w:ind w:left="8"/>
              <w:spacing w:after="0"/>
              <w:rPr>
                <w:sz w:val="20"/>
                <w:szCs w:val="20"/>
                <w:color w:val="auto"/>
              </w:rPr>
            </w:pPr>
            <w:r>
              <w:rPr>
                <w:rFonts w:ascii="Arial" w:cs="Arial" w:eastAsia="Arial" w:hAnsi="Arial"/>
                <w:sz w:val="14"/>
                <w:szCs w:val="14"/>
                <w:color w:val="auto"/>
              </w:rPr>
              <w:t>After-Tax</w:t>
            </w:r>
          </w:p>
        </w:tc>
        <w:tc>
          <w:tcPr>
            <w:tcW w:w="0" w:type="dxa"/>
            <w:vAlign w:val="bottom"/>
          </w:tcPr>
          <w:p>
            <w:pPr>
              <w:spacing w:after="0"/>
              <w:rPr>
                <w:sz w:val="1"/>
                <w:szCs w:val="1"/>
                <w:color w:val="auto"/>
              </w:rPr>
            </w:pPr>
          </w:p>
        </w:tc>
      </w:tr>
      <w:tr>
        <w:trPr>
          <w:trHeight w:val="216"/>
        </w:trPr>
        <w:tc>
          <w:tcPr>
            <w:tcW w:w="7780" w:type="dxa"/>
            <w:vAlign w:val="bottom"/>
            <w:vMerge w:val="restart"/>
          </w:tcPr>
          <w:p>
            <w:pPr>
              <w:ind w:left="40"/>
              <w:spacing w:after="0"/>
              <w:rPr>
                <w:sz w:val="20"/>
                <w:szCs w:val="20"/>
                <w:color w:val="auto"/>
              </w:rPr>
            </w:pPr>
            <w:r>
              <w:rPr>
                <w:rFonts w:ascii="Arial" w:cs="Arial" w:eastAsia="Arial" w:hAnsi="Arial"/>
                <w:sz w:val="14"/>
                <w:szCs w:val="14"/>
                <w:color w:val="auto"/>
              </w:rPr>
              <w:t>(in thousands)</w:t>
            </w:r>
          </w:p>
        </w:tc>
        <w:tc>
          <w:tcPr>
            <w:tcW w:w="1260" w:type="dxa"/>
            <w:vAlign w:val="bottom"/>
          </w:tcPr>
          <w:p>
            <w:pPr>
              <w:jc w:val="center"/>
              <w:ind w:right="48"/>
              <w:spacing w:after="0"/>
              <w:rPr>
                <w:sz w:val="20"/>
                <w:szCs w:val="20"/>
                <w:color w:val="auto"/>
              </w:rPr>
            </w:pPr>
            <w:r>
              <w:rPr>
                <w:rFonts w:ascii="Arial" w:cs="Arial" w:eastAsia="Arial" w:hAnsi="Arial"/>
                <w:sz w:val="14"/>
                <w:szCs w:val="14"/>
                <w:color w:val="auto"/>
              </w:rPr>
              <w:t>Amount</w:t>
            </w:r>
          </w:p>
        </w:tc>
        <w:tc>
          <w:tcPr>
            <w:tcW w:w="1160" w:type="dxa"/>
            <w:vAlign w:val="bottom"/>
          </w:tcPr>
          <w:p>
            <w:pPr>
              <w:jc w:val="center"/>
              <w:spacing w:after="0"/>
              <w:rPr>
                <w:sz w:val="20"/>
                <w:szCs w:val="20"/>
                <w:color w:val="auto"/>
              </w:rPr>
            </w:pPr>
            <w:r>
              <w:rPr>
                <w:rFonts w:ascii="Arial" w:cs="Arial" w:eastAsia="Arial" w:hAnsi="Arial"/>
                <w:sz w:val="14"/>
                <w:szCs w:val="14"/>
                <w:color w:val="auto"/>
                <w:w w:val="94"/>
              </w:rPr>
              <w:t>Tax</w:t>
            </w:r>
          </w:p>
        </w:tc>
        <w:tc>
          <w:tcPr>
            <w:tcW w:w="1220" w:type="dxa"/>
            <w:vAlign w:val="bottom"/>
          </w:tcPr>
          <w:p>
            <w:pPr>
              <w:jc w:val="center"/>
              <w:ind w:left="8"/>
              <w:spacing w:after="0"/>
              <w:rPr>
                <w:sz w:val="20"/>
                <w:szCs w:val="20"/>
                <w:color w:val="auto"/>
              </w:rPr>
            </w:pPr>
            <w:r>
              <w:rPr>
                <w:rFonts w:ascii="Arial" w:cs="Arial" w:eastAsia="Arial" w:hAnsi="Arial"/>
                <w:sz w:val="14"/>
                <w:szCs w:val="14"/>
                <w:color w:val="auto"/>
              </w:rPr>
              <w:t>Amount</w:t>
            </w:r>
          </w:p>
        </w:tc>
        <w:tc>
          <w:tcPr>
            <w:tcW w:w="0" w:type="dxa"/>
            <w:vAlign w:val="bottom"/>
          </w:tcPr>
          <w:p>
            <w:pPr>
              <w:spacing w:after="0"/>
              <w:rPr>
                <w:sz w:val="1"/>
                <w:szCs w:val="1"/>
                <w:color w:val="auto"/>
              </w:rPr>
            </w:pPr>
          </w:p>
        </w:tc>
      </w:tr>
      <w:tr>
        <w:trPr>
          <w:trHeight w:val="58"/>
        </w:trPr>
        <w:tc>
          <w:tcPr>
            <w:tcW w:w="7780" w:type="dxa"/>
            <w:vAlign w:val="bottom"/>
            <w:tcBorders>
              <w:bottom w:val="single" w:sz="8" w:color="auto"/>
            </w:tcBorders>
            <w:vMerge w:val="continue"/>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36" w:lineRule="exact"/>
        <w:rPr>
          <w:sz w:val="20"/>
          <w:szCs w:val="20"/>
          <w:color w:val="auto"/>
        </w:rPr>
      </w:pPr>
    </w:p>
    <w:p>
      <w:pPr>
        <w:sectPr>
          <w:pgSz w:w="11900" w:h="16838" w:orient="portrait"/>
          <w:cols w:equalWidth="0" w:num="1">
            <w:col w:w="11420"/>
          </w:cols>
          <w:pgMar w:left="240" w:top="964" w:right="239" w:bottom="1440" w:gutter="0" w:footer="0" w:header="0"/>
        </w:sectPr>
      </w:pPr>
    </w:p>
    <w:p>
      <w:pPr>
        <w:ind w:left="40"/>
        <w:spacing w:after="0"/>
        <w:rPr>
          <w:sz w:val="20"/>
          <w:szCs w:val="20"/>
          <w:color w:val="auto"/>
        </w:rPr>
      </w:pPr>
      <w:r>
        <w:rPr>
          <w:rFonts w:ascii="Arial" w:cs="Arial" w:eastAsia="Arial" w:hAnsi="Arial"/>
          <w:sz w:val="16"/>
          <w:szCs w:val="16"/>
          <w:color w:val="auto"/>
        </w:rPr>
        <w:t>Foreign currency translation adjustments:</w:t>
      </w:r>
    </w:p>
    <w:p>
      <w:pPr>
        <w:spacing w:after="0" w:line="86" w:lineRule="exact"/>
        <w:rPr>
          <w:sz w:val="20"/>
          <w:szCs w:val="20"/>
          <w:color w:val="auto"/>
        </w:rPr>
      </w:pPr>
    </w:p>
    <w:p>
      <w:pPr>
        <w:ind w:left="180" w:right="3320"/>
        <w:spacing w:after="0" w:line="397" w:lineRule="auto"/>
        <w:rPr>
          <w:sz w:val="20"/>
          <w:szCs w:val="20"/>
          <w:color w:val="auto"/>
        </w:rPr>
      </w:pPr>
      <w:r>
        <w:rPr>
          <w:rFonts w:ascii="Arial" w:cs="Arial" w:eastAsia="Arial" w:hAnsi="Arial"/>
          <w:sz w:val="16"/>
          <w:szCs w:val="16"/>
          <w:color w:val="auto"/>
        </w:rPr>
        <w:t>Translation adjustments arising during the year Adjustment for sales of businesses with foreign operations</w:t>
      </w:r>
    </w:p>
    <w:p>
      <w:pPr>
        <w:spacing w:after="0" w:line="229" w:lineRule="exact"/>
        <w:rPr>
          <w:sz w:val="20"/>
          <w:szCs w:val="20"/>
          <w:color w:val="auto"/>
        </w:rPr>
      </w:pPr>
    </w:p>
    <w:p>
      <w:pPr>
        <w:ind w:left="40"/>
        <w:spacing w:after="0"/>
        <w:rPr>
          <w:sz w:val="20"/>
          <w:szCs w:val="20"/>
          <w:color w:val="auto"/>
        </w:rPr>
      </w:pPr>
      <w:r>
        <w:rPr>
          <w:rFonts w:ascii="Arial" w:cs="Arial" w:eastAsia="Arial" w:hAnsi="Arial"/>
          <w:sz w:val="16"/>
          <w:szCs w:val="16"/>
          <w:color w:val="auto"/>
        </w:rPr>
        <w:t>Unrealized gains on available-for-sale securities:</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Unrealized gains for the year</w:t>
      </w:r>
    </w:p>
    <w:p>
      <w:pPr>
        <w:spacing w:after="0" w:line="59" w:lineRule="exact"/>
        <w:rPr>
          <w:sz w:val="20"/>
          <w:szCs w:val="20"/>
          <w:color w:val="auto"/>
        </w:rPr>
      </w:pPr>
    </w:p>
    <w:p>
      <w:pPr>
        <w:ind w:left="340" w:hanging="161"/>
        <w:spacing w:after="0" w:line="291" w:lineRule="auto"/>
        <w:rPr>
          <w:sz w:val="20"/>
          <w:szCs w:val="20"/>
          <w:color w:val="auto"/>
        </w:rPr>
      </w:pPr>
      <w:r>
        <w:rPr>
          <w:rFonts w:ascii="Arial" w:cs="Arial" w:eastAsia="Arial" w:hAnsi="Arial"/>
          <w:sz w:val="16"/>
          <w:szCs w:val="16"/>
          <w:color w:val="auto"/>
        </w:rPr>
        <w:t>Reclassification adjustment for realization of (gain) loss on exchange, sale or write-down of available-for-sale securities included in net income</w:t>
      </w:r>
    </w:p>
    <w:p>
      <w:pPr>
        <w:spacing w:after="0" w:line="310" w:lineRule="exact"/>
        <w:rPr>
          <w:sz w:val="20"/>
          <w:szCs w:val="20"/>
          <w:color w:val="auto"/>
        </w:rPr>
      </w:pPr>
    </w:p>
    <w:p>
      <w:pPr>
        <w:ind w:left="40"/>
        <w:spacing w:after="0"/>
        <w:rPr>
          <w:sz w:val="20"/>
          <w:szCs w:val="20"/>
          <w:color w:val="auto"/>
        </w:rPr>
      </w:pPr>
      <w:r>
        <w:rPr>
          <w:rFonts w:ascii="Arial" w:cs="Arial" w:eastAsia="Arial" w:hAnsi="Arial"/>
          <w:sz w:val="16"/>
          <w:szCs w:val="16"/>
          <w:color w:val="auto"/>
        </w:rPr>
        <w:t>Pension and other postretirement plans:</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Actuarial loss</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Prior service cost</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Amortization of net actuarial gain included in net income</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Amortization of net prior service credit included in net income</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Curtailments and settlements</w:t>
      </w:r>
    </w:p>
    <w:p>
      <w:pPr>
        <w:spacing w:after="0" w:line="383" w:lineRule="exact"/>
        <w:rPr>
          <w:sz w:val="20"/>
          <w:szCs w:val="20"/>
          <w:color w:val="auto"/>
        </w:rPr>
      </w:pPr>
    </w:p>
    <w:p>
      <w:pPr>
        <w:ind w:left="40"/>
        <w:spacing w:after="0"/>
        <w:rPr>
          <w:sz w:val="20"/>
          <w:szCs w:val="20"/>
          <w:color w:val="auto"/>
        </w:rPr>
      </w:pPr>
      <w:r>
        <w:rPr>
          <w:rFonts w:ascii="Arial" w:cs="Arial" w:eastAsia="Arial" w:hAnsi="Arial"/>
          <w:sz w:val="16"/>
          <w:szCs w:val="16"/>
          <w:color w:val="auto"/>
        </w:rPr>
        <w:t>Cash flow hedge:</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Gain for the year</w:t>
      </w:r>
    </w:p>
    <w:p>
      <w:pPr>
        <w:spacing w:after="0" w:line="111"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Other Comprehensive Loss</w:t>
      </w:r>
    </w:p>
    <w:p>
      <w:pPr>
        <w:spacing w:after="0" w:line="20" w:lineRule="exact"/>
        <w:rPr>
          <w:sz w:val="20"/>
          <w:szCs w:val="20"/>
          <w:color w:val="auto"/>
        </w:rPr>
      </w:pPr>
      <w:r>
        <w:rPr>
          <w:sz w:val="20"/>
          <w:szCs w:val="20"/>
          <w:color w:val="auto"/>
        </w:rPr>
        <w:br w:type="column"/>
      </w:r>
    </w:p>
    <w:p>
      <w:pPr>
        <w:spacing w:after="0" w:line="25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9"/>
        </w:trPr>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(16,061)</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(16,061)</w:t>
            </w:r>
          </w:p>
        </w:tc>
      </w:tr>
      <w:tr>
        <w:trPr>
          <w:trHeight w:val="279"/>
        </w:trPr>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(404)</w:t>
            </w:r>
          </w:p>
        </w:tc>
        <w:tc>
          <w:tcPr>
            <w:tcW w:w="3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(404)</w:t>
            </w:r>
          </w:p>
        </w:tc>
      </w:tr>
      <w:tr>
        <w:trPr>
          <w:trHeight w:val="264"/>
        </w:trPr>
        <w:tc>
          <w:tcPr>
            <w:tcW w:w="2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(16,465)</w:t>
            </w:r>
          </w:p>
        </w:tc>
        <w:tc>
          <w:tcPr>
            <w:tcW w:w="3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(16,465)</w:t>
            </w:r>
          </w:p>
        </w:tc>
      </w:tr>
      <w:tr>
        <w:trPr>
          <w:trHeight w:val="525"/>
        </w:trPr>
        <w:tc>
          <w:tcPr>
            <w:tcW w:w="260" w:type="dxa"/>
            <w:vAlign w:val="bottom"/>
          </w:tcPr>
          <w:p>
            <w:pPr>
              <w:spacing w:after="0"/>
              <w:rPr>
                <w:sz w:val="24"/>
                <w:szCs w:val="24"/>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62,719</w:t>
            </w:r>
          </w:p>
        </w:tc>
        <w:tc>
          <w:tcPr>
            <w:tcW w:w="340" w:type="dxa"/>
            <w:vAlign w:val="bottom"/>
          </w:tcPr>
          <w:p>
            <w:pPr>
              <w:spacing w:after="0"/>
              <w:rPr>
                <w:sz w:val="24"/>
                <w:szCs w:val="24"/>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(25,088)</w:t>
            </w:r>
          </w:p>
        </w:tc>
        <w:tc>
          <w:tcPr>
            <w:tcW w:w="320" w:type="dxa"/>
            <w:vAlign w:val="bottom"/>
          </w:tcPr>
          <w:p>
            <w:pPr>
              <w:spacing w:after="0"/>
              <w:rPr>
                <w:sz w:val="24"/>
                <w:szCs w:val="24"/>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37,631</w:t>
            </w:r>
          </w:p>
        </w:tc>
      </w:tr>
      <w:tr>
        <w:trPr>
          <w:trHeight w:val="441"/>
        </w:trPr>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(265,274)</w:t>
            </w:r>
          </w:p>
        </w:tc>
        <w:tc>
          <w:tcPr>
            <w:tcW w:w="3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106,110</w:t>
            </w:r>
          </w:p>
        </w:tc>
        <w:tc>
          <w:tcPr>
            <w:tcW w:w="3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(159,164)</w:t>
            </w:r>
          </w:p>
        </w:tc>
      </w:tr>
      <w:tr>
        <w:trPr>
          <w:trHeight w:val="264"/>
        </w:trPr>
        <w:tc>
          <w:tcPr>
            <w:tcW w:w="2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(202,555)</w:t>
            </w:r>
          </w:p>
        </w:tc>
        <w:tc>
          <w:tcPr>
            <w:tcW w:w="3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81,022</w:t>
            </w:r>
          </w:p>
        </w:tc>
        <w:tc>
          <w:tcPr>
            <w:tcW w:w="3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(121,533)</w:t>
            </w:r>
          </w:p>
        </w:tc>
      </w:tr>
      <w:tr>
        <w:trPr>
          <w:trHeight w:val="525"/>
        </w:trPr>
        <w:tc>
          <w:tcPr>
            <w:tcW w:w="260" w:type="dxa"/>
            <w:vAlign w:val="bottom"/>
          </w:tcPr>
          <w:p>
            <w:pPr>
              <w:spacing w:after="0"/>
              <w:rPr>
                <w:sz w:val="24"/>
                <w:szCs w:val="24"/>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(149,482)</w:t>
            </w:r>
          </w:p>
        </w:tc>
        <w:tc>
          <w:tcPr>
            <w:tcW w:w="340" w:type="dxa"/>
            <w:vAlign w:val="bottom"/>
          </w:tcPr>
          <w:p>
            <w:pPr>
              <w:spacing w:after="0"/>
              <w:rPr>
                <w:sz w:val="24"/>
                <w:szCs w:val="24"/>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59,792</w:t>
            </w:r>
          </w:p>
        </w:tc>
        <w:tc>
          <w:tcPr>
            <w:tcW w:w="3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(89,690)</w:t>
            </w:r>
          </w:p>
        </w:tc>
      </w:tr>
      <w:tr>
        <w:trPr>
          <w:trHeight w:val="270"/>
        </w:trPr>
        <w:tc>
          <w:tcPr>
            <w:tcW w:w="260" w:type="dxa"/>
            <w:vAlign w:val="bottom"/>
          </w:tcPr>
          <w:p>
            <w:pPr>
              <w:spacing w:after="0"/>
              <w:rPr>
                <w:sz w:val="23"/>
                <w:szCs w:val="23"/>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(1,600)</w:t>
            </w:r>
          </w:p>
        </w:tc>
        <w:tc>
          <w:tcPr>
            <w:tcW w:w="340" w:type="dxa"/>
            <w:vAlign w:val="bottom"/>
          </w:tcPr>
          <w:p>
            <w:pPr>
              <w:spacing w:after="0"/>
              <w:rPr>
                <w:sz w:val="23"/>
                <w:szCs w:val="23"/>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640</w:t>
            </w:r>
          </w:p>
        </w:tc>
        <w:tc>
          <w:tcPr>
            <w:tcW w:w="3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(960)</w:t>
            </w:r>
          </w:p>
        </w:tc>
      </w:tr>
      <w:tr>
        <w:trPr>
          <w:trHeight w:val="270"/>
        </w:trPr>
        <w:tc>
          <w:tcPr>
            <w:tcW w:w="260" w:type="dxa"/>
            <w:vAlign w:val="bottom"/>
          </w:tcPr>
          <w:p>
            <w:pPr>
              <w:spacing w:after="0"/>
              <w:rPr>
                <w:sz w:val="23"/>
                <w:szCs w:val="23"/>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(29,412)</w:t>
            </w:r>
          </w:p>
        </w:tc>
        <w:tc>
          <w:tcPr>
            <w:tcW w:w="340" w:type="dxa"/>
            <w:vAlign w:val="bottom"/>
          </w:tcPr>
          <w:p>
            <w:pPr>
              <w:spacing w:after="0"/>
              <w:rPr>
                <w:sz w:val="23"/>
                <w:szCs w:val="23"/>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11,765</w:t>
            </w:r>
          </w:p>
        </w:tc>
        <w:tc>
          <w:tcPr>
            <w:tcW w:w="3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(17,647)</w:t>
            </w:r>
          </w:p>
        </w:tc>
      </w:tr>
      <w:tr>
        <w:trPr>
          <w:trHeight w:val="270"/>
        </w:trPr>
        <w:tc>
          <w:tcPr>
            <w:tcW w:w="260" w:type="dxa"/>
            <w:vAlign w:val="bottom"/>
          </w:tcPr>
          <w:p>
            <w:pPr>
              <w:spacing w:after="0"/>
              <w:rPr>
                <w:sz w:val="23"/>
                <w:szCs w:val="23"/>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(407)</w:t>
            </w:r>
          </w:p>
        </w:tc>
        <w:tc>
          <w:tcPr>
            <w:tcW w:w="340" w:type="dxa"/>
            <w:vAlign w:val="bottom"/>
          </w:tcPr>
          <w:p>
            <w:pPr>
              <w:spacing w:after="0"/>
              <w:rPr>
                <w:sz w:val="23"/>
                <w:szCs w:val="23"/>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163</w:t>
            </w:r>
          </w:p>
        </w:tc>
        <w:tc>
          <w:tcPr>
            <w:tcW w:w="3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(244)</w:t>
            </w:r>
          </w:p>
        </w:tc>
      </w:tr>
      <w:tr>
        <w:trPr>
          <w:trHeight w:val="279"/>
        </w:trPr>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8</w:t>
            </w:r>
          </w:p>
        </w:tc>
        <w:tc>
          <w:tcPr>
            <w:tcW w:w="3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w:t>
            </w:r>
          </w:p>
        </w:tc>
        <w:tc>
          <w:tcPr>
            <w:tcW w:w="3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w:t>
            </w:r>
          </w:p>
        </w:tc>
      </w:tr>
      <w:tr>
        <w:trPr>
          <w:trHeight w:val="264"/>
        </w:trPr>
        <w:tc>
          <w:tcPr>
            <w:tcW w:w="2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(180,893)</w:t>
            </w:r>
          </w:p>
        </w:tc>
        <w:tc>
          <w:tcPr>
            <w:tcW w:w="3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72,357</w:t>
            </w:r>
          </w:p>
        </w:tc>
        <w:tc>
          <w:tcPr>
            <w:tcW w:w="3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(108,536)</w:t>
            </w:r>
          </w:p>
        </w:tc>
      </w:tr>
      <w:tr>
        <w:trPr>
          <w:trHeight w:val="534"/>
        </w:trPr>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867</w:t>
            </w:r>
          </w:p>
        </w:tc>
        <w:tc>
          <w:tcPr>
            <w:tcW w:w="3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(347)</w:t>
            </w:r>
          </w:p>
        </w:tc>
        <w:tc>
          <w:tcPr>
            <w:tcW w:w="3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520</w:t>
            </w:r>
          </w:p>
        </w:tc>
      </w:tr>
      <w:tr>
        <w:trPr>
          <w:trHeight w:val="264"/>
        </w:trPr>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(399,046)</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153,032</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(246,014)</w:t>
            </w:r>
          </w:p>
        </w:tc>
      </w:tr>
      <w:tr>
        <w:trPr>
          <w:trHeight w:val="20"/>
        </w:trPr>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26" w:lineRule="exact"/>
        <w:rPr>
          <w:sz w:val="20"/>
          <w:szCs w:val="20"/>
          <w:color w:val="auto"/>
        </w:rPr>
      </w:pPr>
    </w:p>
    <w:p>
      <w:pPr>
        <w:sectPr>
          <w:pgSz w:w="11900" w:h="16838" w:orient="portrait"/>
          <w:cols w:equalWidth="0" w:num="2">
            <w:col w:w="7660" w:space="120"/>
            <w:col w:w="3640"/>
          </w:cols>
          <w:pgMar w:left="240" w:top="964" w:right="239" w:bottom="1440" w:gutter="0" w:footer="0" w:header="0"/>
          <w:type w:val="continuous"/>
        </w:sectPr>
      </w:pPr>
    </w:p>
    <w:p>
      <w:pPr>
        <w:spacing w:after="0"/>
        <w:rPr>
          <w:sz w:val="20"/>
          <w:szCs w:val="20"/>
          <w:color w:val="auto"/>
        </w:rPr>
      </w:pPr>
      <w:r>
        <w:rPr>
          <w:rFonts w:ascii="Arial" w:cs="Arial" w:eastAsia="Arial" w:hAnsi="Arial"/>
          <w:sz w:val="18"/>
          <w:szCs w:val="18"/>
          <w:color w:val="auto"/>
        </w:rPr>
        <w:t>The accumulated balances related to each component of other comprehensive (loss) income are as follows: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jc w:val="center"/>
              <w:ind w:right="142"/>
              <w:spacing w:after="0"/>
              <w:rPr>
                <w:sz w:val="20"/>
                <w:szCs w:val="20"/>
                <w:color w:val="auto"/>
              </w:rPr>
            </w:pPr>
            <w:r>
              <w:rPr>
                <w:rFonts w:ascii="Arial" w:cs="Arial" w:eastAsia="Arial" w:hAnsi="Arial"/>
                <w:sz w:val="14"/>
                <w:szCs w:val="14"/>
                <w:b w:val="1"/>
                <w:bCs w:val="1"/>
                <w:color w:val="auto"/>
              </w:rPr>
              <w:t>Cumulative</w:t>
            </w:r>
          </w:p>
        </w:tc>
        <w:tc>
          <w:tcPr>
            <w:tcW w:w="2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jc w:val="center"/>
              <w:ind w:right="102"/>
              <w:spacing w:after="0"/>
              <w:rPr>
                <w:sz w:val="20"/>
                <w:szCs w:val="20"/>
                <w:color w:val="auto"/>
              </w:rPr>
            </w:pPr>
            <w:r>
              <w:rPr>
                <w:rFonts w:ascii="Arial" w:cs="Arial" w:eastAsia="Arial" w:hAnsi="Arial"/>
                <w:sz w:val="14"/>
                <w:szCs w:val="14"/>
                <w:b w:val="1"/>
                <w:bCs w:val="1"/>
                <w:color w:val="auto"/>
              </w:rPr>
              <w:t>Unrealized Gain</w:t>
            </w: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62"/>
        </w:trPr>
        <w:tc>
          <w:tcPr>
            <w:tcW w:w="4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jc w:val="center"/>
              <w:ind w:right="162"/>
              <w:spacing w:after="0"/>
              <w:rPr>
                <w:sz w:val="20"/>
                <w:szCs w:val="20"/>
                <w:color w:val="auto"/>
              </w:rPr>
            </w:pPr>
            <w:r>
              <w:rPr>
                <w:rFonts w:ascii="Arial" w:cs="Arial" w:eastAsia="Arial" w:hAnsi="Arial"/>
                <w:sz w:val="14"/>
                <w:szCs w:val="14"/>
                <w:b w:val="1"/>
                <w:bCs w:val="1"/>
                <w:color w:val="auto"/>
              </w:rPr>
              <w:t>Foreign</w:t>
            </w:r>
          </w:p>
        </w:tc>
        <w:tc>
          <w:tcPr>
            <w:tcW w:w="2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jc w:val="center"/>
              <w:ind w:right="102"/>
              <w:spacing w:after="0"/>
              <w:rPr>
                <w:sz w:val="20"/>
                <w:szCs w:val="20"/>
                <w:color w:val="auto"/>
              </w:rPr>
            </w:pPr>
            <w:r>
              <w:rPr>
                <w:rFonts w:ascii="Arial" w:cs="Arial" w:eastAsia="Arial" w:hAnsi="Arial"/>
                <w:sz w:val="14"/>
                <w:szCs w:val="14"/>
                <w:b w:val="1"/>
                <w:bCs w:val="1"/>
                <w:color w:val="auto"/>
              </w:rPr>
              <w:t>on Pensions</w:t>
            </w: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tcPr>
          <w:p>
            <w:pPr>
              <w:jc w:val="center"/>
              <w:ind w:right="62"/>
              <w:spacing w:after="0"/>
              <w:rPr>
                <w:sz w:val="20"/>
                <w:szCs w:val="20"/>
                <w:color w:val="auto"/>
              </w:rPr>
            </w:pPr>
            <w:r>
              <w:rPr>
                <w:rFonts w:ascii="Arial" w:cs="Arial" w:eastAsia="Arial" w:hAnsi="Arial"/>
                <w:sz w:val="14"/>
                <w:szCs w:val="14"/>
                <w:b w:val="1"/>
                <w:bCs w:val="1"/>
                <w:color w:val="auto"/>
              </w:rPr>
              <w:t>Accumulated</w:t>
            </w:r>
          </w:p>
        </w:tc>
      </w:tr>
      <w:tr>
        <w:trPr>
          <w:trHeight w:val="162"/>
        </w:trPr>
        <w:tc>
          <w:tcPr>
            <w:tcW w:w="4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jc w:val="center"/>
              <w:ind w:right="162"/>
              <w:spacing w:after="0"/>
              <w:rPr>
                <w:sz w:val="20"/>
                <w:szCs w:val="20"/>
                <w:color w:val="auto"/>
              </w:rPr>
            </w:pPr>
            <w:r>
              <w:rPr>
                <w:rFonts w:ascii="Arial" w:cs="Arial" w:eastAsia="Arial" w:hAnsi="Arial"/>
                <w:sz w:val="14"/>
                <w:szCs w:val="14"/>
                <w:b w:val="1"/>
                <w:bCs w:val="1"/>
                <w:color w:val="auto"/>
              </w:rPr>
              <w:t>Currency</w:t>
            </w:r>
          </w:p>
        </w:tc>
        <w:tc>
          <w:tcPr>
            <w:tcW w:w="220" w:type="dxa"/>
            <w:vAlign w:val="bottom"/>
          </w:tcPr>
          <w:p>
            <w:pPr>
              <w:spacing w:after="0"/>
              <w:rPr>
                <w:sz w:val="14"/>
                <w:szCs w:val="14"/>
                <w:color w:val="auto"/>
              </w:rPr>
            </w:pPr>
          </w:p>
        </w:tc>
        <w:tc>
          <w:tcPr>
            <w:tcW w:w="1360" w:type="dxa"/>
            <w:vAlign w:val="bottom"/>
          </w:tcPr>
          <w:p>
            <w:pPr>
              <w:jc w:val="center"/>
              <w:ind w:right="101"/>
              <w:spacing w:after="0"/>
              <w:rPr>
                <w:sz w:val="20"/>
                <w:szCs w:val="20"/>
                <w:color w:val="auto"/>
              </w:rPr>
            </w:pPr>
            <w:r>
              <w:rPr>
                <w:rFonts w:ascii="Arial" w:cs="Arial" w:eastAsia="Arial" w:hAnsi="Arial"/>
                <w:sz w:val="14"/>
                <w:szCs w:val="14"/>
                <w:b w:val="1"/>
                <w:bCs w:val="1"/>
                <w:color w:val="auto"/>
              </w:rPr>
              <w:t>Unrealized Gain</w:t>
            </w:r>
          </w:p>
        </w:tc>
        <w:tc>
          <w:tcPr>
            <w:tcW w:w="220" w:type="dxa"/>
            <w:vAlign w:val="bottom"/>
          </w:tcPr>
          <w:p>
            <w:pPr>
              <w:spacing w:after="0"/>
              <w:rPr>
                <w:sz w:val="14"/>
                <w:szCs w:val="14"/>
                <w:color w:val="auto"/>
              </w:rPr>
            </w:pPr>
          </w:p>
        </w:tc>
        <w:tc>
          <w:tcPr>
            <w:tcW w:w="1360" w:type="dxa"/>
            <w:vAlign w:val="bottom"/>
          </w:tcPr>
          <w:p>
            <w:pPr>
              <w:jc w:val="center"/>
              <w:ind w:right="82"/>
              <w:spacing w:after="0"/>
              <w:rPr>
                <w:sz w:val="20"/>
                <w:szCs w:val="20"/>
                <w:color w:val="auto"/>
              </w:rPr>
            </w:pPr>
            <w:r>
              <w:rPr>
                <w:rFonts w:ascii="Arial" w:cs="Arial" w:eastAsia="Arial" w:hAnsi="Arial"/>
                <w:sz w:val="14"/>
                <w:szCs w:val="14"/>
                <w:b w:val="1"/>
                <w:bCs w:val="1"/>
                <w:color w:val="auto"/>
              </w:rPr>
              <w:t>and Other</w:t>
            </w: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tcPr>
          <w:p>
            <w:pPr>
              <w:jc w:val="center"/>
              <w:ind w:right="62"/>
              <w:spacing w:after="0"/>
              <w:rPr>
                <w:sz w:val="20"/>
                <w:szCs w:val="20"/>
                <w:color w:val="auto"/>
              </w:rPr>
            </w:pPr>
            <w:r>
              <w:rPr>
                <w:rFonts w:ascii="Arial" w:cs="Arial" w:eastAsia="Arial" w:hAnsi="Arial"/>
                <w:sz w:val="14"/>
                <w:szCs w:val="14"/>
                <w:b w:val="1"/>
                <w:bCs w:val="1"/>
                <w:color w:val="auto"/>
              </w:rPr>
              <w:t>Other</w:t>
            </w:r>
          </w:p>
        </w:tc>
      </w:tr>
      <w:tr>
        <w:trPr>
          <w:trHeight w:val="162"/>
        </w:trPr>
        <w:tc>
          <w:tcPr>
            <w:tcW w:w="4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jc w:val="center"/>
              <w:ind w:right="162"/>
              <w:spacing w:after="0"/>
              <w:rPr>
                <w:sz w:val="20"/>
                <w:szCs w:val="20"/>
                <w:color w:val="auto"/>
              </w:rPr>
            </w:pPr>
            <w:r>
              <w:rPr>
                <w:rFonts w:ascii="Arial" w:cs="Arial" w:eastAsia="Arial" w:hAnsi="Arial"/>
                <w:sz w:val="14"/>
                <w:szCs w:val="14"/>
                <w:b w:val="1"/>
                <w:bCs w:val="1"/>
                <w:color w:val="auto"/>
              </w:rPr>
              <w:t>Translation</w:t>
            </w:r>
          </w:p>
        </w:tc>
        <w:tc>
          <w:tcPr>
            <w:tcW w:w="220" w:type="dxa"/>
            <w:vAlign w:val="bottom"/>
          </w:tcPr>
          <w:p>
            <w:pPr>
              <w:spacing w:after="0"/>
              <w:rPr>
                <w:sz w:val="14"/>
                <w:szCs w:val="14"/>
                <w:color w:val="auto"/>
              </w:rPr>
            </w:pPr>
          </w:p>
        </w:tc>
        <w:tc>
          <w:tcPr>
            <w:tcW w:w="1360" w:type="dxa"/>
            <w:vAlign w:val="bottom"/>
          </w:tcPr>
          <w:p>
            <w:pPr>
              <w:jc w:val="center"/>
              <w:ind w:right="101"/>
              <w:spacing w:after="0"/>
              <w:rPr>
                <w:sz w:val="20"/>
                <w:szCs w:val="20"/>
                <w:color w:val="auto"/>
              </w:rPr>
            </w:pPr>
            <w:r>
              <w:rPr>
                <w:rFonts w:ascii="Arial" w:cs="Arial" w:eastAsia="Arial" w:hAnsi="Arial"/>
                <w:sz w:val="14"/>
                <w:szCs w:val="14"/>
                <w:b w:val="1"/>
                <w:bCs w:val="1"/>
                <w:color w:val="auto"/>
              </w:rPr>
              <w:t>on Available-for-</w:t>
            </w:r>
          </w:p>
        </w:tc>
        <w:tc>
          <w:tcPr>
            <w:tcW w:w="220" w:type="dxa"/>
            <w:vAlign w:val="bottom"/>
          </w:tcPr>
          <w:p>
            <w:pPr>
              <w:spacing w:after="0"/>
              <w:rPr>
                <w:sz w:val="14"/>
                <w:szCs w:val="14"/>
                <w:color w:val="auto"/>
              </w:rPr>
            </w:pPr>
          </w:p>
        </w:tc>
        <w:tc>
          <w:tcPr>
            <w:tcW w:w="1360" w:type="dxa"/>
            <w:vAlign w:val="bottom"/>
          </w:tcPr>
          <w:p>
            <w:pPr>
              <w:jc w:val="center"/>
              <w:ind w:right="102"/>
              <w:spacing w:after="0"/>
              <w:rPr>
                <w:sz w:val="20"/>
                <w:szCs w:val="20"/>
                <w:color w:val="auto"/>
              </w:rPr>
            </w:pPr>
            <w:r>
              <w:rPr>
                <w:rFonts w:ascii="Arial" w:cs="Arial" w:eastAsia="Arial" w:hAnsi="Arial"/>
                <w:sz w:val="14"/>
                <w:szCs w:val="14"/>
                <w:b w:val="1"/>
                <w:bCs w:val="1"/>
                <w:color w:val="auto"/>
              </w:rPr>
              <w:t>Postretirement</w:t>
            </w:r>
          </w:p>
        </w:tc>
        <w:tc>
          <w:tcPr>
            <w:tcW w:w="102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Cash Flow</w:t>
            </w:r>
          </w:p>
        </w:tc>
        <w:tc>
          <w:tcPr>
            <w:tcW w:w="220" w:type="dxa"/>
            <w:vAlign w:val="bottom"/>
          </w:tcPr>
          <w:p>
            <w:pPr>
              <w:spacing w:after="0"/>
              <w:rPr>
                <w:sz w:val="14"/>
                <w:szCs w:val="14"/>
                <w:color w:val="auto"/>
              </w:rPr>
            </w:pPr>
          </w:p>
        </w:tc>
        <w:tc>
          <w:tcPr>
            <w:tcW w:w="1320" w:type="dxa"/>
            <w:vAlign w:val="bottom"/>
          </w:tcPr>
          <w:p>
            <w:pPr>
              <w:jc w:val="center"/>
              <w:ind w:right="82"/>
              <w:spacing w:after="0"/>
              <w:rPr>
                <w:sz w:val="20"/>
                <w:szCs w:val="20"/>
                <w:color w:val="auto"/>
              </w:rPr>
            </w:pPr>
            <w:r>
              <w:rPr>
                <w:rFonts w:ascii="Arial" w:cs="Arial" w:eastAsia="Arial" w:hAnsi="Arial"/>
                <w:sz w:val="14"/>
                <w:szCs w:val="14"/>
                <w:b w:val="1"/>
                <w:bCs w:val="1"/>
                <w:color w:val="auto"/>
              </w:rPr>
              <w:t>Comprehensive</w:t>
            </w:r>
          </w:p>
        </w:tc>
      </w:tr>
      <w:tr>
        <w:trPr>
          <w:trHeight w:val="203"/>
        </w:trPr>
        <w:tc>
          <w:tcPr>
            <w:tcW w:w="43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 net of taxes)</w:t>
            </w:r>
          </w:p>
        </w:tc>
        <w:tc>
          <w:tcPr>
            <w:tcW w:w="1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center"/>
              <w:ind w:right="162"/>
              <w:spacing w:after="0"/>
              <w:rPr>
                <w:sz w:val="20"/>
                <w:szCs w:val="20"/>
                <w:color w:val="auto"/>
              </w:rPr>
            </w:pPr>
            <w:r>
              <w:rPr>
                <w:rFonts w:ascii="Arial" w:cs="Arial" w:eastAsia="Arial" w:hAnsi="Arial"/>
                <w:sz w:val="14"/>
                <w:szCs w:val="14"/>
                <w:b w:val="1"/>
                <w:bCs w:val="1"/>
                <w:color w:val="auto"/>
              </w:rPr>
              <w:t>Adjustment</w:t>
            </w:r>
          </w:p>
        </w:tc>
        <w:tc>
          <w:tcPr>
            <w:tcW w:w="2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center"/>
              <w:ind w:right="101"/>
              <w:spacing w:after="0"/>
              <w:rPr>
                <w:sz w:val="20"/>
                <w:szCs w:val="20"/>
                <w:color w:val="auto"/>
              </w:rPr>
            </w:pPr>
            <w:r>
              <w:rPr>
                <w:rFonts w:ascii="Arial" w:cs="Arial" w:eastAsia="Arial" w:hAnsi="Arial"/>
                <w:sz w:val="14"/>
                <w:szCs w:val="14"/>
                <w:b w:val="1"/>
                <w:bCs w:val="1"/>
                <w:color w:val="auto"/>
              </w:rPr>
              <w:t>Sale Securities</w:t>
            </w:r>
          </w:p>
        </w:tc>
        <w:tc>
          <w:tcPr>
            <w:tcW w:w="2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center"/>
              <w:ind w:right="102"/>
              <w:spacing w:after="0"/>
              <w:rPr>
                <w:sz w:val="20"/>
                <w:szCs w:val="20"/>
                <w:color w:val="auto"/>
              </w:rPr>
            </w:pPr>
            <w:r>
              <w:rPr>
                <w:rFonts w:ascii="Arial" w:cs="Arial" w:eastAsia="Arial" w:hAnsi="Arial"/>
                <w:sz w:val="14"/>
                <w:szCs w:val="14"/>
                <w:b w:val="1"/>
                <w:bCs w:val="1"/>
                <w:color w:val="auto"/>
              </w:rPr>
              <w:t>Plans</w:t>
            </w:r>
          </w:p>
        </w:tc>
        <w:tc>
          <w:tcPr>
            <w:tcW w:w="2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00"/>
              <w:spacing w:after="0"/>
              <w:rPr>
                <w:sz w:val="20"/>
                <w:szCs w:val="20"/>
                <w:color w:val="auto"/>
              </w:rPr>
            </w:pPr>
            <w:r>
              <w:rPr>
                <w:rFonts w:ascii="Arial" w:cs="Arial" w:eastAsia="Arial" w:hAnsi="Arial"/>
                <w:sz w:val="14"/>
                <w:szCs w:val="14"/>
                <w:b w:val="1"/>
                <w:bCs w:val="1"/>
                <w:color w:val="auto"/>
              </w:rPr>
              <w:t>Hedge</w:t>
            </w:r>
          </w:p>
        </w:tc>
        <w:tc>
          <w:tcPr>
            <w:tcW w:w="2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center"/>
              <w:ind w:right="62"/>
              <w:spacing w:after="0"/>
              <w:rPr>
                <w:sz w:val="20"/>
                <w:szCs w:val="20"/>
                <w:color w:val="auto"/>
              </w:rPr>
            </w:pPr>
            <w:r>
              <w:rPr>
                <w:rFonts w:ascii="Arial" w:cs="Arial" w:eastAsia="Arial" w:hAnsi="Arial"/>
                <w:sz w:val="14"/>
                <w:szCs w:val="14"/>
                <w:b w:val="1"/>
                <w:bCs w:val="1"/>
                <w:color w:val="auto"/>
              </w:rPr>
              <w:t>Income</w:t>
            </w:r>
          </w:p>
        </w:tc>
      </w:tr>
      <w:tr>
        <w:trPr>
          <w:trHeight w:val="249"/>
        </w:trPr>
        <w:tc>
          <w:tcPr>
            <w:tcW w:w="4360" w:type="dxa"/>
            <w:vAlign w:val="bottom"/>
          </w:tcPr>
          <w:p>
            <w:pPr>
              <w:ind w:left="40"/>
              <w:spacing w:after="0"/>
              <w:rPr>
                <w:sz w:val="20"/>
                <w:szCs w:val="20"/>
                <w:color w:val="auto"/>
              </w:rPr>
            </w:pPr>
            <w:r>
              <w:rPr>
                <w:rFonts w:ascii="Arial" w:cs="Arial" w:eastAsia="Arial" w:hAnsi="Arial"/>
                <w:sz w:val="16"/>
                <w:szCs w:val="16"/>
                <w:color w:val="auto"/>
              </w:rPr>
              <w:t>As of December 31, 2014</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82"/>
              <w:spacing w:after="0"/>
              <w:rPr>
                <w:sz w:val="20"/>
                <w:szCs w:val="20"/>
                <w:color w:val="auto"/>
              </w:rPr>
            </w:pPr>
            <w:r>
              <w:rPr>
                <w:rFonts w:ascii="Arial" w:cs="Arial" w:eastAsia="Arial" w:hAnsi="Arial"/>
                <w:sz w:val="16"/>
                <w:szCs w:val="16"/>
                <w:color w:val="auto"/>
              </w:rPr>
              <w:t>8,548</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61"/>
              <w:spacing w:after="0"/>
              <w:rPr>
                <w:sz w:val="20"/>
                <w:szCs w:val="20"/>
                <w:color w:val="auto"/>
              </w:rPr>
            </w:pPr>
            <w:r>
              <w:rPr>
                <w:rFonts w:ascii="Arial" w:cs="Arial" w:eastAsia="Arial" w:hAnsi="Arial"/>
                <w:sz w:val="16"/>
                <w:szCs w:val="16"/>
                <w:color w:val="auto"/>
              </w:rPr>
              <w:t>52,130</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62"/>
              <w:spacing w:after="0"/>
              <w:rPr>
                <w:sz w:val="20"/>
                <w:szCs w:val="20"/>
                <w:color w:val="auto"/>
              </w:rPr>
            </w:pPr>
            <w:r>
              <w:rPr>
                <w:rFonts w:ascii="Arial" w:cs="Arial" w:eastAsia="Arial" w:hAnsi="Arial"/>
                <w:sz w:val="16"/>
                <w:szCs w:val="16"/>
                <w:color w:val="auto"/>
              </w:rPr>
              <w:t>392,910</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(108)</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22"/>
              <w:spacing w:after="0"/>
              <w:rPr>
                <w:sz w:val="20"/>
                <w:szCs w:val="20"/>
                <w:color w:val="auto"/>
              </w:rPr>
            </w:pPr>
            <w:r>
              <w:rPr>
                <w:rFonts w:ascii="Arial" w:cs="Arial" w:eastAsia="Arial" w:hAnsi="Arial"/>
                <w:sz w:val="16"/>
                <w:szCs w:val="16"/>
                <w:color w:val="auto"/>
              </w:rPr>
              <w:t>453,480</w:t>
            </w:r>
          </w:p>
        </w:tc>
      </w:tr>
      <w:tr>
        <w:trPr>
          <w:trHeight w:val="214"/>
        </w:trPr>
        <w:tc>
          <w:tcPr>
            <w:tcW w:w="4360" w:type="dxa"/>
            <w:vAlign w:val="bottom"/>
          </w:tcPr>
          <w:p>
            <w:pPr>
              <w:ind w:left="180"/>
              <w:spacing w:after="0"/>
              <w:rPr>
                <w:sz w:val="20"/>
                <w:szCs w:val="20"/>
                <w:color w:val="auto"/>
              </w:rPr>
            </w:pPr>
            <w:r>
              <w:rPr>
                <w:rFonts w:ascii="Arial" w:cs="Arial" w:eastAsia="Arial" w:hAnsi="Arial"/>
                <w:sz w:val="16"/>
                <w:szCs w:val="16"/>
                <w:color w:val="auto"/>
              </w:rPr>
              <w:t>Other comprehensive (loss) income before</w:t>
            </w: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9"/>
        </w:trPr>
        <w:tc>
          <w:tcPr>
            <w:tcW w:w="4360" w:type="dxa"/>
            <w:vAlign w:val="bottom"/>
          </w:tcPr>
          <w:p>
            <w:pPr>
              <w:ind w:left="340"/>
              <w:spacing w:after="0"/>
              <w:rPr>
                <w:sz w:val="20"/>
                <w:szCs w:val="20"/>
                <w:color w:val="auto"/>
              </w:rPr>
            </w:pPr>
            <w:r>
              <w:rPr>
                <w:rFonts w:ascii="Arial" w:cs="Arial" w:eastAsia="Arial" w:hAnsi="Arial"/>
                <w:sz w:val="16"/>
                <w:szCs w:val="16"/>
                <w:color w:val="auto"/>
              </w:rPr>
              <w:t>reclassifications</w:t>
            </w:r>
          </w:p>
        </w:tc>
        <w:tc>
          <w:tcPr>
            <w:tcW w:w="180" w:type="dxa"/>
            <w:vAlign w:val="bottom"/>
          </w:tcPr>
          <w:p>
            <w:pPr>
              <w:spacing w:after="0"/>
              <w:rPr>
                <w:sz w:val="19"/>
                <w:szCs w:val="19"/>
                <w:color w:val="auto"/>
              </w:rPr>
            </w:pPr>
          </w:p>
        </w:tc>
        <w:tc>
          <w:tcPr>
            <w:tcW w:w="1160" w:type="dxa"/>
            <w:vAlign w:val="bottom"/>
          </w:tcPr>
          <w:p>
            <w:pPr>
              <w:jc w:val="right"/>
              <w:ind w:right="42"/>
              <w:spacing w:after="0"/>
              <w:rPr>
                <w:sz w:val="20"/>
                <w:szCs w:val="20"/>
                <w:color w:val="auto"/>
              </w:rPr>
            </w:pPr>
            <w:r>
              <w:rPr>
                <w:rFonts w:ascii="Arial" w:cs="Arial" w:eastAsia="Arial" w:hAnsi="Arial"/>
                <w:sz w:val="16"/>
                <w:szCs w:val="16"/>
                <w:color w:val="auto"/>
              </w:rPr>
              <w:t>(18,898)</w:t>
            </w:r>
          </w:p>
        </w:tc>
        <w:tc>
          <w:tcPr>
            <w:tcW w:w="220" w:type="dxa"/>
            <w:vAlign w:val="bottom"/>
          </w:tcPr>
          <w:p>
            <w:pPr>
              <w:spacing w:after="0"/>
              <w:rPr>
                <w:sz w:val="19"/>
                <w:szCs w:val="19"/>
                <w:color w:val="auto"/>
              </w:rPr>
            </w:pPr>
          </w:p>
        </w:tc>
        <w:tc>
          <w:tcPr>
            <w:tcW w:w="1360" w:type="dxa"/>
            <w:vAlign w:val="bottom"/>
          </w:tcPr>
          <w:p>
            <w:pPr>
              <w:jc w:val="right"/>
              <w:ind w:right="61"/>
              <w:spacing w:after="0"/>
              <w:rPr>
                <w:sz w:val="20"/>
                <w:szCs w:val="20"/>
                <w:color w:val="auto"/>
              </w:rPr>
            </w:pPr>
            <w:r>
              <w:rPr>
                <w:rFonts w:ascii="Arial" w:cs="Arial" w:eastAsia="Arial" w:hAnsi="Arial"/>
                <w:sz w:val="16"/>
                <w:szCs w:val="16"/>
                <w:color w:val="auto"/>
              </w:rPr>
              <w:t>6,372</w:t>
            </w:r>
          </w:p>
        </w:tc>
        <w:tc>
          <w:tcPr>
            <w:tcW w:w="220" w:type="dxa"/>
            <w:vAlign w:val="bottom"/>
          </w:tcPr>
          <w:p>
            <w:pPr>
              <w:spacing w:after="0"/>
              <w:rPr>
                <w:sz w:val="19"/>
                <w:szCs w:val="19"/>
                <w:color w:val="auto"/>
              </w:rPr>
            </w:pPr>
          </w:p>
        </w:tc>
        <w:tc>
          <w:tcPr>
            <w:tcW w:w="1360" w:type="dxa"/>
            <w:vAlign w:val="bottom"/>
          </w:tcPr>
          <w:p>
            <w:pPr>
              <w:jc w:val="right"/>
              <w:ind w:right="2"/>
              <w:spacing w:after="0"/>
              <w:rPr>
                <w:sz w:val="20"/>
                <w:szCs w:val="20"/>
                <w:color w:val="auto"/>
              </w:rPr>
            </w:pPr>
            <w:r>
              <w:rPr>
                <w:rFonts w:ascii="Arial" w:cs="Arial" w:eastAsia="Arial" w:hAnsi="Arial"/>
                <w:sz w:val="16"/>
                <w:szCs w:val="16"/>
                <w:color w:val="auto"/>
              </w:rPr>
              <w:t>(126,132)</w:t>
            </w:r>
          </w:p>
        </w:tc>
        <w:tc>
          <w:tcPr>
            <w:tcW w:w="240" w:type="dxa"/>
            <w:vAlign w:val="bottom"/>
          </w:tcPr>
          <w:p>
            <w:pPr>
              <w:spacing w:after="0"/>
              <w:rPr>
                <w:sz w:val="19"/>
                <w:szCs w:val="19"/>
                <w:color w:val="auto"/>
              </w:rPr>
            </w:pPr>
          </w:p>
        </w:tc>
        <w:tc>
          <w:tcPr>
            <w:tcW w:w="780" w:type="dxa"/>
            <w:vAlign w:val="bottom"/>
          </w:tcPr>
          <w:p>
            <w:pPr>
              <w:jc w:val="right"/>
              <w:ind w:right="60"/>
              <w:spacing w:after="0"/>
              <w:rPr>
                <w:sz w:val="20"/>
                <w:szCs w:val="20"/>
                <w:color w:val="auto"/>
              </w:rPr>
            </w:pPr>
            <w:r>
              <w:rPr>
                <w:rFonts w:ascii="Arial" w:cs="Arial" w:eastAsia="Arial" w:hAnsi="Arial"/>
                <w:sz w:val="16"/>
                <w:szCs w:val="16"/>
                <w:color w:val="auto"/>
              </w:rPr>
              <w:t>29</w:t>
            </w: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(138,629)</w:t>
            </w:r>
          </w:p>
        </w:tc>
      </w:tr>
      <w:tr>
        <w:trPr>
          <w:trHeight w:val="214"/>
        </w:trPr>
        <w:tc>
          <w:tcPr>
            <w:tcW w:w="4360" w:type="dxa"/>
            <w:vAlign w:val="bottom"/>
          </w:tcPr>
          <w:p>
            <w:pPr>
              <w:ind w:left="180"/>
              <w:spacing w:after="0"/>
              <w:rPr>
                <w:sz w:val="20"/>
                <w:szCs w:val="20"/>
                <w:color w:val="auto"/>
              </w:rPr>
            </w:pPr>
            <w:r>
              <w:rPr>
                <w:rFonts w:ascii="Arial" w:cs="Arial" w:eastAsia="Arial" w:hAnsi="Arial"/>
                <w:sz w:val="16"/>
                <w:szCs w:val="16"/>
                <w:color w:val="auto"/>
              </w:rPr>
              <w:t>Net amount reclassified from accumulated other</w:t>
            </w: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28"/>
        </w:trPr>
        <w:tc>
          <w:tcPr>
            <w:tcW w:w="4360" w:type="dxa"/>
            <w:vAlign w:val="bottom"/>
          </w:tcPr>
          <w:p>
            <w:pPr>
              <w:ind w:left="340"/>
              <w:spacing w:after="0"/>
              <w:rPr>
                <w:sz w:val="20"/>
                <w:szCs w:val="20"/>
                <w:color w:val="auto"/>
              </w:rPr>
            </w:pPr>
            <w:r>
              <w:rPr>
                <w:rFonts w:ascii="Arial" w:cs="Arial" w:eastAsia="Arial" w:hAnsi="Arial"/>
                <w:sz w:val="16"/>
                <w:szCs w:val="16"/>
                <w:color w:val="auto"/>
              </w:rPr>
              <w:t>comprehensive income</w:t>
            </w: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color w:val="auto"/>
              </w:rPr>
              <w:t>5,501</w:t>
            </w: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w:t>
            </w: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(5,749)</w:t>
            </w: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79</w:t>
            </w: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(171)</w:t>
            </w:r>
          </w:p>
        </w:tc>
      </w:tr>
      <w:tr>
        <w:trPr>
          <w:trHeight w:val="264"/>
        </w:trPr>
        <w:tc>
          <w:tcPr>
            <w:tcW w:w="4360" w:type="dxa"/>
            <w:vAlign w:val="bottom"/>
          </w:tcPr>
          <w:p>
            <w:pPr>
              <w:ind w:left="180"/>
              <w:spacing w:after="0"/>
              <w:rPr>
                <w:sz w:val="20"/>
                <w:szCs w:val="20"/>
                <w:color w:val="auto"/>
              </w:rPr>
            </w:pPr>
            <w:r>
              <w:rPr>
                <w:rFonts w:ascii="Arial" w:cs="Arial" w:eastAsia="Arial" w:hAnsi="Arial"/>
                <w:sz w:val="16"/>
                <w:szCs w:val="16"/>
                <w:color w:val="auto"/>
              </w:rPr>
              <w:t>Net other comprehensive (loss) income</w:t>
            </w:r>
          </w:p>
        </w:tc>
        <w:tc>
          <w:tcPr>
            <w:tcW w:w="1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(13,397)</w:t>
            </w:r>
          </w:p>
        </w:tc>
        <w:tc>
          <w:tcPr>
            <w:tcW w:w="2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6,370</w:t>
            </w:r>
          </w:p>
        </w:tc>
        <w:tc>
          <w:tcPr>
            <w:tcW w:w="2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(131,881)</w:t>
            </w: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108</w:t>
            </w:r>
          </w:p>
        </w:tc>
        <w:tc>
          <w:tcPr>
            <w:tcW w:w="22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(138,800)</w:t>
            </w:r>
          </w:p>
        </w:tc>
      </w:tr>
      <w:tr>
        <w:trPr>
          <w:trHeight w:val="255"/>
        </w:trPr>
        <w:tc>
          <w:tcPr>
            <w:tcW w:w="4360" w:type="dxa"/>
            <w:vAlign w:val="bottom"/>
          </w:tcPr>
          <w:p>
            <w:pPr>
              <w:ind w:left="40"/>
              <w:spacing w:after="0"/>
              <w:rPr>
                <w:sz w:val="20"/>
                <w:szCs w:val="20"/>
                <w:color w:val="auto"/>
              </w:rPr>
            </w:pPr>
            <w:r>
              <w:rPr>
                <w:rFonts w:ascii="Arial" w:cs="Arial" w:eastAsia="Arial" w:hAnsi="Arial"/>
                <w:sz w:val="16"/>
                <w:szCs w:val="16"/>
                <w:color w:val="auto"/>
              </w:rPr>
              <w:t>As of December 31, 2015</w:t>
            </w:r>
          </w:p>
        </w:tc>
        <w:tc>
          <w:tcPr>
            <w:tcW w:w="180" w:type="dxa"/>
            <w:vAlign w:val="bottom"/>
          </w:tcPr>
          <w:p>
            <w:pPr>
              <w:spacing w:after="0"/>
              <w:rPr>
                <w:sz w:val="22"/>
                <w:szCs w:val="22"/>
                <w:color w:val="auto"/>
              </w:rPr>
            </w:pPr>
          </w:p>
        </w:tc>
        <w:tc>
          <w:tcPr>
            <w:tcW w:w="1160" w:type="dxa"/>
            <w:vAlign w:val="bottom"/>
          </w:tcPr>
          <w:p>
            <w:pPr>
              <w:jc w:val="right"/>
              <w:ind w:right="42"/>
              <w:spacing w:after="0"/>
              <w:rPr>
                <w:sz w:val="20"/>
                <w:szCs w:val="20"/>
                <w:color w:val="auto"/>
              </w:rPr>
            </w:pPr>
            <w:r>
              <w:rPr>
                <w:rFonts w:ascii="Arial" w:cs="Arial" w:eastAsia="Arial" w:hAnsi="Arial"/>
                <w:sz w:val="16"/>
                <w:szCs w:val="16"/>
                <w:color w:val="auto"/>
              </w:rPr>
              <w:t>(4,849)</w:t>
            </w:r>
          </w:p>
        </w:tc>
        <w:tc>
          <w:tcPr>
            <w:tcW w:w="220" w:type="dxa"/>
            <w:vAlign w:val="bottom"/>
          </w:tcPr>
          <w:p>
            <w:pPr>
              <w:spacing w:after="0"/>
              <w:rPr>
                <w:sz w:val="22"/>
                <w:szCs w:val="22"/>
                <w:color w:val="auto"/>
              </w:rPr>
            </w:pPr>
          </w:p>
        </w:tc>
        <w:tc>
          <w:tcPr>
            <w:tcW w:w="1360" w:type="dxa"/>
            <w:vAlign w:val="bottom"/>
          </w:tcPr>
          <w:p>
            <w:pPr>
              <w:jc w:val="right"/>
              <w:ind w:right="61"/>
              <w:spacing w:after="0"/>
              <w:rPr>
                <w:sz w:val="20"/>
                <w:szCs w:val="20"/>
                <w:color w:val="auto"/>
              </w:rPr>
            </w:pPr>
            <w:r>
              <w:rPr>
                <w:rFonts w:ascii="Arial" w:cs="Arial" w:eastAsia="Arial" w:hAnsi="Arial"/>
                <w:sz w:val="16"/>
                <w:szCs w:val="16"/>
                <w:color w:val="auto"/>
              </w:rPr>
              <w:t>58,500</w:t>
            </w:r>
          </w:p>
        </w:tc>
        <w:tc>
          <w:tcPr>
            <w:tcW w:w="220" w:type="dxa"/>
            <w:vAlign w:val="bottom"/>
          </w:tcPr>
          <w:p>
            <w:pPr>
              <w:spacing w:after="0"/>
              <w:rPr>
                <w:sz w:val="22"/>
                <w:szCs w:val="22"/>
                <w:color w:val="auto"/>
              </w:rPr>
            </w:pPr>
          </w:p>
        </w:tc>
        <w:tc>
          <w:tcPr>
            <w:tcW w:w="1360" w:type="dxa"/>
            <w:vAlign w:val="bottom"/>
          </w:tcPr>
          <w:p>
            <w:pPr>
              <w:jc w:val="right"/>
              <w:ind w:right="62"/>
              <w:spacing w:after="0"/>
              <w:rPr>
                <w:sz w:val="20"/>
                <w:szCs w:val="20"/>
                <w:color w:val="auto"/>
              </w:rPr>
            </w:pPr>
            <w:r>
              <w:rPr>
                <w:rFonts w:ascii="Arial" w:cs="Arial" w:eastAsia="Arial" w:hAnsi="Arial"/>
                <w:sz w:val="16"/>
                <w:szCs w:val="16"/>
                <w:color w:val="auto"/>
              </w:rPr>
              <w:t>261,029</w:t>
            </w:r>
          </w:p>
        </w:tc>
        <w:tc>
          <w:tcPr>
            <w:tcW w:w="240" w:type="dxa"/>
            <w:vAlign w:val="bottom"/>
          </w:tcPr>
          <w:p>
            <w:pPr>
              <w:spacing w:after="0"/>
              <w:rPr>
                <w:sz w:val="22"/>
                <w:szCs w:val="22"/>
                <w:color w:val="auto"/>
              </w:rPr>
            </w:pPr>
          </w:p>
        </w:tc>
        <w:tc>
          <w:tcPr>
            <w:tcW w:w="78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2"/>
                <w:szCs w:val="22"/>
                <w:color w:val="auto"/>
              </w:rPr>
            </w:pPr>
          </w:p>
        </w:tc>
        <w:tc>
          <w:tcPr>
            <w:tcW w:w="1320" w:type="dxa"/>
            <w:vAlign w:val="bottom"/>
          </w:tcPr>
          <w:p>
            <w:pPr>
              <w:jc w:val="right"/>
              <w:ind w:right="22"/>
              <w:spacing w:after="0"/>
              <w:rPr>
                <w:sz w:val="20"/>
                <w:szCs w:val="20"/>
                <w:color w:val="auto"/>
              </w:rPr>
            </w:pPr>
            <w:r>
              <w:rPr>
                <w:rFonts w:ascii="Arial" w:cs="Arial" w:eastAsia="Arial" w:hAnsi="Arial"/>
                <w:sz w:val="16"/>
                <w:szCs w:val="16"/>
                <w:color w:val="auto"/>
              </w:rPr>
              <w:t>314,680</w:t>
            </w:r>
          </w:p>
        </w:tc>
      </w:tr>
      <w:tr>
        <w:trPr>
          <w:trHeight w:val="211"/>
        </w:trPr>
        <w:tc>
          <w:tcPr>
            <w:tcW w:w="4360" w:type="dxa"/>
            <w:vAlign w:val="bottom"/>
          </w:tcPr>
          <w:p>
            <w:pPr>
              <w:ind w:left="180"/>
              <w:spacing w:after="0"/>
              <w:rPr>
                <w:sz w:val="20"/>
                <w:szCs w:val="20"/>
                <w:color w:val="auto"/>
              </w:rPr>
            </w:pPr>
            <w:r>
              <w:rPr>
                <w:rFonts w:ascii="Arial" w:cs="Arial" w:eastAsia="Arial" w:hAnsi="Arial"/>
                <w:sz w:val="16"/>
                <w:szCs w:val="16"/>
                <w:b w:val="1"/>
                <w:bCs w:val="1"/>
                <w:color w:val="auto"/>
              </w:rPr>
              <w:t>Other comprehensive (loss) income before</w:t>
            </w: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29"/>
        </w:trPr>
        <w:tc>
          <w:tcPr>
            <w:tcW w:w="4360" w:type="dxa"/>
            <w:vAlign w:val="bottom"/>
          </w:tcPr>
          <w:p>
            <w:pPr>
              <w:ind w:left="340"/>
              <w:spacing w:after="0"/>
              <w:rPr>
                <w:sz w:val="20"/>
                <w:szCs w:val="20"/>
                <w:color w:val="auto"/>
              </w:rPr>
            </w:pPr>
            <w:r>
              <w:rPr>
                <w:rFonts w:ascii="Arial" w:cs="Arial" w:eastAsia="Arial" w:hAnsi="Arial"/>
                <w:sz w:val="16"/>
                <w:szCs w:val="16"/>
                <w:b w:val="1"/>
                <w:bCs w:val="1"/>
                <w:color w:val="auto"/>
              </w:rPr>
              <w:t>reclassifications</w:t>
            </w:r>
          </w:p>
        </w:tc>
        <w:tc>
          <w:tcPr>
            <w:tcW w:w="180" w:type="dxa"/>
            <w:vAlign w:val="bottom"/>
          </w:tcPr>
          <w:p>
            <w:pPr>
              <w:spacing w:after="0"/>
              <w:rPr>
                <w:sz w:val="19"/>
                <w:szCs w:val="19"/>
                <w:color w:val="auto"/>
              </w:rPr>
            </w:pPr>
          </w:p>
        </w:tc>
        <w:tc>
          <w:tcPr>
            <w:tcW w:w="1160" w:type="dxa"/>
            <w:vAlign w:val="bottom"/>
          </w:tcPr>
          <w:p>
            <w:pPr>
              <w:jc w:val="right"/>
              <w:ind w:right="42"/>
              <w:spacing w:after="0"/>
              <w:rPr>
                <w:sz w:val="20"/>
                <w:szCs w:val="20"/>
                <w:color w:val="auto"/>
              </w:rPr>
            </w:pPr>
            <w:r>
              <w:rPr>
                <w:rFonts w:ascii="Arial" w:cs="Arial" w:eastAsia="Arial" w:hAnsi="Arial"/>
                <w:sz w:val="16"/>
                <w:szCs w:val="16"/>
                <w:b w:val="1"/>
                <w:bCs w:val="1"/>
                <w:color w:val="auto"/>
              </w:rPr>
              <w:t>(22,149)</w:t>
            </w:r>
          </w:p>
        </w:tc>
        <w:tc>
          <w:tcPr>
            <w:tcW w:w="220" w:type="dxa"/>
            <w:vAlign w:val="bottom"/>
          </w:tcPr>
          <w:p>
            <w:pPr>
              <w:spacing w:after="0"/>
              <w:rPr>
                <w:sz w:val="19"/>
                <w:szCs w:val="19"/>
                <w:color w:val="auto"/>
              </w:rPr>
            </w:pPr>
          </w:p>
        </w:tc>
        <w:tc>
          <w:tcPr>
            <w:tcW w:w="1360" w:type="dxa"/>
            <w:vAlign w:val="bottom"/>
          </w:tcPr>
          <w:p>
            <w:pPr>
              <w:jc w:val="right"/>
              <w:ind w:right="61"/>
              <w:spacing w:after="0"/>
              <w:rPr>
                <w:sz w:val="20"/>
                <w:szCs w:val="20"/>
                <w:color w:val="auto"/>
              </w:rPr>
            </w:pPr>
            <w:r>
              <w:rPr>
                <w:rFonts w:ascii="Arial" w:cs="Arial" w:eastAsia="Arial" w:hAnsi="Arial"/>
                <w:sz w:val="16"/>
                <w:szCs w:val="16"/>
                <w:b w:val="1"/>
                <w:bCs w:val="1"/>
                <w:color w:val="auto"/>
              </w:rPr>
              <w:t>33,304</w:t>
            </w:r>
          </w:p>
        </w:tc>
        <w:tc>
          <w:tcPr>
            <w:tcW w:w="220" w:type="dxa"/>
            <w:vAlign w:val="bottom"/>
          </w:tcPr>
          <w:p>
            <w:pPr>
              <w:spacing w:after="0"/>
              <w:rPr>
                <w:sz w:val="19"/>
                <w:szCs w:val="19"/>
                <w:color w:val="auto"/>
              </w:rPr>
            </w:pPr>
          </w:p>
        </w:tc>
        <w:tc>
          <w:tcPr>
            <w:tcW w:w="1360" w:type="dxa"/>
            <w:vAlign w:val="bottom"/>
          </w:tcPr>
          <w:p>
            <w:pPr>
              <w:jc w:val="right"/>
              <w:ind w:right="2"/>
              <w:spacing w:after="0"/>
              <w:rPr>
                <w:sz w:val="20"/>
                <w:szCs w:val="20"/>
                <w:color w:val="auto"/>
              </w:rPr>
            </w:pPr>
            <w:r>
              <w:rPr>
                <w:rFonts w:ascii="Arial" w:cs="Arial" w:eastAsia="Arial" w:hAnsi="Arial"/>
                <w:sz w:val="16"/>
                <w:szCs w:val="16"/>
                <w:b w:val="1"/>
                <w:bCs w:val="1"/>
                <w:color w:val="auto"/>
              </w:rPr>
              <w:t>(80,349)</w:t>
            </w:r>
          </w:p>
        </w:tc>
        <w:tc>
          <w:tcPr>
            <w:tcW w:w="240" w:type="dxa"/>
            <w:vAlign w:val="bottom"/>
          </w:tcPr>
          <w:p>
            <w:pPr>
              <w:spacing w:after="0"/>
              <w:rPr>
                <w:sz w:val="19"/>
                <w:szCs w:val="19"/>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b w:val="1"/>
                <w:bCs w:val="1"/>
                <w:color w:val="auto"/>
              </w:rPr>
              <w:t>(290)</w:t>
            </w: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b w:val="1"/>
                <w:bCs w:val="1"/>
                <w:color w:val="auto"/>
              </w:rPr>
              <w:t>(69,484)</w:t>
            </w:r>
          </w:p>
        </w:tc>
      </w:tr>
      <w:tr>
        <w:trPr>
          <w:trHeight w:val="204"/>
        </w:trPr>
        <w:tc>
          <w:tcPr>
            <w:tcW w:w="4360" w:type="dxa"/>
            <w:vAlign w:val="bottom"/>
          </w:tcPr>
          <w:p>
            <w:pPr>
              <w:ind w:left="180"/>
              <w:spacing w:after="0"/>
              <w:rPr>
                <w:sz w:val="20"/>
                <w:szCs w:val="20"/>
                <w:color w:val="auto"/>
              </w:rPr>
            </w:pPr>
            <w:r>
              <w:rPr>
                <w:rFonts w:ascii="Arial" w:cs="Arial" w:eastAsia="Arial" w:hAnsi="Arial"/>
                <w:sz w:val="16"/>
                <w:szCs w:val="16"/>
                <w:b w:val="1"/>
                <w:bCs w:val="1"/>
                <w:color w:val="auto"/>
              </w:rPr>
              <w:t>Net amount reclassified from accumulated other</w:t>
            </w: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32"/>
        </w:trPr>
        <w:tc>
          <w:tcPr>
            <w:tcW w:w="4360" w:type="dxa"/>
            <w:vAlign w:val="bottom"/>
          </w:tcPr>
          <w:p>
            <w:pPr>
              <w:ind w:left="340"/>
              <w:spacing w:after="0"/>
              <w:rPr>
                <w:sz w:val="20"/>
                <w:szCs w:val="20"/>
                <w:color w:val="auto"/>
              </w:rPr>
            </w:pPr>
            <w:r>
              <w:rPr>
                <w:rFonts w:ascii="Arial" w:cs="Arial" w:eastAsia="Arial" w:hAnsi="Arial"/>
                <w:sz w:val="16"/>
                <w:szCs w:val="16"/>
                <w:b w:val="1"/>
                <w:bCs w:val="1"/>
                <w:color w:val="auto"/>
              </w:rPr>
              <w:t>comprehensive income</w:t>
            </w:r>
          </w:p>
        </w:tc>
        <w:tc>
          <w:tcPr>
            <w:tcW w:w="1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b w:val="1"/>
                <w:bCs w:val="1"/>
                <w:color w:val="auto"/>
              </w:rPr>
              <w:t>—</w:t>
            </w:r>
          </w:p>
        </w:tc>
        <w:tc>
          <w:tcPr>
            <w:tcW w:w="2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b w:val="1"/>
                <w:bCs w:val="1"/>
                <w:color w:val="auto"/>
              </w:rPr>
              <w:t>1,127</w:t>
            </w:r>
          </w:p>
        </w:tc>
        <w:tc>
          <w:tcPr>
            <w:tcW w:w="2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(9,850)</w:t>
            </w:r>
          </w:p>
        </w:tc>
        <w:tc>
          <w:tcPr>
            <w:tcW w:w="2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13</w:t>
            </w:r>
          </w:p>
        </w:tc>
        <w:tc>
          <w:tcPr>
            <w:tcW w:w="2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(8,710)</w:t>
            </w:r>
          </w:p>
        </w:tc>
      </w:tr>
      <w:tr>
        <w:trPr>
          <w:trHeight w:val="264"/>
        </w:trPr>
        <w:tc>
          <w:tcPr>
            <w:tcW w:w="4360" w:type="dxa"/>
            <w:vAlign w:val="bottom"/>
          </w:tcPr>
          <w:p>
            <w:pPr>
              <w:ind w:left="180"/>
              <w:spacing w:after="0"/>
              <w:rPr>
                <w:sz w:val="20"/>
                <w:szCs w:val="20"/>
                <w:color w:val="auto"/>
              </w:rPr>
            </w:pPr>
            <w:r>
              <w:rPr>
                <w:rFonts w:ascii="Arial" w:cs="Arial" w:eastAsia="Arial" w:hAnsi="Arial"/>
                <w:sz w:val="16"/>
                <w:szCs w:val="16"/>
                <w:b w:val="1"/>
                <w:bCs w:val="1"/>
                <w:color w:val="auto"/>
              </w:rPr>
              <w:t>Net other comprehensive (loss) income</w:t>
            </w:r>
          </w:p>
        </w:tc>
        <w:tc>
          <w:tcPr>
            <w:tcW w:w="1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(22,149)</w:t>
            </w:r>
          </w:p>
        </w:tc>
        <w:tc>
          <w:tcPr>
            <w:tcW w:w="2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b w:val="1"/>
                <w:bCs w:val="1"/>
                <w:color w:val="auto"/>
              </w:rPr>
              <w:t>34,431</w:t>
            </w:r>
          </w:p>
        </w:tc>
        <w:tc>
          <w:tcPr>
            <w:tcW w:w="2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(90,199)</w:t>
            </w: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(277)</w:t>
            </w:r>
          </w:p>
        </w:tc>
        <w:tc>
          <w:tcPr>
            <w:tcW w:w="22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(78,194)</w:t>
            </w:r>
          </w:p>
        </w:tc>
      </w:tr>
      <w:tr>
        <w:trPr>
          <w:trHeight w:val="267"/>
        </w:trPr>
        <w:tc>
          <w:tcPr>
            <w:tcW w:w="4360" w:type="dxa"/>
            <w:vAlign w:val="bottom"/>
          </w:tcPr>
          <w:p>
            <w:pPr>
              <w:ind w:left="40"/>
              <w:spacing w:after="0"/>
              <w:rPr>
                <w:sz w:val="20"/>
                <w:szCs w:val="20"/>
                <w:color w:val="auto"/>
              </w:rPr>
            </w:pPr>
            <w:r>
              <w:rPr>
                <w:rFonts w:ascii="Arial" w:cs="Arial" w:eastAsia="Arial" w:hAnsi="Arial"/>
                <w:sz w:val="16"/>
                <w:szCs w:val="16"/>
                <w:b w:val="1"/>
                <w:bCs w:val="1"/>
                <w:color w:val="auto"/>
              </w:rPr>
              <w:t>As of December 31, 2016</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16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(26,998)</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36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b w:val="1"/>
                <w:bCs w:val="1"/>
                <w:color w:val="auto"/>
              </w:rPr>
              <w:t>92,931</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36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b w:val="1"/>
                <w:bCs w:val="1"/>
                <w:color w:val="auto"/>
              </w:rPr>
              <w:t>170,830</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7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(277)</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32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b w:val="1"/>
                <w:bCs w:val="1"/>
                <w:color w:val="auto"/>
              </w:rPr>
              <w:t>236,486</w:t>
            </w:r>
          </w:p>
        </w:tc>
      </w:tr>
      <w:tr>
        <w:trPr>
          <w:trHeight w:val="20"/>
        </w:trPr>
        <w:tc>
          <w:tcPr>
            <w:tcW w:w="4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420"/>
          </w:cols>
          <w:pgMar w:left="240" w:top="964" w:right="239" w:bottom="1440" w:gutter="0" w:footer="0" w:header="0"/>
          <w:type w:val="continuous"/>
        </w:sectPr>
      </w:pPr>
    </w:p>
    <w:bookmarkStart w:id="106" w:name="page107"/>
    <w:bookmarkEnd w:id="106"/>
    <w:p>
      <w:pPr>
        <w:spacing w:after="0"/>
        <w:rPr>
          <w:sz w:val="20"/>
          <w:szCs w:val="20"/>
          <w:color w:val="auto"/>
        </w:rPr>
      </w:pPr>
      <w:r>
        <w:rPr>
          <w:rFonts w:ascii="Arial" w:cs="Arial" w:eastAsia="Arial" w:hAnsi="Arial"/>
          <w:sz w:val="18"/>
          <w:szCs w:val="18"/>
          <w:color w:val="auto"/>
        </w:rPr>
        <w:t>The amounts and line items of reclassifications out of Accumulated Other Comprehensive Income are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6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780" w:type="dxa"/>
            <w:vAlign w:val="bottom"/>
            <w:tcBorders>
              <w:bottom w:val="single" w:sz="8" w:color="auto"/>
            </w:tcBorders>
            <w:gridSpan w:val="5"/>
          </w:tcPr>
          <w:p>
            <w:pPr>
              <w:jc w:val="right"/>
              <w:ind w:right="520"/>
              <w:spacing w:after="0"/>
              <w:rPr>
                <w:sz w:val="20"/>
                <w:szCs w:val="20"/>
                <w:color w:val="auto"/>
              </w:rPr>
            </w:pPr>
            <w:r>
              <w:rPr>
                <w:rFonts w:ascii="Arial" w:cs="Arial" w:eastAsia="Arial" w:hAnsi="Arial"/>
                <w:sz w:val="14"/>
                <w:szCs w:val="14"/>
                <w:b w:val="1"/>
                <w:bCs w:val="1"/>
                <w:color w:val="auto"/>
              </w:rPr>
              <w:t>Year Ended December 31</w:t>
            </w:r>
          </w:p>
        </w:tc>
        <w:tc>
          <w:tcPr>
            <w:tcW w:w="120" w:type="dxa"/>
            <w:vAlign w:val="bottom"/>
            <w:tcBorders>
              <w:bottom w:val="single" w:sz="8" w:color="auto"/>
            </w:tcBorders>
          </w:tcPr>
          <w:p>
            <w:pPr>
              <w:spacing w:after="0"/>
              <w:rPr>
                <w:sz w:val="17"/>
                <w:szCs w:val="17"/>
                <w:color w:val="auto"/>
              </w:rPr>
            </w:pPr>
          </w:p>
        </w:tc>
        <w:tc>
          <w:tcPr>
            <w:tcW w:w="27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Affected Line Item in the Consolidated</w:t>
            </w:r>
          </w:p>
        </w:tc>
        <w:tc>
          <w:tcPr>
            <w:tcW w:w="0" w:type="dxa"/>
            <w:vAlign w:val="bottom"/>
          </w:tcPr>
          <w:p>
            <w:pPr>
              <w:spacing w:after="0"/>
              <w:rPr>
                <w:sz w:val="1"/>
                <w:szCs w:val="1"/>
                <w:color w:val="auto"/>
              </w:rPr>
            </w:pPr>
          </w:p>
        </w:tc>
      </w:tr>
      <w:tr>
        <w:trPr>
          <w:trHeight w:val="60"/>
        </w:trPr>
        <w:tc>
          <w:tcPr>
            <w:tcW w:w="5620" w:type="dxa"/>
            <w:vAlign w:val="bottom"/>
          </w:tcPr>
          <w:p>
            <w:pPr>
              <w:spacing w:after="0"/>
              <w:rPr>
                <w:sz w:val="5"/>
                <w:szCs w:val="5"/>
                <w:color w:val="auto"/>
              </w:rPr>
            </w:pPr>
          </w:p>
        </w:tc>
        <w:tc>
          <w:tcPr>
            <w:tcW w:w="180" w:type="dxa"/>
            <w:vAlign w:val="bottom"/>
          </w:tcPr>
          <w:p>
            <w:pPr>
              <w:spacing w:after="0"/>
              <w:rPr>
                <w:sz w:val="5"/>
                <w:szCs w:val="5"/>
                <w:color w:val="auto"/>
              </w:rPr>
            </w:pPr>
          </w:p>
        </w:tc>
        <w:tc>
          <w:tcPr>
            <w:tcW w:w="780" w:type="dxa"/>
            <w:vAlign w:val="bottom"/>
          </w:tcPr>
          <w:p>
            <w:pPr>
              <w:spacing w:after="0"/>
              <w:rPr>
                <w:sz w:val="5"/>
                <w:szCs w:val="5"/>
                <w:color w:val="auto"/>
              </w:rPr>
            </w:pPr>
          </w:p>
        </w:tc>
        <w:tc>
          <w:tcPr>
            <w:tcW w:w="2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7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56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60"/>
              <w:spacing w:after="0"/>
              <w:rPr>
                <w:sz w:val="20"/>
                <w:szCs w:val="20"/>
                <w:color w:val="auto"/>
              </w:rPr>
            </w:pPr>
            <w:r>
              <w:rPr>
                <w:rFonts w:ascii="Arial" w:cs="Arial" w:eastAsia="Arial" w:hAnsi="Arial"/>
                <w:sz w:val="14"/>
                <w:szCs w:val="14"/>
                <w:b w:val="1"/>
                <w:bCs w:val="1"/>
                <w:color w:val="auto"/>
              </w:rPr>
              <w:t>2016</w:t>
            </w:r>
          </w:p>
        </w:tc>
        <w:tc>
          <w:tcPr>
            <w:tcW w:w="2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180"/>
              <w:spacing w:after="0"/>
              <w:rPr>
                <w:sz w:val="20"/>
                <w:szCs w:val="20"/>
                <w:color w:val="auto"/>
              </w:rPr>
            </w:pPr>
            <w:r>
              <w:rPr>
                <w:rFonts w:ascii="Arial" w:cs="Arial" w:eastAsia="Arial" w:hAnsi="Arial"/>
                <w:sz w:val="14"/>
                <w:szCs w:val="14"/>
                <w:color w:val="auto"/>
              </w:rPr>
              <w:t>2015</w:t>
            </w:r>
          </w:p>
        </w:tc>
        <w:tc>
          <w:tcPr>
            <w:tcW w:w="2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60"/>
              <w:spacing w:after="0"/>
              <w:rPr>
                <w:sz w:val="20"/>
                <w:szCs w:val="20"/>
                <w:color w:val="auto"/>
              </w:rPr>
            </w:pPr>
            <w:r>
              <w:rPr>
                <w:rFonts w:ascii="Arial" w:cs="Arial" w:eastAsia="Arial" w:hAnsi="Arial"/>
                <w:sz w:val="14"/>
                <w:szCs w:val="14"/>
                <w:color w:val="auto"/>
              </w:rPr>
              <w:t>2014</w:t>
            </w:r>
          </w:p>
        </w:tc>
        <w:tc>
          <w:tcPr>
            <w:tcW w:w="120" w:type="dxa"/>
            <w:vAlign w:val="bottom"/>
            <w:tcBorders>
              <w:bottom w:val="single" w:sz="8" w:color="auto"/>
            </w:tcBorders>
          </w:tcPr>
          <w:p>
            <w:pPr>
              <w:spacing w:after="0"/>
              <w:rPr>
                <w:sz w:val="17"/>
                <w:szCs w:val="17"/>
                <w:color w:val="auto"/>
              </w:rPr>
            </w:pPr>
          </w:p>
        </w:tc>
        <w:tc>
          <w:tcPr>
            <w:tcW w:w="2720" w:type="dxa"/>
            <w:vAlign w:val="bottom"/>
            <w:tcBorders>
              <w:bottom w:val="single" w:sz="8" w:color="auto"/>
            </w:tcBorders>
          </w:tcPr>
          <w:p>
            <w:pPr>
              <w:ind w:left="520"/>
              <w:spacing w:after="0"/>
              <w:rPr>
                <w:sz w:val="20"/>
                <w:szCs w:val="20"/>
                <w:color w:val="auto"/>
              </w:rPr>
            </w:pPr>
            <w:r>
              <w:rPr>
                <w:rFonts w:ascii="Arial" w:cs="Arial" w:eastAsia="Arial" w:hAnsi="Arial"/>
                <w:sz w:val="14"/>
                <w:szCs w:val="14"/>
                <w:b w:val="1"/>
                <w:bCs w:val="1"/>
                <w:color w:val="auto"/>
              </w:rPr>
              <w:t>Statement of Operations</w:t>
            </w:r>
          </w:p>
        </w:tc>
        <w:tc>
          <w:tcPr>
            <w:tcW w:w="0" w:type="dxa"/>
            <w:vAlign w:val="bottom"/>
          </w:tcPr>
          <w:p>
            <w:pPr>
              <w:spacing w:after="0"/>
              <w:rPr>
                <w:sz w:val="1"/>
                <w:szCs w:val="1"/>
                <w:color w:val="auto"/>
              </w:rPr>
            </w:pPr>
          </w:p>
        </w:tc>
      </w:tr>
      <w:tr>
        <w:trPr>
          <w:trHeight w:val="257"/>
        </w:trPr>
        <w:tc>
          <w:tcPr>
            <w:tcW w:w="5620" w:type="dxa"/>
            <w:vAlign w:val="bottom"/>
          </w:tcPr>
          <w:p>
            <w:pPr>
              <w:ind w:left="40"/>
              <w:spacing w:after="0"/>
              <w:rPr>
                <w:sz w:val="20"/>
                <w:szCs w:val="20"/>
                <w:color w:val="auto"/>
              </w:rPr>
            </w:pPr>
            <w:r>
              <w:rPr>
                <w:rFonts w:ascii="Arial" w:cs="Arial" w:eastAsia="Arial" w:hAnsi="Arial"/>
                <w:sz w:val="16"/>
                <w:szCs w:val="16"/>
                <w:b w:val="1"/>
                <w:bCs w:val="1"/>
                <w:color w:val="auto"/>
              </w:rPr>
              <w:t>Foreign Currency Translation Adjustments:</w:t>
            </w:r>
          </w:p>
        </w:tc>
        <w:tc>
          <w:tcPr>
            <w:tcW w:w="1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5620" w:type="dxa"/>
            <w:vAlign w:val="bottom"/>
          </w:tcPr>
          <w:p>
            <w:pPr>
              <w:ind w:left="180"/>
              <w:spacing w:after="0"/>
              <w:rPr>
                <w:sz w:val="20"/>
                <w:szCs w:val="20"/>
                <w:color w:val="auto"/>
              </w:rPr>
            </w:pPr>
            <w:r>
              <w:rPr>
                <w:rFonts w:ascii="Arial" w:cs="Arial" w:eastAsia="Arial" w:hAnsi="Arial"/>
                <w:sz w:val="16"/>
                <w:szCs w:val="16"/>
                <w:color w:val="auto"/>
              </w:rPr>
              <w:t>Adjustment for sales of businesses with foreign operations</w:t>
            </w: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780" w:type="dxa"/>
            <w:vAlign w:val="bottom"/>
          </w:tcPr>
          <w:p>
            <w:pPr>
              <w:jc w:val="right"/>
              <w:ind w:right="60"/>
              <w:spacing w:after="0"/>
              <w:rPr>
                <w:sz w:val="20"/>
                <w:szCs w:val="20"/>
                <w:color w:val="auto"/>
              </w:rPr>
            </w:pPr>
            <w:r>
              <w:rPr>
                <w:rFonts w:ascii="Arial" w:cs="Arial" w:eastAsia="Arial" w:hAnsi="Arial"/>
                <w:sz w:val="16"/>
                <w:szCs w:val="16"/>
                <w:b w:val="1"/>
                <w:bCs w:val="1"/>
                <w:color w:val="auto"/>
              </w:rPr>
              <w:t>—</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60"/>
              <w:spacing w:after="0"/>
              <w:rPr>
                <w:sz w:val="20"/>
                <w:szCs w:val="20"/>
                <w:color w:val="auto"/>
              </w:rPr>
            </w:pPr>
            <w:r>
              <w:rPr>
                <w:rFonts w:ascii="Arial" w:cs="Arial" w:eastAsia="Arial" w:hAnsi="Arial"/>
                <w:sz w:val="16"/>
                <w:szCs w:val="16"/>
                <w:color w:val="auto"/>
              </w:rPr>
              <w:t>5,501</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(404)</w:t>
            </w:r>
          </w:p>
        </w:tc>
        <w:tc>
          <w:tcPr>
            <w:tcW w:w="2840" w:type="dxa"/>
            <w:vAlign w:val="bottom"/>
            <w:gridSpan w:val="2"/>
          </w:tcPr>
          <w:p>
            <w:pPr>
              <w:ind w:left="140"/>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70"/>
        </w:trPr>
        <w:tc>
          <w:tcPr>
            <w:tcW w:w="5620" w:type="dxa"/>
            <w:vAlign w:val="bottom"/>
          </w:tcPr>
          <w:p>
            <w:pPr>
              <w:ind w:left="40"/>
              <w:spacing w:after="0"/>
              <w:rPr>
                <w:sz w:val="20"/>
                <w:szCs w:val="20"/>
                <w:color w:val="auto"/>
              </w:rPr>
            </w:pPr>
            <w:r>
              <w:rPr>
                <w:rFonts w:ascii="Arial" w:cs="Arial" w:eastAsia="Arial" w:hAnsi="Arial"/>
                <w:sz w:val="16"/>
                <w:szCs w:val="16"/>
                <w:b w:val="1"/>
                <w:bCs w:val="1"/>
                <w:color w:val="auto"/>
              </w:rPr>
              <w:t>Unrealized Gains on Available-for-Sale Securities:</w:t>
            </w:r>
          </w:p>
        </w:tc>
        <w:tc>
          <w:tcPr>
            <w:tcW w:w="1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7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620" w:type="dxa"/>
            <w:vAlign w:val="bottom"/>
          </w:tcPr>
          <w:p>
            <w:pPr>
              <w:ind w:left="180"/>
              <w:spacing w:after="0"/>
              <w:rPr>
                <w:sz w:val="20"/>
                <w:szCs w:val="20"/>
                <w:color w:val="auto"/>
              </w:rPr>
            </w:pPr>
            <w:r>
              <w:rPr>
                <w:rFonts w:ascii="Arial" w:cs="Arial" w:eastAsia="Arial" w:hAnsi="Arial"/>
                <w:sz w:val="16"/>
                <w:szCs w:val="16"/>
                <w:color w:val="auto"/>
              </w:rPr>
              <w:t>Realized loss (gain) for the year</w:t>
            </w:r>
          </w:p>
        </w:tc>
        <w:tc>
          <w:tcPr>
            <w:tcW w:w="180" w:type="dxa"/>
            <w:vAlign w:val="bottom"/>
          </w:tcPr>
          <w:p>
            <w:pPr>
              <w:spacing w:after="0"/>
              <w:rPr>
                <w:sz w:val="23"/>
                <w:szCs w:val="23"/>
                <w:color w:val="auto"/>
              </w:rPr>
            </w:pPr>
          </w:p>
        </w:tc>
        <w:tc>
          <w:tcPr>
            <w:tcW w:w="780" w:type="dxa"/>
            <w:vAlign w:val="bottom"/>
          </w:tcPr>
          <w:p>
            <w:pPr>
              <w:jc w:val="right"/>
              <w:ind w:right="60"/>
              <w:spacing w:after="0"/>
              <w:rPr>
                <w:sz w:val="20"/>
                <w:szCs w:val="20"/>
                <w:color w:val="auto"/>
              </w:rPr>
            </w:pPr>
            <w:r>
              <w:rPr>
                <w:rFonts w:ascii="Arial" w:cs="Arial" w:eastAsia="Arial" w:hAnsi="Arial"/>
                <w:sz w:val="16"/>
                <w:szCs w:val="16"/>
                <w:b w:val="1"/>
                <w:bCs w:val="1"/>
                <w:color w:val="auto"/>
              </w:rPr>
              <w:t>1,879</w:t>
            </w:r>
          </w:p>
        </w:tc>
        <w:tc>
          <w:tcPr>
            <w:tcW w:w="24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(4)</w:t>
            </w:r>
          </w:p>
        </w:tc>
        <w:tc>
          <w:tcPr>
            <w:tcW w:w="2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(265,274)</w:t>
            </w:r>
          </w:p>
        </w:tc>
        <w:tc>
          <w:tcPr>
            <w:tcW w:w="120" w:type="dxa"/>
            <w:vAlign w:val="bottom"/>
          </w:tcPr>
          <w:p>
            <w:pPr>
              <w:spacing w:after="0"/>
              <w:rPr>
                <w:sz w:val="23"/>
                <w:szCs w:val="23"/>
                <w:color w:val="auto"/>
              </w:rPr>
            </w:pPr>
          </w:p>
        </w:tc>
        <w:tc>
          <w:tcPr>
            <w:tcW w:w="2720" w:type="dxa"/>
            <w:vAlign w:val="bottom"/>
          </w:tcPr>
          <w:p>
            <w:pPr>
              <w:ind w:left="20"/>
              <w:spacing w:after="0"/>
              <w:rPr>
                <w:sz w:val="20"/>
                <w:szCs w:val="20"/>
                <w:color w:val="auto"/>
              </w:rPr>
            </w:pPr>
            <w:r>
              <w:rPr>
                <w:rFonts w:ascii="Arial" w:cs="Arial" w:eastAsia="Arial" w:hAnsi="Arial"/>
                <w:sz w:val="16"/>
                <w:szCs w:val="16"/>
                <w:color w:val="auto"/>
              </w:rPr>
              <w:t>Other (expense) income, net</w:t>
            </w:r>
          </w:p>
        </w:tc>
        <w:tc>
          <w:tcPr>
            <w:tcW w:w="0" w:type="dxa"/>
            <w:vAlign w:val="bottom"/>
          </w:tcPr>
          <w:p>
            <w:pPr>
              <w:spacing w:after="0"/>
              <w:rPr>
                <w:sz w:val="1"/>
                <w:szCs w:val="1"/>
                <w:color w:val="auto"/>
              </w:rPr>
            </w:pPr>
          </w:p>
        </w:tc>
      </w:tr>
      <w:tr>
        <w:trPr>
          <w:trHeight w:val="274"/>
        </w:trPr>
        <w:tc>
          <w:tcPr>
            <w:tcW w:w="562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(752)</w:t>
            </w:r>
          </w:p>
        </w:tc>
        <w:tc>
          <w:tcPr>
            <w:tcW w:w="24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2</w:t>
            </w:r>
          </w:p>
        </w:tc>
        <w:tc>
          <w:tcPr>
            <w:tcW w:w="28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106,110</w:t>
            </w:r>
          </w:p>
        </w:tc>
        <w:tc>
          <w:tcPr>
            <w:tcW w:w="2840" w:type="dxa"/>
            <w:vAlign w:val="bottom"/>
            <w:gridSpan w:val="2"/>
          </w:tcPr>
          <w:p>
            <w:pPr>
              <w:ind w:left="140"/>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61"/>
        </w:trPr>
        <w:tc>
          <w:tcPr>
            <w:tcW w:w="56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1,127</w:t>
            </w:r>
          </w:p>
        </w:tc>
        <w:tc>
          <w:tcPr>
            <w:tcW w:w="24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2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(159,164)</w:t>
            </w:r>
          </w:p>
        </w:tc>
        <w:tc>
          <w:tcPr>
            <w:tcW w:w="120" w:type="dxa"/>
            <w:vAlign w:val="bottom"/>
          </w:tcPr>
          <w:p>
            <w:pPr>
              <w:spacing w:after="0"/>
              <w:rPr>
                <w:sz w:val="22"/>
                <w:szCs w:val="22"/>
                <w:color w:val="auto"/>
              </w:rPr>
            </w:pPr>
          </w:p>
        </w:tc>
        <w:tc>
          <w:tcPr>
            <w:tcW w:w="2720" w:type="dxa"/>
            <w:vAlign w:val="bottom"/>
          </w:tcPr>
          <w:p>
            <w:pPr>
              <w:ind w:left="20"/>
              <w:spacing w:after="0"/>
              <w:rPr>
                <w:sz w:val="20"/>
                <w:szCs w:val="20"/>
                <w:color w:val="auto"/>
              </w:rPr>
            </w:pPr>
            <w:r>
              <w:rPr>
                <w:rFonts w:ascii="Arial" w:cs="Arial" w:eastAsia="Arial" w:hAnsi="Arial"/>
                <w:sz w:val="16"/>
                <w:szCs w:val="16"/>
                <w:color w:val="auto"/>
              </w:rPr>
              <w:t>Net of tax</w:t>
            </w:r>
          </w:p>
        </w:tc>
        <w:tc>
          <w:tcPr>
            <w:tcW w:w="0" w:type="dxa"/>
            <w:vAlign w:val="bottom"/>
          </w:tcPr>
          <w:p>
            <w:pPr>
              <w:spacing w:after="0"/>
              <w:rPr>
                <w:sz w:val="1"/>
                <w:szCs w:val="1"/>
                <w:color w:val="auto"/>
              </w:rPr>
            </w:pPr>
          </w:p>
        </w:tc>
      </w:tr>
      <w:tr>
        <w:trPr>
          <w:trHeight w:val="263"/>
        </w:trPr>
        <w:tc>
          <w:tcPr>
            <w:tcW w:w="5620" w:type="dxa"/>
            <w:vAlign w:val="bottom"/>
          </w:tcPr>
          <w:p>
            <w:pPr>
              <w:ind w:left="40"/>
              <w:spacing w:after="0"/>
              <w:rPr>
                <w:sz w:val="20"/>
                <w:szCs w:val="20"/>
                <w:color w:val="auto"/>
              </w:rPr>
            </w:pPr>
            <w:r>
              <w:rPr>
                <w:rFonts w:ascii="Arial" w:cs="Arial" w:eastAsia="Arial" w:hAnsi="Arial"/>
                <w:sz w:val="16"/>
                <w:szCs w:val="16"/>
                <w:b w:val="1"/>
                <w:bCs w:val="1"/>
                <w:color w:val="auto"/>
              </w:rPr>
              <w:t>Pension and Other Postretirement Plans:</w:t>
            </w:r>
          </w:p>
        </w:tc>
        <w:tc>
          <w:tcPr>
            <w:tcW w:w="1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5620" w:type="dxa"/>
            <w:vAlign w:val="bottom"/>
          </w:tcPr>
          <w:p>
            <w:pPr>
              <w:ind w:left="180"/>
              <w:spacing w:after="0"/>
              <w:rPr>
                <w:sz w:val="20"/>
                <w:szCs w:val="20"/>
                <w:color w:val="auto"/>
              </w:rPr>
            </w:pPr>
            <w:r>
              <w:rPr>
                <w:rFonts w:ascii="Arial" w:cs="Arial" w:eastAsia="Arial" w:hAnsi="Arial"/>
                <w:sz w:val="16"/>
                <w:szCs w:val="16"/>
                <w:color w:val="auto"/>
              </w:rPr>
              <w:t>Amortization of net actuarial loss (gain)</w:t>
            </w:r>
          </w:p>
        </w:tc>
        <w:tc>
          <w:tcPr>
            <w:tcW w:w="180" w:type="dxa"/>
            <w:vAlign w:val="bottom"/>
          </w:tcPr>
          <w:p>
            <w:pPr>
              <w:spacing w:after="0"/>
              <w:rPr>
                <w:sz w:val="23"/>
                <w:szCs w:val="23"/>
                <w:color w:val="auto"/>
              </w:rPr>
            </w:pPr>
          </w:p>
        </w:tc>
        <w:tc>
          <w:tcPr>
            <w:tcW w:w="780" w:type="dxa"/>
            <w:vAlign w:val="bottom"/>
          </w:tcPr>
          <w:p>
            <w:pPr>
              <w:jc w:val="right"/>
              <w:ind w:right="60"/>
              <w:spacing w:after="0"/>
              <w:rPr>
                <w:sz w:val="20"/>
                <w:szCs w:val="20"/>
                <w:color w:val="auto"/>
              </w:rPr>
            </w:pPr>
            <w:r>
              <w:rPr>
                <w:rFonts w:ascii="Arial" w:cs="Arial" w:eastAsia="Arial" w:hAnsi="Arial"/>
                <w:sz w:val="16"/>
                <w:szCs w:val="16"/>
                <w:b w:val="1"/>
                <w:bCs w:val="1"/>
                <w:color w:val="auto"/>
              </w:rPr>
              <w:t>1,157</w:t>
            </w:r>
          </w:p>
        </w:tc>
        <w:tc>
          <w:tcPr>
            <w:tcW w:w="24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(9,906)</w:t>
            </w:r>
          </w:p>
        </w:tc>
        <w:tc>
          <w:tcPr>
            <w:tcW w:w="2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(29,412)</w:t>
            </w:r>
          </w:p>
        </w:tc>
        <w:tc>
          <w:tcPr>
            <w:tcW w:w="2840" w:type="dxa"/>
            <w:vAlign w:val="bottom"/>
            <w:gridSpan w:val="2"/>
          </w:tcPr>
          <w:p>
            <w:pPr>
              <w:ind w:left="140"/>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70"/>
        </w:trPr>
        <w:tc>
          <w:tcPr>
            <w:tcW w:w="5620" w:type="dxa"/>
            <w:vAlign w:val="bottom"/>
          </w:tcPr>
          <w:p>
            <w:pPr>
              <w:ind w:left="180"/>
              <w:spacing w:after="0"/>
              <w:rPr>
                <w:sz w:val="20"/>
                <w:szCs w:val="20"/>
                <w:color w:val="auto"/>
              </w:rPr>
            </w:pPr>
            <w:r>
              <w:rPr>
                <w:rFonts w:ascii="Arial" w:cs="Arial" w:eastAsia="Arial" w:hAnsi="Arial"/>
                <w:sz w:val="16"/>
                <w:szCs w:val="16"/>
                <w:color w:val="auto"/>
              </w:rPr>
              <w:t>Amortization of net prior service cost (credit)</w:t>
            </w:r>
          </w:p>
        </w:tc>
        <w:tc>
          <w:tcPr>
            <w:tcW w:w="180" w:type="dxa"/>
            <w:vAlign w:val="bottom"/>
          </w:tcPr>
          <w:p>
            <w:pPr>
              <w:spacing w:after="0"/>
              <w:rPr>
                <w:sz w:val="23"/>
                <w:szCs w:val="23"/>
                <w:color w:val="auto"/>
              </w:rPr>
            </w:pPr>
          </w:p>
        </w:tc>
        <w:tc>
          <w:tcPr>
            <w:tcW w:w="780" w:type="dxa"/>
            <w:vAlign w:val="bottom"/>
          </w:tcPr>
          <w:p>
            <w:pPr>
              <w:jc w:val="right"/>
              <w:ind w:right="60"/>
              <w:spacing w:after="0"/>
              <w:rPr>
                <w:sz w:val="20"/>
                <w:szCs w:val="20"/>
                <w:color w:val="auto"/>
              </w:rPr>
            </w:pPr>
            <w:r>
              <w:rPr>
                <w:rFonts w:ascii="Arial" w:cs="Arial" w:eastAsia="Arial" w:hAnsi="Arial"/>
                <w:sz w:val="16"/>
                <w:szCs w:val="16"/>
                <w:b w:val="1"/>
                <w:bCs w:val="1"/>
                <w:color w:val="auto"/>
              </w:rPr>
              <w:t>419</w:t>
            </w:r>
          </w:p>
        </w:tc>
        <w:tc>
          <w:tcPr>
            <w:tcW w:w="240" w:type="dxa"/>
            <w:vAlign w:val="bottom"/>
          </w:tcPr>
          <w:p>
            <w:pPr>
              <w:spacing w:after="0"/>
              <w:rPr>
                <w:sz w:val="23"/>
                <w:szCs w:val="23"/>
                <w:color w:val="auto"/>
              </w:rPr>
            </w:pPr>
          </w:p>
        </w:tc>
        <w:tc>
          <w:tcPr>
            <w:tcW w:w="660" w:type="dxa"/>
            <w:vAlign w:val="bottom"/>
          </w:tcPr>
          <w:p>
            <w:pPr>
              <w:jc w:val="right"/>
              <w:ind w:right="60"/>
              <w:spacing w:after="0"/>
              <w:rPr>
                <w:sz w:val="20"/>
                <w:szCs w:val="20"/>
                <w:color w:val="auto"/>
              </w:rPr>
            </w:pPr>
            <w:r>
              <w:rPr>
                <w:rFonts w:ascii="Arial" w:cs="Arial" w:eastAsia="Arial" w:hAnsi="Arial"/>
                <w:sz w:val="16"/>
                <w:szCs w:val="16"/>
                <w:color w:val="auto"/>
              </w:rPr>
              <w:t>275</w:t>
            </w:r>
          </w:p>
        </w:tc>
        <w:tc>
          <w:tcPr>
            <w:tcW w:w="2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(407)</w:t>
            </w:r>
          </w:p>
        </w:tc>
        <w:tc>
          <w:tcPr>
            <w:tcW w:w="2840" w:type="dxa"/>
            <w:vAlign w:val="bottom"/>
            <w:gridSpan w:val="2"/>
          </w:tcPr>
          <w:p>
            <w:pPr>
              <w:ind w:left="140"/>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74"/>
        </w:trPr>
        <w:tc>
          <w:tcPr>
            <w:tcW w:w="5620" w:type="dxa"/>
            <w:vAlign w:val="bottom"/>
          </w:tcPr>
          <w:p>
            <w:pPr>
              <w:ind w:left="180"/>
              <w:spacing w:after="0"/>
              <w:rPr>
                <w:sz w:val="20"/>
                <w:szCs w:val="20"/>
                <w:color w:val="auto"/>
              </w:rPr>
            </w:pPr>
            <w:r>
              <w:rPr>
                <w:rFonts w:ascii="Arial" w:cs="Arial" w:eastAsia="Arial" w:hAnsi="Arial"/>
                <w:sz w:val="16"/>
                <w:szCs w:val="16"/>
                <w:color w:val="auto"/>
              </w:rPr>
              <w:t>Curtailment (gains) losses</w:t>
            </w:r>
          </w:p>
        </w:tc>
        <w:tc>
          <w:tcPr>
            <w:tcW w:w="18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(17,993)</w:t>
            </w:r>
          </w:p>
        </w:tc>
        <w:tc>
          <w:tcPr>
            <w:tcW w:w="24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51</w:t>
            </w:r>
          </w:p>
        </w:tc>
        <w:tc>
          <w:tcPr>
            <w:tcW w:w="28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2840" w:type="dxa"/>
            <w:vAlign w:val="bottom"/>
            <w:gridSpan w:val="2"/>
          </w:tcPr>
          <w:p>
            <w:pPr>
              <w:ind w:left="140"/>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60"/>
        </w:trPr>
        <w:tc>
          <w:tcPr>
            <w:tcW w:w="56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(16,417)</w:t>
            </w:r>
          </w:p>
        </w:tc>
        <w:tc>
          <w:tcPr>
            <w:tcW w:w="24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(9,580)</w:t>
            </w:r>
          </w:p>
        </w:tc>
        <w:tc>
          <w:tcPr>
            <w:tcW w:w="28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(29,819)</w:t>
            </w:r>
          </w:p>
        </w:tc>
        <w:tc>
          <w:tcPr>
            <w:tcW w:w="120" w:type="dxa"/>
            <w:vAlign w:val="bottom"/>
          </w:tcPr>
          <w:p>
            <w:pPr>
              <w:spacing w:after="0"/>
              <w:rPr>
                <w:sz w:val="22"/>
                <w:szCs w:val="22"/>
                <w:color w:val="auto"/>
              </w:rPr>
            </w:pPr>
          </w:p>
        </w:tc>
        <w:tc>
          <w:tcPr>
            <w:tcW w:w="2720" w:type="dxa"/>
            <w:vAlign w:val="bottom"/>
          </w:tcPr>
          <w:p>
            <w:pPr>
              <w:ind w:left="20"/>
              <w:spacing w:after="0"/>
              <w:rPr>
                <w:sz w:val="20"/>
                <w:szCs w:val="20"/>
                <w:color w:val="auto"/>
              </w:rPr>
            </w:pPr>
            <w:r>
              <w:rPr>
                <w:rFonts w:ascii="Arial" w:cs="Arial" w:eastAsia="Arial" w:hAnsi="Arial"/>
                <w:sz w:val="16"/>
                <w:szCs w:val="16"/>
                <w:color w:val="auto"/>
              </w:rPr>
              <w:t>Before tax</w:t>
            </w:r>
          </w:p>
        </w:tc>
        <w:tc>
          <w:tcPr>
            <w:tcW w:w="0" w:type="dxa"/>
            <w:vAlign w:val="bottom"/>
          </w:tcPr>
          <w:p>
            <w:pPr>
              <w:spacing w:after="0"/>
              <w:rPr>
                <w:sz w:val="1"/>
                <w:szCs w:val="1"/>
                <w:color w:val="auto"/>
              </w:rPr>
            </w:pPr>
          </w:p>
        </w:tc>
      </w:tr>
      <w:tr>
        <w:trPr>
          <w:trHeight w:val="274"/>
        </w:trPr>
        <w:tc>
          <w:tcPr>
            <w:tcW w:w="562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6,567</w:t>
            </w:r>
          </w:p>
        </w:tc>
        <w:tc>
          <w:tcPr>
            <w:tcW w:w="24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3,831</w:t>
            </w:r>
          </w:p>
        </w:tc>
        <w:tc>
          <w:tcPr>
            <w:tcW w:w="28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11,928</w:t>
            </w:r>
          </w:p>
        </w:tc>
        <w:tc>
          <w:tcPr>
            <w:tcW w:w="120" w:type="dxa"/>
            <w:vAlign w:val="bottom"/>
          </w:tcPr>
          <w:p>
            <w:pPr>
              <w:spacing w:after="0"/>
              <w:rPr>
                <w:sz w:val="23"/>
                <w:szCs w:val="23"/>
                <w:color w:val="auto"/>
              </w:rPr>
            </w:pPr>
          </w:p>
        </w:tc>
        <w:tc>
          <w:tcPr>
            <w:tcW w:w="2720" w:type="dxa"/>
            <w:vAlign w:val="bottom"/>
          </w:tcPr>
          <w:p>
            <w:pPr>
              <w:ind w:left="20"/>
              <w:spacing w:after="0"/>
              <w:rPr>
                <w:sz w:val="20"/>
                <w:szCs w:val="20"/>
                <w:color w:val="auto"/>
              </w:rPr>
            </w:pPr>
            <w:r>
              <w:rPr>
                <w:rFonts w:ascii="Arial" w:cs="Arial" w:eastAsia="Arial" w:hAnsi="Arial"/>
                <w:sz w:val="16"/>
                <w:szCs w:val="16"/>
                <w:color w:val="auto"/>
              </w:rPr>
              <w:t>Provision for income taxes</w:t>
            </w:r>
          </w:p>
        </w:tc>
        <w:tc>
          <w:tcPr>
            <w:tcW w:w="0" w:type="dxa"/>
            <w:vAlign w:val="bottom"/>
          </w:tcPr>
          <w:p>
            <w:pPr>
              <w:spacing w:after="0"/>
              <w:rPr>
                <w:sz w:val="1"/>
                <w:szCs w:val="1"/>
                <w:color w:val="auto"/>
              </w:rPr>
            </w:pPr>
          </w:p>
        </w:tc>
      </w:tr>
      <w:tr>
        <w:trPr>
          <w:trHeight w:val="261"/>
        </w:trPr>
        <w:tc>
          <w:tcPr>
            <w:tcW w:w="56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(9,850)</w:t>
            </w:r>
          </w:p>
        </w:tc>
        <w:tc>
          <w:tcPr>
            <w:tcW w:w="24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(5,749)</w:t>
            </w:r>
          </w:p>
        </w:tc>
        <w:tc>
          <w:tcPr>
            <w:tcW w:w="2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(17,891)</w:t>
            </w:r>
          </w:p>
        </w:tc>
        <w:tc>
          <w:tcPr>
            <w:tcW w:w="120" w:type="dxa"/>
            <w:vAlign w:val="bottom"/>
          </w:tcPr>
          <w:p>
            <w:pPr>
              <w:spacing w:after="0"/>
              <w:rPr>
                <w:sz w:val="22"/>
                <w:szCs w:val="22"/>
                <w:color w:val="auto"/>
              </w:rPr>
            </w:pPr>
          </w:p>
        </w:tc>
        <w:tc>
          <w:tcPr>
            <w:tcW w:w="2720" w:type="dxa"/>
            <w:vAlign w:val="bottom"/>
          </w:tcPr>
          <w:p>
            <w:pPr>
              <w:ind w:left="20"/>
              <w:spacing w:after="0"/>
              <w:rPr>
                <w:sz w:val="20"/>
                <w:szCs w:val="20"/>
                <w:color w:val="auto"/>
              </w:rPr>
            </w:pPr>
            <w:r>
              <w:rPr>
                <w:rFonts w:ascii="Arial" w:cs="Arial" w:eastAsia="Arial" w:hAnsi="Arial"/>
                <w:sz w:val="16"/>
                <w:szCs w:val="16"/>
                <w:color w:val="auto"/>
              </w:rPr>
              <w:t>Net of tax</w:t>
            </w:r>
          </w:p>
        </w:tc>
        <w:tc>
          <w:tcPr>
            <w:tcW w:w="0" w:type="dxa"/>
            <w:vAlign w:val="bottom"/>
          </w:tcPr>
          <w:p>
            <w:pPr>
              <w:spacing w:after="0"/>
              <w:rPr>
                <w:sz w:val="1"/>
                <w:szCs w:val="1"/>
                <w:color w:val="auto"/>
              </w:rPr>
            </w:pPr>
          </w:p>
        </w:tc>
      </w:tr>
      <w:tr>
        <w:trPr>
          <w:trHeight w:val="263"/>
        </w:trPr>
        <w:tc>
          <w:tcPr>
            <w:tcW w:w="5620" w:type="dxa"/>
            <w:vAlign w:val="bottom"/>
          </w:tcPr>
          <w:p>
            <w:pPr>
              <w:ind w:left="40"/>
              <w:spacing w:after="0"/>
              <w:rPr>
                <w:sz w:val="20"/>
                <w:szCs w:val="20"/>
                <w:color w:val="auto"/>
              </w:rPr>
            </w:pPr>
            <w:r>
              <w:rPr>
                <w:rFonts w:ascii="Arial" w:cs="Arial" w:eastAsia="Arial" w:hAnsi="Arial"/>
                <w:sz w:val="16"/>
                <w:szCs w:val="16"/>
                <w:b w:val="1"/>
                <w:bCs w:val="1"/>
                <w:color w:val="auto"/>
              </w:rPr>
              <w:t>Cash Flow Hedge</w:t>
            </w:r>
          </w:p>
        </w:tc>
        <w:tc>
          <w:tcPr>
            <w:tcW w:w="1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56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80" w:type="dxa"/>
            <w:vAlign w:val="bottom"/>
          </w:tcPr>
          <w:p>
            <w:pPr>
              <w:jc w:val="right"/>
              <w:ind w:right="60"/>
              <w:spacing w:after="0"/>
              <w:rPr>
                <w:sz w:val="20"/>
                <w:szCs w:val="20"/>
                <w:color w:val="auto"/>
              </w:rPr>
            </w:pPr>
            <w:r>
              <w:rPr>
                <w:rFonts w:ascii="Arial" w:cs="Arial" w:eastAsia="Arial" w:hAnsi="Arial"/>
                <w:sz w:val="16"/>
                <w:szCs w:val="16"/>
                <w:b w:val="1"/>
                <w:bCs w:val="1"/>
                <w:color w:val="auto"/>
              </w:rPr>
              <w:t>16</w:t>
            </w:r>
          </w:p>
        </w:tc>
        <w:tc>
          <w:tcPr>
            <w:tcW w:w="240" w:type="dxa"/>
            <w:vAlign w:val="bottom"/>
          </w:tcPr>
          <w:p>
            <w:pPr>
              <w:spacing w:after="0"/>
              <w:rPr>
                <w:sz w:val="23"/>
                <w:szCs w:val="23"/>
                <w:color w:val="auto"/>
              </w:rPr>
            </w:pPr>
          </w:p>
        </w:tc>
        <w:tc>
          <w:tcPr>
            <w:tcW w:w="660" w:type="dxa"/>
            <w:vAlign w:val="bottom"/>
          </w:tcPr>
          <w:p>
            <w:pPr>
              <w:jc w:val="right"/>
              <w:ind w:right="60"/>
              <w:spacing w:after="0"/>
              <w:rPr>
                <w:sz w:val="20"/>
                <w:szCs w:val="20"/>
                <w:color w:val="auto"/>
              </w:rPr>
            </w:pPr>
            <w:r>
              <w:rPr>
                <w:rFonts w:ascii="Arial" w:cs="Arial" w:eastAsia="Arial" w:hAnsi="Arial"/>
                <w:sz w:val="16"/>
                <w:szCs w:val="16"/>
                <w:color w:val="auto"/>
              </w:rPr>
              <w:t>132</w:t>
            </w:r>
          </w:p>
        </w:tc>
        <w:tc>
          <w:tcPr>
            <w:tcW w:w="280" w:type="dxa"/>
            <w:vAlign w:val="bottom"/>
          </w:tcPr>
          <w:p>
            <w:pPr>
              <w:spacing w:after="0"/>
              <w:rPr>
                <w:sz w:val="23"/>
                <w:szCs w:val="23"/>
                <w:color w:val="auto"/>
              </w:rPr>
            </w:pPr>
          </w:p>
        </w:tc>
        <w:tc>
          <w:tcPr>
            <w:tcW w:w="820" w:type="dxa"/>
            <w:vAlign w:val="bottom"/>
          </w:tcPr>
          <w:p>
            <w:pPr>
              <w:jc w:val="right"/>
              <w:ind w:right="20"/>
              <w:spacing w:after="0"/>
              <w:rPr>
                <w:sz w:val="20"/>
                <w:szCs w:val="20"/>
                <w:color w:val="auto"/>
              </w:rPr>
            </w:pPr>
            <w:r>
              <w:rPr>
                <w:rFonts w:ascii="Arial" w:cs="Arial" w:eastAsia="Arial" w:hAnsi="Arial"/>
                <w:sz w:val="16"/>
                <w:szCs w:val="16"/>
                <w:color w:val="auto"/>
              </w:rPr>
              <w:t>847</w:t>
            </w:r>
          </w:p>
        </w:tc>
        <w:tc>
          <w:tcPr>
            <w:tcW w:w="120" w:type="dxa"/>
            <w:vAlign w:val="bottom"/>
          </w:tcPr>
          <w:p>
            <w:pPr>
              <w:spacing w:after="0"/>
              <w:rPr>
                <w:sz w:val="23"/>
                <w:szCs w:val="23"/>
                <w:color w:val="auto"/>
              </w:rPr>
            </w:pPr>
          </w:p>
        </w:tc>
        <w:tc>
          <w:tcPr>
            <w:tcW w:w="2720" w:type="dxa"/>
            <w:vAlign w:val="bottom"/>
          </w:tcPr>
          <w:p>
            <w:pPr>
              <w:ind w:left="20"/>
              <w:spacing w:after="0"/>
              <w:rPr>
                <w:sz w:val="20"/>
                <w:szCs w:val="20"/>
                <w:color w:val="auto"/>
              </w:rPr>
            </w:pPr>
            <w:r>
              <w:rPr>
                <w:rFonts w:ascii="Arial" w:cs="Arial" w:eastAsia="Arial" w:hAnsi="Arial"/>
                <w:sz w:val="16"/>
                <w:szCs w:val="16"/>
                <w:color w:val="auto"/>
              </w:rPr>
              <w:t>Interest expense</w:t>
            </w:r>
          </w:p>
        </w:tc>
        <w:tc>
          <w:tcPr>
            <w:tcW w:w="0" w:type="dxa"/>
            <w:vAlign w:val="bottom"/>
          </w:tcPr>
          <w:p>
            <w:pPr>
              <w:spacing w:after="0"/>
              <w:rPr>
                <w:sz w:val="1"/>
                <w:szCs w:val="1"/>
                <w:color w:val="auto"/>
              </w:rPr>
            </w:pPr>
          </w:p>
        </w:tc>
      </w:tr>
      <w:tr>
        <w:trPr>
          <w:trHeight w:val="274"/>
        </w:trPr>
        <w:tc>
          <w:tcPr>
            <w:tcW w:w="562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w:t>
            </w:r>
          </w:p>
        </w:tc>
        <w:tc>
          <w:tcPr>
            <w:tcW w:w="24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w:t>
            </w:r>
          </w:p>
        </w:tc>
        <w:tc>
          <w:tcPr>
            <w:tcW w:w="28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(339)</w:t>
            </w:r>
          </w:p>
        </w:tc>
        <w:tc>
          <w:tcPr>
            <w:tcW w:w="120" w:type="dxa"/>
            <w:vAlign w:val="bottom"/>
          </w:tcPr>
          <w:p>
            <w:pPr>
              <w:spacing w:after="0"/>
              <w:rPr>
                <w:sz w:val="23"/>
                <w:szCs w:val="23"/>
                <w:color w:val="auto"/>
              </w:rPr>
            </w:pPr>
          </w:p>
        </w:tc>
        <w:tc>
          <w:tcPr>
            <w:tcW w:w="2720" w:type="dxa"/>
            <w:vAlign w:val="bottom"/>
          </w:tcPr>
          <w:p>
            <w:pPr>
              <w:ind w:left="20"/>
              <w:spacing w:after="0"/>
              <w:rPr>
                <w:sz w:val="20"/>
                <w:szCs w:val="20"/>
                <w:color w:val="auto"/>
              </w:rPr>
            </w:pPr>
            <w:r>
              <w:rPr>
                <w:rFonts w:ascii="Arial" w:cs="Arial" w:eastAsia="Arial" w:hAnsi="Arial"/>
                <w:sz w:val="16"/>
                <w:szCs w:val="16"/>
                <w:color w:val="auto"/>
              </w:rPr>
              <w:t>Provision for income taxes</w:t>
            </w:r>
          </w:p>
        </w:tc>
        <w:tc>
          <w:tcPr>
            <w:tcW w:w="0" w:type="dxa"/>
            <w:vAlign w:val="bottom"/>
          </w:tcPr>
          <w:p>
            <w:pPr>
              <w:spacing w:after="0"/>
              <w:rPr>
                <w:sz w:val="1"/>
                <w:szCs w:val="1"/>
                <w:color w:val="auto"/>
              </w:rPr>
            </w:pPr>
          </w:p>
        </w:tc>
      </w:tr>
      <w:tr>
        <w:trPr>
          <w:trHeight w:val="264"/>
        </w:trPr>
        <w:tc>
          <w:tcPr>
            <w:tcW w:w="56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13</w:t>
            </w:r>
          </w:p>
        </w:tc>
        <w:tc>
          <w:tcPr>
            <w:tcW w:w="24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79</w:t>
            </w:r>
          </w:p>
        </w:tc>
        <w:tc>
          <w:tcPr>
            <w:tcW w:w="2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508</w:t>
            </w:r>
          </w:p>
        </w:tc>
        <w:tc>
          <w:tcPr>
            <w:tcW w:w="120" w:type="dxa"/>
            <w:vAlign w:val="bottom"/>
          </w:tcPr>
          <w:p>
            <w:pPr>
              <w:spacing w:after="0"/>
              <w:rPr>
                <w:sz w:val="22"/>
                <w:szCs w:val="22"/>
                <w:color w:val="auto"/>
              </w:rPr>
            </w:pPr>
          </w:p>
        </w:tc>
        <w:tc>
          <w:tcPr>
            <w:tcW w:w="2720" w:type="dxa"/>
            <w:vAlign w:val="bottom"/>
          </w:tcPr>
          <w:p>
            <w:pPr>
              <w:ind w:left="20"/>
              <w:spacing w:after="0"/>
              <w:rPr>
                <w:sz w:val="20"/>
                <w:szCs w:val="20"/>
                <w:color w:val="auto"/>
              </w:rPr>
            </w:pPr>
            <w:r>
              <w:rPr>
                <w:rFonts w:ascii="Arial" w:cs="Arial" w:eastAsia="Arial" w:hAnsi="Arial"/>
                <w:sz w:val="16"/>
                <w:szCs w:val="16"/>
                <w:color w:val="auto"/>
              </w:rPr>
              <w:t>Net of tax</w:t>
            </w:r>
          </w:p>
        </w:tc>
        <w:tc>
          <w:tcPr>
            <w:tcW w:w="0" w:type="dxa"/>
            <w:vAlign w:val="bottom"/>
          </w:tcPr>
          <w:p>
            <w:pPr>
              <w:spacing w:after="0"/>
              <w:rPr>
                <w:sz w:val="1"/>
                <w:szCs w:val="1"/>
                <w:color w:val="auto"/>
              </w:rPr>
            </w:pPr>
          </w:p>
        </w:tc>
      </w:tr>
      <w:tr>
        <w:trPr>
          <w:trHeight w:val="267"/>
        </w:trPr>
        <w:tc>
          <w:tcPr>
            <w:tcW w:w="5620" w:type="dxa"/>
            <w:vAlign w:val="bottom"/>
          </w:tcPr>
          <w:p>
            <w:pPr>
              <w:ind w:left="40"/>
              <w:spacing w:after="0"/>
              <w:rPr>
                <w:sz w:val="20"/>
                <w:szCs w:val="20"/>
                <w:color w:val="auto"/>
              </w:rPr>
            </w:pPr>
            <w:r>
              <w:rPr>
                <w:rFonts w:ascii="Arial" w:cs="Arial" w:eastAsia="Arial" w:hAnsi="Arial"/>
                <w:sz w:val="16"/>
                <w:szCs w:val="16"/>
                <w:b w:val="1"/>
                <w:bCs w:val="1"/>
                <w:color w:val="auto"/>
              </w:rPr>
              <w:t>Total reclassification for the year</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(8,710)</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(171)</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(176,951)</w:t>
            </w:r>
          </w:p>
        </w:tc>
        <w:tc>
          <w:tcPr>
            <w:tcW w:w="120" w:type="dxa"/>
            <w:vAlign w:val="bottom"/>
          </w:tcPr>
          <w:p>
            <w:pPr>
              <w:spacing w:after="0"/>
              <w:rPr>
                <w:sz w:val="23"/>
                <w:szCs w:val="23"/>
                <w:color w:val="auto"/>
              </w:rPr>
            </w:pPr>
          </w:p>
        </w:tc>
        <w:tc>
          <w:tcPr>
            <w:tcW w:w="2720" w:type="dxa"/>
            <w:vAlign w:val="bottom"/>
          </w:tcPr>
          <w:p>
            <w:pPr>
              <w:ind w:left="20"/>
              <w:spacing w:after="0"/>
              <w:rPr>
                <w:sz w:val="20"/>
                <w:szCs w:val="20"/>
                <w:color w:val="auto"/>
              </w:rPr>
            </w:pPr>
            <w:r>
              <w:rPr>
                <w:rFonts w:ascii="Arial" w:cs="Arial" w:eastAsia="Arial" w:hAnsi="Arial"/>
                <w:sz w:val="16"/>
                <w:szCs w:val="16"/>
                <w:color w:val="auto"/>
              </w:rPr>
              <w:t>Net of tax</w:t>
            </w:r>
          </w:p>
        </w:tc>
        <w:tc>
          <w:tcPr>
            <w:tcW w:w="0" w:type="dxa"/>
            <w:vAlign w:val="bottom"/>
          </w:tcPr>
          <w:p>
            <w:pPr>
              <w:spacing w:after="0"/>
              <w:rPr>
                <w:sz w:val="1"/>
                <w:szCs w:val="1"/>
                <w:color w:val="auto"/>
              </w:rPr>
            </w:pPr>
          </w:p>
        </w:tc>
      </w:tr>
      <w:tr>
        <w:trPr>
          <w:trHeight w:val="20"/>
        </w:trPr>
        <w:tc>
          <w:tcPr>
            <w:tcW w:w="5620" w:type="dxa"/>
            <w:vAlign w:val="bottom"/>
            <w:vMerge w:val="restart"/>
          </w:tcPr>
          <w:p>
            <w:pPr>
              <w:spacing w:after="0"/>
              <w:rPr>
                <w:sz w:val="20"/>
                <w:szCs w:val="20"/>
                <w:color w:val="auto"/>
              </w:rPr>
            </w:pPr>
            <w:r>
              <w:rPr>
                <w:rFonts w:ascii="Arial" w:cs="Arial" w:eastAsia="Arial" w:hAnsi="Arial"/>
                <w:sz w:val="11"/>
                <w:szCs w:val="11"/>
                <w:color w:val="auto"/>
              </w:rPr>
              <w:t>___________</w:t>
            </w:r>
            <w:r>
              <w:rPr>
                <w:rFonts w:ascii="Arial" w:cs="Arial" w:eastAsia="Arial" w:hAnsi="Arial"/>
                <w:sz w:val="12"/>
                <w:szCs w:val="12"/>
                <w:color w:val="auto"/>
              </w:rPr>
              <w:t>_</w:t>
            </w: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62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7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ind w:left="260" w:hanging="252"/>
        <w:spacing w:after="0"/>
        <w:tabs>
          <w:tab w:leader="none" w:pos="260" w:val="left"/>
        </w:tabs>
        <w:numPr>
          <w:ilvl w:val="0"/>
          <w:numId w:val="76"/>
        </w:numPr>
        <w:rPr>
          <w:rFonts w:ascii="Arial" w:cs="Arial" w:eastAsia="Arial" w:hAnsi="Arial"/>
          <w:sz w:val="13"/>
          <w:szCs w:val="13"/>
          <w:color w:val="auto"/>
        </w:rPr>
      </w:pPr>
      <w:r>
        <w:rPr>
          <w:rFonts w:ascii="Arial" w:cs="Arial" w:eastAsia="Arial" w:hAnsi="Arial"/>
          <w:sz w:val="13"/>
          <w:szCs w:val="13"/>
          <w:color w:val="auto"/>
        </w:rPr>
        <w:t>The amount for 2015 was recorded in other (expense) income, net and the amount for 2014 was recorded in income from discontinued operations, net of tax.</w:t>
      </w:r>
    </w:p>
    <w:p>
      <w:pPr>
        <w:spacing w:after="0" w:line="26" w:lineRule="exact"/>
        <w:rPr>
          <w:rFonts w:ascii="Arial" w:cs="Arial" w:eastAsia="Arial" w:hAnsi="Arial"/>
          <w:sz w:val="13"/>
          <w:szCs w:val="13"/>
          <w:color w:val="auto"/>
        </w:rPr>
      </w:pPr>
    </w:p>
    <w:p>
      <w:pPr>
        <w:ind w:left="260" w:right="180" w:hanging="252"/>
        <w:spacing w:after="0" w:line="221" w:lineRule="auto"/>
        <w:tabs>
          <w:tab w:leader="none" w:pos="260" w:val="left"/>
        </w:tabs>
        <w:numPr>
          <w:ilvl w:val="0"/>
          <w:numId w:val="76"/>
        </w:numPr>
        <w:rPr>
          <w:rFonts w:ascii="Arial" w:cs="Arial" w:eastAsia="Arial" w:hAnsi="Arial"/>
          <w:sz w:val="13"/>
          <w:szCs w:val="13"/>
          <w:color w:val="auto"/>
        </w:rPr>
      </w:pPr>
      <w:r>
        <w:rPr>
          <w:rFonts w:ascii="Arial" w:cs="Arial" w:eastAsia="Arial" w:hAnsi="Arial"/>
          <w:sz w:val="13"/>
          <w:szCs w:val="13"/>
          <w:color w:val="auto"/>
        </w:rPr>
        <w:t>The amounts for 2016 and 2015 were recorded in Provision for Income Taxes. Benefits of $1.2 million were recorded in Provision for Income Taxes related to the realized loss for the year ended December 31, 2014. The remaining $107.3 million for the year relates to the reversal of income taxes previously recorded on the unrealized gain of the Company’s investment in Berkshire Hathaway Inc. marketable securities as part of the Berkshire exchange transaction, which qualified as a tax-free distribution under IRC Section 355 and 361 (see Note 7).</w:t>
      </w:r>
    </w:p>
    <w:p>
      <w:pPr>
        <w:spacing w:after="0" w:line="5" w:lineRule="exact"/>
        <w:rPr>
          <w:rFonts w:ascii="Arial" w:cs="Arial" w:eastAsia="Arial" w:hAnsi="Arial"/>
          <w:sz w:val="13"/>
          <w:szCs w:val="13"/>
          <w:color w:val="auto"/>
        </w:rPr>
      </w:pPr>
    </w:p>
    <w:p>
      <w:pPr>
        <w:ind w:left="260" w:hanging="252"/>
        <w:spacing w:after="0"/>
        <w:tabs>
          <w:tab w:leader="none" w:pos="260" w:val="left"/>
        </w:tabs>
        <w:numPr>
          <w:ilvl w:val="0"/>
          <w:numId w:val="76"/>
        </w:numPr>
        <w:rPr>
          <w:rFonts w:ascii="Arial" w:cs="Arial" w:eastAsia="Arial" w:hAnsi="Arial"/>
          <w:sz w:val="13"/>
          <w:szCs w:val="13"/>
          <w:color w:val="auto"/>
        </w:rPr>
      </w:pPr>
      <w:r>
        <w:rPr>
          <w:rFonts w:ascii="Arial" w:cs="Arial" w:eastAsia="Arial" w:hAnsi="Arial"/>
          <w:sz w:val="13"/>
          <w:szCs w:val="13"/>
          <w:color w:val="auto"/>
        </w:rPr>
        <w:t>These accumulated other comprehensive income components are included in the computation of net periodic pension and postretirement plan cost (see Note 14).</w:t>
      </w:r>
    </w:p>
    <w:p>
      <w:pPr>
        <w:spacing w:after="0" w:line="131" w:lineRule="exact"/>
        <w:rPr>
          <w:sz w:val="20"/>
          <w:szCs w:val="20"/>
          <w:color w:val="auto"/>
        </w:rPr>
      </w:pPr>
    </w:p>
    <w:p>
      <w:pPr>
        <w:ind w:left="500" w:hanging="492"/>
        <w:spacing w:after="0"/>
        <w:tabs>
          <w:tab w:leader="none" w:pos="500" w:val="left"/>
        </w:tabs>
        <w:numPr>
          <w:ilvl w:val="0"/>
          <w:numId w:val="77"/>
        </w:numPr>
        <w:rPr>
          <w:rFonts w:ascii="Arial" w:cs="Arial" w:eastAsia="Arial" w:hAnsi="Arial"/>
          <w:sz w:val="18"/>
          <w:szCs w:val="18"/>
          <w:b w:val="1"/>
          <w:bCs w:val="1"/>
          <w:color w:val="auto"/>
        </w:rPr>
      </w:pPr>
      <w:r>
        <w:rPr>
          <w:rFonts w:ascii="Arial" w:cs="Arial" w:eastAsia="Arial" w:hAnsi="Arial"/>
          <w:sz w:val="18"/>
          <w:szCs w:val="18"/>
          <w:b w:val="1"/>
          <w:bCs w:val="1"/>
          <w:color w:val="auto"/>
        </w:rPr>
        <w:t>LEASES AND OTHER COMMITMENTS</w:t>
      </w:r>
    </w:p>
    <w:p>
      <w:pPr>
        <w:spacing w:after="0" w:line="146" w:lineRule="exact"/>
        <w:rPr>
          <w:sz w:val="20"/>
          <w:szCs w:val="20"/>
          <w:color w:val="auto"/>
        </w:rPr>
      </w:pPr>
    </w:p>
    <w:p>
      <w:pPr>
        <w:ind w:right="560"/>
        <w:spacing w:after="0" w:line="260" w:lineRule="auto"/>
        <w:rPr>
          <w:sz w:val="20"/>
          <w:szCs w:val="20"/>
          <w:color w:val="auto"/>
        </w:rPr>
      </w:pPr>
      <w:r>
        <w:rPr>
          <w:rFonts w:ascii="Arial" w:cs="Arial" w:eastAsia="Arial" w:hAnsi="Arial"/>
          <w:sz w:val="18"/>
          <w:szCs w:val="18"/>
          <w:color w:val="auto"/>
        </w:rPr>
        <w:t>The Company leases real property under operating agreements. Many of the leases contain renewal options and escalation clauses that require payments of additional rent to the extent of increases in the related operating costs.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2016, future minimum rental payments under noncancelable operating leases approximate the following:</w:t>
      </w:r>
    </w:p>
    <w:p>
      <w:pPr>
        <w:spacing w:after="0" w:line="167" w:lineRule="exact"/>
        <w:rPr>
          <w:sz w:val="20"/>
          <w:szCs w:val="20"/>
          <w:color w:val="auto"/>
        </w:rPr>
      </w:pPr>
    </w:p>
    <w:p>
      <w:pPr>
        <w:ind w:left="40"/>
        <w:spacing w:after="0"/>
        <w:rPr>
          <w:sz w:val="20"/>
          <w:szCs w:val="20"/>
          <w:color w:val="auto"/>
        </w:rPr>
      </w:pPr>
      <w:r>
        <w:rPr>
          <w:rFonts w:ascii="Arial" w:cs="Arial" w:eastAsia="Arial" w:hAnsi="Arial"/>
          <w:sz w:val="14"/>
          <w:szCs w:val="14"/>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44" w:lineRule="exact"/>
        <w:rPr>
          <w:sz w:val="20"/>
          <w:szCs w:val="20"/>
          <w:color w:val="auto"/>
        </w:rPr>
      </w:pPr>
    </w:p>
    <w:tbl>
      <w:tblPr>
        <w:tblLayout w:type="fixed"/>
        <w:tblInd w:w="40" w:type="dxa"/>
        <w:tblCellMar>
          <w:top w:w="0" w:type="dxa"/>
          <w:left w:w="0" w:type="dxa"/>
          <w:bottom w:w="0" w:type="dxa"/>
          <w:right w:w="0" w:type="dxa"/>
        </w:tblCellMar>
      </w:tblPr>
      <w:tr>
        <w:trPr>
          <w:trHeight w:val="219"/>
        </w:trPr>
        <w:tc>
          <w:tcPr>
            <w:tcW w:w="10240" w:type="dxa"/>
            <w:vAlign w:val="bottom"/>
          </w:tcPr>
          <w:p>
            <w:pPr>
              <w:spacing w:after="0"/>
              <w:rPr>
                <w:sz w:val="20"/>
                <w:szCs w:val="20"/>
                <w:color w:val="auto"/>
              </w:rPr>
            </w:pPr>
            <w:r>
              <w:rPr>
                <w:rFonts w:ascii="Arial" w:cs="Arial" w:eastAsia="Arial" w:hAnsi="Arial"/>
                <w:sz w:val="16"/>
                <w:szCs w:val="16"/>
                <w:color w:val="auto"/>
              </w:rPr>
              <w:t>2017</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87,626</w:t>
            </w:r>
          </w:p>
        </w:tc>
      </w:tr>
      <w:tr>
        <w:trPr>
          <w:trHeight w:val="243"/>
        </w:trPr>
        <w:tc>
          <w:tcPr>
            <w:tcW w:w="10240" w:type="dxa"/>
            <w:vAlign w:val="bottom"/>
          </w:tcPr>
          <w:p>
            <w:pPr>
              <w:spacing w:after="0"/>
              <w:rPr>
                <w:sz w:val="20"/>
                <w:szCs w:val="20"/>
                <w:color w:val="auto"/>
              </w:rPr>
            </w:pPr>
            <w:r>
              <w:rPr>
                <w:rFonts w:ascii="Arial" w:cs="Arial" w:eastAsia="Arial" w:hAnsi="Arial"/>
                <w:sz w:val="16"/>
                <w:szCs w:val="16"/>
                <w:color w:val="auto"/>
              </w:rPr>
              <w:t>2018</w:t>
            </w:r>
          </w:p>
        </w:tc>
        <w:tc>
          <w:tcPr>
            <w:tcW w:w="280" w:type="dxa"/>
            <w:vAlign w:val="bottom"/>
          </w:tcPr>
          <w:p>
            <w:pPr>
              <w:spacing w:after="0"/>
              <w:rPr>
                <w:sz w:val="21"/>
                <w:szCs w:val="21"/>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84,525</w:t>
            </w:r>
          </w:p>
        </w:tc>
      </w:tr>
      <w:tr>
        <w:trPr>
          <w:trHeight w:val="243"/>
        </w:trPr>
        <w:tc>
          <w:tcPr>
            <w:tcW w:w="10240" w:type="dxa"/>
            <w:vAlign w:val="bottom"/>
          </w:tcPr>
          <w:p>
            <w:pPr>
              <w:spacing w:after="0"/>
              <w:rPr>
                <w:sz w:val="20"/>
                <w:szCs w:val="20"/>
                <w:color w:val="auto"/>
              </w:rPr>
            </w:pPr>
            <w:r>
              <w:rPr>
                <w:rFonts w:ascii="Arial" w:cs="Arial" w:eastAsia="Arial" w:hAnsi="Arial"/>
                <w:sz w:val="16"/>
                <w:szCs w:val="16"/>
                <w:color w:val="auto"/>
              </w:rPr>
              <w:t>2019</w:t>
            </w:r>
          </w:p>
        </w:tc>
        <w:tc>
          <w:tcPr>
            <w:tcW w:w="280" w:type="dxa"/>
            <w:vAlign w:val="bottom"/>
          </w:tcPr>
          <w:p>
            <w:pPr>
              <w:spacing w:after="0"/>
              <w:rPr>
                <w:sz w:val="21"/>
                <w:szCs w:val="21"/>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73,899</w:t>
            </w:r>
          </w:p>
        </w:tc>
      </w:tr>
      <w:tr>
        <w:trPr>
          <w:trHeight w:val="243"/>
        </w:trPr>
        <w:tc>
          <w:tcPr>
            <w:tcW w:w="10240" w:type="dxa"/>
            <w:vAlign w:val="bottom"/>
          </w:tcPr>
          <w:p>
            <w:pPr>
              <w:spacing w:after="0"/>
              <w:rPr>
                <w:sz w:val="20"/>
                <w:szCs w:val="20"/>
                <w:color w:val="auto"/>
              </w:rPr>
            </w:pPr>
            <w:r>
              <w:rPr>
                <w:rFonts w:ascii="Arial" w:cs="Arial" w:eastAsia="Arial" w:hAnsi="Arial"/>
                <w:sz w:val="16"/>
                <w:szCs w:val="16"/>
                <w:color w:val="auto"/>
              </w:rPr>
              <w:t>2020</w:t>
            </w:r>
          </w:p>
        </w:tc>
        <w:tc>
          <w:tcPr>
            <w:tcW w:w="280" w:type="dxa"/>
            <w:vAlign w:val="bottom"/>
          </w:tcPr>
          <w:p>
            <w:pPr>
              <w:spacing w:after="0"/>
              <w:rPr>
                <w:sz w:val="21"/>
                <w:szCs w:val="21"/>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65,592</w:t>
            </w:r>
          </w:p>
        </w:tc>
      </w:tr>
      <w:tr>
        <w:trPr>
          <w:trHeight w:val="243"/>
        </w:trPr>
        <w:tc>
          <w:tcPr>
            <w:tcW w:w="10240" w:type="dxa"/>
            <w:vAlign w:val="bottom"/>
          </w:tcPr>
          <w:p>
            <w:pPr>
              <w:spacing w:after="0"/>
              <w:rPr>
                <w:sz w:val="20"/>
                <w:szCs w:val="20"/>
                <w:color w:val="auto"/>
              </w:rPr>
            </w:pPr>
            <w:r>
              <w:rPr>
                <w:rFonts w:ascii="Arial" w:cs="Arial" w:eastAsia="Arial" w:hAnsi="Arial"/>
                <w:sz w:val="16"/>
                <w:szCs w:val="16"/>
                <w:color w:val="auto"/>
              </w:rPr>
              <w:t>2021</w:t>
            </w:r>
          </w:p>
        </w:tc>
        <w:tc>
          <w:tcPr>
            <w:tcW w:w="280" w:type="dxa"/>
            <w:vAlign w:val="bottom"/>
          </w:tcPr>
          <w:p>
            <w:pPr>
              <w:spacing w:after="0"/>
              <w:rPr>
                <w:sz w:val="21"/>
                <w:szCs w:val="21"/>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50,416</w:t>
            </w:r>
          </w:p>
        </w:tc>
      </w:tr>
      <w:tr>
        <w:trPr>
          <w:trHeight w:val="252"/>
        </w:trPr>
        <w:tc>
          <w:tcPr>
            <w:tcW w:w="10240" w:type="dxa"/>
            <w:vAlign w:val="bottom"/>
          </w:tcPr>
          <w:p>
            <w:pPr>
              <w:spacing w:after="0"/>
              <w:rPr>
                <w:sz w:val="20"/>
                <w:szCs w:val="20"/>
                <w:color w:val="auto"/>
              </w:rPr>
            </w:pPr>
            <w:r>
              <w:rPr>
                <w:rFonts w:ascii="Arial" w:cs="Arial" w:eastAsia="Arial" w:hAnsi="Arial"/>
                <w:sz w:val="16"/>
                <w:szCs w:val="16"/>
                <w:color w:val="auto"/>
              </w:rPr>
              <w:t>Thereafter</w:t>
            </w:r>
          </w:p>
        </w:tc>
        <w:tc>
          <w:tcPr>
            <w:tcW w:w="2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146,857</w:t>
            </w:r>
          </w:p>
        </w:tc>
      </w:tr>
      <w:tr>
        <w:trPr>
          <w:trHeight w:val="237"/>
        </w:trPr>
        <w:tc>
          <w:tcPr>
            <w:tcW w:w="10240" w:type="dxa"/>
            <w:vAlign w:val="bottom"/>
          </w:tcPr>
          <w:p>
            <w:pPr>
              <w:spacing w:after="0"/>
              <w:rPr>
                <w:sz w:val="20"/>
                <w:szCs w:val="20"/>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508,915</w:t>
            </w:r>
          </w:p>
        </w:tc>
      </w:tr>
      <w:tr>
        <w:trPr>
          <w:trHeight w:val="20"/>
        </w:trPr>
        <w:tc>
          <w:tcPr>
            <w:tcW w:w="10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Arial" w:cs="Arial" w:eastAsia="Arial" w:hAnsi="Arial"/>
          <w:sz w:val="18"/>
          <w:szCs w:val="18"/>
          <w:color w:val="auto"/>
        </w:rPr>
        <w:t>Minimum payments have not been reduced by minimum sublease rentals of $93.0 million due in the future under noncancelable subleases.</w:t>
      </w:r>
    </w:p>
    <w:p>
      <w:pPr>
        <w:spacing w:after="0" w:line="144" w:lineRule="exact"/>
        <w:rPr>
          <w:sz w:val="20"/>
          <w:szCs w:val="20"/>
          <w:color w:val="auto"/>
        </w:rPr>
      </w:pPr>
    </w:p>
    <w:p>
      <w:pPr>
        <w:ind w:right="140"/>
        <w:spacing w:after="0"/>
        <w:rPr>
          <w:sz w:val="20"/>
          <w:szCs w:val="20"/>
          <w:color w:val="auto"/>
        </w:rPr>
      </w:pPr>
      <w:r>
        <w:rPr>
          <w:rFonts w:ascii="Arial" w:cs="Arial" w:eastAsia="Arial" w:hAnsi="Arial"/>
          <w:sz w:val="18"/>
          <w:szCs w:val="18"/>
          <w:color w:val="auto"/>
        </w:rPr>
        <w:t>Rent expense under operating leases, including a portion reported in discontinued operations, was approximately $86.9 million, $102.6 million and $ 105.5 million in 2016, 2015 and 2014, respectively. Sublease income was approximately $14.3 million, $6.7 million and $5.4 million in 2016, 2015 and 2014, respectively.</w:t>
      </w:r>
    </w:p>
    <w:p>
      <w:pPr>
        <w:spacing w:after="0" w:line="108" w:lineRule="exact"/>
        <w:rPr>
          <w:sz w:val="20"/>
          <w:szCs w:val="20"/>
          <w:color w:val="auto"/>
        </w:rPr>
      </w:pPr>
    </w:p>
    <w:p>
      <w:pPr>
        <w:ind w:right="380"/>
        <w:spacing w:after="0" w:line="260" w:lineRule="auto"/>
        <w:rPr>
          <w:sz w:val="20"/>
          <w:szCs w:val="20"/>
          <w:color w:val="auto"/>
        </w:rPr>
      </w:pPr>
      <w:r>
        <w:rPr>
          <w:rFonts w:ascii="Arial" w:cs="Arial" w:eastAsia="Arial" w:hAnsi="Arial"/>
          <w:sz w:val="18"/>
          <w:szCs w:val="18"/>
          <w:color w:val="auto"/>
        </w:rPr>
        <w:t>In connection with the sale of the KHE Campuses business, Kaplan is secondarily liable on a number of leases that were transferred to the buyer; the leases run through 2024 with commitments totaling approximately $51.3 million at December 31, 2016.</w:t>
      </w:r>
    </w:p>
    <w:p>
      <w:pPr>
        <w:spacing w:after="0" w:line="92" w:lineRule="exact"/>
        <w:rPr>
          <w:sz w:val="20"/>
          <w:szCs w:val="20"/>
          <w:color w:val="auto"/>
        </w:rPr>
      </w:pPr>
    </w:p>
    <w:p>
      <w:pPr>
        <w:ind w:right="40"/>
        <w:spacing w:after="0"/>
        <w:rPr>
          <w:sz w:val="20"/>
          <w:szCs w:val="20"/>
          <w:color w:val="auto"/>
        </w:rPr>
      </w:pPr>
      <w:r>
        <w:rPr>
          <w:rFonts w:ascii="Arial" w:cs="Arial" w:eastAsia="Arial" w:hAnsi="Arial"/>
          <w:sz w:val="18"/>
          <w:szCs w:val="18"/>
          <w:color w:val="auto"/>
        </w:rPr>
        <w:t>The Company’s broadcast subsidiaries are parties to certain agreements that commit them to purchase programming to be produced in future years. At December 31, 2016, such commitments amounted to approximately $16.4 million. If such programs are not produced, the Company’s commitment would expire without obligation.</w:t>
      </w:r>
    </w:p>
    <w:p>
      <w:pPr>
        <w:sectPr>
          <w:pgSz w:w="11900" w:h="16838" w:orient="portrait"/>
          <w:cols w:equalWidth="0" w:num="1">
            <w:col w:w="11420"/>
          </w:cols>
          <w:pgMar w:left="240" w:top="724" w:right="239" w:bottom="1440" w:gutter="0" w:footer="0" w:header="0"/>
        </w:sect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104</w:t>
      </w:r>
    </w:p>
    <w:p>
      <w:pPr>
        <w:sectPr>
          <w:pgSz w:w="11900" w:h="16838" w:orient="portrait"/>
          <w:cols w:equalWidth="0" w:num="1">
            <w:col w:w="11420"/>
          </w:cols>
          <w:pgMar w:left="240" w:top="724" w:right="239" w:bottom="1440" w:gutter="0" w:footer="0" w:header="0"/>
          <w:type w:val="continuous"/>
        </w:sectPr>
      </w:pPr>
    </w:p>
    <w:bookmarkStart w:id="107" w:name="page108"/>
    <w:bookmarkEnd w:id="107"/>
    <w:p>
      <w:pPr>
        <w:ind w:left="500" w:hanging="492"/>
        <w:spacing w:after="0"/>
        <w:tabs>
          <w:tab w:leader="none" w:pos="500" w:val="left"/>
        </w:tabs>
        <w:numPr>
          <w:ilvl w:val="0"/>
          <w:numId w:val="78"/>
        </w:numPr>
        <w:rPr>
          <w:rFonts w:ascii="Arial" w:cs="Arial" w:eastAsia="Arial" w:hAnsi="Arial"/>
          <w:sz w:val="18"/>
          <w:szCs w:val="18"/>
          <w:b w:val="1"/>
          <w:bCs w:val="1"/>
          <w:color w:val="auto"/>
        </w:rPr>
      </w:pPr>
      <w:r>
        <w:rPr>
          <w:rFonts w:ascii="Arial" w:cs="Arial" w:eastAsia="Arial" w:hAnsi="Arial"/>
          <w:sz w:val="18"/>
          <w:szCs w:val="18"/>
          <w:b w:val="1"/>
          <w:bCs w:val="1"/>
          <w:color w:val="auto"/>
        </w:rPr>
        <w:t>CONTINGENCIES</w:t>
      </w:r>
    </w:p>
    <w:p>
      <w:pPr>
        <w:spacing w:after="0" w:line="144" w:lineRule="exact"/>
        <w:rPr>
          <w:sz w:val="20"/>
          <w:szCs w:val="20"/>
          <w:color w:val="auto"/>
        </w:rPr>
      </w:pPr>
    </w:p>
    <w:p>
      <w:pPr>
        <w:ind w:right="140"/>
        <w:spacing w:after="0" w:line="226" w:lineRule="auto"/>
        <w:rPr>
          <w:sz w:val="20"/>
          <w:szCs w:val="20"/>
          <w:color w:val="auto"/>
        </w:rPr>
      </w:pPr>
      <w:r>
        <w:rPr>
          <w:rFonts w:ascii="Arial" w:cs="Arial" w:eastAsia="Arial" w:hAnsi="Arial"/>
          <w:sz w:val="18"/>
          <w:szCs w:val="18"/>
          <w:b w:val="1"/>
          <w:bCs w:val="1"/>
          <w:color w:val="auto"/>
        </w:rPr>
        <w:t>Litigation, Legal and Other Matters</w:t>
      </w:r>
      <w:r>
        <w:rPr>
          <w:rFonts w:ascii="Arial" w:cs="Arial" w:eastAsia="Arial" w:hAnsi="Arial"/>
          <w:sz w:val="18"/>
          <w:szCs w:val="18"/>
          <w:color w:val="auto"/>
        </w:rPr>
        <w:t>. The Company and its subsidiaries are subject to complaints and administrative proceedings and are</w:t>
      </w:r>
      <w:r>
        <w:rPr>
          <w:rFonts w:ascii="Arial" w:cs="Arial" w:eastAsia="Arial" w:hAnsi="Arial"/>
          <w:sz w:val="18"/>
          <w:szCs w:val="18"/>
          <w:b w:val="1"/>
          <w:bCs w:val="1"/>
          <w:color w:val="auto"/>
        </w:rPr>
        <w:t xml:space="preserve"> </w:t>
      </w:r>
      <w:r>
        <w:rPr>
          <w:rFonts w:ascii="Arial" w:cs="Arial" w:eastAsia="Arial" w:hAnsi="Arial"/>
          <w:sz w:val="18"/>
          <w:szCs w:val="18"/>
          <w:color w:val="auto"/>
        </w:rPr>
        <w:t>defendants in various civil lawsuits that have arisen in the ordinary course of their businesses, including contract disputes; actions alleging negligence, libel, invasion of privacy; trademark, copyright and patent infringement; U.S. False Claims Act (False Claims Act) violations; violations of applicable wage and hour laws; and statutory or common law claims involving current and former students and employees. Although the outcomes of the legal claims and proceedings against the Company cannot be predicted with certainty, based on currently available information, management believes that there are no existing claims or proceedings that are likely to have a material effect on the Company’s business, financial condition, results of operations or cash flows. Also, based on currently available information, management is of the opinion that the exposure to future material losses from existing legal and administrative proceedings is not reasonably possible, or that future material losses in excess of the amounts accrued are not reasonably possible.</w:t>
      </w:r>
    </w:p>
    <w:p>
      <w:pPr>
        <w:spacing w:after="0" w:line="112" w:lineRule="exact"/>
        <w:rPr>
          <w:sz w:val="20"/>
          <w:szCs w:val="20"/>
          <w:color w:val="auto"/>
        </w:rPr>
      </w:pPr>
    </w:p>
    <w:p>
      <w:pPr>
        <w:ind w:right="200"/>
        <w:spacing w:after="0" w:line="229" w:lineRule="auto"/>
        <w:rPr>
          <w:sz w:val="20"/>
          <w:szCs w:val="20"/>
          <w:color w:val="auto"/>
        </w:rPr>
      </w:pPr>
      <w:r>
        <w:rPr>
          <w:rFonts w:ascii="Arial" w:cs="Arial" w:eastAsia="Arial" w:hAnsi="Arial"/>
          <w:sz w:val="18"/>
          <w:szCs w:val="18"/>
          <w:color w:val="auto"/>
        </w:rPr>
        <w:t>On February 6, 2008, a purported class-action lawsuit was filed in the U.S. District Court for the Central District of California by purchasers of BAR/BRI bar review courses, from July 2006 onward, alleging antitrust claims against Kaplan and West Publishing Corporation, BAR/BRI’s former owner. On April 10, 2008, the court granted defendants’ motion to dismiss, a decision that was reversed by the Ninth Circuit Court of Appeals on November 7, 2011. The Ninth Circuit also referred the matter to a mediator for the purpose of exploring a settlement. In the fourth quarter of 2012, the parties reached a comprehensive agreement to settle the matter. The settlement was approved by the District Court in September 2013 and will be administered following the resolution of appeals relating to attorney fees.</w:t>
      </w:r>
    </w:p>
    <w:p>
      <w:pPr>
        <w:spacing w:after="0" w:line="112" w:lineRule="exact"/>
        <w:rPr>
          <w:sz w:val="20"/>
          <w:szCs w:val="20"/>
          <w:color w:val="auto"/>
        </w:rPr>
      </w:pPr>
    </w:p>
    <w:p>
      <w:pPr>
        <w:ind w:right="220"/>
        <w:spacing w:after="0" w:line="224" w:lineRule="auto"/>
        <w:rPr>
          <w:sz w:val="20"/>
          <w:szCs w:val="20"/>
          <w:color w:val="auto"/>
        </w:rPr>
      </w:pPr>
      <w:r>
        <w:rPr>
          <w:rFonts w:ascii="Arial" w:cs="Arial" w:eastAsia="Arial" w:hAnsi="Arial"/>
          <w:sz w:val="18"/>
          <w:szCs w:val="18"/>
          <w:color w:val="auto"/>
        </w:rPr>
        <w:t>On or about January 17, 2008, an Assistant U.S. Attorney in the Civil Division of the U.S. Attorney’s Office for the Eastern District of Pennsylvania contacted KHE’s former Broomall campus and made inquiries about the Surgical Technology program, including the program’s eligibility for Title IV U.S. Federal financial aid, the program’s student loan defaults, licensing and accreditation. Kaplan responded to the information requests and fully cooperated with the inquiry. The ED also conducted a program review at the Broomall campus, and Kaplan likewise cooperated with the program review. On July 22, 2011, the U.S. Attorney’s Office for the Eastern District of Pennsylvania announced that it had entered into a comprehensive settlement agreement with Kaplan that resolved the U.S. Attorney’s inquiry, provided for the conclusion of the ED’s program review and also settled a previously sealed U.S. Federal False Claims Act (False Claims Act) complaint that had been filed by a former employee of the CHI-Broomall campus. The total amount of all required payments by Broomall under the agreements was $1.6 million. Pursuant to the comprehensive settlement agreement, the U.S. Attorney inquiry has been closed, the False Claims Act complaint (</w:t>
      </w:r>
      <w:r>
        <w:rPr>
          <w:rFonts w:ascii="Arial" w:cs="Arial" w:eastAsia="Arial" w:hAnsi="Arial"/>
          <w:sz w:val="18"/>
          <w:szCs w:val="18"/>
          <w:i w:val="1"/>
          <w:iCs w:val="1"/>
          <w:color w:val="auto"/>
        </w:rPr>
        <w:t>United States of America</w:t>
      </w:r>
      <w:r>
        <w:rPr>
          <w:rFonts w:ascii="Arial" w:cs="Arial" w:eastAsia="Arial" w:hAnsi="Arial"/>
          <w:sz w:val="18"/>
          <w:szCs w:val="18"/>
          <w:color w:val="auto"/>
        </w:rPr>
        <w:t xml:space="preserve"> ex rel. </w:t>
      </w:r>
      <w:r>
        <w:rPr>
          <w:rFonts w:ascii="Arial" w:cs="Arial" w:eastAsia="Arial" w:hAnsi="Arial"/>
          <w:sz w:val="18"/>
          <w:szCs w:val="18"/>
          <w:i w:val="1"/>
          <w:iCs w:val="1"/>
          <w:color w:val="auto"/>
        </w:rPr>
        <w:t>David Goodstein</w:t>
      </w:r>
      <w:r>
        <w:rPr>
          <w:rFonts w:ascii="Arial" w:cs="Arial" w:eastAsia="Arial" w:hAnsi="Arial"/>
          <w:sz w:val="18"/>
          <w:szCs w:val="18"/>
          <w:color w:val="auto"/>
        </w:rPr>
        <w:t xml:space="preserve"> v. </w:t>
      </w:r>
      <w:r>
        <w:rPr>
          <w:rFonts w:ascii="Arial" w:cs="Arial" w:eastAsia="Arial" w:hAnsi="Arial"/>
          <w:sz w:val="18"/>
          <w:szCs w:val="18"/>
          <w:i w:val="1"/>
          <w:iCs w:val="1"/>
          <w:color w:val="auto"/>
        </w:rPr>
        <w:t>Kaplan, Inc.</w:t>
      </w:r>
      <w:r>
        <w:rPr>
          <w:rFonts w:ascii="Arial" w:cs="Arial" w:eastAsia="Arial" w:hAnsi="Arial"/>
          <w:sz w:val="18"/>
          <w:szCs w:val="18"/>
          <w:color w:val="auto"/>
        </w:rPr>
        <w:t xml:space="preserve"> et al.) was dismissed with prejudice and the ED will issue a final program review determination. However, to date, the ED has not issued the final report. At this time, Kaplan cannot predict the contents of the pending final program review determination or the ultimate impact the proceedings may have on Kaplan.</w:t>
      </w:r>
    </w:p>
    <w:p>
      <w:pPr>
        <w:spacing w:after="0" w:line="113" w:lineRule="exact"/>
        <w:rPr>
          <w:sz w:val="20"/>
          <w:szCs w:val="20"/>
          <w:color w:val="auto"/>
        </w:rPr>
      </w:pPr>
    </w:p>
    <w:p>
      <w:pPr>
        <w:ind w:right="100"/>
        <w:spacing w:after="0" w:line="231" w:lineRule="auto"/>
        <w:rPr>
          <w:sz w:val="20"/>
          <w:szCs w:val="20"/>
          <w:color w:val="auto"/>
        </w:rPr>
      </w:pPr>
      <w:r>
        <w:rPr>
          <w:rFonts w:ascii="Arial" w:cs="Arial" w:eastAsia="Arial" w:hAnsi="Arial"/>
          <w:sz w:val="18"/>
          <w:szCs w:val="18"/>
          <w:color w:val="auto"/>
        </w:rPr>
        <w:t xml:space="preserve">During 2014, certain Kaplan subsidiaries were subject to two other unsealed cases filed by former employees that include, among other allegations, claims under the False Claims Act relating to eligibility for Title IV funding. The U.S. Government declined to intervene in all cases, and, as previously reported, court decisions either dismissed the cases in their entirety or narrowed the scope of their allegations. The two cases are captioned: </w:t>
      </w:r>
      <w:r>
        <w:rPr>
          <w:rFonts w:ascii="Arial" w:cs="Arial" w:eastAsia="Arial" w:hAnsi="Arial"/>
          <w:sz w:val="18"/>
          <w:szCs w:val="18"/>
          <w:i w:val="1"/>
          <w:iCs w:val="1"/>
          <w:color w:val="auto"/>
        </w:rPr>
        <w:t>United States of America</w:t>
      </w:r>
      <w:r>
        <w:rPr>
          <w:rFonts w:ascii="Arial" w:cs="Arial" w:eastAsia="Arial" w:hAnsi="Arial"/>
          <w:sz w:val="18"/>
          <w:szCs w:val="18"/>
          <w:color w:val="auto"/>
        </w:rPr>
        <w:t xml:space="preserve"> ex rel. </w:t>
      </w:r>
      <w:r>
        <w:rPr>
          <w:rFonts w:ascii="Arial" w:cs="Arial" w:eastAsia="Arial" w:hAnsi="Arial"/>
          <w:sz w:val="18"/>
          <w:szCs w:val="18"/>
          <w:i w:val="1"/>
          <w:iCs w:val="1"/>
          <w:color w:val="auto"/>
        </w:rPr>
        <w:t>Carlos Urquilla-Diaz</w:t>
      </w:r>
      <w:r>
        <w:rPr>
          <w:rFonts w:ascii="Arial" w:cs="Arial" w:eastAsia="Arial" w:hAnsi="Arial"/>
          <w:sz w:val="18"/>
          <w:szCs w:val="18"/>
          <w:color w:val="auto"/>
        </w:rPr>
        <w:t xml:space="preserve"> et al. v. </w:t>
      </w:r>
      <w:r>
        <w:rPr>
          <w:rFonts w:ascii="Arial" w:cs="Arial" w:eastAsia="Arial" w:hAnsi="Arial"/>
          <w:sz w:val="18"/>
          <w:szCs w:val="18"/>
          <w:i w:val="1"/>
          <w:iCs w:val="1"/>
          <w:color w:val="auto"/>
        </w:rPr>
        <w:t>Kaplan University</w:t>
      </w:r>
      <w:r>
        <w:rPr>
          <w:rFonts w:ascii="Arial" w:cs="Arial" w:eastAsia="Arial" w:hAnsi="Arial"/>
          <w:sz w:val="18"/>
          <w:szCs w:val="18"/>
          <w:color w:val="auto"/>
        </w:rPr>
        <w:t xml:space="preserve"> et al. (unsealed March 25, 2008) and </w:t>
      </w:r>
      <w:r>
        <w:rPr>
          <w:rFonts w:ascii="Arial" w:cs="Arial" w:eastAsia="Arial" w:hAnsi="Arial"/>
          <w:sz w:val="18"/>
          <w:szCs w:val="18"/>
          <w:i w:val="1"/>
          <w:iCs w:val="1"/>
          <w:color w:val="auto"/>
        </w:rPr>
        <w:t xml:space="preserve">United States of America </w:t>
      </w:r>
      <w:r>
        <w:rPr>
          <w:rFonts w:ascii="Arial" w:cs="Arial" w:eastAsia="Arial" w:hAnsi="Arial"/>
          <w:sz w:val="18"/>
          <w:szCs w:val="18"/>
          <w:color w:val="auto"/>
        </w:rPr>
        <w:t>ex rel.</w:t>
      </w:r>
      <w:r>
        <w:rPr>
          <w:rFonts w:ascii="Arial" w:cs="Arial" w:eastAsia="Arial" w:hAnsi="Arial"/>
          <w:sz w:val="18"/>
          <w:szCs w:val="18"/>
          <w:i w:val="1"/>
          <w:iCs w:val="1"/>
          <w:color w:val="auto"/>
        </w:rPr>
        <w:t xml:space="preserve"> Charles Jajdelski </w:t>
      </w:r>
      <w:r>
        <w:rPr>
          <w:rFonts w:ascii="Arial" w:cs="Arial" w:eastAsia="Arial" w:hAnsi="Arial"/>
          <w:sz w:val="18"/>
          <w:szCs w:val="18"/>
          <w:color w:val="auto"/>
        </w:rPr>
        <w:t>v.</w:t>
      </w:r>
      <w:r>
        <w:rPr>
          <w:rFonts w:ascii="Arial" w:cs="Arial" w:eastAsia="Arial" w:hAnsi="Arial"/>
          <w:sz w:val="18"/>
          <w:szCs w:val="18"/>
          <w:i w:val="1"/>
          <w:iCs w:val="1"/>
          <w:color w:val="auto"/>
        </w:rPr>
        <w:t xml:space="preserve"> Kaplan Higher Education Corp. </w:t>
      </w:r>
      <w:r>
        <w:rPr>
          <w:rFonts w:ascii="Arial" w:cs="Arial" w:eastAsia="Arial" w:hAnsi="Arial"/>
          <w:sz w:val="18"/>
          <w:szCs w:val="18"/>
          <w:color w:val="auto"/>
        </w:rPr>
        <w:t>et al. (unsealed January 6, 2009).</w:t>
      </w:r>
    </w:p>
    <w:p>
      <w:pPr>
        <w:spacing w:after="0" w:line="111" w:lineRule="exact"/>
        <w:rPr>
          <w:sz w:val="20"/>
          <w:szCs w:val="20"/>
          <w:color w:val="auto"/>
        </w:rPr>
      </w:pPr>
    </w:p>
    <w:p>
      <w:pPr>
        <w:spacing w:after="0" w:line="224" w:lineRule="auto"/>
        <w:rPr>
          <w:sz w:val="20"/>
          <w:szCs w:val="20"/>
          <w:color w:val="auto"/>
        </w:rPr>
      </w:pPr>
      <w:r>
        <w:rPr>
          <w:rFonts w:ascii="Arial" w:cs="Arial" w:eastAsia="Arial" w:hAnsi="Arial"/>
          <w:sz w:val="18"/>
          <w:szCs w:val="18"/>
          <w:color w:val="auto"/>
        </w:rPr>
        <w:t>On August 17, 2011, the U.S. District Court for the Southern District of Florida issued a series of rulings in the Diaz case, which included three separate complaints: Diaz, Wilcox and Gillespie. The court dismissed the Wilcox complaint in its entirety; dismissed all False Claims Act allegations in the Diaz complaint, leaving only an individual employment claim; and dismissed in part the Gillespie complaint, thereby limiting the scope and time frame of its False Claims Act allegations regarding compliance with the U.S. Federal Rehabilitation Act. On October 31, 2012, the court entered summary judgment in favor of the Company as to the sole remaining employment claim in the Diaz complaint. On July 16, 2013, the court likewise entered summary judgment in favor of the Company on all remaining claims in the Gillespie complaint. Diaz and Gillespie each appealed to the U.S. Court of Appeals for the Eleventh Judicial Circuit. Arguments on both appeals were heard on February 3, 2015. On March 11, 2015, the appellate court issued a decision affirming the lower court’s dismissal of all of Gillespie</w:t>
      </w:r>
      <w:r>
        <w:rPr>
          <w:rFonts w:ascii="Arial" w:cs="Arial" w:eastAsia="Arial" w:hAnsi="Arial"/>
          <w:sz w:val="14"/>
          <w:szCs w:val="14"/>
          <w:b w:val="1"/>
          <w:bCs w:val="1"/>
          <w:color w:val="auto"/>
        </w:rPr>
        <w:t>’</w:t>
      </w:r>
      <w:r>
        <w:rPr>
          <w:rFonts w:ascii="Arial" w:cs="Arial" w:eastAsia="Arial" w:hAnsi="Arial"/>
          <w:sz w:val="18"/>
          <w:szCs w:val="18"/>
          <w:color w:val="auto"/>
        </w:rPr>
        <w:t>s claims, however Gillespie continues to file challenges to the appellate decision. The appellate court also dismissed three of the four Diaz claims, but reversed and remanded on Diaz</w:t>
      </w:r>
      <w:r>
        <w:rPr>
          <w:rFonts w:ascii="Arial" w:cs="Arial" w:eastAsia="Arial" w:hAnsi="Arial"/>
          <w:sz w:val="14"/>
          <w:szCs w:val="14"/>
          <w:b w:val="1"/>
          <w:bCs w:val="1"/>
          <w:color w:val="auto"/>
        </w:rPr>
        <w:t>’</w:t>
      </w:r>
      <w:r>
        <w:rPr>
          <w:rFonts w:ascii="Arial" w:cs="Arial" w:eastAsia="Arial" w:hAnsi="Arial"/>
          <w:sz w:val="18"/>
          <w:szCs w:val="18"/>
          <w:color w:val="auto"/>
        </w:rPr>
        <w:t>s claim that incentive compensation for admissions representatives was improperly based solely on enrollment counts. Kaplan filed an answer to Diaz</w:t>
      </w:r>
      <w:r>
        <w:rPr>
          <w:rFonts w:ascii="Arial" w:cs="Arial" w:eastAsia="Arial" w:hAnsi="Arial"/>
          <w:sz w:val="14"/>
          <w:szCs w:val="14"/>
          <w:b w:val="1"/>
          <w:bCs w:val="1"/>
          <w:color w:val="auto"/>
        </w:rPr>
        <w:t>’</w:t>
      </w:r>
      <w:r>
        <w:rPr>
          <w:rFonts w:ascii="Arial" w:cs="Arial" w:eastAsia="Arial" w:hAnsi="Arial"/>
          <w:sz w:val="18"/>
          <w:szCs w:val="18"/>
          <w:color w:val="auto"/>
        </w:rPr>
        <w:t>s amended complaint on September 11, 2015. Kaplan filed a motion to dismiss Diaz's claims, and a hearing was held on December 17, 2015. On March 24, 2016, the Court denied the motion to dismiss. Discovery in the case closed in January 2017. Kaplan filed a motion for summary judgment on February 21, 2017. A trial, if needed, is scheduled for July 10, 2017.</w:t>
      </w:r>
    </w:p>
    <w:p>
      <w:pPr>
        <w:spacing w:after="0" w:line="109"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On July 7, 2011, the U.S. District Court for the District of Nevada dismissed the Jajdelski complaint in its entirety and entered a final judgment in favor of Kaplan. On February 13, 2013, the U.S. Circuit Court for the Ninth Judicial</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420"/>
          </w:cols>
          <w:pgMar w:left="240" w:top="722" w:right="239" w:bottom="1440" w:gutter="0" w:footer="0" w:header="0"/>
        </w:sectPr>
      </w:pPr>
    </w:p>
    <w:bookmarkStart w:id="108" w:name="page109"/>
    <w:bookmarkEnd w:id="108"/>
    <w:p>
      <w:pPr>
        <w:ind w:right="300"/>
        <w:spacing w:after="0" w:line="234" w:lineRule="auto"/>
        <w:rPr>
          <w:sz w:val="20"/>
          <w:szCs w:val="20"/>
          <w:color w:val="auto"/>
        </w:rPr>
      </w:pPr>
      <w:r>
        <w:rPr>
          <w:rFonts w:ascii="Arial" w:cs="Arial" w:eastAsia="Arial" w:hAnsi="Arial"/>
          <w:sz w:val="18"/>
          <w:szCs w:val="18"/>
          <w:color w:val="auto"/>
        </w:rPr>
        <w:t>Circuit affirmed the dismissal in part and reversed the dismissal on one allegation under the False Claims Act relating to eligibility for Title IV funding based on claims of false attendance. The surviving claim was remanded to the District Court, where Kaplan was again granted summary judgment on March 9, 2015. Plaintiff has appealed this judgment and briefing is complete. Despite the sale of the nationally accredited Kaplan Higher Education Campuses business, Kaplan retains liability for these claims.</w:t>
      </w:r>
    </w:p>
    <w:p>
      <w:pPr>
        <w:spacing w:after="0" w:line="111" w:lineRule="exact"/>
        <w:rPr>
          <w:sz w:val="20"/>
          <w:szCs w:val="20"/>
          <w:color w:val="auto"/>
        </w:rPr>
      </w:pPr>
    </w:p>
    <w:p>
      <w:pPr>
        <w:ind w:right="40"/>
        <w:spacing w:after="0" w:line="231" w:lineRule="auto"/>
        <w:rPr>
          <w:sz w:val="20"/>
          <w:szCs w:val="20"/>
          <w:color w:val="auto"/>
        </w:rPr>
      </w:pPr>
      <w:r>
        <w:rPr>
          <w:rFonts w:ascii="Arial" w:cs="Arial" w:eastAsia="Arial" w:hAnsi="Arial"/>
          <w:sz w:val="18"/>
          <w:szCs w:val="18"/>
          <w:color w:val="auto"/>
        </w:rPr>
        <w:t>On December 22, 2014, a former student representative filed a purported class- and collective-action lawsuit in the U.S. District Court for the Northern District of Illinois, in which she asserts claims under the Illinois Minimum Wage Law and the Fair Labor Standards Act (</w:t>
      </w:r>
      <w:r>
        <w:rPr>
          <w:rFonts w:ascii="Arial" w:cs="Arial" w:eastAsia="Arial" w:hAnsi="Arial"/>
          <w:sz w:val="18"/>
          <w:szCs w:val="18"/>
          <w:i w:val="1"/>
          <w:iCs w:val="1"/>
          <w:color w:val="auto"/>
        </w:rPr>
        <w:t>Sharon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Freeman </w:t>
      </w:r>
      <w:r>
        <w:rPr>
          <w:rFonts w:ascii="Arial" w:cs="Arial" w:eastAsia="Arial" w:hAnsi="Arial"/>
          <w:sz w:val="18"/>
          <w:szCs w:val="18"/>
          <w:color w:val="auto"/>
        </w:rPr>
        <w:t>v</w:t>
      </w:r>
      <w:r>
        <w:rPr>
          <w:rFonts w:ascii="Arial" w:cs="Arial" w:eastAsia="Arial" w:hAnsi="Arial"/>
          <w:sz w:val="18"/>
          <w:szCs w:val="18"/>
          <w:i w:val="1"/>
          <w:iCs w:val="1"/>
          <w:color w:val="auto"/>
        </w:rPr>
        <w:t>. Kaplan, Inc.</w:t>
      </w:r>
      <w:r>
        <w:rPr>
          <w:rFonts w:ascii="Arial" w:cs="Arial" w:eastAsia="Arial" w:hAnsi="Arial"/>
          <w:sz w:val="18"/>
          <w:szCs w:val="18"/>
          <w:color w:val="auto"/>
        </w:rPr>
        <w:t>). The plaintiff alleges that she and other law students who were student representatives, on their respective law school</w:t>
      </w:r>
      <w:r>
        <w:rPr>
          <w:rFonts w:ascii="Arial" w:cs="Arial" w:eastAsia="Arial" w:hAnsi="Arial"/>
          <w:sz w:val="18"/>
          <w:szCs w:val="18"/>
          <w:i w:val="1"/>
          <w:iCs w:val="1"/>
          <w:color w:val="auto"/>
        </w:rPr>
        <w:t xml:space="preserve"> </w:t>
      </w:r>
      <w:r>
        <w:rPr>
          <w:rFonts w:ascii="Arial" w:cs="Arial" w:eastAsia="Arial" w:hAnsi="Arial"/>
          <w:sz w:val="18"/>
          <w:szCs w:val="18"/>
          <w:color w:val="auto"/>
        </w:rPr>
        <w:t>campuses, of Kaplan’s bar exam preparation business should have been classified as employees and paid minimum wage. The parties reached an agreement to settle this matter and in June the settlement was approved by the District Court.</w:t>
      </w:r>
    </w:p>
    <w:p>
      <w:pPr>
        <w:spacing w:after="0" w:line="111" w:lineRule="exact"/>
        <w:rPr>
          <w:sz w:val="20"/>
          <w:szCs w:val="20"/>
          <w:color w:val="auto"/>
        </w:rPr>
      </w:pPr>
    </w:p>
    <w:p>
      <w:pPr>
        <w:ind w:right="120"/>
        <w:spacing w:after="0" w:line="231" w:lineRule="auto"/>
        <w:rPr>
          <w:sz w:val="20"/>
          <w:szCs w:val="20"/>
          <w:color w:val="auto"/>
        </w:rPr>
      </w:pPr>
      <w:r>
        <w:rPr>
          <w:rFonts w:ascii="Arial" w:cs="Arial" w:eastAsia="Arial" w:hAnsi="Arial"/>
          <w:sz w:val="18"/>
          <w:szCs w:val="18"/>
          <w:color w:val="auto"/>
        </w:rPr>
        <w:t>On February 7, 2011, KHE received a Civil Investigative Demand from the Office of the Attorney General of the State of Illinois. The demand primarily sought information pertaining to Kaplan University’s online students who are residents of Illinois. KHE has cooperated with the Illinois Attorney General and provided the requested information. Although the matter is not technically closed and KHE may receive further requests for information from the Illinois Attorney General, there has been no such further correspondence over the past five years to date. The Company cannot predict the outcome of this inquiry.</w:t>
      </w:r>
    </w:p>
    <w:p>
      <w:pPr>
        <w:spacing w:after="0" w:line="111" w:lineRule="exact"/>
        <w:rPr>
          <w:sz w:val="20"/>
          <w:szCs w:val="20"/>
          <w:color w:val="auto"/>
        </w:rPr>
      </w:pPr>
    </w:p>
    <w:p>
      <w:pPr>
        <w:ind w:right="180"/>
        <w:spacing w:after="0" w:line="231" w:lineRule="auto"/>
        <w:rPr>
          <w:sz w:val="20"/>
          <w:szCs w:val="20"/>
          <w:color w:val="auto"/>
        </w:rPr>
      </w:pPr>
      <w:r>
        <w:rPr>
          <w:rFonts w:ascii="Arial" w:cs="Arial" w:eastAsia="Arial" w:hAnsi="Arial"/>
          <w:sz w:val="18"/>
          <w:szCs w:val="18"/>
          <w:color w:val="auto"/>
        </w:rPr>
        <w:t>On July 20, 2011, KHE received a subpoena from the Office of the Attorney General of the State of Delaware. The demand primarily sought information pertaining to Kaplan University’s online students and Kaplan Higher Education Campuses’ former students who are residents of Delaware. KHE has cooperated with the Delaware Attorney General and provided the information requested in the subpoena. Although the matter is not technically closed and KHE may receive further requests for information from the Delaware Attorney General, there has been no such further correspondence over the past five years to date. The Company cannot predict the outcome of this inquiry.</w:t>
      </w:r>
    </w:p>
    <w:p>
      <w:pPr>
        <w:spacing w:after="0" w:line="111" w:lineRule="exact"/>
        <w:rPr>
          <w:sz w:val="20"/>
          <w:szCs w:val="20"/>
          <w:color w:val="auto"/>
        </w:rPr>
      </w:pPr>
    </w:p>
    <w:p>
      <w:pPr>
        <w:ind w:right="40"/>
        <w:spacing w:after="0" w:line="228" w:lineRule="auto"/>
        <w:rPr>
          <w:sz w:val="20"/>
          <w:szCs w:val="20"/>
          <w:color w:val="auto"/>
        </w:rPr>
      </w:pPr>
      <w:r>
        <w:rPr>
          <w:rFonts w:ascii="Arial" w:cs="Arial" w:eastAsia="Arial" w:hAnsi="Arial"/>
          <w:sz w:val="18"/>
          <w:szCs w:val="18"/>
          <w:color w:val="auto"/>
        </w:rPr>
        <w:t>On January 16, 2012, prior to Kaplan’s sale of the Kidum Group in Israel, the Kidum Group received notice of a putative class action complaint against the Kidum Group’s Wall Street Institute business, alleging violations of Israeli consumer protection law in connection with certain enrollment and refund policies. Kaplan has continuing obligations to the purchaser under the terms of the agreement of sale. In January 2016, Israel’s Central District Court issued a ruling allowing the case to proceed as a class action. Plaintiffs filed an amended claim on May 3, 2016 in order to comply with the court’s class certification order. Kidum filed its statement of defense to the amended claim on September 15, 2016, and plaintiffs filed their reply on November 15, 2016. A pre-trial hearing was held on November 20, 2016 and discovery began in January. At this time, the Company cannot predict the outcome of this matter.</w:t>
      </w:r>
    </w:p>
    <w:p>
      <w:pPr>
        <w:spacing w:after="0" w:line="109" w:lineRule="exact"/>
        <w:rPr>
          <w:sz w:val="20"/>
          <w:szCs w:val="20"/>
          <w:color w:val="auto"/>
        </w:rPr>
      </w:pPr>
    </w:p>
    <w:p>
      <w:pPr>
        <w:ind w:right="40"/>
        <w:spacing w:after="0" w:line="229" w:lineRule="auto"/>
        <w:rPr>
          <w:sz w:val="20"/>
          <w:szCs w:val="20"/>
          <w:color w:val="auto"/>
        </w:rPr>
      </w:pPr>
      <w:r>
        <w:rPr>
          <w:rFonts w:ascii="Arial" w:cs="Arial" w:eastAsia="Arial" w:hAnsi="Arial"/>
          <w:sz w:val="18"/>
          <w:szCs w:val="18"/>
          <w:color w:val="auto"/>
        </w:rPr>
        <w:t>On September 30, 2016, a purported class-action lawsuit was filed against KHE and Education Corporation of America d/b/a Brightwood College, in Alameda County Superior Court, in Oakland, CA, by Donna Hillman alleging violations of California wage and hour laws as they apply to “adjunct” or part-time faculty. The complaint seeks a declaratory judgment that Kaplan violated the California Labor Code and an award of damages for allegedly unpaid wages, penalties under the California Labor Code, interest and attorney’s fees. A response and general denial was filed on November 2, 2016. KHE moved to transfer the venue to Sacramento, CA. Mediation has been set for March 7, 2017. At this time, the Company cannot predict the outcome of this matter.</w:t>
      </w:r>
    </w:p>
    <w:p>
      <w:pPr>
        <w:spacing w:after="0" w:line="112" w:lineRule="exact"/>
        <w:rPr>
          <w:sz w:val="20"/>
          <w:szCs w:val="20"/>
          <w:color w:val="auto"/>
        </w:rPr>
      </w:pPr>
    </w:p>
    <w:p>
      <w:pPr>
        <w:ind w:right="180"/>
        <w:spacing w:after="0" w:line="234" w:lineRule="auto"/>
        <w:rPr>
          <w:sz w:val="20"/>
          <w:szCs w:val="20"/>
          <w:color w:val="auto"/>
        </w:rPr>
      </w:pPr>
      <w:r>
        <w:rPr>
          <w:rFonts w:ascii="Arial" w:cs="Arial" w:eastAsia="Arial" w:hAnsi="Arial"/>
          <w:sz w:val="18"/>
          <w:szCs w:val="18"/>
          <w:color w:val="auto"/>
        </w:rPr>
        <w:t>On March 28, 2016, a purported class-action lawsuit was filed in the U.S. District Court for the Northern District of Illinois by Erin Fries, a physical therapist formerly employed by Residential, against Residential Home Health, LLC, Residential Home Health Illinois, LLC, and David Curtis. The complaint alleges violations of the FLSA and the Illinois minimum wage law. The complaint seeks damages, attorney’s fees, and costs. At this time, the Company cannot predict the outcome of this matter.</w:t>
      </w:r>
    </w:p>
    <w:p>
      <w:pPr>
        <w:spacing w:after="0" w:line="109" w:lineRule="exact"/>
        <w:rPr>
          <w:sz w:val="20"/>
          <w:szCs w:val="20"/>
          <w:color w:val="auto"/>
        </w:rPr>
      </w:pPr>
    </w:p>
    <w:p>
      <w:pPr>
        <w:spacing w:after="0" w:line="224" w:lineRule="auto"/>
        <w:rPr>
          <w:sz w:val="20"/>
          <w:szCs w:val="20"/>
          <w:color w:val="auto"/>
        </w:rPr>
      </w:pPr>
      <w:r>
        <w:rPr>
          <w:rFonts w:ascii="Arial" w:cs="Arial" w:eastAsia="Arial" w:hAnsi="Arial"/>
          <w:sz w:val="18"/>
          <w:szCs w:val="18"/>
          <w:b w:val="1"/>
          <w:bCs w:val="1"/>
          <w:color w:val="auto"/>
        </w:rPr>
        <w:t xml:space="preserve">Student Financial Aid. </w:t>
      </w:r>
      <w:r>
        <w:rPr>
          <w:rFonts w:ascii="Arial" w:cs="Arial" w:eastAsia="Arial" w:hAnsi="Arial"/>
          <w:sz w:val="18"/>
          <w:szCs w:val="18"/>
          <w:color w:val="auto"/>
        </w:rPr>
        <w:t>The Company’s higher education division derives the majority of its revenues from U.S. Federal financial aid received</w:t>
      </w:r>
      <w:r>
        <w:rPr>
          <w:rFonts w:ascii="Arial" w:cs="Arial" w:eastAsia="Arial" w:hAnsi="Arial"/>
          <w:sz w:val="18"/>
          <w:szCs w:val="18"/>
          <w:b w:val="1"/>
          <w:bCs w:val="1"/>
          <w:color w:val="auto"/>
        </w:rPr>
        <w:t xml:space="preserve"> </w:t>
      </w:r>
      <w:r>
        <w:rPr>
          <w:rFonts w:ascii="Arial" w:cs="Arial" w:eastAsia="Arial" w:hAnsi="Arial"/>
          <w:sz w:val="18"/>
          <w:szCs w:val="18"/>
          <w:color w:val="auto"/>
        </w:rPr>
        <w:t>by its students under Title IV programs administered by the ED pursuant to the Higher Education Act (HEA), as amended. To maintain eligibility to participate in Title IV programs, a school must comply with extensive statutory and regulatory requirements relating to its financial aid management, educational programs, financial strength, administrative capability, compensation practices, facilities, recruiting practices, representations made to current and prospective students, and various other matters. In addition, the school must be licensed, or otherwise legally authorized, to offer postsecondary educational programs by the appropriate governmental body in the state or states in which it is physically located or is otherwise subject to state authorization requirements, be accredited by an accrediting agency recognized by the ED and be certified to participate in the Title IV programs by the ED. Schools are required periodically to apply for renewal of their authorization, accreditation or certification with the applicable state governmental bodies, accrediting agencies and the ED. Kaplan University is assigned its own identification number, known as an OPEID number, for the purpose of determining compliance with certain Title IV requirements. Failure to comply with the requirements of the Higher Education Act or related regulations could result in the restriction or loss of the ability to participate in Title IV</w:t>
      </w: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420"/>
          </w:cols>
          <w:pgMar w:left="240" w:top="724" w:right="239" w:bottom="1440" w:gutter="0" w:footer="0" w:header="0"/>
        </w:sectPr>
      </w:pPr>
    </w:p>
    <w:bookmarkStart w:id="109" w:name="page110"/>
    <w:bookmarkEnd w:id="109"/>
    <w:p>
      <w:pPr>
        <w:ind w:right="20"/>
        <w:spacing w:after="0"/>
        <w:rPr>
          <w:sz w:val="20"/>
          <w:szCs w:val="20"/>
          <w:color w:val="auto"/>
        </w:rPr>
      </w:pPr>
      <w:r>
        <w:rPr>
          <w:rFonts w:ascii="Arial" w:cs="Arial" w:eastAsia="Arial" w:hAnsi="Arial"/>
          <w:sz w:val="18"/>
          <w:szCs w:val="18"/>
          <w:color w:val="auto"/>
        </w:rPr>
        <w:t>programs and subject the Company to financial penalties and refunds. No assurance can be given that Kaplan University or its individual programs will maintain their Title IV eligibility, accreditation and state authorization in the future or that the ED might not successfully assert that Kaplan University has previously failed to comply with Title IV requirements.</w:t>
      </w:r>
    </w:p>
    <w:p>
      <w:pPr>
        <w:spacing w:after="0" w:line="108" w:lineRule="exact"/>
        <w:rPr>
          <w:sz w:val="20"/>
          <w:szCs w:val="20"/>
          <w:color w:val="auto"/>
        </w:rPr>
      </w:pPr>
    </w:p>
    <w:p>
      <w:pPr>
        <w:jc w:val="both"/>
        <w:ind w:right="280"/>
        <w:spacing w:after="0"/>
        <w:rPr>
          <w:sz w:val="20"/>
          <w:szCs w:val="20"/>
          <w:color w:val="auto"/>
        </w:rPr>
      </w:pPr>
      <w:r>
        <w:rPr>
          <w:rFonts w:ascii="Arial" w:cs="Arial" w:eastAsia="Arial" w:hAnsi="Arial"/>
          <w:sz w:val="18"/>
          <w:szCs w:val="18"/>
          <w:color w:val="auto"/>
        </w:rPr>
        <w:t>Financial aid and assistance programs are subject to political and governmental budgetary considerations. There is no assurance that such funding will be maintained at current levels. Extensive and complex regulations in the U.S. govern all of the government financial assistance programs in which students participate.</w:t>
      </w:r>
    </w:p>
    <w:p>
      <w:pPr>
        <w:spacing w:after="0" w:line="108" w:lineRule="exact"/>
        <w:rPr>
          <w:sz w:val="20"/>
          <w:szCs w:val="20"/>
          <w:color w:val="auto"/>
        </w:rPr>
      </w:pPr>
    </w:p>
    <w:p>
      <w:pPr>
        <w:ind w:right="60"/>
        <w:spacing w:after="0" w:line="234" w:lineRule="auto"/>
        <w:rPr>
          <w:sz w:val="20"/>
          <w:szCs w:val="20"/>
          <w:color w:val="auto"/>
        </w:rPr>
      </w:pPr>
      <w:r>
        <w:rPr>
          <w:rFonts w:ascii="Arial" w:cs="Arial" w:eastAsia="Arial" w:hAnsi="Arial"/>
          <w:sz w:val="18"/>
          <w:szCs w:val="18"/>
          <w:color w:val="auto"/>
        </w:rPr>
        <w:t>For the years ended December 31, 2016, 2015 and 2014, approximately $437 million, $628 million and $ 806 million, respectively, of the Company’s education division revenue was derived from financial aid received by students under Title IV programs. Management believes that the Company’s education division schools that participate in Title IV programs are in material compliance with standards set forth in the Higher Education Act and related regulations.</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ED Program Reviews. </w:t>
      </w:r>
      <w:r>
        <w:rPr>
          <w:rFonts w:ascii="Arial" w:cs="Arial" w:eastAsia="Arial" w:hAnsi="Arial"/>
          <w:sz w:val="18"/>
          <w:szCs w:val="18"/>
          <w:color w:val="auto"/>
        </w:rPr>
        <w:t>The ED has undertaken program reviews at various KHE locations.</w:t>
      </w:r>
    </w:p>
    <w:p>
      <w:pPr>
        <w:spacing w:after="0" w:line="146" w:lineRule="exact"/>
        <w:rPr>
          <w:sz w:val="20"/>
          <w:szCs w:val="20"/>
          <w:color w:val="auto"/>
        </w:rPr>
      </w:pPr>
    </w:p>
    <w:p>
      <w:pPr>
        <w:ind w:right="40"/>
        <w:spacing w:after="0" w:line="228" w:lineRule="auto"/>
        <w:rPr>
          <w:sz w:val="20"/>
          <w:szCs w:val="20"/>
          <w:color w:val="auto"/>
        </w:rPr>
      </w:pPr>
      <w:r>
        <w:rPr>
          <w:rFonts w:ascii="Arial" w:cs="Arial" w:eastAsia="Arial" w:hAnsi="Arial"/>
          <w:sz w:val="18"/>
          <w:szCs w:val="18"/>
          <w:color w:val="auto"/>
        </w:rPr>
        <w:t>On February 23, 2015, the ED began a review of Kaplan University. The review will assess Kaplan’s administration of its Title IV and Higher Education Act programs and will initially focus on the 2013 to 2014 and 2014 to 2015 award years. On December 17, 2015, Kaplan University received a notice from the ED that it had been placed on provisional certification status until September 30, 2018, in connection with the open and ongoing ED program review. The ED has not notified Kaplan University of any negative findings. However, at this time, Kaplan cannot predict the outcome of this review, when it will be completed or any liability or other limitations that the ED may place on Kaplan University as a result of this review. During the period of provisional certification, Kaplan University must obtain prior ED approval to open a new location, add an educational program, acquire another school or make any other significant change.</w:t>
      </w:r>
    </w:p>
    <w:p>
      <w:pPr>
        <w:spacing w:after="0" w:line="109" w:lineRule="exact"/>
        <w:rPr>
          <w:sz w:val="20"/>
          <w:szCs w:val="20"/>
          <w:color w:val="auto"/>
        </w:rPr>
      </w:pPr>
    </w:p>
    <w:p>
      <w:pPr>
        <w:ind w:right="40"/>
        <w:spacing w:after="0" w:line="234" w:lineRule="auto"/>
        <w:rPr>
          <w:sz w:val="20"/>
          <w:szCs w:val="20"/>
          <w:color w:val="auto"/>
        </w:rPr>
      </w:pPr>
      <w:r>
        <w:rPr>
          <w:rFonts w:ascii="Arial" w:cs="Arial" w:eastAsia="Arial" w:hAnsi="Arial"/>
          <w:sz w:val="18"/>
          <w:szCs w:val="18"/>
          <w:color w:val="auto"/>
        </w:rPr>
        <w:t>In addition, there are four open program reviews at campuses that were part of the KHE Campuses business prior to its sale in 2015 to Education Corporation of America (ECA), including the ED’s final reports on the program reviews at former KHE Hammond, IN, San Antonio, TX, Broomall, PA, and Pittsburgh, PA, locations. Kaplan retains responsibility for any financial obligation resulting from the ED program reviews at the KHE Campuses business that were open at the time of sale.</w:t>
      </w:r>
    </w:p>
    <w:p>
      <w:pPr>
        <w:spacing w:after="0" w:line="111"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The Company does not expect the open program reviews to have a material impact on KHE; however, the results of open program reviews and their impact on Kaplan’s operations are uncertain.</w:t>
      </w:r>
    </w:p>
    <w:p>
      <w:pPr>
        <w:spacing w:after="0" w:line="90" w:lineRule="exact"/>
        <w:rPr>
          <w:sz w:val="20"/>
          <w:szCs w:val="20"/>
          <w:color w:val="auto"/>
        </w:rPr>
      </w:pPr>
    </w:p>
    <w:p>
      <w:pPr>
        <w:spacing w:after="0" w:line="232" w:lineRule="auto"/>
        <w:rPr>
          <w:sz w:val="20"/>
          <w:szCs w:val="20"/>
          <w:color w:val="auto"/>
        </w:rPr>
      </w:pPr>
      <w:r>
        <w:rPr>
          <w:rFonts w:ascii="Arial" w:cs="Arial" w:eastAsia="Arial" w:hAnsi="Arial"/>
          <w:sz w:val="18"/>
          <w:szCs w:val="18"/>
          <w:b w:val="1"/>
          <w:bCs w:val="1"/>
          <w:color w:val="auto"/>
        </w:rPr>
        <w:t xml:space="preserve">The 90/10 Rule. </w:t>
      </w:r>
      <w:r>
        <w:rPr>
          <w:rFonts w:ascii="Arial" w:cs="Arial" w:eastAsia="Arial" w:hAnsi="Arial"/>
          <w:sz w:val="18"/>
          <w:szCs w:val="18"/>
          <w:color w:val="auto"/>
        </w:rPr>
        <w:t>Under regulations referred to as the 90/10 rule, an institution would lose its eligibility to participate in Title IV programs for a</w:t>
      </w:r>
      <w:r>
        <w:rPr>
          <w:rFonts w:ascii="Arial" w:cs="Arial" w:eastAsia="Arial" w:hAnsi="Arial"/>
          <w:sz w:val="18"/>
          <w:szCs w:val="18"/>
          <w:b w:val="1"/>
          <w:bCs w:val="1"/>
          <w:color w:val="auto"/>
        </w:rPr>
        <w:t xml:space="preserve"> </w:t>
      </w:r>
      <w:r>
        <w:rPr>
          <w:rFonts w:ascii="Arial" w:cs="Arial" w:eastAsia="Arial" w:hAnsi="Arial"/>
          <w:sz w:val="18"/>
          <w:szCs w:val="18"/>
          <w:color w:val="auto"/>
        </w:rPr>
        <w:t>period of at least two fiscal years if the institution derives more than 90% of its receipts from Title IV programs, as calculated on a cash basis in accordance with the Higher Education Act and applicable ED regulations, in each of two consecutive fiscal years. An institution with Title IV receipts exceeding 90% for a single fiscal year would be placed on provisional certification and may be subject to other enforcement measures. Kaplan University derived less than 77% and less than 79% of its receipts from Title IV programs in 2016 and 2015, respectively.</w:t>
      </w:r>
    </w:p>
    <w:p>
      <w:pPr>
        <w:spacing w:after="0" w:line="107" w:lineRule="exact"/>
        <w:rPr>
          <w:sz w:val="20"/>
          <w:szCs w:val="20"/>
          <w:color w:val="auto"/>
        </w:rPr>
      </w:pPr>
    </w:p>
    <w:p>
      <w:pPr>
        <w:ind w:left="500" w:hanging="492"/>
        <w:spacing w:after="0"/>
        <w:tabs>
          <w:tab w:leader="none" w:pos="500" w:val="left"/>
        </w:tabs>
        <w:numPr>
          <w:ilvl w:val="0"/>
          <w:numId w:val="79"/>
        </w:numPr>
        <w:rPr>
          <w:rFonts w:ascii="Arial" w:cs="Arial" w:eastAsia="Arial" w:hAnsi="Arial"/>
          <w:sz w:val="18"/>
          <w:szCs w:val="18"/>
          <w:b w:val="1"/>
          <w:bCs w:val="1"/>
          <w:color w:val="auto"/>
        </w:rPr>
      </w:pPr>
      <w:r>
        <w:rPr>
          <w:rFonts w:ascii="Arial" w:cs="Arial" w:eastAsia="Arial" w:hAnsi="Arial"/>
          <w:sz w:val="18"/>
          <w:szCs w:val="18"/>
          <w:b w:val="1"/>
          <w:bCs w:val="1"/>
          <w:color w:val="auto"/>
        </w:rPr>
        <w:t>BUSINESS SEGMENTS</w:t>
      </w:r>
    </w:p>
    <w:p>
      <w:pPr>
        <w:spacing w:after="0" w:line="144" w:lineRule="exact"/>
        <w:rPr>
          <w:sz w:val="20"/>
          <w:szCs w:val="20"/>
          <w:color w:val="auto"/>
        </w:rPr>
      </w:pPr>
    </w:p>
    <w:p>
      <w:pPr>
        <w:ind w:right="40"/>
        <w:spacing w:after="0" w:line="232" w:lineRule="auto"/>
        <w:rPr>
          <w:sz w:val="20"/>
          <w:szCs w:val="20"/>
          <w:color w:val="auto"/>
        </w:rPr>
      </w:pPr>
      <w:r>
        <w:rPr>
          <w:rFonts w:ascii="Arial" w:cs="Arial" w:eastAsia="Arial" w:hAnsi="Arial"/>
          <w:sz w:val="18"/>
          <w:szCs w:val="18"/>
          <w:b w:val="1"/>
          <w:bCs w:val="1"/>
          <w:color w:val="auto"/>
        </w:rPr>
        <w:t xml:space="preserve">Basis of Presentation. </w:t>
      </w:r>
      <w:r>
        <w:rPr>
          <w:rFonts w:ascii="Arial" w:cs="Arial" w:eastAsia="Arial" w:hAnsi="Arial"/>
          <w:sz w:val="18"/>
          <w:szCs w:val="18"/>
          <w:color w:val="auto"/>
        </w:rPr>
        <w:t>The Company’s organizational structure is based on a number of factors that management uses to evaluate, view and</w:t>
      </w:r>
      <w:r>
        <w:rPr>
          <w:rFonts w:ascii="Arial" w:cs="Arial" w:eastAsia="Arial" w:hAnsi="Arial"/>
          <w:sz w:val="18"/>
          <w:szCs w:val="18"/>
          <w:b w:val="1"/>
          <w:bCs w:val="1"/>
          <w:color w:val="auto"/>
        </w:rPr>
        <w:t xml:space="preserve"> </w:t>
      </w:r>
      <w:r>
        <w:rPr>
          <w:rFonts w:ascii="Arial" w:cs="Arial" w:eastAsia="Arial" w:hAnsi="Arial"/>
          <w:sz w:val="18"/>
          <w:szCs w:val="18"/>
          <w:color w:val="auto"/>
        </w:rPr>
        <w:t>run its business operations, which include, but are not limited to, customers, the nature of products and services and use of resources. The business segments disclosed in the Consolidated Financial Statements are based on this organizational structure and information reviewed by the Company’s management to evaluate the business segment results. The Company has four reportable segments: KHE, KTP, Kaplan International, and television broadcasting.</w:t>
      </w:r>
    </w:p>
    <w:p>
      <w:pPr>
        <w:spacing w:after="0" w:line="109" w:lineRule="exact"/>
        <w:rPr>
          <w:sz w:val="20"/>
          <w:szCs w:val="20"/>
          <w:color w:val="auto"/>
        </w:rPr>
      </w:pPr>
    </w:p>
    <w:p>
      <w:pPr>
        <w:spacing w:after="0" w:line="234" w:lineRule="auto"/>
        <w:rPr>
          <w:sz w:val="20"/>
          <w:szCs w:val="20"/>
          <w:color w:val="auto"/>
        </w:rPr>
      </w:pPr>
      <w:r>
        <w:rPr>
          <w:rFonts w:ascii="Arial" w:cs="Arial" w:eastAsia="Arial" w:hAnsi="Arial"/>
          <w:sz w:val="18"/>
          <w:szCs w:val="18"/>
          <w:color w:val="auto"/>
        </w:rPr>
        <w:t>The Company evaluates segment performance based on operating income before amortization of intangible assets and impairment of goodwill and other long-lived assets. The accounting policies at the segments are the same as described in Note 2. In computing income from operations by segment, the effects of equity in earnings (losses) of affiliates, interest income, interest expense, other non-operating income and expense items and income taxes are not included. Intersegment sales are not material.</w:t>
      </w:r>
    </w:p>
    <w:p>
      <w:pPr>
        <w:spacing w:after="0" w:line="111" w:lineRule="exact"/>
        <w:rPr>
          <w:sz w:val="20"/>
          <w:szCs w:val="20"/>
          <w:color w:val="auto"/>
        </w:rPr>
      </w:pPr>
    </w:p>
    <w:p>
      <w:pPr>
        <w:ind w:right="60"/>
        <w:spacing w:after="0" w:line="260" w:lineRule="auto"/>
        <w:rPr>
          <w:sz w:val="20"/>
          <w:szCs w:val="20"/>
          <w:color w:val="auto"/>
        </w:rPr>
      </w:pPr>
      <w:r>
        <w:rPr>
          <w:rFonts w:ascii="Arial" w:cs="Arial" w:eastAsia="Arial" w:hAnsi="Arial"/>
          <w:sz w:val="18"/>
          <w:szCs w:val="18"/>
          <w:color w:val="auto"/>
        </w:rPr>
        <w:t>Identifiable assets by segment are those assets used in the Company’s operations in each business segment. The Prepaid Pension cost is not included in identifiable assets by segment. Investments in marketable equity securities are discussed in Note 4.</w:t>
      </w:r>
    </w:p>
    <w:p>
      <w:pPr>
        <w:spacing w:after="0" w:line="90" w:lineRule="exact"/>
        <w:rPr>
          <w:sz w:val="20"/>
          <w:szCs w:val="20"/>
          <w:color w:val="auto"/>
        </w:rPr>
      </w:pPr>
    </w:p>
    <w:p>
      <w:pPr>
        <w:ind w:right="320"/>
        <w:spacing w:after="0" w:line="241" w:lineRule="auto"/>
        <w:rPr>
          <w:sz w:val="20"/>
          <w:szCs w:val="20"/>
          <w:color w:val="auto"/>
        </w:rPr>
      </w:pPr>
      <w:r>
        <w:rPr>
          <w:rFonts w:ascii="Arial" w:cs="Arial" w:eastAsia="Arial" w:hAnsi="Arial"/>
          <w:sz w:val="18"/>
          <w:szCs w:val="18"/>
          <w:b w:val="1"/>
          <w:bCs w:val="1"/>
          <w:color w:val="auto"/>
        </w:rPr>
        <w:t xml:space="preserve">Education. </w:t>
      </w:r>
      <w:r>
        <w:rPr>
          <w:rFonts w:ascii="Arial" w:cs="Arial" w:eastAsia="Arial" w:hAnsi="Arial"/>
          <w:sz w:val="18"/>
          <w:szCs w:val="18"/>
          <w:color w:val="auto"/>
        </w:rPr>
        <w:t>Education products and services are provided by Kaplan, Inc. KHE includes Kaplan’s domestic postsecondary education</w:t>
      </w:r>
      <w:r>
        <w:rPr>
          <w:rFonts w:ascii="Arial" w:cs="Arial" w:eastAsia="Arial" w:hAnsi="Arial"/>
          <w:sz w:val="18"/>
          <w:szCs w:val="18"/>
          <w:b w:val="1"/>
          <w:bCs w:val="1"/>
          <w:color w:val="auto"/>
        </w:rPr>
        <w:t xml:space="preserve"> </w:t>
      </w:r>
      <w:r>
        <w:rPr>
          <w:rFonts w:ascii="Arial" w:cs="Arial" w:eastAsia="Arial" w:hAnsi="Arial"/>
          <w:sz w:val="18"/>
          <w:szCs w:val="18"/>
          <w:color w:val="auto"/>
        </w:rPr>
        <w:t>businesses, made up of fixed-facility colleges and online postsecondary and career programs. KHE also includes the domestic professional training and other continuing education businesses. KTP</w:t>
      </w: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400"/>
          </w:cols>
          <w:pgMar w:left="240" w:top="724" w:right="259" w:bottom="1440" w:gutter="0" w:footer="0" w:header="0"/>
        </w:sectPr>
      </w:pPr>
    </w:p>
    <w:bookmarkStart w:id="110" w:name="page111"/>
    <w:bookmarkEnd w:id="110"/>
    <w:p>
      <w:pPr>
        <w:ind w:right="160"/>
        <w:spacing w:after="0" w:line="260" w:lineRule="auto"/>
        <w:rPr>
          <w:sz w:val="20"/>
          <w:szCs w:val="20"/>
          <w:color w:val="auto"/>
        </w:rPr>
      </w:pPr>
      <w:r>
        <w:rPr>
          <w:rFonts w:ascii="Arial" w:cs="Arial" w:eastAsia="Arial" w:hAnsi="Arial"/>
          <w:sz w:val="18"/>
          <w:szCs w:val="18"/>
          <w:color w:val="auto"/>
        </w:rPr>
        <w:t>includes Kaplan’s standardized test preparation and new economy skills training programs. Kaplan International includes professional training and postsecondary education businesses largely outside the United States, as well as English-language programs.</w:t>
      </w:r>
    </w:p>
    <w:p>
      <w:pPr>
        <w:spacing w:after="0" w:line="92" w:lineRule="exact"/>
        <w:rPr>
          <w:sz w:val="20"/>
          <w:szCs w:val="20"/>
          <w:color w:val="auto"/>
        </w:rPr>
      </w:pPr>
    </w:p>
    <w:p>
      <w:pPr>
        <w:ind w:right="160"/>
        <w:spacing w:after="0"/>
        <w:rPr>
          <w:sz w:val="20"/>
          <w:szCs w:val="20"/>
          <w:color w:val="auto"/>
        </w:rPr>
      </w:pPr>
      <w:r>
        <w:rPr>
          <w:rFonts w:ascii="Arial" w:cs="Arial" w:eastAsia="Arial" w:hAnsi="Arial"/>
          <w:sz w:val="18"/>
          <w:szCs w:val="18"/>
          <w:color w:val="auto"/>
        </w:rPr>
        <w:t>In the third quarter of 2014, Kaplan completed the sale of three of its schools in China that were previously included as part of Kaplan International. An additional school in China was sold in January 2015. The education division’s operating results exclude these businesses as they are included in discontinued operations, net of tax, for all periods presented.</w:t>
      </w:r>
    </w:p>
    <w:p>
      <w:pPr>
        <w:spacing w:after="0" w:line="108" w:lineRule="exact"/>
        <w:rPr>
          <w:sz w:val="20"/>
          <w:szCs w:val="20"/>
          <w:color w:val="auto"/>
        </w:rPr>
      </w:pPr>
    </w:p>
    <w:p>
      <w:pPr>
        <w:jc w:val="both"/>
        <w:ind w:right="160"/>
        <w:spacing w:after="0"/>
        <w:rPr>
          <w:sz w:val="20"/>
          <w:szCs w:val="20"/>
          <w:color w:val="auto"/>
        </w:rPr>
      </w:pPr>
      <w:r>
        <w:rPr>
          <w:rFonts w:ascii="Arial" w:cs="Arial" w:eastAsia="Arial" w:hAnsi="Arial"/>
          <w:sz w:val="18"/>
          <w:szCs w:val="18"/>
          <w:color w:val="auto"/>
        </w:rPr>
        <w:t>In recent years, Kaplan has formulated and implemented restructuring plans at its various businesses that have resulted in significant costs in the past three years, with the objective of establishing lower cost levels in future periods. Across all Kaplan businesses, restructuring costs of $11.9 million, $44.4 million and $16.8 million were recorded in 2016, 2015 and 2014, respectively, as follows: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7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540" w:type="dxa"/>
            <w:vAlign w:val="bottom"/>
            <w:tcBorders>
              <w:bottom w:val="single" w:sz="8" w:color="auto"/>
            </w:tcBorders>
            <w:gridSpan w:val="4"/>
          </w:tcPr>
          <w:p>
            <w:pPr>
              <w:jc w:val="right"/>
              <w:ind w:right="19"/>
              <w:spacing w:after="0"/>
              <w:rPr>
                <w:sz w:val="20"/>
                <w:szCs w:val="20"/>
                <w:color w:val="auto"/>
              </w:rPr>
            </w:pPr>
            <w:r>
              <w:rPr>
                <w:rFonts w:ascii="Arial" w:cs="Arial" w:eastAsia="Arial" w:hAnsi="Arial"/>
                <w:sz w:val="14"/>
                <w:szCs w:val="14"/>
                <w:b w:val="1"/>
                <w:bCs w:val="1"/>
                <w:color w:val="auto"/>
              </w:rPr>
              <w:t>Year Ended December 31</w:t>
            </w:r>
          </w:p>
        </w:tc>
        <w:tc>
          <w:tcPr>
            <w:tcW w:w="840" w:type="dxa"/>
            <w:vAlign w:val="bottom"/>
            <w:tcBorders>
              <w:bottom w:val="single" w:sz="8" w:color="auto"/>
            </w:tcBorders>
          </w:tcPr>
          <w:p>
            <w:pPr>
              <w:spacing w:after="0"/>
              <w:rPr>
                <w:sz w:val="17"/>
                <w:szCs w:val="17"/>
                <w:color w:val="auto"/>
              </w:rPr>
            </w:pPr>
          </w:p>
        </w:tc>
      </w:tr>
      <w:tr>
        <w:trPr>
          <w:trHeight w:val="264"/>
        </w:trPr>
        <w:tc>
          <w:tcPr>
            <w:tcW w:w="77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b w:val="1"/>
                <w:bCs w:val="1"/>
                <w:color w:val="auto"/>
              </w:rPr>
              <w:t>2016</w:t>
            </w:r>
          </w:p>
        </w:tc>
        <w:tc>
          <w:tcPr>
            <w:tcW w:w="3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color w:val="auto"/>
              </w:rPr>
              <w:t>2015</w:t>
            </w:r>
          </w:p>
        </w:tc>
        <w:tc>
          <w:tcPr>
            <w:tcW w:w="3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color w:val="auto"/>
              </w:rPr>
              <w:t>2014</w:t>
            </w:r>
          </w:p>
        </w:tc>
      </w:tr>
      <w:tr>
        <w:trPr>
          <w:trHeight w:val="257"/>
        </w:trPr>
        <w:tc>
          <w:tcPr>
            <w:tcW w:w="7780" w:type="dxa"/>
            <w:vAlign w:val="bottom"/>
          </w:tcPr>
          <w:p>
            <w:pPr>
              <w:ind w:left="40"/>
              <w:spacing w:after="0"/>
              <w:rPr>
                <w:sz w:val="20"/>
                <w:szCs w:val="20"/>
                <w:color w:val="auto"/>
              </w:rPr>
            </w:pPr>
            <w:r>
              <w:rPr>
                <w:rFonts w:ascii="Arial" w:cs="Arial" w:eastAsia="Arial" w:hAnsi="Arial"/>
                <w:sz w:val="16"/>
                <w:szCs w:val="16"/>
                <w:color w:val="auto"/>
              </w:rPr>
              <w:t>Accelerated depreciation</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00" w:type="dxa"/>
            <w:vAlign w:val="bottom"/>
          </w:tcPr>
          <w:p>
            <w:pPr>
              <w:jc w:val="right"/>
              <w:ind w:right="41"/>
              <w:spacing w:after="0"/>
              <w:rPr>
                <w:sz w:val="20"/>
                <w:szCs w:val="20"/>
                <w:color w:val="auto"/>
              </w:rPr>
            </w:pPr>
            <w:r>
              <w:rPr>
                <w:rFonts w:ascii="Arial" w:cs="Arial" w:eastAsia="Arial" w:hAnsi="Arial"/>
                <w:sz w:val="16"/>
                <w:szCs w:val="16"/>
                <w:b w:val="1"/>
                <w:bCs w:val="1"/>
                <w:color w:val="auto"/>
              </w:rPr>
              <w:t>1,815</w:t>
            </w:r>
          </w:p>
        </w:tc>
        <w:tc>
          <w:tcPr>
            <w:tcW w:w="3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60"/>
              <w:spacing w:after="0"/>
              <w:rPr>
                <w:sz w:val="20"/>
                <w:szCs w:val="20"/>
                <w:color w:val="auto"/>
              </w:rPr>
            </w:pPr>
            <w:r>
              <w:rPr>
                <w:rFonts w:ascii="Arial" w:cs="Arial" w:eastAsia="Arial" w:hAnsi="Arial"/>
                <w:sz w:val="16"/>
                <w:szCs w:val="16"/>
                <w:color w:val="auto"/>
              </w:rPr>
              <w:t>17,956</w:t>
            </w:r>
          </w:p>
        </w:tc>
        <w:tc>
          <w:tcPr>
            <w:tcW w:w="38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2,062</w:t>
            </w:r>
          </w:p>
        </w:tc>
      </w:tr>
      <w:tr>
        <w:trPr>
          <w:trHeight w:val="270"/>
        </w:trPr>
        <w:tc>
          <w:tcPr>
            <w:tcW w:w="7780" w:type="dxa"/>
            <w:vAlign w:val="bottom"/>
          </w:tcPr>
          <w:p>
            <w:pPr>
              <w:ind w:left="40"/>
              <w:spacing w:after="0"/>
              <w:rPr>
                <w:sz w:val="20"/>
                <w:szCs w:val="20"/>
                <w:color w:val="auto"/>
              </w:rPr>
            </w:pPr>
            <w:r>
              <w:rPr>
                <w:rFonts w:ascii="Arial" w:cs="Arial" w:eastAsia="Arial" w:hAnsi="Arial"/>
                <w:sz w:val="16"/>
                <w:szCs w:val="16"/>
                <w:color w:val="auto"/>
              </w:rPr>
              <w:t>Lease obligation losses</w:t>
            </w:r>
          </w:p>
        </w:tc>
        <w:tc>
          <w:tcPr>
            <w:tcW w:w="260" w:type="dxa"/>
            <w:vAlign w:val="bottom"/>
          </w:tcPr>
          <w:p>
            <w:pPr>
              <w:spacing w:after="0"/>
              <w:rPr>
                <w:sz w:val="23"/>
                <w:szCs w:val="23"/>
                <w:color w:val="auto"/>
              </w:rPr>
            </w:pPr>
          </w:p>
        </w:tc>
        <w:tc>
          <w:tcPr>
            <w:tcW w:w="900" w:type="dxa"/>
            <w:vAlign w:val="bottom"/>
          </w:tcPr>
          <w:p>
            <w:pPr>
              <w:jc w:val="right"/>
              <w:ind w:right="41"/>
              <w:spacing w:after="0"/>
              <w:rPr>
                <w:sz w:val="20"/>
                <w:szCs w:val="20"/>
                <w:color w:val="auto"/>
              </w:rPr>
            </w:pPr>
            <w:r>
              <w:rPr>
                <w:rFonts w:ascii="Arial" w:cs="Arial" w:eastAsia="Arial" w:hAnsi="Arial"/>
                <w:sz w:val="16"/>
                <w:szCs w:val="16"/>
                <w:b w:val="1"/>
                <w:bCs w:val="1"/>
                <w:color w:val="auto"/>
              </w:rPr>
              <w:t>2,694</w:t>
            </w:r>
          </w:p>
        </w:tc>
        <w:tc>
          <w:tcPr>
            <w:tcW w:w="360" w:type="dxa"/>
            <w:vAlign w:val="bottom"/>
          </w:tcPr>
          <w:p>
            <w:pPr>
              <w:spacing w:after="0"/>
              <w:rPr>
                <w:sz w:val="23"/>
                <w:szCs w:val="23"/>
                <w:color w:val="auto"/>
              </w:rPr>
            </w:pPr>
          </w:p>
        </w:tc>
        <w:tc>
          <w:tcPr>
            <w:tcW w:w="900" w:type="dxa"/>
            <w:vAlign w:val="bottom"/>
          </w:tcPr>
          <w:p>
            <w:pPr>
              <w:jc w:val="right"/>
              <w:ind w:right="60"/>
              <w:spacing w:after="0"/>
              <w:rPr>
                <w:sz w:val="20"/>
                <w:szCs w:val="20"/>
                <w:color w:val="auto"/>
              </w:rPr>
            </w:pPr>
            <w:r>
              <w:rPr>
                <w:rFonts w:ascii="Arial" w:cs="Arial" w:eastAsia="Arial" w:hAnsi="Arial"/>
                <w:sz w:val="16"/>
                <w:szCs w:val="16"/>
                <w:color w:val="auto"/>
              </w:rPr>
              <w:t>8,240</w:t>
            </w:r>
          </w:p>
        </w:tc>
        <w:tc>
          <w:tcPr>
            <w:tcW w:w="380" w:type="dxa"/>
            <w:vAlign w:val="bottom"/>
          </w:tcPr>
          <w:p>
            <w:pPr>
              <w:spacing w:after="0"/>
              <w:rPr>
                <w:sz w:val="23"/>
                <w:szCs w:val="23"/>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1,750</w:t>
            </w:r>
          </w:p>
        </w:tc>
      </w:tr>
      <w:tr>
        <w:trPr>
          <w:trHeight w:val="270"/>
        </w:trPr>
        <w:tc>
          <w:tcPr>
            <w:tcW w:w="7780" w:type="dxa"/>
            <w:vAlign w:val="bottom"/>
          </w:tcPr>
          <w:p>
            <w:pPr>
              <w:ind w:left="40"/>
              <w:spacing w:after="0"/>
              <w:rPr>
                <w:sz w:val="20"/>
                <w:szCs w:val="20"/>
                <w:color w:val="auto"/>
              </w:rPr>
            </w:pPr>
            <w:r>
              <w:rPr>
                <w:rFonts w:ascii="Arial" w:cs="Arial" w:eastAsia="Arial" w:hAnsi="Arial"/>
                <w:sz w:val="16"/>
                <w:szCs w:val="16"/>
                <w:color w:val="auto"/>
              </w:rPr>
              <w:t>Severance and Special Incentive Program expense</w:t>
            </w:r>
          </w:p>
        </w:tc>
        <w:tc>
          <w:tcPr>
            <w:tcW w:w="260" w:type="dxa"/>
            <w:vAlign w:val="bottom"/>
          </w:tcPr>
          <w:p>
            <w:pPr>
              <w:spacing w:after="0"/>
              <w:rPr>
                <w:sz w:val="23"/>
                <w:szCs w:val="23"/>
                <w:color w:val="auto"/>
              </w:rPr>
            </w:pPr>
          </w:p>
        </w:tc>
        <w:tc>
          <w:tcPr>
            <w:tcW w:w="900" w:type="dxa"/>
            <w:vAlign w:val="bottom"/>
          </w:tcPr>
          <w:p>
            <w:pPr>
              <w:jc w:val="right"/>
              <w:ind w:right="41"/>
              <w:spacing w:after="0"/>
              <w:rPr>
                <w:sz w:val="20"/>
                <w:szCs w:val="20"/>
                <w:color w:val="auto"/>
              </w:rPr>
            </w:pPr>
            <w:r>
              <w:rPr>
                <w:rFonts w:ascii="Arial" w:cs="Arial" w:eastAsia="Arial" w:hAnsi="Arial"/>
                <w:sz w:val="16"/>
                <w:szCs w:val="16"/>
                <w:b w:val="1"/>
                <w:bCs w:val="1"/>
                <w:color w:val="auto"/>
              </w:rPr>
              <w:t>5,902</w:t>
            </w:r>
          </w:p>
        </w:tc>
        <w:tc>
          <w:tcPr>
            <w:tcW w:w="360" w:type="dxa"/>
            <w:vAlign w:val="bottom"/>
          </w:tcPr>
          <w:p>
            <w:pPr>
              <w:spacing w:after="0"/>
              <w:rPr>
                <w:sz w:val="23"/>
                <w:szCs w:val="23"/>
                <w:color w:val="auto"/>
              </w:rPr>
            </w:pPr>
          </w:p>
        </w:tc>
        <w:tc>
          <w:tcPr>
            <w:tcW w:w="900" w:type="dxa"/>
            <w:vAlign w:val="bottom"/>
          </w:tcPr>
          <w:p>
            <w:pPr>
              <w:jc w:val="right"/>
              <w:ind w:right="60"/>
              <w:spacing w:after="0"/>
              <w:rPr>
                <w:sz w:val="20"/>
                <w:szCs w:val="20"/>
                <w:color w:val="auto"/>
              </w:rPr>
            </w:pPr>
            <w:r>
              <w:rPr>
                <w:rFonts w:ascii="Arial" w:cs="Arial" w:eastAsia="Arial" w:hAnsi="Arial"/>
                <w:sz w:val="16"/>
                <w:szCs w:val="16"/>
                <w:color w:val="auto"/>
              </w:rPr>
              <w:t>17,968</w:t>
            </w:r>
          </w:p>
        </w:tc>
        <w:tc>
          <w:tcPr>
            <w:tcW w:w="380" w:type="dxa"/>
            <w:vAlign w:val="bottom"/>
          </w:tcPr>
          <w:p>
            <w:pPr>
              <w:spacing w:after="0"/>
              <w:rPr>
                <w:sz w:val="23"/>
                <w:szCs w:val="23"/>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5,075</w:t>
            </w:r>
          </w:p>
        </w:tc>
      </w:tr>
      <w:tr>
        <w:trPr>
          <w:trHeight w:val="270"/>
        </w:trPr>
        <w:tc>
          <w:tcPr>
            <w:tcW w:w="7780" w:type="dxa"/>
            <w:vAlign w:val="bottom"/>
          </w:tcPr>
          <w:p>
            <w:pPr>
              <w:ind w:left="40"/>
              <w:spacing w:after="0"/>
              <w:rPr>
                <w:sz w:val="20"/>
                <w:szCs w:val="20"/>
                <w:color w:val="auto"/>
              </w:rPr>
            </w:pPr>
            <w:r>
              <w:rPr>
                <w:rFonts w:ascii="Arial" w:cs="Arial" w:eastAsia="Arial" w:hAnsi="Arial"/>
                <w:sz w:val="16"/>
                <w:szCs w:val="16"/>
                <w:color w:val="auto"/>
              </w:rPr>
              <w:t>Software asset write-offs</w:t>
            </w:r>
          </w:p>
        </w:tc>
        <w:tc>
          <w:tcPr>
            <w:tcW w:w="260" w:type="dxa"/>
            <w:vAlign w:val="bottom"/>
          </w:tcPr>
          <w:p>
            <w:pPr>
              <w:spacing w:after="0"/>
              <w:rPr>
                <w:sz w:val="23"/>
                <w:szCs w:val="23"/>
                <w:color w:val="auto"/>
              </w:rPr>
            </w:pPr>
          </w:p>
        </w:tc>
        <w:tc>
          <w:tcPr>
            <w:tcW w:w="900" w:type="dxa"/>
            <w:vAlign w:val="bottom"/>
          </w:tcPr>
          <w:p>
            <w:pPr>
              <w:jc w:val="right"/>
              <w:ind w:right="41"/>
              <w:spacing w:after="0"/>
              <w:rPr>
                <w:sz w:val="20"/>
                <w:szCs w:val="20"/>
                <w:color w:val="auto"/>
              </w:rPr>
            </w:pPr>
            <w:r>
              <w:rPr>
                <w:rFonts w:ascii="Arial" w:cs="Arial" w:eastAsia="Arial" w:hAnsi="Arial"/>
                <w:sz w:val="16"/>
                <w:szCs w:val="16"/>
                <w:b w:val="1"/>
                <w:bCs w:val="1"/>
                <w:color w:val="auto"/>
              </w:rPr>
              <w:t>—</w:t>
            </w:r>
          </w:p>
        </w:tc>
        <w:tc>
          <w:tcPr>
            <w:tcW w:w="360" w:type="dxa"/>
            <w:vAlign w:val="bottom"/>
          </w:tcPr>
          <w:p>
            <w:pPr>
              <w:spacing w:after="0"/>
              <w:rPr>
                <w:sz w:val="23"/>
                <w:szCs w:val="23"/>
                <w:color w:val="auto"/>
              </w:rPr>
            </w:pPr>
          </w:p>
        </w:tc>
        <w:tc>
          <w:tcPr>
            <w:tcW w:w="90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3"/>
                <w:szCs w:val="23"/>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7,689</w:t>
            </w:r>
          </w:p>
        </w:tc>
      </w:tr>
      <w:tr>
        <w:trPr>
          <w:trHeight w:val="274"/>
        </w:trPr>
        <w:tc>
          <w:tcPr>
            <w:tcW w:w="7780" w:type="dxa"/>
            <w:vAlign w:val="bottom"/>
          </w:tcPr>
          <w:p>
            <w:pPr>
              <w:ind w:left="40"/>
              <w:spacing w:after="0"/>
              <w:rPr>
                <w:sz w:val="20"/>
                <w:szCs w:val="20"/>
                <w:color w:val="auto"/>
              </w:rPr>
            </w:pPr>
            <w:r>
              <w:rPr>
                <w:rFonts w:ascii="Arial" w:cs="Arial" w:eastAsia="Arial" w:hAnsi="Arial"/>
                <w:sz w:val="16"/>
                <w:szCs w:val="16"/>
                <w:color w:val="auto"/>
              </w:rPr>
              <w:t>Other</w:t>
            </w:r>
          </w:p>
        </w:tc>
        <w:tc>
          <w:tcPr>
            <w:tcW w:w="26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1,441</w:t>
            </w:r>
          </w:p>
        </w:tc>
        <w:tc>
          <w:tcPr>
            <w:tcW w:w="36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209</w:t>
            </w:r>
          </w:p>
        </w:tc>
        <w:tc>
          <w:tcPr>
            <w:tcW w:w="38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230</w:t>
            </w:r>
          </w:p>
        </w:tc>
      </w:tr>
      <w:tr>
        <w:trPr>
          <w:trHeight w:val="264"/>
        </w:trPr>
        <w:tc>
          <w:tcPr>
            <w:tcW w:w="7780" w:type="dxa"/>
            <w:vAlign w:val="bottom"/>
          </w:tcPr>
          <w:p>
            <w:pPr>
              <w:spacing w:after="0"/>
              <w:rPr>
                <w:sz w:val="22"/>
                <w:szCs w:val="22"/>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9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11,852</w:t>
            </w:r>
          </w:p>
        </w:tc>
        <w:tc>
          <w:tcPr>
            <w:tcW w:w="3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44,373</w:t>
            </w:r>
          </w:p>
        </w:tc>
        <w:tc>
          <w:tcPr>
            <w:tcW w:w="3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16,806</w:t>
            </w:r>
          </w:p>
        </w:tc>
      </w:tr>
      <w:tr>
        <w:trPr>
          <w:trHeight w:val="20"/>
        </w:trPr>
        <w:tc>
          <w:tcPr>
            <w:tcW w:w="77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126" w:lineRule="exact"/>
        <w:rPr>
          <w:sz w:val="20"/>
          <w:szCs w:val="20"/>
          <w:color w:val="auto"/>
        </w:rPr>
      </w:pPr>
    </w:p>
    <w:p>
      <w:pPr>
        <w:ind w:right="80"/>
        <w:spacing w:after="0" w:line="231" w:lineRule="auto"/>
        <w:rPr>
          <w:sz w:val="20"/>
          <w:szCs w:val="20"/>
          <w:color w:val="auto"/>
        </w:rPr>
      </w:pPr>
      <w:r>
        <w:rPr>
          <w:rFonts w:ascii="Arial" w:cs="Arial" w:eastAsia="Arial" w:hAnsi="Arial"/>
          <w:sz w:val="18"/>
          <w:szCs w:val="18"/>
          <w:color w:val="auto"/>
        </w:rPr>
        <w:t>KHE incurred restructuring costs of $7.2 million, $12.9 million and $6.5 million in 2016, 2015 and 2014, respectively, primarily from severance and Special Incentive Program expense, lease obligation losses and accelerated depreciation. These costs were incurred in connection with a plan announced in September 2012 for KHE to close or consolidate operations at 13 ground campuses, additional plans announced in 2014 to close five more campuses, along with plans to consolidate facilities and reduce its workforce, and the September 2015 sale of the KHE Campuses business.</w:t>
      </w:r>
    </w:p>
    <w:p>
      <w:pPr>
        <w:spacing w:after="0" w:line="111" w:lineRule="exact"/>
        <w:rPr>
          <w:sz w:val="20"/>
          <w:szCs w:val="20"/>
          <w:color w:val="auto"/>
        </w:rPr>
      </w:pPr>
    </w:p>
    <w:p>
      <w:pPr>
        <w:ind w:right="180"/>
        <w:spacing w:after="0" w:line="231" w:lineRule="auto"/>
        <w:rPr>
          <w:sz w:val="20"/>
          <w:szCs w:val="20"/>
          <w:color w:val="auto"/>
        </w:rPr>
      </w:pPr>
      <w:r>
        <w:rPr>
          <w:rFonts w:ascii="Arial" w:cs="Arial" w:eastAsia="Arial" w:hAnsi="Arial"/>
          <w:sz w:val="18"/>
          <w:szCs w:val="18"/>
          <w:color w:val="auto"/>
        </w:rPr>
        <w:t>On February 12, 2015, Kaplan entered into a Purchase and Sale Agreement to sell substantially all of the assets of its KHE Campuses business, consisting of 38 nationally accredited ground campuses, and certain related assets, in exchange for a preferred equity interest in a vocational school company. The transaction closed on September 3, 2015. In addition, Kaplan recorded a $6.9 million and $13.6 million other long-lived asset impairment charge in connection with its KHE Campuses business, in the second quarter of 2015 and fourth quarter of 2014, respectively.</w:t>
      </w:r>
    </w:p>
    <w:p>
      <w:pPr>
        <w:spacing w:after="0" w:line="111" w:lineRule="exact"/>
        <w:rPr>
          <w:sz w:val="20"/>
          <w:szCs w:val="20"/>
          <w:color w:val="auto"/>
        </w:rPr>
      </w:pPr>
    </w:p>
    <w:p>
      <w:pPr>
        <w:jc w:val="both"/>
        <w:ind w:right="480"/>
        <w:spacing w:after="0" w:line="260" w:lineRule="auto"/>
        <w:rPr>
          <w:sz w:val="20"/>
          <w:szCs w:val="20"/>
          <w:color w:val="auto"/>
        </w:rPr>
      </w:pPr>
      <w:r>
        <w:rPr>
          <w:rFonts w:ascii="Arial" w:cs="Arial" w:eastAsia="Arial" w:hAnsi="Arial"/>
          <w:sz w:val="18"/>
          <w:szCs w:val="18"/>
          <w:color w:val="auto"/>
        </w:rPr>
        <w:t>Kaplan International incurred restructuring costs of $4.7 million, $1.3 million and $0.2 million in 2016, 2015 and 2014, respectively. These restructuring costs were largely in the UK and Australia and included severance charges, lease obligations, and accelerated depreciation.</w:t>
      </w:r>
    </w:p>
    <w:p>
      <w:pPr>
        <w:spacing w:after="0" w:line="92" w:lineRule="exact"/>
        <w:rPr>
          <w:sz w:val="20"/>
          <w:szCs w:val="20"/>
          <w:color w:val="auto"/>
        </w:rPr>
      </w:pPr>
    </w:p>
    <w:p>
      <w:pPr>
        <w:ind w:right="380"/>
        <w:spacing w:after="0" w:line="260" w:lineRule="auto"/>
        <w:rPr>
          <w:sz w:val="20"/>
          <w:szCs w:val="20"/>
          <w:color w:val="auto"/>
        </w:rPr>
      </w:pPr>
      <w:r>
        <w:rPr>
          <w:rFonts w:ascii="Arial" w:cs="Arial" w:eastAsia="Arial" w:hAnsi="Arial"/>
          <w:sz w:val="18"/>
          <w:szCs w:val="18"/>
          <w:color w:val="auto"/>
        </w:rPr>
        <w:t>Kaplan Corporate incurred restructuring costs of $29.4 million in 2015 related to accelerated depreciation, severance and Special Incentive Program expense and lease obligations losses.</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color w:val="auto"/>
        </w:rPr>
        <w:t>Total accrued restructuring costs at Kaplan were $11.8 million and $24.2 million at the end of 2016 and 2015, respectively.</w:t>
      </w:r>
    </w:p>
    <w:p>
      <w:pPr>
        <w:spacing w:after="0" w:line="142" w:lineRule="exact"/>
        <w:rPr>
          <w:sz w:val="20"/>
          <w:szCs w:val="20"/>
          <w:color w:val="auto"/>
        </w:rPr>
      </w:pPr>
    </w:p>
    <w:p>
      <w:pPr>
        <w:ind w:right="40"/>
        <w:spacing w:after="0" w:line="241" w:lineRule="auto"/>
        <w:rPr>
          <w:sz w:val="20"/>
          <w:szCs w:val="20"/>
          <w:color w:val="auto"/>
        </w:rPr>
      </w:pPr>
      <w:r>
        <w:rPr>
          <w:rFonts w:ascii="Arial" w:cs="Arial" w:eastAsia="Arial" w:hAnsi="Arial"/>
          <w:sz w:val="18"/>
          <w:szCs w:val="18"/>
          <w:b w:val="1"/>
          <w:bCs w:val="1"/>
          <w:color w:val="auto"/>
        </w:rPr>
        <w:t xml:space="preserve">Television Broadcasting. </w:t>
      </w:r>
      <w:r>
        <w:rPr>
          <w:rFonts w:ascii="Arial" w:cs="Arial" w:eastAsia="Arial" w:hAnsi="Arial"/>
          <w:sz w:val="18"/>
          <w:szCs w:val="18"/>
          <w:color w:val="auto"/>
        </w:rPr>
        <w:t>Television broadcasting operations are conducted through five VHF television stations serving the Detroit, Houston,</w:t>
      </w:r>
      <w:r>
        <w:rPr>
          <w:rFonts w:ascii="Arial" w:cs="Arial" w:eastAsia="Arial" w:hAnsi="Arial"/>
          <w:sz w:val="18"/>
          <w:szCs w:val="18"/>
          <w:b w:val="1"/>
          <w:bCs w:val="1"/>
          <w:color w:val="auto"/>
        </w:rPr>
        <w:t xml:space="preserve"> </w:t>
      </w:r>
      <w:r>
        <w:rPr>
          <w:rFonts w:ascii="Arial" w:cs="Arial" w:eastAsia="Arial" w:hAnsi="Arial"/>
          <w:sz w:val="18"/>
          <w:szCs w:val="18"/>
          <w:color w:val="auto"/>
        </w:rPr>
        <w:t>San Antonio, Orlando and Jacksonville television markets. All stations are network-affiliated (except for WJXT in Jacksonville), with revenues derived primarily from sales of advertising time.</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Other Businesses. </w:t>
      </w:r>
      <w:r>
        <w:rPr>
          <w:rFonts w:ascii="Arial" w:cs="Arial" w:eastAsia="Arial" w:hAnsi="Arial"/>
          <w:sz w:val="18"/>
          <w:szCs w:val="18"/>
          <w:color w:val="auto"/>
        </w:rPr>
        <w:t>Other businesses includes the following:</w:t>
      </w:r>
    </w:p>
    <w:p>
      <w:pPr>
        <w:spacing w:after="0" w:line="146" w:lineRule="exact"/>
        <w:rPr>
          <w:sz w:val="20"/>
          <w:szCs w:val="20"/>
          <w:color w:val="auto"/>
        </w:rPr>
      </w:pPr>
    </w:p>
    <w:p>
      <w:pPr>
        <w:ind w:left="660" w:right="300" w:hanging="328"/>
        <w:spacing w:after="0" w:line="234" w:lineRule="auto"/>
        <w:tabs>
          <w:tab w:leader="none" w:pos="6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Dekko, a Garrett, IN-based manufacturer of electrical workspace solutions, architectural lighting, and electrical components and assemblies (acquired in November 2015); Joyce/Dayton Corp., a Dayton, OH-based manufacturer of screw jacks and other linear motion systems (acquired in May 2014); and Forney, a global supplier of products and systems that control and monitor combustion processes in electric utility and industrial applications;</w:t>
      </w:r>
    </w:p>
    <w:p>
      <w:pPr>
        <w:spacing w:after="0" w:line="111" w:lineRule="exact"/>
        <w:rPr>
          <w:rFonts w:ascii="Arial" w:cs="Arial" w:eastAsia="Arial" w:hAnsi="Arial"/>
          <w:sz w:val="18"/>
          <w:szCs w:val="18"/>
          <w:color w:val="auto"/>
        </w:rPr>
      </w:pPr>
    </w:p>
    <w:p>
      <w:pPr>
        <w:ind w:left="660" w:right="80" w:hanging="328"/>
        <w:spacing w:after="0" w:line="260" w:lineRule="auto"/>
        <w:tabs>
          <w:tab w:leader="none" w:pos="6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Graham Healthcare Group (GHG), made up of Celtic Healthcare (Celtic) and Residential Healthcare Group, Inc. (Residential, acquired in July 2014), providers of home health and hospice services; and</w:t>
      </w:r>
    </w:p>
    <w:p>
      <w:pPr>
        <w:spacing w:after="0" w:line="91" w:lineRule="exact"/>
        <w:rPr>
          <w:rFonts w:ascii="Arial" w:cs="Arial" w:eastAsia="Arial" w:hAnsi="Arial"/>
          <w:sz w:val="18"/>
          <w:szCs w:val="18"/>
          <w:color w:val="auto"/>
        </w:rPr>
      </w:pPr>
    </w:p>
    <w:p>
      <w:pPr>
        <w:ind w:left="660" w:right="160" w:hanging="328"/>
        <w:spacing w:after="0" w:line="260" w:lineRule="auto"/>
        <w:tabs>
          <w:tab w:leader="none" w:pos="6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SocialCode, a marketing and insights company that manages digital advertising for leading brands; and The Slate Group and Foreign Policy Group, which publish online and print magazines and websites.</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420"/>
          </w:cols>
          <w:pgMar w:left="240" w:top="724" w:right="239" w:bottom="1440" w:gutter="0" w:footer="0" w:header="0"/>
        </w:sectPr>
      </w:pPr>
    </w:p>
    <w:bookmarkStart w:id="111" w:name="page112"/>
    <w:bookmarkEnd w:id="111"/>
    <w:p>
      <w:pPr>
        <w:ind w:right="280"/>
        <w:spacing w:after="0" w:line="260" w:lineRule="auto"/>
        <w:rPr>
          <w:sz w:val="20"/>
          <w:szCs w:val="20"/>
          <w:color w:val="auto"/>
        </w:rPr>
      </w:pPr>
      <w:r>
        <w:rPr>
          <w:rFonts w:ascii="Arial" w:cs="Arial" w:eastAsia="Arial" w:hAnsi="Arial"/>
          <w:sz w:val="18"/>
          <w:szCs w:val="18"/>
          <w:color w:val="auto"/>
        </w:rPr>
        <w:t>In November 2015, the Company announced that Trove, a digital innovation team that builds products and technologies in the news space, would largely be integrated into SocialCode.</w:t>
      </w:r>
    </w:p>
    <w:p>
      <w:pPr>
        <w:spacing w:after="0" w:line="90" w:lineRule="exact"/>
        <w:rPr>
          <w:sz w:val="20"/>
          <w:szCs w:val="20"/>
          <w:color w:val="auto"/>
        </w:rPr>
      </w:pPr>
    </w:p>
    <w:p>
      <w:pPr>
        <w:ind w:right="440"/>
        <w:spacing w:after="0" w:line="263" w:lineRule="auto"/>
        <w:rPr>
          <w:sz w:val="20"/>
          <w:szCs w:val="20"/>
          <w:color w:val="auto"/>
        </w:rPr>
      </w:pPr>
      <w:r>
        <w:rPr>
          <w:rFonts w:ascii="Arial" w:cs="Arial" w:eastAsia="Arial" w:hAnsi="Arial"/>
          <w:sz w:val="18"/>
          <w:szCs w:val="18"/>
          <w:b w:val="1"/>
          <w:bCs w:val="1"/>
          <w:color w:val="auto"/>
        </w:rPr>
        <w:t xml:space="preserve">Corporate Office. </w:t>
      </w:r>
      <w:r>
        <w:rPr>
          <w:rFonts w:ascii="Arial" w:cs="Arial" w:eastAsia="Arial" w:hAnsi="Arial"/>
          <w:sz w:val="18"/>
          <w:szCs w:val="18"/>
          <w:color w:val="auto"/>
        </w:rPr>
        <w:t>Corporate office includes the expenses of the Company’s corporate office, a net pension credit and certain continuing</w:t>
      </w:r>
      <w:r>
        <w:rPr>
          <w:rFonts w:ascii="Arial" w:cs="Arial" w:eastAsia="Arial" w:hAnsi="Arial"/>
          <w:sz w:val="18"/>
          <w:szCs w:val="18"/>
          <w:b w:val="1"/>
          <w:bCs w:val="1"/>
          <w:color w:val="auto"/>
        </w:rPr>
        <w:t xml:space="preserve"> </w:t>
      </w:r>
      <w:r>
        <w:rPr>
          <w:rFonts w:ascii="Arial" w:cs="Arial" w:eastAsia="Arial" w:hAnsi="Arial"/>
          <w:sz w:val="18"/>
          <w:szCs w:val="18"/>
          <w:color w:val="auto"/>
        </w:rPr>
        <w:t>obligations related to prior business dispositions.</w:t>
      </w:r>
    </w:p>
    <w:p>
      <w:pPr>
        <w:spacing w:after="0" w:line="87" w:lineRule="exact"/>
        <w:rPr>
          <w:sz w:val="20"/>
          <w:szCs w:val="20"/>
          <w:color w:val="auto"/>
        </w:rPr>
      </w:pPr>
    </w:p>
    <w:p>
      <w:pPr>
        <w:spacing w:after="0" w:line="232" w:lineRule="auto"/>
        <w:rPr>
          <w:sz w:val="20"/>
          <w:szCs w:val="20"/>
          <w:color w:val="auto"/>
        </w:rPr>
      </w:pPr>
      <w:r>
        <w:rPr>
          <w:rFonts w:ascii="Arial" w:cs="Arial" w:eastAsia="Arial" w:hAnsi="Arial"/>
          <w:sz w:val="18"/>
          <w:szCs w:val="18"/>
          <w:b w:val="1"/>
          <w:bCs w:val="1"/>
          <w:color w:val="auto"/>
        </w:rPr>
        <w:t xml:space="preserve">Geographical Information. </w:t>
      </w:r>
      <w:r>
        <w:rPr>
          <w:rFonts w:ascii="Arial" w:cs="Arial" w:eastAsia="Arial" w:hAnsi="Arial"/>
          <w:sz w:val="18"/>
          <w:szCs w:val="18"/>
          <w:color w:val="auto"/>
        </w:rPr>
        <w:t>The Company’s non-U.S. revenues in 2016, 2015 and 2014 totaled approximately $624 million, $660 million and</w:t>
      </w:r>
      <w:r>
        <w:rPr>
          <w:rFonts w:ascii="Arial" w:cs="Arial" w:eastAsia="Arial" w:hAnsi="Arial"/>
          <w:sz w:val="18"/>
          <w:szCs w:val="18"/>
          <w:b w:val="1"/>
          <w:bCs w:val="1"/>
          <w:color w:val="auto"/>
        </w:rPr>
        <w:t xml:space="preserve"> </w:t>
      </w:r>
      <w:r>
        <w:rPr>
          <w:rFonts w:ascii="Arial" w:cs="Arial" w:eastAsia="Arial" w:hAnsi="Arial"/>
          <w:sz w:val="18"/>
          <w:szCs w:val="18"/>
          <w:color w:val="auto"/>
        </w:rPr>
        <w:t>$712 million, respectively, primarily from Kaplan’s operations outside the U.S. Additionally, revenues in 2016, 2015 and 2014 totaled approximately $312 million, $319 million, and $351 million, respectively, from Kaplan’s operations in the U.K. The Company’s long-lived assets in non-U.S. countries (excluding goodwill and other intangible assets), totaled approximately $67 million and $59 million at December 31, 2016 and 2015, respectively.</w:t>
      </w:r>
    </w:p>
    <w:p>
      <w:pPr>
        <w:spacing w:after="0" w:line="200" w:lineRule="exact"/>
        <w:rPr>
          <w:sz w:val="20"/>
          <w:szCs w:val="20"/>
          <w:color w:val="auto"/>
        </w:rPr>
      </w:pPr>
    </w:p>
    <w:p>
      <w:pPr>
        <w:spacing w:after="0" w:line="27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340"/>
          </w:cols>
          <w:pgMar w:left="240" w:top="724" w:right="319" w:bottom="1440" w:gutter="0" w:footer="0" w:header="0"/>
        </w:sectPr>
      </w:pPr>
    </w:p>
    <w:bookmarkStart w:id="112" w:name="page113"/>
    <w:bookmarkEnd w:id="112"/>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Company information broken down by operating segment and education division:</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7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5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8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77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2016</w:t>
            </w: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color w:val="auto"/>
              </w:rPr>
              <w:t>2015</w:t>
            </w:r>
          </w:p>
        </w:tc>
        <w:tc>
          <w:tcPr>
            <w:tcW w:w="3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color w:val="auto"/>
              </w:rPr>
              <w:t>2014</w:t>
            </w:r>
          </w:p>
        </w:tc>
        <w:tc>
          <w:tcPr>
            <w:tcW w:w="0" w:type="dxa"/>
            <w:vAlign w:val="bottom"/>
          </w:tcPr>
          <w:p>
            <w:pPr>
              <w:spacing w:after="0"/>
              <w:rPr>
                <w:sz w:val="1"/>
                <w:szCs w:val="1"/>
                <w:color w:val="auto"/>
              </w:rPr>
            </w:pPr>
          </w:p>
        </w:tc>
      </w:tr>
      <w:tr>
        <w:trPr>
          <w:trHeight w:val="257"/>
        </w:trPr>
        <w:tc>
          <w:tcPr>
            <w:tcW w:w="7780" w:type="dxa"/>
            <w:vAlign w:val="bottom"/>
          </w:tcPr>
          <w:p>
            <w:pPr>
              <w:ind w:left="40"/>
              <w:spacing w:after="0"/>
              <w:rPr>
                <w:sz w:val="20"/>
                <w:szCs w:val="20"/>
                <w:color w:val="auto"/>
              </w:rPr>
            </w:pPr>
            <w:r>
              <w:rPr>
                <w:rFonts w:ascii="Arial" w:cs="Arial" w:eastAsia="Arial" w:hAnsi="Arial"/>
                <w:sz w:val="16"/>
                <w:szCs w:val="16"/>
                <w:b w:val="1"/>
                <w:bCs w:val="1"/>
                <w:color w:val="auto"/>
              </w:rPr>
              <w:t>Operating Revenues</w:t>
            </w:r>
          </w:p>
        </w:tc>
        <w:tc>
          <w:tcPr>
            <w:tcW w:w="2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7780" w:type="dxa"/>
            <w:vAlign w:val="bottom"/>
          </w:tcPr>
          <w:p>
            <w:pPr>
              <w:ind w:left="280"/>
              <w:spacing w:after="0"/>
              <w:rPr>
                <w:sz w:val="20"/>
                <w:szCs w:val="20"/>
                <w:color w:val="auto"/>
              </w:rPr>
            </w:pPr>
            <w:r>
              <w:rPr>
                <w:rFonts w:ascii="Arial" w:cs="Arial" w:eastAsia="Arial" w:hAnsi="Arial"/>
                <w:sz w:val="16"/>
                <w:szCs w:val="16"/>
                <w:color w:val="auto"/>
              </w:rPr>
              <w:t>Education</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ind w:right="79"/>
              <w:spacing w:after="0"/>
              <w:rPr>
                <w:sz w:val="20"/>
                <w:szCs w:val="20"/>
                <w:color w:val="auto"/>
              </w:rPr>
            </w:pPr>
            <w:r>
              <w:rPr>
                <w:rFonts w:ascii="Arial" w:cs="Arial" w:eastAsia="Arial" w:hAnsi="Arial"/>
                <w:sz w:val="16"/>
                <w:szCs w:val="16"/>
                <w:b w:val="1"/>
                <w:bCs w:val="1"/>
                <w:color w:val="auto"/>
              </w:rPr>
              <w:t>1,598,461</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1,927,521</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2,160,417</w:t>
            </w:r>
          </w:p>
        </w:tc>
        <w:tc>
          <w:tcPr>
            <w:tcW w:w="0" w:type="dxa"/>
            <w:vAlign w:val="bottom"/>
          </w:tcPr>
          <w:p>
            <w:pPr>
              <w:spacing w:after="0"/>
              <w:rPr>
                <w:sz w:val="1"/>
                <w:szCs w:val="1"/>
                <w:color w:val="auto"/>
              </w:rPr>
            </w:pPr>
          </w:p>
        </w:tc>
      </w:tr>
      <w:tr>
        <w:trPr>
          <w:trHeight w:val="270"/>
        </w:trPr>
        <w:tc>
          <w:tcPr>
            <w:tcW w:w="7780" w:type="dxa"/>
            <w:vAlign w:val="bottom"/>
          </w:tcPr>
          <w:p>
            <w:pPr>
              <w:ind w:left="280"/>
              <w:spacing w:after="0"/>
              <w:rPr>
                <w:sz w:val="20"/>
                <w:szCs w:val="20"/>
                <w:color w:val="auto"/>
              </w:rPr>
            </w:pPr>
            <w:r>
              <w:rPr>
                <w:rFonts w:ascii="Arial" w:cs="Arial" w:eastAsia="Arial" w:hAnsi="Arial"/>
                <w:sz w:val="16"/>
                <w:szCs w:val="16"/>
                <w:color w:val="auto"/>
              </w:rPr>
              <w:t>Television broadcasting</w:t>
            </w:r>
          </w:p>
        </w:tc>
        <w:tc>
          <w:tcPr>
            <w:tcW w:w="220" w:type="dxa"/>
            <w:vAlign w:val="bottom"/>
          </w:tcPr>
          <w:p>
            <w:pPr>
              <w:spacing w:after="0"/>
              <w:rPr>
                <w:sz w:val="23"/>
                <w:szCs w:val="23"/>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b w:val="1"/>
                <w:bCs w:val="1"/>
                <w:color w:val="auto"/>
              </w:rPr>
              <w:t>409,718</w:t>
            </w:r>
          </w:p>
        </w:tc>
        <w:tc>
          <w:tcPr>
            <w:tcW w:w="280" w:type="dxa"/>
            <w:vAlign w:val="bottom"/>
          </w:tcPr>
          <w:p>
            <w:pPr>
              <w:spacing w:after="0"/>
              <w:rPr>
                <w:sz w:val="23"/>
                <w:szCs w:val="23"/>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359,192</w:t>
            </w:r>
          </w:p>
        </w:tc>
        <w:tc>
          <w:tcPr>
            <w:tcW w:w="32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363,836</w:t>
            </w:r>
          </w:p>
        </w:tc>
        <w:tc>
          <w:tcPr>
            <w:tcW w:w="0" w:type="dxa"/>
            <w:vAlign w:val="bottom"/>
          </w:tcPr>
          <w:p>
            <w:pPr>
              <w:spacing w:after="0"/>
              <w:rPr>
                <w:sz w:val="1"/>
                <w:szCs w:val="1"/>
                <w:color w:val="auto"/>
              </w:rPr>
            </w:pPr>
          </w:p>
        </w:tc>
      </w:tr>
      <w:tr>
        <w:trPr>
          <w:trHeight w:val="270"/>
        </w:trPr>
        <w:tc>
          <w:tcPr>
            <w:tcW w:w="7780" w:type="dxa"/>
            <w:vAlign w:val="bottom"/>
          </w:tcPr>
          <w:p>
            <w:pPr>
              <w:ind w:left="280"/>
              <w:spacing w:after="0"/>
              <w:rPr>
                <w:sz w:val="20"/>
                <w:szCs w:val="20"/>
                <w:color w:val="auto"/>
              </w:rPr>
            </w:pPr>
            <w:r>
              <w:rPr>
                <w:rFonts w:ascii="Arial" w:cs="Arial" w:eastAsia="Arial" w:hAnsi="Arial"/>
                <w:sz w:val="16"/>
                <w:szCs w:val="16"/>
                <w:color w:val="auto"/>
              </w:rPr>
              <w:t>Other businesses</w:t>
            </w:r>
          </w:p>
        </w:tc>
        <w:tc>
          <w:tcPr>
            <w:tcW w:w="220" w:type="dxa"/>
            <w:vAlign w:val="bottom"/>
          </w:tcPr>
          <w:p>
            <w:pPr>
              <w:spacing w:after="0"/>
              <w:rPr>
                <w:sz w:val="23"/>
                <w:szCs w:val="23"/>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b w:val="1"/>
                <w:bCs w:val="1"/>
                <w:color w:val="auto"/>
              </w:rPr>
              <w:t>473,850</w:t>
            </w:r>
          </w:p>
        </w:tc>
        <w:tc>
          <w:tcPr>
            <w:tcW w:w="280" w:type="dxa"/>
            <w:vAlign w:val="bottom"/>
          </w:tcPr>
          <w:p>
            <w:pPr>
              <w:spacing w:after="0"/>
              <w:rPr>
                <w:sz w:val="23"/>
                <w:szCs w:val="23"/>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299,517</w:t>
            </w:r>
          </w:p>
        </w:tc>
        <w:tc>
          <w:tcPr>
            <w:tcW w:w="32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212,907</w:t>
            </w:r>
          </w:p>
        </w:tc>
        <w:tc>
          <w:tcPr>
            <w:tcW w:w="0" w:type="dxa"/>
            <w:vAlign w:val="bottom"/>
          </w:tcPr>
          <w:p>
            <w:pPr>
              <w:spacing w:after="0"/>
              <w:rPr>
                <w:sz w:val="1"/>
                <w:szCs w:val="1"/>
                <w:color w:val="auto"/>
              </w:rPr>
            </w:pPr>
          </w:p>
        </w:tc>
      </w:tr>
      <w:tr>
        <w:trPr>
          <w:trHeight w:val="270"/>
        </w:trPr>
        <w:tc>
          <w:tcPr>
            <w:tcW w:w="7780" w:type="dxa"/>
            <w:vAlign w:val="bottom"/>
          </w:tcPr>
          <w:p>
            <w:pPr>
              <w:ind w:left="280"/>
              <w:spacing w:after="0"/>
              <w:rPr>
                <w:sz w:val="20"/>
                <w:szCs w:val="20"/>
                <w:color w:val="auto"/>
              </w:rPr>
            </w:pPr>
            <w:r>
              <w:rPr>
                <w:rFonts w:ascii="Arial" w:cs="Arial" w:eastAsia="Arial" w:hAnsi="Arial"/>
                <w:sz w:val="16"/>
                <w:szCs w:val="16"/>
                <w:color w:val="auto"/>
              </w:rPr>
              <w:t>Corporate office</w:t>
            </w:r>
          </w:p>
        </w:tc>
        <w:tc>
          <w:tcPr>
            <w:tcW w:w="220" w:type="dxa"/>
            <w:vAlign w:val="bottom"/>
          </w:tcPr>
          <w:p>
            <w:pPr>
              <w:spacing w:after="0"/>
              <w:rPr>
                <w:sz w:val="23"/>
                <w:szCs w:val="23"/>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spacing w:after="0"/>
              <w:rPr>
                <w:sz w:val="23"/>
                <w:szCs w:val="23"/>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4"/>
        </w:trPr>
        <w:tc>
          <w:tcPr>
            <w:tcW w:w="7780" w:type="dxa"/>
            <w:vAlign w:val="bottom"/>
          </w:tcPr>
          <w:p>
            <w:pPr>
              <w:ind w:left="280"/>
              <w:spacing w:after="0"/>
              <w:rPr>
                <w:sz w:val="20"/>
                <w:szCs w:val="20"/>
                <w:color w:val="auto"/>
              </w:rPr>
            </w:pPr>
            <w:r>
              <w:rPr>
                <w:rFonts w:ascii="Arial" w:cs="Arial" w:eastAsia="Arial" w:hAnsi="Arial"/>
                <w:sz w:val="16"/>
                <w:szCs w:val="16"/>
                <w:color w:val="auto"/>
              </w:rPr>
              <w:t>Intersegment elimination</w:t>
            </w:r>
          </w:p>
        </w:tc>
        <w:tc>
          <w:tcPr>
            <w:tcW w:w="22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(139)</w:t>
            </w:r>
          </w:p>
        </w:tc>
        <w:tc>
          <w:tcPr>
            <w:tcW w:w="2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(116)</w:t>
            </w:r>
          </w:p>
        </w:tc>
        <w:tc>
          <w:tcPr>
            <w:tcW w:w="32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(128)</w:t>
            </w:r>
          </w:p>
        </w:tc>
        <w:tc>
          <w:tcPr>
            <w:tcW w:w="0" w:type="dxa"/>
            <w:vAlign w:val="bottom"/>
          </w:tcPr>
          <w:p>
            <w:pPr>
              <w:spacing w:after="0"/>
              <w:rPr>
                <w:sz w:val="1"/>
                <w:szCs w:val="1"/>
                <w:color w:val="auto"/>
              </w:rPr>
            </w:pPr>
          </w:p>
        </w:tc>
      </w:tr>
      <w:tr>
        <w:trPr>
          <w:trHeight w:val="261"/>
        </w:trPr>
        <w:tc>
          <w:tcPr>
            <w:tcW w:w="7780" w:type="dxa"/>
            <w:vAlign w:val="bottom"/>
          </w:tcPr>
          <w:p>
            <w:pPr>
              <w:spacing w:after="0"/>
              <w:rPr>
                <w:sz w:val="22"/>
                <w:szCs w:val="22"/>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2,481,890</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2,586,114</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2,737,032</w:t>
            </w:r>
          </w:p>
        </w:tc>
        <w:tc>
          <w:tcPr>
            <w:tcW w:w="0" w:type="dxa"/>
            <w:vAlign w:val="bottom"/>
          </w:tcPr>
          <w:p>
            <w:pPr>
              <w:spacing w:after="0"/>
              <w:rPr>
                <w:sz w:val="1"/>
                <w:szCs w:val="1"/>
                <w:color w:val="auto"/>
              </w:rPr>
            </w:pPr>
          </w:p>
        </w:tc>
      </w:tr>
      <w:tr>
        <w:trPr>
          <w:trHeight w:val="263"/>
        </w:trPr>
        <w:tc>
          <w:tcPr>
            <w:tcW w:w="7780" w:type="dxa"/>
            <w:vAlign w:val="bottom"/>
          </w:tcPr>
          <w:p>
            <w:pPr>
              <w:ind w:left="40"/>
              <w:spacing w:after="0"/>
              <w:rPr>
                <w:sz w:val="20"/>
                <w:szCs w:val="20"/>
                <w:color w:val="auto"/>
              </w:rPr>
            </w:pPr>
            <w:r>
              <w:rPr>
                <w:rFonts w:ascii="Arial" w:cs="Arial" w:eastAsia="Arial" w:hAnsi="Arial"/>
                <w:sz w:val="16"/>
                <w:szCs w:val="16"/>
                <w:b w:val="1"/>
                <w:bCs w:val="1"/>
                <w:color w:val="auto"/>
              </w:rPr>
              <w:t>Income (Loss) from Operations</w:t>
            </w:r>
          </w:p>
        </w:tc>
        <w:tc>
          <w:tcPr>
            <w:tcW w:w="2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7780" w:type="dxa"/>
            <w:vAlign w:val="bottom"/>
          </w:tcPr>
          <w:p>
            <w:pPr>
              <w:ind w:left="280"/>
              <w:spacing w:after="0"/>
              <w:rPr>
                <w:sz w:val="20"/>
                <w:szCs w:val="20"/>
                <w:color w:val="auto"/>
              </w:rPr>
            </w:pPr>
            <w:r>
              <w:rPr>
                <w:rFonts w:ascii="Arial" w:cs="Arial" w:eastAsia="Arial" w:hAnsi="Arial"/>
                <w:sz w:val="16"/>
                <w:szCs w:val="16"/>
                <w:color w:val="auto"/>
              </w:rPr>
              <w:t>Education</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ind w:right="79"/>
              <w:spacing w:after="0"/>
              <w:rPr>
                <w:sz w:val="20"/>
                <w:szCs w:val="20"/>
                <w:color w:val="auto"/>
              </w:rPr>
            </w:pPr>
            <w:r>
              <w:rPr>
                <w:rFonts w:ascii="Arial" w:cs="Arial" w:eastAsia="Arial" w:hAnsi="Arial"/>
                <w:sz w:val="16"/>
                <w:szCs w:val="16"/>
                <w:b w:val="1"/>
                <w:bCs w:val="1"/>
                <w:color w:val="auto"/>
              </w:rPr>
              <w:t>93,632</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(223,456)</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65,463</w:t>
            </w:r>
          </w:p>
        </w:tc>
        <w:tc>
          <w:tcPr>
            <w:tcW w:w="0" w:type="dxa"/>
            <w:vAlign w:val="bottom"/>
          </w:tcPr>
          <w:p>
            <w:pPr>
              <w:spacing w:after="0"/>
              <w:rPr>
                <w:sz w:val="1"/>
                <w:szCs w:val="1"/>
                <w:color w:val="auto"/>
              </w:rPr>
            </w:pPr>
          </w:p>
        </w:tc>
      </w:tr>
      <w:tr>
        <w:trPr>
          <w:trHeight w:val="270"/>
        </w:trPr>
        <w:tc>
          <w:tcPr>
            <w:tcW w:w="7780" w:type="dxa"/>
            <w:vAlign w:val="bottom"/>
          </w:tcPr>
          <w:p>
            <w:pPr>
              <w:ind w:left="280"/>
              <w:spacing w:after="0"/>
              <w:rPr>
                <w:sz w:val="20"/>
                <w:szCs w:val="20"/>
                <w:color w:val="auto"/>
              </w:rPr>
            </w:pPr>
            <w:r>
              <w:rPr>
                <w:rFonts w:ascii="Arial" w:cs="Arial" w:eastAsia="Arial" w:hAnsi="Arial"/>
                <w:sz w:val="16"/>
                <w:szCs w:val="16"/>
                <w:color w:val="auto"/>
              </w:rPr>
              <w:t>Television broadcasting</w:t>
            </w:r>
          </w:p>
        </w:tc>
        <w:tc>
          <w:tcPr>
            <w:tcW w:w="220" w:type="dxa"/>
            <w:vAlign w:val="bottom"/>
          </w:tcPr>
          <w:p>
            <w:pPr>
              <w:spacing w:after="0"/>
              <w:rPr>
                <w:sz w:val="23"/>
                <w:szCs w:val="23"/>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b w:val="1"/>
                <w:bCs w:val="1"/>
                <w:color w:val="auto"/>
              </w:rPr>
              <w:t>200,470</w:t>
            </w:r>
          </w:p>
        </w:tc>
        <w:tc>
          <w:tcPr>
            <w:tcW w:w="280" w:type="dxa"/>
            <w:vAlign w:val="bottom"/>
          </w:tcPr>
          <w:p>
            <w:pPr>
              <w:spacing w:after="0"/>
              <w:rPr>
                <w:sz w:val="23"/>
                <w:szCs w:val="23"/>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164,927</w:t>
            </w:r>
          </w:p>
        </w:tc>
        <w:tc>
          <w:tcPr>
            <w:tcW w:w="32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187,833</w:t>
            </w:r>
          </w:p>
        </w:tc>
        <w:tc>
          <w:tcPr>
            <w:tcW w:w="0" w:type="dxa"/>
            <w:vAlign w:val="bottom"/>
          </w:tcPr>
          <w:p>
            <w:pPr>
              <w:spacing w:after="0"/>
              <w:rPr>
                <w:sz w:val="1"/>
                <w:szCs w:val="1"/>
                <w:color w:val="auto"/>
              </w:rPr>
            </w:pPr>
          </w:p>
        </w:tc>
      </w:tr>
      <w:tr>
        <w:trPr>
          <w:trHeight w:val="270"/>
        </w:trPr>
        <w:tc>
          <w:tcPr>
            <w:tcW w:w="7780" w:type="dxa"/>
            <w:vAlign w:val="bottom"/>
          </w:tcPr>
          <w:p>
            <w:pPr>
              <w:ind w:left="280"/>
              <w:spacing w:after="0"/>
              <w:rPr>
                <w:sz w:val="20"/>
                <w:szCs w:val="20"/>
                <w:color w:val="auto"/>
              </w:rPr>
            </w:pPr>
            <w:r>
              <w:rPr>
                <w:rFonts w:ascii="Arial" w:cs="Arial" w:eastAsia="Arial" w:hAnsi="Arial"/>
                <w:sz w:val="16"/>
                <w:szCs w:val="16"/>
                <w:color w:val="auto"/>
              </w:rPr>
              <w:t>Other businesses</w:t>
            </w:r>
          </w:p>
        </w:tc>
        <w:tc>
          <w:tcPr>
            <w:tcW w:w="220" w:type="dxa"/>
            <w:vAlign w:val="bottom"/>
          </w:tcPr>
          <w:p>
            <w:pPr>
              <w:spacing w:after="0"/>
              <w:rPr>
                <w:sz w:val="23"/>
                <w:szCs w:val="23"/>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b w:val="1"/>
                <w:bCs w:val="1"/>
                <w:color w:val="auto"/>
              </w:rPr>
              <w:t>(22,102)</w:t>
            </w:r>
          </w:p>
        </w:tc>
        <w:tc>
          <w:tcPr>
            <w:tcW w:w="28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(13,667)</w:t>
            </w:r>
          </w:p>
        </w:tc>
        <w:tc>
          <w:tcPr>
            <w:tcW w:w="3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(21,086)</w:t>
            </w:r>
          </w:p>
        </w:tc>
        <w:tc>
          <w:tcPr>
            <w:tcW w:w="0" w:type="dxa"/>
            <w:vAlign w:val="bottom"/>
          </w:tcPr>
          <w:p>
            <w:pPr>
              <w:spacing w:after="0"/>
              <w:rPr>
                <w:sz w:val="1"/>
                <w:szCs w:val="1"/>
                <w:color w:val="auto"/>
              </w:rPr>
            </w:pPr>
          </w:p>
        </w:tc>
      </w:tr>
      <w:tr>
        <w:trPr>
          <w:trHeight w:val="274"/>
        </w:trPr>
        <w:tc>
          <w:tcPr>
            <w:tcW w:w="7780" w:type="dxa"/>
            <w:vAlign w:val="bottom"/>
          </w:tcPr>
          <w:p>
            <w:pPr>
              <w:ind w:left="280"/>
              <w:spacing w:after="0"/>
              <w:rPr>
                <w:sz w:val="20"/>
                <w:szCs w:val="20"/>
                <w:color w:val="auto"/>
              </w:rPr>
            </w:pPr>
            <w:r>
              <w:rPr>
                <w:rFonts w:ascii="Arial" w:cs="Arial" w:eastAsia="Arial" w:hAnsi="Arial"/>
                <w:sz w:val="16"/>
                <w:szCs w:val="16"/>
                <w:color w:val="auto"/>
              </w:rPr>
              <w:t>Corporate office</w:t>
            </w:r>
          </w:p>
        </w:tc>
        <w:tc>
          <w:tcPr>
            <w:tcW w:w="22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31,534</w:t>
            </w:r>
          </w:p>
        </w:tc>
        <w:tc>
          <w:tcPr>
            <w:tcW w:w="2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(8,629)</w:t>
            </w:r>
          </w:p>
        </w:tc>
        <w:tc>
          <w:tcPr>
            <w:tcW w:w="32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510</w:t>
            </w:r>
          </w:p>
        </w:tc>
        <w:tc>
          <w:tcPr>
            <w:tcW w:w="0" w:type="dxa"/>
            <w:vAlign w:val="bottom"/>
          </w:tcPr>
          <w:p>
            <w:pPr>
              <w:spacing w:after="0"/>
              <w:rPr>
                <w:sz w:val="1"/>
                <w:szCs w:val="1"/>
                <w:color w:val="auto"/>
              </w:rPr>
            </w:pPr>
          </w:p>
        </w:tc>
      </w:tr>
      <w:tr>
        <w:trPr>
          <w:trHeight w:val="264"/>
        </w:trPr>
        <w:tc>
          <w:tcPr>
            <w:tcW w:w="7780" w:type="dxa"/>
            <w:vAlign w:val="bottom"/>
          </w:tcPr>
          <w:p>
            <w:pPr>
              <w:spacing w:after="0"/>
              <w:rPr>
                <w:sz w:val="22"/>
                <w:szCs w:val="22"/>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303,534</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(80,825)</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232,720</w:t>
            </w:r>
          </w:p>
        </w:tc>
        <w:tc>
          <w:tcPr>
            <w:tcW w:w="0" w:type="dxa"/>
            <w:vAlign w:val="bottom"/>
          </w:tcPr>
          <w:p>
            <w:pPr>
              <w:spacing w:after="0"/>
              <w:rPr>
                <w:sz w:val="1"/>
                <w:szCs w:val="1"/>
                <w:color w:val="auto"/>
              </w:rPr>
            </w:pPr>
          </w:p>
        </w:tc>
      </w:tr>
      <w:tr>
        <w:trPr>
          <w:trHeight w:val="260"/>
        </w:trPr>
        <w:tc>
          <w:tcPr>
            <w:tcW w:w="7780" w:type="dxa"/>
            <w:vAlign w:val="bottom"/>
          </w:tcPr>
          <w:p>
            <w:pPr>
              <w:ind w:left="40"/>
              <w:spacing w:after="0"/>
              <w:rPr>
                <w:sz w:val="20"/>
                <w:szCs w:val="20"/>
                <w:color w:val="auto"/>
              </w:rPr>
            </w:pPr>
            <w:r>
              <w:rPr>
                <w:rFonts w:ascii="Arial" w:cs="Arial" w:eastAsia="Arial" w:hAnsi="Arial"/>
                <w:sz w:val="16"/>
                <w:szCs w:val="16"/>
                <w:b w:val="1"/>
                <w:bCs w:val="1"/>
                <w:color w:val="auto"/>
              </w:rPr>
              <w:t>Equity in (Losses) Earnings of Affiliates, Net</w:t>
            </w:r>
          </w:p>
        </w:tc>
        <w:tc>
          <w:tcPr>
            <w:tcW w:w="220" w:type="dxa"/>
            <w:vAlign w:val="bottom"/>
          </w:tcPr>
          <w:p>
            <w:pPr>
              <w:spacing w:after="0"/>
              <w:rPr>
                <w:sz w:val="22"/>
                <w:szCs w:val="22"/>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b w:val="1"/>
                <w:bCs w:val="1"/>
                <w:color w:val="auto"/>
              </w:rPr>
              <w:t>(7,937)</w:t>
            </w:r>
          </w:p>
        </w:tc>
        <w:tc>
          <w:tcPr>
            <w:tcW w:w="280" w:type="dxa"/>
            <w:vAlign w:val="bottom"/>
          </w:tcPr>
          <w:p>
            <w:pPr>
              <w:spacing w:after="0"/>
              <w:rPr>
                <w:sz w:val="22"/>
                <w:szCs w:val="22"/>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(697)</w:t>
            </w:r>
          </w:p>
        </w:tc>
        <w:tc>
          <w:tcPr>
            <w:tcW w:w="320" w:type="dxa"/>
            <w:vAlign w:val="bottom"/>
          </w:tcPr>
          <w:p>
            <w:pPr>
              <w:spacing w:after="0"/>
              <w:rPr>
                <w:sz w:val="22"/>
                <w:szCs w:val="22"/>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100,370</w:t>
            </w:r>
          </w:p>
        </w:tc>
        <w:tc>
          <w:tcPr>
            <w:tcW w:w="0" w:type="dxa"/>
            <w:vAlign w:val="bottom"/>
          </w:tcPr>
          <w:p>
            <w:pPr>
              <w:spacing w:after="0"/>
              <w:rPr>
                <w:sz w:val="1"/>
                <w:szCs w:val="1"/>
                <w:color w:val="auto"/>
              </w:rPr>
            </w:pPr>
          </w:p>
        </w:tc>
      </w:tr>
      <w:tr>
        <w:trPr>
          <w:trHeight w:val="270"/>
        </w:trPr>
        <w:tc>
          <w:tcPr>
            <w:tcW w:w="7780" w:type="dxa"/>
            <w:vAlign w:val="bottom"/>
          </w:tcPr>
          <w:p>
            <w:pPr>
              <w:ind w:left="40"/>
              <w:spacing w:after="0"/>
              <w:rPr>
                <w:sz w:val="20"/>
                <w:szCs w:val="20"/>
                <w:color w:val="auto"/>
              </w:rPr>
            </w:pPr>
            <w:r>
              <w:rPr>
                <w:rFonts w:ascii="Arial" w:cs="Arial" w:eastAsia="Arial" w:hAnsi="Arial"/>
                <w:sz w:val="16"/>
                <w:szCs w:val="16"/>
                <w:b w:val="1"/>
                <w:bCs w:val="1"/>
                <w:color w:val="auto"/>
              </w:rPr>
              <w:t>Interest Expense, Net</w:t>
            </w:r>
          </w:p>
        </w:tc>
        <w:tc>
          <w:tcPr>
            <w:tcW w:w="220" w:type="dxa"/>
            <w:vAlign w:val="bottom"/>
          </w:tcPr>
          <w:p>
            <w:pPr>
              <w:spacing w:after="0"/>
              <w:rPr>
                <w:sz w:val="23"/>
                <w:szCs w:val="23"/>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b w:val="1"/>
                <w:bCs w:val="1"/>
                <w:color w:val="auto"/>
              </w:rPr>
              <w:t>(32,297)</w:t>
            </w:r>
          </w:p>
        </w:tc>
        <w:tc>
          <w:tcPr>
            <w:tcW w:w="28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(30,745)</w:t>
            </w:r>
          </w:p>
        </w:tc>
        <w:tc>
          <w:tcPr>
            <w:tcW w:w="3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(33,397)</w:t>
            </w:r>
          </w:p>
        </w:tc>
        <w:tc>
          <w:tcPr>
            <w:tcW w:w="0" w:type="dxa"/>
            <w:vAlign w:val="bottom"/>
          </w:tcPr>
          <w:p>
            <w:pPr>
              <w:spacing w:after="0"/>
              <w:rPr>
                <w:sz w:val="1"/>
                <w:szCs w:val="1"/>
                <w:color w:val="auto"/>
              </w:rPr>
            </w:pPr>
          </w:p>
        </w:tc>
      </w:tr>
      <w:tr>
        <w:trPr>
          <w:trHeight w:val="274"/>
        </w:trPr>
        <w:tc>
          <w:tcPr>
            <w:tcW w:w="7780" w:type="dxa"/>
            <w:vAlign w:val="bottom"/>
          </w:tcPr>
          <w:p>
            <w:pPr>
              <w:ind w:left="40"/>
              <w:spacing w:after="0"/>
              <w:rPr>
                <w:sz w:val="20"/>
                <w:szCs w:val="20"/>
                <w:color w:val="auto"/>
              </w:rPr>
            </w:pPr>
            <w:r>
              <w:rPr>
                <w:rFonts w:ascii="Arial" w:cs="Arial" w:eastAsia="Arial" w:hAnsi="Arial"/>
                <w:sz w:val="16"/>
                <w:szCs w:val="16"/>
                <w:b w:val="1"/>
                <w:bCs w:val="1"/>
                <w:color w:val="auto"/>
              </w:rPr>
              <w:t>Other (Expense) Income, Net</w:t>
            </w:r>
          </w:p>
        </w:tc>
        <w:tc>
          <w:tcPr>
            <w:tcW w:w="22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(12,642)</w:t>
            </w:r>
          </w:p>
        </w:tc>
        <w:tc>
          <w:tcPr>
            <w:tcW w:w="2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(8,623)</w:t>
            </w:r>
          </w:p>
        </w:tc>
        <w:tc>
          <w:tcPr>
            <w:tcW w:w="32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778,010</w:t>
            </w:r>
          </w:p>
        </w:tc>
        <w:tc>
          <w:tcPr>
            <w:tcW w:w="0" w:type="dxa"/>
            <w:vAlign w:val="bottom"/>
          </w:tcPr>
          <w:p>
            <w:pPr>
              <w:spacing w:after="0"/>
              <w:rPr>
                <w:sz w:val="1"/>
                <w:szCs w:val="1"/>
                <w:color w:val="auto"/>
              </w:rPr>
            </w:pPr>
          </w:p>
        </w:tc>
      </w:tr>
      <w:tr>
        <w:trPr>
          <w:trHeight w:val="267"/>
        </w:trPr>
        <w:tc>
          <w:tcPr>
            <w:tcW w:w="7780" w:type="dxa"/>
            <w:vAlign w:val="bottom"/>
          </w:tcPr>
          <w:p>
            <w:pPr>
              <w:ind w:left="40"/>
              <w:spacing w:after="0"/>
              <w:rPr>
                <w:sz w:val="20"/>
                <w:szCs w:val="20"/>
                <w:color w:val="auto"/>
              </w:rPr>
            </w:pPr>
            <w:r>
              <w:rPr>
                <w:rFonts w:ascii="Arial" w:cs="Arial" w:eastAsia="Arial" w:hAnsi="Arial"/>
                <w:sz w:val="16"/>
                <w:szCs w:val="16"/>
                <w:b w:val="1"/>
                <w:bCs w:val="1"/>
                <w:color w:val="auto"/>
              </w:rPr>
              <w:t>Income (Loss) from Continuing Operations before Income Taxes</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250,658</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(120,890)</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1,077,703</w:t>
            </w:r>
          </w:p>
        </w:tc>
        <w:tc>
          <w:tcPr>
            <w:tcW w:w="0" w:type="dxa"/>
            <w:vAlign w:val="bottom"/>
          </w:tcPr>
          <w:p>
            <w:pPr>
              <w:spacing w:after="0"/>
              <w:rPr>
                <w:sz w:val="1"/>
                <w:szCs w:val="1"/>
                <w:color w:val="auto"/>
              </w:rPr>
            </w:pPr>
          </w:p>
        </w:tc>
      </w:tr>
      <w:tr>
        <w:trPr>
          <w:trHeight w:val="20"/>
        </w:trPr>
        <w:tc>
          <w:tcPr>
            <w:tcW w:w="778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Depreciation of Property, Plant and Equipment</w:t>
            </w: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7780" w:type="dxa"/>
            <w:vAlign w:val="bottom"/>
            <w:vMerge w:val="continue"/>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7780" w:type="dxa"/>
            <w:vAlign w:val="bottom"/>
          </w:tcPr>
          <w:p>
            <w:pPr>
              <w:ind w:left="280"/>
              <w:spacing w:after="0"/>
              <w:rPr>
                <w:sz w:val="20"/>
                <w:szCs w:val="20"/>
                <w:color w:val="auto"/>
              </w:rPr>
            </w:pPr>
            <w:r>
              <w:rPr>
                <w:rFonts w:ascii="Arial" w:cs="Arial" w:eastAsia="Arial" w:hAnsi="Arial"/>
                <w:sz w:val="16"/>
                <w:szCs w:val="16"/>
                <w:color w:val="auto"/>
              </w:rPr>
              <w:t>Education</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ind w:right="79"/>
              <w:spacing w:after="0"/>
              <w:rPr>
                <w:sz w:val="20"/>
                <w:szCs w:val="20"/>
                <w:color w:val="auto"/>
              </w:rPr>
            </w:pPr>
            <w:r>
              <w:rPr>
                <w:rFonts w:ascii="Arial" w:cs="Arial" w:eastAsia="Arial" w:hAnsi="Arial"/>
                <w:sz w:val="16"/>
                <w:szCs w:val="16"/>
                <w:b w:val="1"/>
                <w:bCs w:val="1"/>
                <w:color w:val="auto"/>
              </w:rPr>
              <w:t>41,187</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61,177</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61,737</w:t>
            </w:r>
          </w:p>
        </w:tc>
        <w:tc>
          <w:tcPr>
            <w:tcW w:w="0" w:type="dxa"/>
            <w:vAlign w:val="bottom"/>
          </w:tcPr>
          <w:p>
            <w:pPr>
              <w:spacing w:after="0"/>
              <w:rPr>
                <w:sz w:val="1"/>
                <w:szCs w:val="1"/>
                <w:color w:val="auto"/>
              </w:rPr>
            </w:pPr>
          </w:p>
        </w:tc>
      </w:tr>
      <w:tr>
        <w:trPr>
          <w:trHeight w:val="270"/>
        </w:trPr>
        <w:tc>
          <w:tcPr>
            <w:tcW w:w="7780" w:type="dxa"/>
            <w:vAlign w:val="bottom"/>
          </w:tcPr>
          <w:p>
            <w:pPr>
              <w:ind w:left="280"/>
              <w:spacing w:after="0"/>
              <w:rPr>
                <w:sz w:val="20"/>
                <w:szCs w:val="20"/>
                <w:color w:val="auto"/>
              </w:rPr>
            </w:pPr>
            <w:r>
              <w:rPr>
                <w:rFonts w:ascii="Arial" w:cs="Arial" w:eastAsia="Arial" w:hAnsi="Arial"/>
                <w:sz w:val="16"/>
                <w:szCs w:val="16"/>
                <w:color w:val="auto"/>
              </w:rPr>
              <w:t>Television broadcasting</w:t>
            </w:r>
          </w:p>
        </w:tc>
        <w:tc>
          <w:tcPr>
            <w:tcW w:w="220" w:type="dxa"/>
            <w:vAlign w:val="bottom"/>
          </w:tcPr>
          <w:p>
            <w:pPr>
              <w:spacing w:after="0"/>
              <w:rPr>
                <w:sz w:val="23"/>
                <w:szCs w:val="23"/>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b w:val="1"/>
                <w:bCs w:val="1"/>
                <w:color w:val="auto"/>
              </w:rPr>
              <w:t>9,942</w:t>
            </w:r>
          </w:p>
        </w:tc>
        <w:tc>
          <w:tcPr>
            <w:tcW w:w="280" w:type="dxa"/>
            <w:vAlign w:val="bottom"/>
          </w:tcPr>
          <w:p>
            <w:pPr>
              <w:spacing w:after="0"/>
              <w:rPr>
                <w:sz w:val="23"/>
                <w:szCs w:val="23"/>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9,551</w:t>
            </w:r>
          </w:p>
        </w:tc>
        <w:tc>
          <w:tcPr>
            <w:tcW w:w="32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8,409</w:t>
            </w:r>
          </w:p>
        </w:tc>
        <w:tc>
          <w:tcPr>
            <w:tcW w:w="0" w:type="dxa"/>
            <w:vAlign w:val="bottom"/>
          </w:tcPr>
          <w:p>
            <w:pPr>
              <w:spacing w:after="0"/>
              <w:rPr>
                <w:sz w:val="1"/>
                <w:szCs w:val="1"/>
                <w:color w:val="auto"/>
              </w:rPr>
            </w:pPr>
          </w:p>
        </w:tc>
      </w:tr>
      <w:tr>
        <w:trPr>
          <w:trHeight w:val="270"/>
        </w:trPr>
        <w:tc>
          <w:tcPr>
            <w:tcW w:w="7780" w:type="dxa"/>
            <w:vAlign w:val="bottom"/>
          </w:tcPr>
          <w:p>
            <w:pPr>
              <w:ind w:left="280"/>
              <w:spacing w:after="0"/>
              <w:rPr>
                <w:sz w:val="20"/>
                <w:szCs w:val="20"/>
                <w:color w:val="auto"/>
              </w:rPr>
            </w:pPr>
            <w:r>
              <w:rPr>
                <w:rFonts w:ascii="Arial" w:cs="Arial" w:eastAsia="Arial" w:hAnsi="Arial"/>
                <w:sz w:val="16"/>
                <w:szCs w:val="16"/>
                <w:color w:val="auto"/>
              </w:rPr>
              <w:t>Other businesses</w:t>
            </w:r>
          </w:p>
        </w:tc>
        <w:tc>
          <w:tcPr>
            <w:tcW w:w="220" w:type="dxa"/>
            <w:vAlign w:val="bottom"/>
          </w:tcPr>
          <w:p>
            <w:pPr>
              <w:spacing w:after="0"/>
              <w:rPr>
                <w:sz w:val="23"/>
                <w:szCs w:val="23"/>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b w:val="1"/>
                <w:bCs w:val="1"/>
                <w:color w:val="auto"/>
              </w:rPr>
              <w:t>12,375</w:t>
            </w:r>
          </w:p>
        </w:tc>
        <w:tc>
          <w:tcPr>
            <w:tcW w:w="280" w:type="dxa"/>
            <w:vAlign w:val="bottom"/>
          </w:tcPr>
          <w:p>
            <w:pPr>
              <w:spacing w:after="0"/>
              <w:rPr>
                <w:sz w:val="23"/>
                <w:szCs w:val="23"/>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6,168</w:t>
            </w:r>
          </w:p>
        </w:tc>
        <w:tc>
          <w:tcPr>
            <w:tcW w:w="32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3,931</w:t>
            </w:r>
          </w:p>
        </w:tc>
        <w:tc>
          <w:tcPr>
            <w:tcW w:w="0" w:type="dxa"/>
            <w:vAlign w:val="bottom"/>
          </w:tcPr>
          <w:p>
            <w:pPr>
              <w:spacing w:after="0"/>
              <w:rPr>
                <w:sz w:val="1"/>
                <w:szCs w:val="1"/>
                <w:color w:val="auto"/>
              </w:rPr>
            </w:pPr>
          </w:p>
        </w:tc>
      </w:tr>
      <w:tr>
        <w:trPr>
          <w:trHeight w:val="274"/>
        </w:trPr>
        <w:tc>
          <w:tcPr>
            <w:tcW w:w="7780" w:type="dxa"/>
            <w:vAlign w:val="bottom"/>
          </w:tcPr>
          <w:p>
            <w:pPr>
              <w:ind w:left="280"/>
              <w:spacing w:after="0"/>
              <w:rPr>
                <w:sz w:val="20"/>
                <w:szCs w:val="20"/>
                <w:color w:val="auto"/>
              </w:rPr>
            </w:pPr>
            <w:r>
              <w:rPr>
                <w:rFonts w:ascii="Arial" w:cs="Arial" w:eastAsia="Arial" w:hAnsi="Arial"/>
                <w:sz w:val="16"/>
                <w:szCs w:val="16"/>
                <w:color w:val="auto"/>
              </w:rPr>
              <w:t>Corporate office</w:t>
            </w:r>
          </w:p>
        </w:tc>
        <w:tc>
          <w:tcPr>
            <w:tcW w:w="22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1,116</w:t>
            </w:r>
          </w:p>
        </w:tc>
        <w:tc>
          <w:tcPr>
            <w:tcW w:w="2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1,010</w:t>
            </w:r>
          </w:p>
        </w:tc>
        <w:tc>
          <w:tcPr>
            <w:tcW w:w="32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836</w:t>
            </w:r>
          </w:p>
        </w:tc>
        <w:tc>
          <w:tcPr>
            <w:tcW w:w="0" w:type="dxa"/>
            <w:vAlign w:val="bottom"/>
          </w:tcPr>
          <w:p>
            <w:pPr>
              <w:spacing w:after="0"/>
              <w:rPr>
                <w:sz w:val="1"/>
                <w:szCs w:val="1"/>
                <w:color w:val="auto"/>
              </w:rPr>
            </w:pPr>
          </w:p>
        </w:tc>
      </w:tr>
      <w:tr>
        <w:trPr>
          <w:trHeight w:val="261"/>
        </w:trPr>
        <w:tc>
          <w:tcPr>
            <w:tcW w:w="7780" w:type="dxa"/>
            <w:vAlign w:val="bottom"/>
          </w:tcPr>
          <w:p>
            <w:pPr>
              <w:spacing w:after="0"/>
              <w:rPr>
                <w:sz w:val="22"/>
                <w:szCs w:val="22"/>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64,620</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77,906</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74,913</w:t>
            </w:r>
          </w:p>
        </w:tc>
        <w:tc>
          <w:tcPr>
            <w:tcW w:w="0" w:type="dxa"/>
            <w:vAlign w:val="bottom"/>
          </w:tcPr>
          <w:p>
            <w:pPr>
              <w:spacing w:after="0"/>
              <w:rPr>
                <w:sz w:val="1"/>
                <w:szCs w:val="1"/>
                <w:color w:val="auto"/>
              </w:rPr>
            </w:pPr>
          </w:p>
        </w:tc>
      </w:tr>
      <w:tr>
        <w:trPr>
          <w:trHeight w:val="263"/>
        </w:trPr>
        <w:tc>
          <w:tcPr>
            <w:tcW w:w="7780" w:type="dxa"/>
            <w:vAlign w:val="bottom"/>
          </w:tcPr>
          <w:p>
            <w:pPr>
              <w:ind w:left="40"/>
              <w:spacing w:after="0"/>
              <w:rPr>
                <w:sz w:val="20"/>
                <w:szCs w:val="20"/>
                <w:color w:val="auto"/>
              </w:rPr>
            </w:pPr>
            <w:r>
              <w:rPr>
                <w:rFonts w:ascii="Arial" w:cs="Arial" w:eastAsia="Arial" w:hAnsi="Arial"/>
                <w:sz w:val="16"/>
                <w:szCs w:val="16"/>
                <w:b w:val="1"/>
                <w:bCs w:val="1"/>
                <w:color w:val="auto"/>
              </w:rPr>
              <w:t>Amortization of Intangible Assets and Impairment of Goodwill and</w:t>
            </w:r>
          </w:p>
        </w:tc>
        <w:tc>
          <w:tcPr>
            <w:tcW w:w="2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7780" w:type="dxa"/>
            <w:vAlign w:val="bottom"/>
          </w:tcPr>
          <w:p>
            <w:pPr>
              <w:ind w:left="180"/>
              <w:spacing w:after="0"/>
              <w:rPr>
                <w:sz w:val="20"/>
                <w:szCs w:val="20"/>
                <w:color w:val="auto"/>
              </w:rPr>
            </w:pPr>
            <w:r>
              <w:rPr>
                <w:rFonts w:ascii="Arial" w:cs="Arial" w:eastAsia="Arial" w:hAnsi="Arial"/>
                <w:sz w:val="16"/>
                <w:szCs w:val="16"/>
                <w:b w:val="1"/>
                <w:bCs w:val="1"/>
                <w:color w:val="auto"/>
              </w:rPr>
              <w:t>Other Long-Lived Assets</w:t>
            </w:r>
          </w:p>
        </w:tc>
        <w:tc>
          <w:tcPr>
            <w:tcW w:w="2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780" w:type="dxa"/>
            <w:vAlign w:val="bottom"/>
          </w:tcPr>
          <w:p>
            <w:pPr>
              <w:ind w:left="280"/>
              <w:spacing w:after="0"/>
              <w:rPr>
                <w:sz w:val="20"/>
                <w:szCs w:val="20"/>
                <w:color w:val="auto"/>
              </w:rPr>
            </w:pPr>
            <w:r>
              <w:rPr>
                <w:rFonts w:ascii="Arial" w:cs="Arial" w:eastAsia="Arial" w:hAnsi="Arial"/>
                <w:sz w:val="16"/>
                <w:szCs w:val="16"/>
                <w:color w:val="auto"/>
              </w:rPr>
              <w:t>Education</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ind w:right="79"/>
              <w:spacing w:after="0"/>
              <w:rPr>
                <w:sz w:val="20"/>
                <w:szCs w:val="20"/>
                <w:color w:val="auto"/>
              </w:rPr>
            </w:pPr>
            <w:r>
              <w:rPr>
                <w:rFonts w:ascii="Arial" w:cs="Arial" w:eastAsia="Arial" w:hAnsi="Arial"/>
                <w:sz w:val="16"/>
                <w:szCs w:val="16"/>
                <w:b w:val="1"/>
                <w:bCs w:val="1"/>
                <w:color w:val="auto"/>
              </w:rPr>
              <w:t>7,516</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262,353</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24,941</w:t>
            </w:r>
          </w:p>
        </w:tc>
        <w:tc>
          <w:tcPr>
            <w:tcW w:w="0" w:type="dxa"/>
            <w:vAlign w:val="bottom"/>
          </w:tcPr>
          <w:p>
            <w:pPr>
              <w:spacing w:after="0"/>
              <w:rPr>
                <w:sz w:val="1"/>
                <w:szCs w:val="1"/>
                <w:color w:val="auto"/>
              </w:rPr>
            </w:pPr>
          </w:p>
        </w:tc>
      </w:tr>
      <w:tr>
        <w:trPr>
          <w:trHeight w:val="270"/>
        </w:trPr>
        <w:tc>
          <w:tcPr>
            <w:tcW w:w="7780" w:type="dxa"/>
            <w:vAlign w:val="bottom"/>
          </w:tcPr>
          <w:p>
            <w:pPr>
              <w:ind w:left="280"/>
              <w:spacing w:after="0"/>
              <w:rPr>
                <w:sz w:val="20"/>
                <w:szCs w:val="20"/>
                <w:color w:val="auto"/>
              </w:rPr>
            </w:pPr>
            <w:r>
              <w:rPr>
                <w:rFonts w:ascii="Arial" w:cs="Arial" w:eastAsia="Arial" w:hAnsi="Arial"/>
                <w:sz w:val="16"/>
                <w:szCs w:val="16"/>
                <w:color w:val="auto"/>
              </w:rPr>
              <w:t>Television broadcasting</w:t>
            </w:r>
          </w:p>
        </w:tc>
        <w:tc>
          <w:tcPr>
            <w:tcW w:w="220" w:type="dxa"/>
            <w:vAlign w:val="bottom"/>
          </w:tcPr>
          <w:p>
            <w:pPr>
              <w:spacing w:after="0"/>
              <w:rPr>
                <w:sz w:val="23"/>
                <w:szCs w:val="23"/>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b w:val="1"/>
                <w:bCs w:val="1"/>
                <w:color w:val="auto"/>
              </w:rPr>
              <w:t>251</w:t>
            </w:r>
          </w:p>
        </w:tc>
        <w:tc>
          <w:tcPr>
            <w:tcW w:w="280" w:type="dxa"/>
            <w:vAlign w:val="bottom"/>
          </w:tcPr>
          <w:p>
            <w:pPr>
              <w:spacing w:after="0"/>
              <w:rPr>
                <w:sz w:val="23"/>
                <w:szCs w:val="23"/>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252</w:t>
            </w:r>
          </w:p>
        </w:tc>
        <w:tc>
          <w:tcPr>
            <w:tcW w:w="32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270"/>
        </w:trPr>
        <w:tc>
          <w:tcPr>
            <w:tcW w:w="7780" w:type="dxa"/>
            <w:vAlign w:val="bottom"/>
          </w:tcPr>
          <w:p>
            <w:pPr>
              <w:ind w:left="280"/>
              <w:spacing w:after="0"/>
              <w:rPr>
                <w:sz w:val="20"/>
                <w:szCs w:val="20"/>
                <w:color w:val="auto"/>
              </w:rPr>
            </w:pPr>
            <w:r>
              <w:rPr>
                <w:rFonts w:ascii="Arial" w:cs="Arial" w:eastAsia="Arial" w:hAnsi="Arial"/>
                <w:sz w:val="16"/>
                <w:szCs w:val="16"/>
                <w:color w:val="auto"/>
              </w:rPr>
              <w:t>Other businesses</w:t>
            </w:r>
          </w:p>
        </w:tc>
        <w:tc>
          <w:tcPr>
            <w:tcW w:w="220" w:type="dxa"/>
            <w:vAlign w:val="bottom"/>
          </w:tcPr>
          <w:p>
            <w:pPr>
              <w:spacing w:after="0"/>
              <w:rPr>
                <w:sz w:val="23"/>
                <w:szCs w:val="23"/>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b w:val="1"/>
                <w:bCs w:val="1"/>
                <w:color w:val="auto"/>
              </w:rPr>
              <w:t>20,507</w:t>
            </w:r>
          </w:p>
        </w:tc>
        <w:tc>
          <w:tcPr>
            <w:tcW w:w="280" w:type="dxa"/>
            <w:vAlign w:val="bottom"/>
          </w:tcPr>
          <w:p>
            <w:pPr>
              <w:spacing w:after="0"/>
              <w:rPr>
                <w:sz w:val="23"/>
                <w:szCs w:val="23"/>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16,112</w:t>
            </w:r>
          </w:p>
        </w:tc>
        <w:tc>
          <w:tcPr>
            <w:tcW w:w="32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10,516</w:t>
            </w:r>
          </w:p>
        </w:tc>
        <w:tc>
          <w:tcPr>
            <w:tcW w:w="0" w:type="dxa"/>
            <w:vAlign w:val="bottom"/>
          </w:tcPr>
          <w:p>
            <w:pPr>
              <w:spacing w:after="0"/>
              <w:rPr>
                <w:sz w:val="1"/>
                <w:szCs w:val="1"/>
                <w:color w:val="auto"/>
              </w:rPr>
            </w:pPr>
          </w:p>
        </w:tc>
      </w:tr>
      <w:tr>
        <w:trPr>
          <w:trHeight w:val="274"/>
        </w:trPr>
        <w:tc>
          <w:tcPr>
            <w:tcW w:w="7780" w:type="dxa"/>
            <w:vAlign w:val="bottom"/>
          </w:tcPr>
          <w:p>
            <w:pPr>
              <w:ind w:left="280"/>
              <w:spacing w:after="0"/>
              <w:rPr>
                <w:sz w:val="20"/>
                <w:szCs w:val="20"/>
                <w:color w:val="auto"/>
              </w:rPr>
            </w:pPr>
            <w:r>
              <w:rPr>
                <w:rFonts w:ascii="Arial" w:cs="Arial" w:eastAsia="Arial" w:hAnsi="Arial"/>
                <w:sz w:val="16"/>
                <w:szCs w:val="16"/>
                <w:color w:val="auto"/>
              </w:rPr>
              <w:t>Corporate office</w:t>
            </w:r>
          </w:p>
        </w:tc>
        <w:tc>
          <w:tcPr>
            <w:tcW w:w="22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2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1"/>
        </w:trPr>
        <w:tc>
          <w:tcPr>
            <w:tcW w:w="7780" w:type="dxa"/>
            <w:vAlign w:val="bottom"/>
          </w:tcPr>
          <w:p>
            <w:pPr>
              <w:spacing w:after="0"/>
              <w:rPr>
                <w:sz w:val="22"/>
                <w:szCs w:val="22"/>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28,274</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278,717</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35,489</w:t>
            </w:r>
          </w:p>
        </w:tc>
        <w:tc>
          <w:tcPr>
            <w:tcW w:w="0" w:type="dxa"/>
            <w:vAlign w:val="bottom"/>
          </w:tcPr>
          <w:p>
            <w:pPr>
              <w:spacing w:after="0"/>
              <w:rPr>
                <w:sz w:val="1"/>
                <w:szCs w:val="1"/>
                <w:color w:val="auto"/>
              </w:rPr>
            </w:pPr>
          </w:p>
        </w:tc>
      </w:tr>
      <w:tr>
        <w:trPr>
          <w:trHeight w:val="263"/>
        </w:trPr>
        <w:tc>
          <w:tcPr>
            <w:tcW w:w="7780" w:type="dxa"/>
            <w:vAlign w:val="bottom"/>
          </w:tcPr>
          <w:p>
            <w:pPr>
              <w:ind w:left="40"/>
              <w:spacing w:after="0"/>
              <w:rPr>
                <w:sz w:val="20"/>
                <w:szCs w:val="20"/>
                <w:color w:val="auto"/>
              </w:rPr>
            </w:pPr>
            <w:r>
              <w:rPr>
                <w:rFonts w:ascii="Arial" w:cs="Arial" w:eastAsia="Arial" w:hAnsi="Arial"/>
                <w:sz w:val="16"/>
                <w:szCs w:val="16"/>
                <w:b w:val="1"/>
                <w:bCs w:val="1"/>
                <w:color w:val="auto"/>
              </w:rPr>
              <w:t>Net Pension (Credit) Expense</w:t>
            </w:r>
          </w:p>
        </w:tc>
        <w:tc>
          <w:tcPr>
            <w:tcW w:w="2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7780" w:type="dxa"/>
            <w:vAlign w:val="bottom"/>
          </w:tcPr>
          <w:p>
            <w:pPr>
              <w:ind w:left="280"/>
              <w:spacing w:after="0"/>
              <w:rPr>
                <w:sz w:val="20"/>
                <w:szCs w:val="20"/>
                <w:color w:val="auto"/>
              </w:rPr>
            </w:pPr>
            <w:r>
              <w:rPr>
                <w:rFonts w:ascii="Arial" w:cs="Arial" w:eastAsia="Arial" w:hAnsi="Arial"/>
                <w:sz w:val="16"/>
                <w:szCs w:val="16"/>
                <w:color w:val="auto"/>
              </w:rPr>
              <w:t>Education</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ind w:right="79"/>
              <w:spacing w:after="0"/>
              <w:rPr>
                <w:sz w:val="20"/>
                <w:szCs w:val="20"/>
                <w:color w:val="auto"/>
              </w:rPr>
            </w:pPr>
            <w:r>
              <w:rPr>
                <w:rFonts w:ascii="Arial" w:cs="Arial" w:eastAsia="Arial" w:hAnsi="Arial"/>
                <w:sz w:val="16"/>
                <w:szCs w:val="16"/>
                <w:b w:val="1"/>
                <w:bCs w:val="1"/>
                <w:color w:val="auto"/>
              </w:rPr>
              <w:t>11,803</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18,804</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15,418</w:t>
            </w:r>
          </w:p>
        </w:tc>
        <w:tc>
          <w:tcPr>
            <w:tcW w:w="0" w:type="dxa"/>
            <w:vAlign w:val="bottom"/>
          </w:tcPr>
          <w:p>
            <w:pPr>
              <w:spacing w:after="0"/>
              <w:rPr>
                <w:sz w:val="1"/>
                <w:szCs w:val="1"/>
                <w:color w:val="auto"/>
              </w:rPr>
            </w:pPr>
          </w:p>
        </w:tc>
      </w:tr>
      <w:tr>
        <w:trPr>
          <w:trHeight w:val="270"/>
        </w:trPr>
        <w:tc>
          <w:tcPr>
            <w:tcW w:w="7780" w:type="dxa"/>
            <w:vAlign w:val="bottom"/>
          </w:tcPr>
          <w:p>
            <w:pPr>
              <w:ind w:left="280"/>
              <w:spacing w:after="0"/>
              <w:rPr>
                <w:sz w:val="20"/>
                <w:szCs w:val="20"/>
                <w:color w:val="auto"/>
              </w:rPr>
            </w:pPr>
            <w:r>
              <w:rPr>
                <w:rFonts w:ascii="Arial" w:cs="Arial" w:eastAsia="Arial" w:hAnsi="Arial"/>
                <w:sz w:val="16"/>
                <w:szCs w:val="16"/>
                <w:color w:val="auto"/>
              </w:rPr>
              <w:t>Television broadcasting</w:t>
            </w:r>
          </w:p>
        </w:tc>
        <w:tc>
          <w:tcPr>
            <w:tcW w:w="220" w:type="dxa"/>
            <w:vAlign w:val="bottom"/>
          </w:tcPr>
          <w:p>
            <w:pPr>
              <w:spacing w:after="0"/>
              <w:rPr>
                <w:sz w:val="23"/>
                <w:szCs w:val="23"/>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b w:val="1"/>
                <w:bCs w:val="1"/>
                <w:color w:val="auto"/>
              </w:rPr>
              <w:t>1,714</w:t>
            </w:r>
          </w:p>
        </w:tc>
        <w:tc>
          <w:tcPr>
            <w:tcW w:w="280" w:type="dxa"/>
            <w:vAlign w:val="bottom"/>
          </w:tcPr>
          <w:p>
            <w:pPr>
              <w:spacing w:after="0"/>
              <w:rPr>
                <w:sz w:val="23"/>
                <w:szCs w:val="23"/>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1,620</w:t>
            </w:r>
          </w:p>
        </w:tc>
        <w:tc>
          <w:tcPr>
            <w:tcW w:w="32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1,355</w:t>
            </w:r>
          </w:p>
        </w:tc>
        <w:tc>
          <w:tcPr>
            <w:tcW w:w="0" w:type="dxa"/>
            <w:vAlign w:val="bottom"/>
          </w:tcPr>
          <w:p>
            <w:pPr>
              <w:spacing w:after="0"/>
              <w:rPr>
                <w:sz w:val="1"/>
                <w:szCs w:val="1"/>
                <w:color w:val="auto"/>
              </w:rPr>
            </w:pPr>
          </w:p>
        </w:tc>
      </w:tr>
      <w:tr>
        <w:trPr>
          <w:trHeight w:val="270"/>
        </w:trPr>
        <w:tc>
          <w:tcPr>
            <w:tcW w:w="7780" w:type="dxa"/>
            <w:vAlign w:val="bottom"/>
          </w:tcPr>
          <w:p>
            <w:pPr>
              <w:ind w:left="280"/>
              <w:spacing w:after="0"/>
              <w:rPr>
                <w:sz w:val="20"/>
                <w:szCs w:val="20"/>
                <w:color w:val="auto"/>
              </w:rPr>
            </w:pPr>
            <w:r>
              <w:rPr>
                <w:rFonts w:ascii="Arial" w:cs="Arial" w:eastAsia="Arial" w:hAnsi="Arial"/>
                <w:sz w:val="16"/>
                <w:szCs w:val="16"/>
                <w:color w:val="auto"/>
              </w:rPr>
              <w:t>Other businesses</w:t>
            </w:r>
          </w:p>
        </w:tc>
        <w:tc>
          <w:tcPr>
            <w:tcW w:w="220" w:type="dxa"/>
            <w:vAlign w:val="bottom"/>
          </w:tcPr>
          <w:p>
            <w:pPr>
              <w:spacing w:after="0"/>
              <w:rPr>
                <w:sz w:val="23"/>
                <w:szCs w:val="23"/>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b w:val="1"/>
                <w:bCs w:val="1"/>
                <w:color w:val="auto"/>
              </w:rPr>
              <w:t>1,118</w:t>
            </w:r>
          </w:p>
        </w:tc>
        <w:tc>
          <w:tcPr>
            <w:tcW w:w="280" w:type="dxa"/>
            <w:vAlign w:val="bottom"/>
          </w:tcPr>
          <w:p>
            <w:pPr>
              <w:spacing w:after="0"/>
              <w:rPr>
                <w:sz w:val="23"/>
                <w:szCs w:val="23"/>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964</w:t>
            </w:r>
          </w:p>
        </w:tc>
        <w:tc>
          <w:tcPr>
            <w:tcW w:w="32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748</w:t>
            </w:r>
          </w:p>
        </w:tc>
        <w:tc>
          <w:tcPr>
            <w:tcW w:w="0" w:type="dxa"/>
            <w:vAlign w:val="bottom"/>
          </w:tcPr>
          <w:p>
            <w:pPr>
              <w:spacing w:after="0"/>
              <w:rPr>
                <w:sz w:val="1"/>
                <w:szCs w:val="1"/>
                <w:color w:val="auto"/>
              </w:rPr>
            </w:pPr>
          </w:p>
        </w:tc>
      </w:tr>
      <w:tr>
        <w:trPr>
          <w:trHeight w:val="274"/>
        </w:trPr>
        <w:tc>
          <w:tcPr>
            <w:tcW w:w="7780" w:type="dxa"/>
            <w:vAlign w:val="bottom"/>
          </w:tcPr>
          <w:p>
            <w:pPr>
              <w:ind w:left="280"/>
              <w:spacing w:after="0"/>
              <w:rPr>
                <w:sz w:val="20"/>
                <w:szCs w:val="20"/>
                <w:color w:val="auto"/>
              </w:rPr>
            </w:pPr>
            <w:r>
              <w:rPr>
                <w:rFonts w:ascii="Arial" w:cs="Arial" w:eastAsia="Arial" w:hAnsi="Arial"/>
                <w:sz w:val="16"/>
                <w:szCs w:val="16"/>
                <w:color w:val="auto"/>
              </w:rPr>
              <w:t>Corporate office</w:t>
            </w:r>
          </w:p>
        </w:tc>
        <w:tc>
          <w:tcPr>
            <w:tcW w:w="22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(81,732)</w:t>
            </w:r>
          </w:p>
        </w:tc>
        <w:tc>
          <w:tcPr>
            <w:tcW w:w="2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(81,945)</w:t>
            </w:r>
          </w:p>
        </w:tc>
        <w:tc>
          <w:tcPr>
            <w:tcW w:w="32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(82,301)</w:t>
            </w:r>
          </w:p>
        </w:tc>
        <w:tc>
          <w:tcPr>
            <w:tcW w:w="0" w:type="dxa"/>
            <w:vAlign w:val="bottom"/>
          </w:tcPr>
          <w:p>
            <w:pPr>
              <w:spacing w:after="0"/>
              <w:rPr>
                <w:sz w:val="1"/>
                <w:szCs w:val="1"/>
                <w:color w:val="auto"/>
              </w:rPr>
            </w:pPr>
          </w:p>
        </w:tc>
      </w:tr>
      <w:tr>
        <w:trPr>
          <w:trHeight w:val="261"/>
        </w:trPr>
        <w:tc>
          <w:tcPr>
            <w:tcW w:w="7780" w:type="dxa"/>
            <w:vAlign w:val="bottom"/>
          </w:tcPr>
          <w:p>
            <w:pPr>
              <w:spacing w:after="0"/>
              <w:rPr>
                <w:sz w:val="22"/>
                <w:szCs w:val="22"/>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(67,097)</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(60,557)</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(64,780)</w:t>
            </w:r>
          </w:p>
        </w:tc>
        <w:tc>
          <w:tcPr>
            <w:tcW w:w="0" w:type="dxa"/>
            <w:vAlign w:val="bottom"/>
          </w:tcPr>
          <w:p>
            <w:pPr>
              <w:spacing w:after="0"/>
              <w:rPr>
                <w:sz w:val="1"/>
                <w:szCs w:val="1"/>
                <w:color w:val="auto"/>
              </w:rPr>
            </w:pPr>
          </w:p>
        </w:tc>
      </w:tr>
      <w:tr>
        <w:trPr>
          <w:trHeight w:val="263"/>
        </w:trPr>
        <w:tc>
          <w:tcPr>
            <w:tcW w:w="7780" w:type="dxa"/>
            <w:vAlign w:val="bottom"/>
          </w:tcPr>
          <w:p>
            <w:pPr>
              <w:ind w:left="40"/>
              <w:spacing w:after="0"/>
              <w:rPr>
                <w:sz w:val="20"/>
                <w:szCs w:val="20"/>
                <w:color w:val="auto"/>
              </w:rPr>
            </w:pPr>
            <w:r>
              <w:rPr>
                <w:rFonts w:ascii="Arial" w:cs="Arial" w:eastAsia="Arial" w:hAnsi="Arial"/>
                <w:sz w:val="16"/>
                <w:szCs w:val="16"/>
                <w:b w:val="1"/>
                <w:bCs w:val="1"/>
                <w:color w:val="auto"/>
              </w:rPr>
              <w:t>Capital Expenditures</w:t>
            </w:r>
          </w:p>
        </w:tc>
        <w:tc>
          <w:tcPr>
            <w:tcW w:w="2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7780" w:type="dxa"/>
            <w:vAlign w:val="bottom"/>
          </w:tcPr>
          <w:p>
            <w:pPr>
              <w:ind w:left="280"/>
              <w:spacing w:after="0"/>
              <w:rPr>
                <w:sz w:val="20"/>
                <w:szCs w:val="20"/>
                <w:color w:val="auto"/>
              </w:rPr>
            </w:pPr>
            <w:r>
              <w:rPr>
                <w:rFonts w:ascii="Arial" w:cs="Arial" w:eastAsia="Arial" w:hAnsi="Arial"/>
                <w:sz w:val="16"/>
                <w:szCs w:val="16"/>
                <w:color w:val="auto"/>
              </w:rPr>
              <w:t>Education</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ind w:right="79"/>
              <w:spacing w:after="0"/>
              <w:rPr>
                <w:sz w:val="20"/>
                <w:szCs w:val="20"/>
                <w:color w:val="auto"/>
              </w:rPr>
            </w:pPr>
            <w:r>
              <w:rPr>
                <w:rFonts w:ascii="Arial" w:cs="Arial" w:eastAsia="Arial" w:hAnsi="Arial"/>
                <w:sz w:val="16"/>
                <w:szCs w:val="16"/>
                <w:b w:val="1"/>
                <w:bCs w:val="1"/>
                <w:color w:val="auto"/>
              </w:rPr>
              <w:t>26,497</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42,220</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33,528</w:t>
            </w:r>
          </w:p>
        </w:tc>
        <w:tc>
          <w:tcPr>
            <w:tcW w:w="0" w:type="dxa"/>
            <w:vAlign w:val="bottom"/>
          </w:tcPr>
          <w:p>
            <w:pPr>
              <w:spacing w:after="0"/>
              <w:rPr>
                <w:sz w:val="1"/>
                <w:szCs w:val="1"/>
                <w:color w:val="auto"/>
              </w:rPr>
            </w:pPr>
          </w:p>
        </w:tc>
      </w:tr>
      <w:tr>
        <w:trPr>
          <w:trHeight w:val="270"/>
        </w:trPr>
        <w:tc>
          <w:tcPr>
            <w:tcW w:w="7780" w:type="dxa"/>
            <w:vAlign w:val="bottom"/>
          </w:tcPr>
          <w:p>
            <w:pPr>
              <w:ind w:left="280"/>
              <w:spacing w:after="0"/>
              <w:rPr>
                <w:sz w:val="20"/>
                <w:szCs w:val="20"/>
                <w:color w:val="auto"/>
              </w:rPr>
            </w:pPr>
            <w:r>
              <w:rPr>
                <w:rFonts w:ascii="Arial" w:cs="Arial" w:eastAsia="Arial" w:hAnsi="Arial"/>
                <w:sz w:val="16"/>
                <w:szCs w:val="16"/>
                <w:color w:val="auto"/>
              </w:rPr>
              <w:t>Television broadcasting</w:t>
            </w:r>
          </w:p>
        </w:tc>
        <w:tc>
          <w:tcPr>
            <w:tcW w:w="220" w:type="dxa"/>
            <w:vAlign w:val="bottom"/>
          </w:tcPr>
          <w:p>
            <w:pPr>
              <w:spacing w:after="0"/>
              <w:rPr>
                <w:sz w:val="23"/>
                <w:szCs w:val="23"/>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b w:val="1"/>
                <w:bCs w:val="1"/>
                <w:color w:val="auto"/>
              </w:rPr>
              <w:t>27,453</w:t>
            </w:r>
          </w:p>
        </w:tc>
        <w:tc>
          <w:tcPr>
            <w:tcW w:w="280" w:type="dxa"/>
            <w:vAlign w:val="bottom"/>
          </w:tcPr>
          <w:p>
            <w:pPr>
              <w:spacing w:after="0"/>
              <w:rPr>
                <w:sz w:val="23"/>
                <w:szCs w:val="23"/>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9,998</w:t>
            </w:r>
          </w:p>
        </w:tc>
        <w:tc>
          <w:tcPr>
            <w:tcW w:w="32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11,295</w:t>
            </w:r>
          </w:p>
        </w:tc>
        <w:tc>
          <w:tcPr>
            <w:tcW w:w="0" w:type="dxa"/>
            <w:vAlign w:val="bottom"/>
          </w:tcPr>
          <w:p>
            <w:pPr>
              <w:spacing w:after="0"/>
              <w:rPr>
                <w:sz w:val="1"/>
                <w:szCs w:val="1"/>
                <w:color w:val="auto"/>
              </w:rPr>
            </w:pPr>
          </w:p>
        </w:tc>
      </w:tr>
      <w:tr>
        <w:trPr>
          <w:trHeight w:val="270"/>
        </w:trPr>
        <w:tc>
          <w:tcPr>
            <w:tcW w:w="7780" w:type="dxa"/>
            <w:vAlign w:val="bottom"/>
          </w:tcPr>
          <w:p>
            <w:pPr>
              <w:ind w:left="280"/>
              <w:spacing w:after="0"/>
              <w:rPr>
                <w:sz w:val="20"/>
                <w:szCs w:val="20"/>
                <w:color w:val="auto"/>
              </w:rPr>
            </w:pPr>
            <w:r>
              <w:rPr>
                <w:rFonts w:ascii="Arial" w:cs="Arial" w:eastAsia="Arial" w:hAnsi="Arial"/>
                <w:sz w:val="16"/>
                <w:szCs w:val="16"/>
                <w:color w:val="auto"/>
              </w:rPr>
              <w:t>Other businesses</w:t>
            </w:r>
          </w:p>
        </w:tc>
        <w:tc>
          <w:tcPr>
            <w:tcW w:w="220" w:type="dxa"/>
            <w:vAlign w:val="bottom"/>
          </w:tcPr>
          <w:p>
            <w:pPr>
              <w:spacing w:after="0"/>
              <w:rPr>
                <w:sz w:val="23"/>
                <w:szCs w:val="23"/>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b w:val="1"/>
                <w:bCs w:val="1"/>
                <w:color w:val="auto"/>
              </w:rPr>
              <w:t>16,047</w:t>
            </w:r>
          </w:p>
        </w:tc>
        <w:tc>
          <w:tcPr>
            <w:tcW w:w="280" w:type="dxa"/>
            <w:vAlign w:val="bottom"/>
          </w:tcPr>
          <w:p>
            <w:pPr>
              <w:spacing w:after="0"/>
              <w:rPr>
                <w:sz w:val="23"/>
                <w:szCs w:val="23"/>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9,504</w:t>
            </w:r>
          </w:p>
        </w:tc>
        <w:tc>
          <w:tcPr>
            <w:tcW w:w="32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5,110</w:t>
            </w:r>
          </w:p>
        </w:tc>
        <w:tc>
          <w:tcPr>
            <w:tcW w:w="0" w:type="dxa"/>
            <w:vAlign w:val="bottom"/>
          </w:tcPr>
          <w:p>
            <w:pPr>
              <w:spacing w:after="0"/>
              <w:rPr>
                <w:sz w:val="1"/>
                <w:szCs w:val="1"/>
                <w:color w:val="auto"/>
              </w:rPr>
            </w:pPr>
          </w:p>
        </w:tc>
      </w:tr>
      <w:tr>
        <w:trPr>
          <w:trHeight w:val="274"/>
        </w:trPr>
        <w:tc>
          <w:tcPr>
            <w:tcW w:w="7780" w:type="dxa"/>
            <w:vAlign w:val="bottom"/>
          </w:tcPr>
          <w:p>
            <w:pPr>
              <w:ind w:left="280"/>
              <w:spacing w:after="0"/>
              <w:rPr>
                <w:sz w:val="20"/>
                <w:szCs w:val="20"/>
                <w:color w:val="auto"/>
              </w:rPr>
            </w:pPr>
            <w:r>
              <w:rPr>
                <w:rFonts w:ascii="Arial" w:cs="Arial" w:eastAsia="Arial" w:hAnsi="Arial"/>
                <w:sz w:val="16"/>
                <w:szCs w:val="16"/>
                <w:color w:val="auto"/>
              </w:rPr>
              <w:t>Corporate office</w:t>
            </w:r>
          </w:p>
        </w:tc>
        <w:tc>
          <w:tcPr>
            <w:tcW w:w="22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715</w:t>
            </w:r>
          </w:p>
        </w:tc>
        <w:tc>
          <w:tcPr>
            <w:tcW w:w="2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311</w:t>
            </w:r>
          </w:p>
        </w:tc>
        <w:tc>
          <w:tcPr>
            <w:tcW w:w="32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7,074</w:t>
            </w:r>
          </w:p>
        </w:tc>
        <w:tc>
          <w:tcPr>
            <w:tcW w:w="0" w:type="dxa"/>
            <w:vAlign w:val="bottom"/>
          </w:tcPr>
          <w:p>
            <w:pPr>
              <w:spacing w:after="0"/>
              <w:rPr>
                <w:sz w:val="1"/>
                <w:szCs w:val="1"/>
                <w:color w:val="auto"/>
              </w:rPr>
            </w:pPr>
          </w:p>
        </w:tc>
      </w:tr>
      <w:tr>
        <w:trPr>
          <w:trHeight w:val="264"/>
        </w:trPr>
        <w:tc>
          <w:tcPr>
            <w:tcW w:w="7780" w:type="dxa"/>
            <w:vAlign w:val="bottom"/>
          </w:tcPr>
          <w:p>
            <w:pPr>
              <w:spacing w:after="0"/>
              <w:rPr>
                <w:sz w:val="22"/>
                <w:szCs w:val="22"/>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70,712</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62,033</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57,007</w:t>
            </w:r>
          </w:p>
        </w:tc>
        <w:tc>
          <w:tcPr>
            <w:tcW w:w="0" w:type="dxa"/>
            <w:vAlign w:val="bottom"/>
          </w:tcPr>
          <w:p>
            <w:pPr>
              <w:spacing w:after="0"/>
              <w:rPr>
                <w:sz w:val="1"/>
                <w:szCs w:val="1"/>
                <w:color w:val="auto"/>
              </w:rPr>
            </w:pPr>
          </w:p>
        </w:tc>
      </w:tr>
    </w:tbl>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Asset information for the Company’s business segments is as follows: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90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180" w:type="dxa"/>
            <w:vAlign w:val="bottom"/>
            <w:tcBorders>
              <w:bottom w:val="single" w:sz="8" w:color="auto"/>
            </w:tcBorders>
            <w:gridSpan w:val="3"/>
          </w:tcPr>
          <w:p>
            <w:pPr>
              <w:jc w:val="right"/>
              <w:ind w:right="460"/>
              <w:spacing w:after="0"/>
              <w:rPr>
                <w:sz w:val="20"/>
                <w:szCs w:val="20"/>
                <w:color w:val="auto"/>
              </w:rPr>
            </w:pPr>
            <w:r>
              <w:rPr>
                <w:rFonts w:ascii="Arial" w:cs="Arial" w:eastAsia="Arial" w:hAnsi="Arial"/>
                <w:sz w:val="14"/>
                <w:szCs w:val="14"/>
                <w:b w:val="1"/>
                <w:bCs w:val="1"/>
                <w:color w:val="auto"/>
              </w:rPr>
              <w:t>As of December 31</w:t>
            </w:r>
          </w:p>
        </w:tc>
      </w:tr>
      <w:tr>
        <w:trPr>
          <w:trHeight w:val="264"/>
        </w:trPr>
        <w:tc>
          <w:tcPr>
            <w:tcW w:w="90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2016</w:t>
            </w:r>
          </w:p>
        </w:tc>
        <w:tc>
          <w:tcPr>
            <w:tcW w:w="3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color w:val="auto"/>
              </w:rPr>
              <w:t>2015</w:t>
            </w:r>
          </w:p>
        </w:tc>
      </w:tr>
      <w:tr>
        <w:trPr>
          <w:trHeight w:val="230"/>
        </w:trPr>
        <w:tc>
          <w:tcPr>
            <w:tcW w:w="9020" w:type="dxa"/>
            <w:vAlign w:val="bottom"/>
          </w:tcPr>
          <w:p>
            <w:pPr>
              <w:ind w:left="40"/>
              <w:spacing w:after="0"/>
              <w:rPr>
                <w:sz w:val="20"/>
                <w:szCs w:val="20"/>
                <w:color w:val="auto"/>
              </w:rPr>
            </w:pPr>
            <w:r>
              <w:rPr>
                <w:rFonts w:ascii="Arial" w:cs="Arial" w:eastAsia="Arial" w:hAnsi="Arial"/>
                <w:sz w:val="16"/>
                <w:szCs w:val="16"/>
                <w:b w:val="1"/>
                <w:bCs w:val="1"/>
                <w:color w:val="auto"/>
              </w:rPr>
              <w:t>Identifiable Assets</w:t>
            </w: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97"/>
        </w:trPr>
        <w:tc>
          <w:tcPr>
            <w:tcW w:w="9020" w:type="dxa"/>
            <w:vAlign w:val="bottom"/>
          </w:tcPr>
          <w:p>
            <w:pPr>
              <w:ind w:left="280"/>
              <w:spacing w:after="0"/>
              <w:rPr>
                <w:sz w:val="20"/>
                <w:szCs w:val="20"/>
                <w:color w:val="auto"/>
              </w:rPr>
            </w:pPr>
            <w:r>
              <w:rPr>
                <w:rFonts w:ascii="Arial" w:cs="Arial" w:eastAsia="Arial" w:hAnsi="Arial"/>
                <w:sz w:val="16"/>
                <w:szCs w:val="16"/>
                <w:color w:val="auto"/>
              </w:rPr>
              <w:t>Education</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61"/>
              <w:spacing w:after="0"/>
              <w:rPr>
                <w:sz w:val="20"/>
                <w:szCs w:val="20"/>
                <w:color w:val="auto"/>
              </w:rPr>
            </w:pPr>
            <w:r>
              <w:rPr>
                <w:rFonts w:ascii="Arial" w:cs="Arial" w:eastAsia="Arial" w:hAnsi="Arial"/>
                <w:sz w:val="16"/>
                <w:szCs w:val="16"/>
                <w:b w:val="1"/>
                <w:bCs w:val="1"/>
                <w:color w:val="auto"/>
              </w:rPr>
              <w:t>1,479,267</w:t>
            </w:r>
          </w:p>
        </w:tc>
        <w:tc>
          <w:tcPr>
            <w:tcW w:w="3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1,454,520</w:t>
            </w:r>
          </w:p>
        </w:tc>
      </w:tr>
      <w:tr>
        <w:trPr>
          <w:trHeight w:val="270"/>
        </w:trPr>
        <w:tc>
          <w:tcPr>
            <w:tcW w:w="9020" w:type="dxa"/>
            <w:vAlign w:val="bottom"/>
          </w:tcPr>
          <w:p>
            <w:pPr>
              <w:ind w:left="280"/>
              <w:spacing w:after="0"/>
              <w:rPr>
                <w:sz w:val="20"/>
                <w:szCs w:val="20"/>
                <w:color w:val="auto"/>
              </w:rPr>
            </w:pPr>
            <w:r>
              <w:rPr>
                <w:rFonts w:ascii="Arial" w:cs="Arial" w:eastAsia="Arial" w:hAnsi="Arial"/>
                <w:sz w:val="16"/>
                <w:szCs w:val="16"/>
                <w:color w:val="auto"/>
              </w:rPr>
              <w:t>Television broadcasting</w:t>
            </w:r>
          </w:p>
        </w:tc>
        <w:tc>
          <w:tcPr>
            <w:tcW w:w="220" w:type="dxa"/>
            <w:vAlign w:val="bottom"/>
          </w:tcPr>
          <w:p>
            <w:pPr>
              <w:spacing w:after="0"/>
              <w:rPr>
                <w:sz w:val="23"/>
                <w:szCs w:val="23"/>
                <w:color w:val="auto"/>
              </w:rPr>
            </w:pPr>
          </w:p>
        </w:tc>
        <w:tc>
          <w:tcPr>
            <w:tcW w:w="960" w:type="dxa"/>
            <w:vAlign w:val="bottom"/>
          </w:tcPr>
          <w:p>
            <w:pPr>
              <w:jc w:val="right"/>
              <w:ind w:right="61"/>
              <w:spacing w:after="0"/>
              <w:rPr>
                <w:sz w:val="20"/>
                <w:szCs w:val="20"/>
                <w:color w:val="auto"/>
              </w:rPr>
            </w:pPr>
            <w:r>
              <w:rPr>
                <w:rFonts w:ascii="Arial" w:cs="Arial" w:eastAsia="Arial" w:hAnsi="Arial"/>
                <w:sz w:val="16"/>
                <w:szCs w:val="16"/>
                <w:b w:val="1"/>
                <w:bCs w:val="1"/>
                <w:color w:val="auto"/>
              </w:rPr>
              <w:t>336,631</w:t>
            </w:r>
          </w:p>
        </w:tc>
        <w:tc>
          <w:tcPr>
            <w:tcW w:w="300" w:type="dxa"/>
            <w:vAlign w:val="bottom"/>
          </w:tcPr>
          <w:p>
            <w:pPr>
              <w:spacing w:after="0"/>
              <w:rPr>
                <w:sz w:val="23"/>
                <w:szCs w:val="23"/>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312,243</w:t>
            </w:r>
          </w:p>
        </w:tc>
      </w:tr>
      <w:tr>
        <w:trPr>
          <w:trHeight w:val="270"/>
        </w:trPr>
        <w:tc>
          <w:tcPr>
            <w:tcW w:w="9020" w:type="dxa"/>
            <w:vAlign w:val="bottom"/>
          </w:tcPr>
          <w:p>
            <w:pPr>
              <w:ind w:left="280"/>
              <w:spacing w:after="0"/>
              <w:rPr>
                <w:sz w:val="20"/>
                <w:szCs w:val="20"/>
                <w:color w:val="auto"/>
              </w:rPr>
            </w:pPr>
            <w:r>
              <w:rPr>
                <w:rFonts w:ascii="Arial" w:cs="Arial" w:eastAsia="Arial" w:hAnsi="Arial"/>
                <w:sz w:val="16"/>
                <w:szCs w:val="16"/>
                <w:color w:val="auto"/>
              </w:rPr>
              <w:t>Other businesses</w:t>
            </w:r>
          </w:p>
        </w:tc>
        <w:tc>
          <w:tcPr>
            <w:tcW w:w="220" w:type="dxa"/>
            <w:vAlign w:val="bottom"/>
          </w:tcPr>
          <w:p>
            <w:pPr>
              <w:spacing w:after="0"/>
              <w:rPr>
                <w:sz w:val="23"/>
                <w:szCs w:val="23"/>
                <w:color w:val="auto"/>
              </w:rPr>
            </w:pPr>
          </w:p>
        </w:tc>
        <w:tc>
          <w:tcPr>
            <w:tcW w:w="960" w:type="dxa"/>
            <w:vAlign w:val="bottom"/>
          </w:tcPr>
          <w:p>
            <w:pPr>
              <w:jc w:val="right"/>
              <w:ind w:right="61"/>
              <w:spacing w:after="0"/>
              <w:rPr>
                <w:sz w:val="20"/>
                <w:szCs w:val="20"/>
                <w:color w:val="auto"/>
              </w:rPr>
            </w:pPr>
            <w:r>
              <w:rPr>
                <w:rFonts w:ascii="Arial" w:cs="Arial" w:eastAsia="Arial" w:hAnsi="Arial"/>
                <w:sz w:val="16"/>
                <w:szCs w:val="16"/>
                <w:b w:val="1"/>
                <w:bCs w:val="1"/>
                <w:color w:val="auto"/>
              </w:rPr>
              <w:t>796,935</w:t>
            </w:r>
          </w:p>
        </w:tc>
        <w:tc>
          <w:tcPr>
            <w:tcW w:w="300" w:type="dxa"/>
            <w:vAlign w:val="bottom"/>
          </w:tcPr>
          <w:p>
            <w:pPr>
              <w:spacing w:after="0"/>
              <w:rPr>
                <w:sz w:val="23"/>
                <w:szCs w:val="23"/>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712,161</w:t>
            </w:r>
          </w:p>
        </w:tc>
      </w:tr>
      <w:tr>
        <w:trPr>
          <w:trHeight w:val="274"/>
        </w:trPr>
        <w:tc>
          <w:tcPr>
            <w:tcW w:w="9020" w:type="dxa"/>
            <w:vAlign w:val="bottom"/>
          </w:tcPr>
          <w:p>
            <w:pPr>
              <w:ind w:left="280"/>
              <w:spacing w:after="0"/>
              <w:rPr>
                <w:sz w:val="20"/>
                <w:szCs w:val="20"/>
                <w:color w:val="auto"/>
              </w:rPr>
            </w:pPr>
            <w:r>
              <w:rPr>
                <w:rFonts w:ascii="Arial" w:cs="Arial" w:eastAsia="Arial" w:hAnsi="Arial"/>
                <w:sz w:val="16"/>
                <w:szCs w:val="16"/>
                <w:color w:val="auto"/>
              </w:rPr>
              <w:t>Corporate office</w:t>
            </w:r>
          </w:p>
        </w:tc>
        <w:tc>
          <w:tcPr>
            <w:tcW w:w="22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b w:val="1"/>
                <w:bCs w:val="1"/>
                <w:color w:val="auto"/>
              </w:rPr>
              <w:t>455,209</w:t>
            </w:r>
          </w:p>
        </w:tc>
        <w:tc>
          <w:tcPr>
            <w:tcW w:w="30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484,139</w:t>
            </w:r>
          </w:p>
        </w:tc>
      </w:tr>
      <w:tr>
        <w:trPr>
          <w:trHeight w:val="261"/>
        </w:trPr>
        <w:tc>
          <w:tcPr>
            <w:tcW w:w="9020" w:type="dxa"/>
            <w:vAlign w:val="bottom"/>
          </w:tcPr>
          <w:p>
            <w:pPr>
              <w:spacing w:after="0"/>
              <w:rPr>
                <w:sz w:val="22"/>
                <w:szCs w:val="22"/>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b w:val="1"/>
                <w:bCs w:val="1"/>
                <w:color w:val="auto"/>
              </w:rPr>
              <w:t>3,068,042</w:t>
            </w:r>
          </w:p>
        </w:tc>
        <w:tc>
          <w:tcPr>
            <w:tcW w:w="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2,963,063</w:t>
            </w:r>
          </w:p>
        </w:tc>
      </w:tr>
      <w:tr>
        <w:trPr>
          <w:trHeight w:val="263"/>
        </w:trPr>
        <w:tc>
          <w:tcPr>
            <w:tcW w:w="9020" w:type="dxa"/>
            <w:vAlign w:val="bottom"/>
          </w:tcPr>
          <w:p>
            <w:pPr>
              <w:ind w:left="40"/>
              <w:spacing w:after="0"/>
              <w:rPr>
                <w:sz w:val="20"/>
                <w:szCs w:val="20"/>
                <w:color w:val="auto"/>
              </w:rPr>
            </w:pPr>
            <w:r>
              <w:rPr>
                <w:rFonts w:ascii="Arial" w:cs="Arial" w:eastAsia="Arial" w:hAnsi="Arial"/>
                <w:sz w:val="16"/>
                <w:szCs w:val="16"/>
                <w:b w:val="1"/>
                <w:bCs w:val="1"/>
                <w:color w:val="auto"/>
              </w:rPr>
              <w:t>Investments in Marketable Equity Securities</w:t>
            </w:r>
          </w:p>
        </w:tc>
        <w:tc>
          <w:tcPr>
            <w:tcW w:w="220" w:type="dxa"/>
            <w:vAlign w:val="bottom"/>
          </w:tcPr>
          <w:p>
            <w:pPr>
              <w:spacing w:after="0"/>
              <w:rPr>
                <w:sz w:val="22"/>
                <w:szCs w:val="22"/>
                <w:color w:val="auto"/>
              </w:rPr>
            </w:pPr>
          </w:p>
        </w:tc>
        <w:tc>
          <w:tcPr>
            <w:tcW w:w="960" w:type="dxa"/>
            <w:vAlign w:val="bottom"/>
          </w:tcPr>
          <w:p>
            <w:pPr>
              <w:jc w:val="right"/>
              <w:ind w:right="61"/>
              <w:spacing w:after="0"/>
              <w:rPr>
                <w:sz w:val="20"/>
                <w:szCs w:val="20"/>
                <w:color w:val="auto"/>
              </w:rPr>
            </w:pPr>
            <w:r>
              <w:rPr>
                <w:rFonts w:ascii="Arial" w:cs="Arial" w:eastAsia="Arial" w:hAnsi="Arial"/>
                <w:sz w:val="16"/>
                <w:szCs w:val="16"/>
                <w:b w:val="1"/>
                <w:bCs w:val="1"/>
                <w:color w:val="auto"/>
              </w:rPr>
              <w:t>424,229</w:t>
            </w:r>
          </w:p>
        </w:tc>
        <w:tc>
          <w:tcPr>
            <w:tcW w:w="300" w:type="dxa"/>
            <w:vAlign w:val="bottom"/>
          </w:tcPr>
          <w:p>
            <w:pPr>
              <w:spacing w:after="0"/>
              <w:rPr>
                <w:sz w:val="22"/>
                <w:szCs w:val="22"/>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350,563</w:t>
            </w:r>
          </w:p>
        </w:tc>
      </w:tr>
      <w:tr>
        <w:trPr>
          <w:trHeight w:val="270"/>
        </w:trPr>
        <w:tc>
          <w:tcPr>
            <w:tcW w:w="9020" w:type="dxa"/>
            <w:vAlign w:val="bottom"/>
          </w:tcPr>
          <w:p>
            <w:pPr>
              <w:ind w:left="40"/>
              <w:spacing w:after="0"/>
              <w:rPr>
                <w:sz w:val="20"/>
                <w:szCs w:val="20"/>
                <w:color w:val="auto"/>
              </w:rPr>
            </w:pPr>
            <w:r>
              <w:rPr>
                <w:rFonts w:ascii="Arial" w:cs="Arial" w:eastAsia="Arial" w:hAnsi="Arial"/>
                <w:sz w:val="16"/>
                <w:szCs w:val="16"/>
                <w:b w:val="1"/>
                <w:bCs w:val="1"/>
                <w:color w:val="auto"/>
              </w:rPr>
              <w:t>Investments in Affiliates</w:t>
            </w:r>
          </w:p>
        </w:tc>
        <w:tc>
          <w:tcPr>
            <w:tcW w:w="220" w:type="dxa"/>
            <w:vAlign w:val="bottom"/>
          </w:tcPr>
          <w:p>
            <w:pPr>
              <w:spacing w:after="0"/>
              <w:rPr>
                <w:sz w:val="23"/>
                <w:szCs w:val="23"/>
                <w:color w:val="auto"/>
              </w:rPr>
            </w:pPr>
          </w:p>
        </w:tc>
        <w:tc>
          <w:tcPr>
            <w:tcW w:w="960" w:type="dxa"/>
            <w:vAlign w:val="bottom"/>
          </w:tcPr>
          <w:p>
            <w:pPr>
              <w:jc w:val="right"/>
              <w:ind w:right="61"/>
              <w:spacing w:after="0"/>
              <w:rPr>
                <w:sz w:val="20"/>
                <w:szCs w:val="20"/>
                <w:color w:val="auto"/>
              </w:rPr>
            </w:pPr>
            <w:r>
              <w:rPr>
                <w:rFonts w:ascii="Arial" w:cs="Arial" w:eastAsia="Arial" w:hAnsi="Arial"/>
                <w:sz w:val="16"/>
                <w:szCs w:val="16"/>
                <w:b w:val="1"/>
                <w:bCs w:val="1"/>
                <w:color w:val="auto"/>
              </w:rPr>
              <w:t>58,806</w:t>
            </w:r>
          </w:p>
        </w:tc>
        <w:tc>
          <w:tcPr>
            <w:tcW w:w="300" w:type="dxa"/>
            <w:vAlign w:val="bottom"/>
          </w:tcPr>
          <w:p>
            <w:pPr>
              <w:spacing w:after="0"/>
              <w:rPr>
                <w:sz w:val="23"/>
                <w:szCs w:val="23"/>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59,229</w:t>
            </w:r>
          </w:p>
        </w:tc>
      </w:tr>
      <w:tr>
        <w:trPr>
          <w:trHeight w:val="274"/>
        </w:trPr>
        <w:tc>
          <w:tcPr>
            <w:tcW w:w="9020" w:type="dxa"/>
            <w:vAlign w:val="bottom"/>
          </w:tcPr>
          <w:p>
            <w:pPr>
              <w:ind w:left="40"/>
              <w:spacing w:after="0"/>
              <w:rPr>
                <w:sz w:val="20"/>
                <w:szCs w:val="20"/>
                <w:color w:val="auto"/>
              </w:rPr>
            </w:pPr>
            <w:r>
              <w:rPr>
                <w:rFonts w:ascii="Arial" w:cs="Arial" w:eastAsia="Arial" w:hAnsi="Arial"/>
                <w:sz w:val="16"/>
                <w:szCs w:val="16"/>
                <w:b w:val="1"/>
                <w:bCs w:val="1"/>
                <w:color w:val="auto"/>
              </w:rPr>
              <w:t>Prepaid Pension Cost</w:t>
            </w:r>
          </w:p>
        </w:tc>
        <w:tc>
          <w:tcPr>
            <w:tcW w:w="22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b w:val="1"/>
                <w:bCs w:val="1"/>
                <w:color w:val="auto"/>
              </w:rPr>
              <w:t>881,593</w:t>
            </w:r>
          </w:p>
        </w:tc>
        <w:tc>
          <w:tcPr>
            <w:tcW w:w="30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979,970</w:t>
            </w:r>
          </w:p>
        </w:tc>
      </w:tr>
    </w:tbl>
    <w:p>
      <w:pPr>
        <w:sectPr>
          <w:pgSz w:w="11900" w:h="16884" w:orient="portrait"/>
          <w:cols w:equalWidth="0" w:num="1">
            <w:col w:w="11420"/>
          </w:cols>
          <w:pgMar w:left="240" w:top="724" w:right="239" w:bottom="0" w:gutter="0" w:footer="0" w:header="0"/>
        </w:sectPr>
      </w:pPr>
    </w:p>
    <w:bookmarkStart w:id="113" w:name="page114"/>
    <w:bookmarkEnd w:id="113"/>
    <w:p>
      <w:pPr>
        <w:spacing w:after="0"/>
        <w:tabs>
          <w:tab w:leader="none" w:pos="9000" w:val="left"/>
          <w:tab w:leader="none" w:pos="9280" w:val="left"/>
          <w:tab w:leader="none" w:pos="10260" w:val="left"/>
          <w:tab w:leader="none" w:pos="10540" w:val="left"/>
        </w:tabs>
        <w:rPr>
          <w:sz w:val="20"/>
          <w:szCs w:val="20"/>
          <w:color w:val="auto"/>
        </w:rPr>
      </w:pPr>
      <w:r>
        <w:rPr>
          <w:rFonts w:ascii="Arial" w:cs="Arial" w:eastAsia="Arial" w:hAnsi="Arial"/>
          <w:sz w:val="16"/>
          <w:szCs w:val="16"/>
          <w:b w:val="1"/>
          <w:bCs w:val="1"/>
          <w:color w:val="auto"/>
        </w:rPr>
        <w:t>Total Assets</w:t>
      </w:r>
      <w:r>
        <w:rPr>
          <w:sz w:val="20"/>
          <w:szCs w:val="20"/>
          <w:color w:val="auto"/>
        </w:rPr>
        <w:tab/>
      </w:r>
      <w:r>
        <w:rPr>
          <w:rFonts w:ascii="Arial" w:cs="Arial" w:eastAsia="Arial" w:hAnsi="Arial"/>
          <w:sz w:val="16"/>
          <w:szCs w:val="16"/>
          <w:b w:val="1"/>
          <w:bCs w:val="1"/>
          <w:color w:val="auto"/>
        </w:rPr>
        <w:t>$</w:t>
        <w:tab/>
        <w:t>4,432,670</w:t>
      </w:r>
      <w:r>
        <w:rPr>
          <w:sz w:val="20"/>
          <w:szCs w:val="20"/>
          <w:color w:val="auto"/>
        </w:rPr>
        <w:tab/>
      </w:r>
      <w:r>
        <w:rPr>
          <w:rFonts w:ascii="Arial" w:cs="Arial" w:eastAsia="Arial" w:hAnsi="Arial"/>
          <w:sz w:val="16"/>
          <w:szCs w:val="16"/>
          <w:color w:val="auto"/>
        </w:rPr>
        <w:t>$</w:t>
        <w:tab/>
        <w:t>4,352,825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5708650</wp:posOffset>
            </wp:positionH>
            <wp:positionV relativeFrom="paragraph">
              <wp:posOffset>50165</wp:posOffset>
            </wp:positionV>
            <wp:extent cx="151765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517650" cy="8890"/>
                    </a:xfrm>
                    <a:prstGeom prst="rect">
                      <a:avLst/>
                    </a:prstGeom>
                    <a:noFill/>
                  </pic:spPr>
                </pic:pic>
              </a:graphicData>
            </a:graphic>
          </wp:anchor>
        </w:drawing>
        <w:drawing>
          <wp:anchor simplePos="0" relativeHeight="251657728" behindDoc="1" locked="0" layoutInCell="0" allowOverlap="1">
            <wp:simplePos x="0" y="0"/>
            <wp:positionH relativeFrom="column">
              <wp:posOffset>5708650</wp:posOffset>
            </wp:positionH>
            <wp:positionV relativeFrom="paragraph">
              <wp:posOffset>67310</wp:posOffset>
            </wp:positionV>
            <wp:extent cx="151765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280"/>
          </w:cols>
          <w:pgMar w:left="280" w:top="11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110</w:t>
      </w:r>
    </w:p>
    <w:p>
      <w:pPr>
        <w:sectPr>
          <w:pgSz w:w="11900" w:h="16838" w:orient="portrait"/>
          <w:cols w:equalWidth="0" w:num="1">
            <w:col w:w="11280"/>
          </w:cols>
          <w:pgMar w:left="280" w:top="119" w:right="339" w:bottom="1440" w:gutter="0" w:footer="0" w:header="0"/>
          <w:type w:val="continuous"/>
        </w:sectPr>
      </w:pPr>
    </w:p>
    <w:bookmarkStart w:id="114" w:name="page115"/>
    <w:bookmarkEnd w:id="114"/>
    <w:p>
      <w:pPr>
        <w:spacing w:after="0"/>
        <w:rPr>
          <w:sz w:val="20"/>
          <w:szCs w:val="20"/>
          <w:color w:val="auto"/>
        </w:rPr>
      </w:pPr>
      <w:r>
        <w:rPr>
          <w:rFonts w:ascii="Arial" w:cs="Arial" w:eastAsia="Arial" w:hAnsi="Arial"/>
          <w:sz w:val="18"/>
          <w:szCs w:val="18"/>
          <w:color w:val="auto"/>
        </w:rPr>
        <w:t>The Company’s education division comprises the following operating segments: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7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5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880" w:type="dxa"/>
            <w:vAlign w:val="bottom"/>
            <w:tcBorders>
              <w:bottom w:val="single" w:sz="8" w:color="auto"/>
            </w:tcBorders>
          </w:tcPr>
          <w:p>
            <w:pPr>
              <w:spacing w:after="0"/>
              <w:rPr>
                <w:sz w:val="17"/>
                <w:szCs w:val="17"/>
                <w:color w:val="auto"/>
              </w:rPr>
            </w:pPr>
          </w:p>
        </w:tc>
      </w:tr>
      <w:tr>
        <w:trPr>
          <w:trHeight w:val="264"/>
        </w:trPr>
        <w:tc>
          <w:tcPr>
            <w:tcW w:w="77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2016</w:t>
            </w: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color w:val="auto"/>
              </w:rPr>
              <w:t>2015</w:t>
            </w:r>
          </w:p>
        </w:tc>
        <w:tc>
          <w:tcPr>
            <w:tcW w:w="3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color w:val="auto"/>
              </w:rPr>
              <w:t>2014</w:t>
            </w:r>
          </w:p>
        </w:tc>
      </w:tr>
      <w:tr>
        <w:trPr>
          <w:trHeight w:val="257"/>
        </w:trPr>
        <w:tc>
          <w:tcPr>
            <w:tcW w:w="7780" w:type="dxa"/>
            <w:vAlign w:val="bottom"/>
          </w:tcPr>
          <w:p>
            <w:pPr>
              <w:ind w:left="40"/>
              <w:spacing w:after="0"/>
              <w:rPr>
                <w:sz w:val="20"/>
                <w:szCs w:val="20"/>
                <w:color w:val="auto"/>
              </w:rPr>
            </w:pPr>
            <w:r>
              <w:rPr>
                <w:rFonts w:ascii="Arial" w:cs="Arial" w:eastAsia="Arial" w:hAnsi="Arial"/>
                <w:sz w:val="16"/>
                <w:szCs w:val="16"/>
                <w:b w:val="1"/>
                <w:bCs w:val="1"/>
                <w:color w:val="auto"/>
              </w:rPr>
              <w:t>Operating Revenues</w:t>
            </w:r>
          </w:p>
        </w:tc>
        <w:tc>
          <w:tcPr>
            <w:tcW w:w="2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270"/>
        </w:trPr>
        <w:tc>
          <w:tcPr>
            <w:tcW w:w="7780" w:type="dxa"/>
            <w:vAlign w:val="bottom"/>
          </w:tcPr>
          <w:p>
            <w:pPr>
              <w:ind w:left="280"/>
              <w:spacing w:after="0"/>
              <w:rPr>
                <w:sz w:val="20"/>
                <w:szCs w:val="20"/>
                <w:color w:val="auto"/>
              </w:rPr>
            </w:pPr>
            <w:r>
              <w:rPr>
                <w:rFonts w:ascii="Arial" w:cs="Arial" w:eastAsia="Arial" w:hAnsi="Arial"/>
                <w:sz w:val="16"/>
                <w:szCs w:val="16"/>
                <w:color w:val="auto"/>
              </w:rPr>
              <w:t>Higher education</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ind w:right="80"/>
              <w:spacing w:after="0"/>
              <w:rPr>
                <w:sz w:val="20"/>
                <w:szCs w:val="20"/>
                <w:color w:val="auto"/>
              </w:rPr>
            </w:pPr>
            <w:r>
              <w:rPr>
                <w:rFonts w:ascii="Arial" w:cs="Arial" w:eastAsia="Arial" w:hAnsi="Arial"/>
                <w:sz w:val="16"/>
                <w:szCs w:val="16"/>
                <w:b w:val="1"/>
                <w:bCs w:val="1"/>
                <w:color w:val="auto"/>
              </w:rPr>
              <w:t>617,047</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849,625</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1,010,058</w:t>
            </w:r>
          </w:p>
        </w:tc>
      </w:tr>
      <w:tr>
        <w:trPr>
          <w:trHeight w:val="270"/>
        </w:trPr>
        <w:tc>
          <w:tcPr>
            <w:tcW w:w="7780" w:type="dxa"/>
            <w:vAlign w:val="bottom"/>
          </w:tcPr>
          <w:p>
            <w:pPr>
              <w:ind w:left="280"/>
              <w:spacing w:after="0"/>
              <w:rPr>
                <w:sz w:val="20"/>
                <w:szCs w:val="20"/>
                <w:color w:val="auto"/>
              </w:rPr>
            </w:pPr>
            <w:r>
              <w:rPr>
                <w:rFonts w:ascii="Arial" w:cs="Arial" w:eastAsia="Arial" w:hAnsi="Arial"/>
                <w:sz w:val="16"/>
                <w:szCs w:val="16"/>
                <w:color w:val="auto"/>
              </w:rPr>
              <w:t>Test preparation</w:t>
            </w:r>
          </w:p>
        </w:tc>
        <w:tc>
          <w:tcPr>
            <w:tcW w:w="220" w:type="dxa"/>
            <w:vAlign w:val="bottom"/>
          </w:tcPr>
          <w:p>
            <w:pPr>
              <w:spacing w:after="0"/>
              <w:rPr>
                <w:sz w:val="23"/>
                <w:szCs w:val="23"/>
                <w:color w:val="auto"/>
              </w:rPr>
            </w:pPr>
          </w:p>
        </w:tc>
        <w:tc>
          <w:tcPr>
            <w:tcW w:w="980" w:type="dxa"/>
            <w:vAlign w:val="bottom"/>
          </w:tcPr>
          <w:p>
            <w:pPr>
              <w:jc w:val="right"/>
              <w:ind w:right="80"/>
              <w:spacing w:after="0"/>
              <w:rPr>
                <w:sz w:val="20"/>
                <w:szCs w:val="20"/>
                <w:color w:val="auto"/>
              </w:rPr>
            </w:pPr>
            <w:r>
              <w:rPr>
                <w:rFonts w:ascii="Arial" w:cs="Arial" w:eastAsia="Arial" w:hAnsi="Arial"/>
                <w:sz w:val="16"/>
                <w:szCs w:val="16"/>
                <w:b w:val="1"/>
                <w:bCs w:val="1"/>
                <w:color w:val="auto"/>
              </w:rPr>
              <w:t>286,556</w:t>
            </w:r>
          </w:p>
        </w:tc>
        <w:tc>
          <w:tcPr>
            <w:tcW w:w="280" w:type="dxa"/>
            <w:vAlign w:val="bottom"/>
          </w:tcPr>
          <w:p>
            <w:pPr>
              <w:spacing w:after="0"/>
              <w:rPr>
                <w:sz w:val="23"/>
                <w:szCs w:val="23"/>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301,607</w:t>
            </w:r>
          </w:p>
        </w:tc>
        <w:tc>
          <w:tcPr>
            <w:tcW w:w="32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304,662</w:t>
            </w:r>
          </w:p>
        </w:tc>
      </w:tr>
      <w:tr>
        <w:trPr>
          <w:trHeight w:val="270"/>
        </w:trPr>
        <w:tc>
          <w:tcPr>
            <w:tcW w:w="7780" w:type="dxa"/>
            <w:vAlign w:val="bottom"/>
          </w:tcPr>
          <w:p>
            <w:pPr>
              <w:ind w:left="280"/>
              <w:spacing w:after="0"/>
              <w:rPr>
                <w:sz w:val="20"/>
                <w:szCs w:val="20"/>
                <w:color w:val="auto"/>
              </w:rPr>
            </w:pPr>
            <w:r>
              <w:rPr>
                <w:rFonts w:ascii="Arial" w:cs="Arial" w:eastAsia="Arial" w:hAnsi="Arial"/>
                <w:sz w:val="16"/>
                <w:szCs w:val="16"/>
                <w:color w:val="auto"/>
              </w:rPr>
              <w:t>Kaplan international</w:t>
            </w:r>
          </w:p>
        </w:tc>
        <w:tc>
          <w:tcPr>
            <w:tcW w:w="220" w:type="dxa"/>
            <w:vAlign w:val="bottom"/>
          </w:tcPr>
          <w:p>
            <w:pPr>
              <w:spacing w:after="0"/>
              <w:rPr>
                <w:sz w:val="23"/>
                <w:szCs w:val="23"/>
                <w:color w:val="auto"/>
              </w:rPr>
            </w:pPr>
          </w:p>
        </w:tc>
        <w:tc>
          <w:tcPr>
            <w:tcW w:w="980" w:type="dxa"/>
            <w:vAlign w:val="bottom"/>
          </w:tcPr>
          <w:p>
            <w:pPr>
              <w:jc w:val="right"/>
              <w:ind w:right="80"/>
              <w:spacing w:after="0"/>
              <w:rPr>
                <w:sz w:val="20"/>
                <w:szCs w:val="20"/>
                <w:color w:val="auto"/>
              </w:rPr>
            </w:pPr>
            <w:r>
              <w:rPr>
                <w:rFonts w:ascii="Arial" w:cs="Arial" w:eastAsia="Arial" w:hAnsi="Arial"/>
                <w:sz w:val="16"/>
                <w:szCs w:val="16"/>
                <w:b w:val="1"/>
                <w:bCs w:val="1"/>
                <w:color w:val="auto"/>
              </w:rPr>
              <w:t>696,362</w:t>
            </w:r>
          </w:p>
        </w:tc>
        <w:tc>
          <w:tcPr>
            <w:tcW w:w="280" w:type="dxa"/>
            <w:vAlign w:val="bottom"/>
          </w:tcPr>
          <w:p>
            <w:pPr>
              <w:spacing w:after="0"/>
              <w:rPr>
                <w:sz w:val="23"/>
                <w:szCs w:val="23"/>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770,273</w:t>
            </w:r>
          </w:p>
        </w:tc>
        <w:tc>
          <w:tcPr>
            <w:tcW w:w="32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840,915</w:t>
            </w:r>
          </w:p>
        </w:tc>
      </w:tr>
      <w:tr>
        <w:trPr>
          <w:trHeight w:val="270"/>
        </w:trPr>
        <w:tc>
          <w:tcPr>
            <w:tcW w:w="7780" w:type="dxa"/>
            <w:vAlign w:val="bottom"/>
          </w:tcPr>
          <w:p>
            <w:pPr>
              <w:ind w:left="280"/>
              <w:spacing w:after="0"/>
              <w:rPr>
                <w:sz w:val="20"/>
                <w:szCs w:val="20"/>
                <w:color w:val="auto"/>
              </w:rPr>
            </w:pPr>
            <w:r>
              <w:rPr>
                <w:rFonts w:ascii="Arial" w:cs="Arial" w:eastAsia="Arial" w:hAnsi="Arial"/>
                <w:sz w:val="16"/>
                <w:szCs w:val="16"/>
                <w:color w:val="auto"/>
              </w:rPr>
              <w:t>Kaplan corporate and other</w:t>
            </w:r>
          </w:p>
        </w:tc>
        <w:tc>
          <w:tcPr>
            <w:tcW w:w="220" w:type="dxa"/>
            <w:vAlign w:val="bottom"/>
          </w:tcPr>
          <w:p>
            <w:pPr>
              <w:spacing w:after="0"/>
              <w:rPr>
                <w:sz w:val="23"/>
                <w:szCs w:val="23"/>
                <w:color w:val="auto"/>
              </w:rPr>
            </w:pPr>
          </w:p>
        </w:tc>
        <w:tc>
          <w:tcPr>
            <w:tcW w:w="980" w:type="dxa"/>
            <w:vAlign w:val="bottom"/>
          </w:tcPr>
          <w:p>
            <w:pPr>
              <w:jc w:val="right"/>
              <w:ind w:right="80"/>
              <w:spacing w:after="0"/>
              <w:rPr>
                <w:sz w:val="20"/>
                <w:szCs w:val="20"/>
                <w:color w:val="auto"/>
              </w:rPr>
            </w:pPr>
            <w:r>
              <w:rPr>
                <w:rFonts w:ascii="Arial" w:cs="Arial" w:eastAsia="Arial" w:hAnsi="Arial"/>
                <w:sz w:val="16"/>
                <w:szCs w:val="16"/>
                <w:b w:val="1"/>
                <w:bCs w:val="1"/>
                <w:color w:val="auto"/>
              </w:rPr>
              <w:t>214</w:t>
            </w:r>
          </w:p>
        </w:tc>
        <w:tc>
          <w:tcPr>
            <w:tcW w:w="280" w:type="dxa"/>
            <w:vAlign w:val="bottom"/>
          </w:tcPr>
          <w:p>
            <w:pPr>
              <w:spacing w:after="0"/>
              <w:rPr>
                <w:sz w:val="23"/>
                <w:szCs w:val="23"/>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6,502</w:t>
            </w:r>
          </w:p>
        </w:tc>
        <w:tc>
          <w:tcPr>
            <w:tcW w:w="32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6,094</w:t>
            </w:r>
          </w:p>
        </w:tc>
      </w:tr>
      <w:tr>
        <w:trPr>
          <w:trHeight w:val="274"/>
        </w:trPr>
        <w:tc>
          <w:tcPr>
            <w:tcW w:w="7780" w:type="dxa"/>
            <w:vAlign w:val="bottom"/>
          </w:tcPr>
          <w:p>
            <w:pPr>
              <w:ind w:left="280"/>
              <w:spacing w:after="0"/>
              <w:rPr>
                <w:sz w:val="20"/>
                <w:szCs w:val="20"/>
                <w:color w:val="auto"/>
              </w:rPr>
            </w:pPr>
            <w:r>
              <w:rPr>
                <w:rFonts w:ascii="Arial" w:cs="Arial" w:eastAsia="Arial" w:hAnsi="Arial"/>
                <w:sz w:val="16"/>
                <w:szCs w:val="16"/>
                <w:color w:val="auto"/>
              </w:rPr>
              <w:t>Intersegment elimination</w:t>
            </w:r>
          </w:p>
        </w:tc>
        <w:tc>
          <w:tcPr>
            <w:tcW w:w="22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(1,718)</w:t>
            </w:r>
          </w:p>
        </w:tc>
        <w:tc>
          <w:tcPr>
            <w:tcW w:w="2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(486)</w:t>
            </w:r>
          </w:p>
        </w:tc>
        <w:tc>
          <w:tcPr>
            <w:tcW w:w="32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(1,312)</w:t>
            </w:r>
          </w:p>
        </w:tc>
      </w:tr>
      <w:tr>
        <w:trPr>
          <w:trHeight w:val="261"/>
        </w:trPr>
        <w:tc>
          <w:tcPr>
            <w:tcW w:w="7780" w:type="dxa"/>
            <w:vAlign w:val="bottom"/>
          </w:tcPr>
          <w:p>
            <w:pPr>
              <w:spacing w:after="0"/>
              <w:rPr>
                <w:sz w:val="22"/>
                <w:szCs w:val="22"/>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1,598,461</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1,927,521</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2,160,417</w:t>
            </w:r>
          </w:p>
        </w:tc>
      </w:tr>
      <w:tr>
        <w:trPr>
          <w:trHeight w:val="263"/>
        </w:trPr>
        <w:tc>
          <w:tcPr>
            <w:tcW w:w="7780" w:type="dxa"/>
            <w:vAlign w:val="bottom"/>
          </w:tcPr>
          <w:p>
            <w:pPr>
              <w:ind w:left="40"/>
              <w:spacing w:after="0"/>
              <w:rPr>
                <w:sz w:val="20"/>
                <w:szCs w:val="20"/>
                <w:color w:val="auto"/>
              </w:rPr>
            </w:pPr>
            <w:r>
              <w:rPr>
                <w:rFonts w:ascii="Arial" w:cs="Arial" w:eastAsia="Arial" w:hAnsi="Arial"/>
                <w:sz w:val="16"/>
                <w:szCs w:val="16"/>
                <w:b w:val="1"/>
                <w:bCs w:val="1"/>
                <w:color w:val="auto"/>
              </w:rPr>
              <w:t>Income (Loss) from Operations</w:t>
            </w:r>
          </w:p>
        </w:tc>
        <w:tc>
          <w:tcPr>
            <w:tcW w:w="2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270"/>
        </w:trPr>
        <w:tc>
          <w:tcPr>
            <w:tcW w:w="7780" w:type="dxa"/>
            <w:vAlign w:val="bottom"/>
          </w:tcPr>
          <w:p>
            <w:pPr>
              <w:ind w:left="280"/>
              <w:spacing w:after="0"/>
              <w:rPr>
                <w:sz w:val="20"/>
                <w:szCs w:val="20"/>
                <w:color w:val="auto"/>
              </w:rPr>
            </w:pPr>
            <w:r>
              <w:rPr>
                <w:rFonts w:ascii="Arial" w:cs="Arial" w:eastAsia="Arial" w:hAnsi="Arial"/>
                <w:sz w:val="16"/>
                <w:szCs w:val="16"/>
                <w:color w:val="auto"/>
              </w:rPr>
              <w:t>Higher education</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ind w:right="80"/>
              <w:spacing w:after="0"/>
              <w:rPr>
                <w:sz w:val="20"/>
                <w:szCs w:val="20"/>
                <w:color w:val="auto"/>
              </w:rPr>
            </w:pPr>
            <w:r>
              <w:rPr>
                <w:rFonts w:ascii="Arial" w:cs="Arial" w:eastAsia="Arial" w:hAnsi="Arial"/>
                <w:sz w:val="16"/>
                <w:szCs w:val="16"/>
                <w:b w:val="1"/>
                <w:bCs w:val="1"/>
                <w:color w:val="auto"/>
              </w:rPr>
              <w:t>66,632</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55,572</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83,069</w:t>
            </w:r>
          </w:p>
        </w:tc>
      </w:tr>
      <w:tr>
        <w:trPr>
          <w:trHeight w:val="270"/>
        </w:trPr>
        <w:tc>
          <w:tcPr>
            <w:tcW w:w="7780" w:type="dxa"/>
            <w:vAlign w:val="bottom"/>
          </w:tcPr>
          <w:p>
            <w:pPr>
              <w:ind w:left="280"/>
              <w:spacing w:after="0"/>
              <w:rPr>
                <w:sz w:val="20"/>
                <w:szCs w:val="20"/>
                <w:color w:val="auto"/>
              </w:rPr>
            </w:pPr>
            <w:r>
              <w:rPr>
                <w:rFonts w:ascii="Arial" w:cs="Arial" w:eastAsia="Arial" w:hAnsi="Arial"/>
                <w:sz w:val="16"/>
                <w:szCs w:val="16"/>
                <w:color w:val="auto"/>
              </w:rPr>
              <w:t>Test preparation</w:t>
            </w:r>
          </w:p>
        </w:tc>
        <w:tc>
          <w:tcPr>
            <w:tcW w:w="220" w:type="dxa"/>
            <w:vAlign w:val="bottom"/>
          </w:tcPr>
          <w:p>
            <w:pPr>
              <w:spacing w:after="0"/>
              <w:rPr>
                <w:sz w:val="23"/>
                <w:szCs w:val="23"/>
                <w:color w:val="auto"/>
              </w:rPr>
            </w:pPr>
          </w:p>
        </w:tc>
        <w:tc>
          <w:tcPr>
            <w:tcW w:w="980" w:type="dxa"/>
            <w:vAlign w:val="bottom"/>
          </w:tcPr>
          <w:p>
            <w:pPr>
              <w:jc w:val="right"/>
              <w:ind w:right="80"/>
              <w:spacing w:after="0"/>
              <w:rPr>
                <w:sz w:val="20"/>
                <w:szCs w:val="20"/>
                <w:color w:val="auto"/>
              </w:rPr>
            </w:pPr>
            <w:r>
              <w:rPr>
                <w:rFonts w:ascii="Arial" w:cs="Arial" w:eastAsia="Arial" w:hAnsi="Arial"/>
                <w:sz w:val="16"/>
                <w:szCs w:val="16"/>
                <w:b w:val="1"/>
                <w:bCs w:val="1"/>
                <w:color w:val="auto"/>
              </w:rPr>
              <w:t>9,599</w:t>
            </w:r>
          </w:p>
        </w:tc>
        <w:tc>
          <w:tcPr>
            <w:tcW w:w="280" w:type="dxa"/>
            <w:vAlign w:val="bottom"/>
          </w:tcPr>
          <w:p>
            <w:pPr>
              <w:spacing w:after="0"/>
              <w:rPr>
                <w:sz w:val="23"/>
                <w:szCs w:val="23"/>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16,798</w:t>
            </w:r>
          </w:p>
        </w:tc>
        <w:tc>
          <w:tcPr>
            <w:tcW w:w="3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(4,730)</w:t>
            </w:r>
          </w:p>
        </w:tc>
      </w:tr>
      <w:tr>
        <w:trPr>
          <w:trHeight w:val="270"/>
        </w:trPr>
        <w:tc>
          <w:tcPr>
            <w:tcW w:w="7780" w:type="dxa"/>
            <w:vAlign w:val="bottom"/>
          </w:tcPr>
          <w:p>
            <w:pPr>
              <w:ind w:left="280"/>
              <w:spacing w:after="0"/>
              <w:rPr>
                <w:sz w:val="20"/>
                <w:szCs w:val="20"/>
                <w:color w:val="auto"/>
              </w:rPr>
            </w:pPr>
            <w:r>
              <w:rPr>
                <w:rFonts w:ascii="Arial" w:cs="Arial" w:eastAsia="Arial" w:hAnsi="Arial"/>
                <w:sz w:val="16"/>
                <w:szCs w:val="16"/>
                <w:color w:val="auto"/>
              </w:rPr>
              <w:t>Kaplan international</w:t>
            </w:r>
          </w:p>
        </w:tc>
        <w:tc>
          <w:tcPr>
            <w:tcW w:w="220" w:type="dxa"/>
            <w:vAlign w:val="bottom"/>
          </w:tcPr>
          <w:p>
            <w:pPr>
              <w:spacing w:after="0"/>
              <w:rPr>
                <w:sz w:val="23"/>
                <w:szCs w:val="23"/>
                <w:color w:val="auto"/>
              </w:rPr>
            </w:pPr>
          </w:p>
        </w:tc>
        <w:tc>
          <w:tcPr>
            <w:tcW w:w="980" w:type="dxa"/>
            <w:vAlign w:val="bottom"/>
          </w:tcPr>
          <w:p>
            <w:pPr>
              <w:jc w:val="right"/>
              <w:ind w:right="80"/>
              <w:spacing w:after="0"/>
              <w:rPr>
                <w:sz w:val="20"/>
                <w:szCs w:val="20"/>
                <w:color w:val="auto"/>
              </w:rPr>
            </w:pPr>
            <w:r>
              <w:rPr>
                <w:rFonts w:ascii="Arial" w:cs="Arial" w:eastAsia="Arial" w:hAnsi="Arial"/>
                <w:sz w:val="16"/>
                <w:szCs w:val="16"/>
                <w:b w:val="1"/>
                <w:bCs w:val="1"/>
                <w:color w:val="auto"/>
              </w:rPr>
              <w:t>48,398</w:t>
            </w:r>
          </w:p>
        </w:tc>
        <w:tc>
          <w:tcPr>
            <w:tcW w:w="280" w:type="dxa"/>
            <w:vAlign w:val="bottom"/>
          </w:tcPr>
          <w:p>
            <w:pPr>
              <w:spacing w:after="0"/>
              <w:rPr>
                <w:sz w:val="23"/>
                <w:szCs w:val="23"/>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53,661</w:t>
            </w:r>
          </w:p>
        </w:tc>
        <w:tc>
          <w:tcPr>
            <w:tcW w:w="32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69,153</w:t>
            </w:r>
          </w:p>
        </w:tc>
      </w:tr>
      <w:tr>
        <w:trPr>
          <w:trHeight w:val="270"/>
        </w:trPr>
        <w:tc>
          <w:tcPr>
            <w:tcW w:w="7780" w:type="dxa"/>
            <w:vAlign w:val="bottom"/>
          </w:tcPr>
          <w:p>
            <w:pPr>
              <w:ind w:left="280"/>
              <w:spacing w:after="0"/>
              <w:rPr>
                <w:sz w:val="20"/>
                <w:szCs w:val="20"/>
                <w:color w:val="auto"/>
              </w:rPr>
            </w:pPr>
            <w:r>
              <w:rPr>
                <w:rFonts w:ascii="Arial" w:cs="Arial" w:eastAsia="Arial" w:hAnsi="Arial"/>
                <w:sz w:val="16"/>
                <w:szCs w:val="16"/>
                <w:color w:val="auto"/>
              </w:rPr>
              <w:t>Kaplan corporate and other</w:t>
            </w:r>
          </w:p>
        </w:tc>
        <w:tc>
          <w:tcPr>
            <w:tcW w:w="220" w:type="dxa"/>
            <w:vAlign w:val="bottom"/>
          </w:tcPr>
          <w:p>
            <w:pPr>
              <w:spacing w:after="0"/>
              <w:rPr>
                <w:sz w:val="23"/>
                <w:szCs w:val="23"/>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b w:val="1"/>
                <w:bCs w:val="1"/>
                <w:color w:val="auto"/>
              </w:rPr>
              <w:t>(30,968)</w:t>
            </w:r>
          </w:p>
        </w:tc>
        <w:tc>
          <w:tcPr>
            <w:tcW w:w="28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(349,583)</w:t>
            </w:r>
          </w:p>
        </w:tc>
        <w:tc>
          <w:tcPr>
            <w:tcW w:w="3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(82,034)</w:t>
            </w:r>
          </w:p>
        </w:tc>
      </w:tr>
      <w:tr>
        <w:trPr>
          <w:trHeight w:val="274"/>
        </w:trPr>
        <w:tc>
          <w:tcPr>
            <w:tcW w:w="7780" w:type="dxa"/>
            <w:vAlign w:val="bottom"/>
          </w:tcPr>
          <w:p>
            <w:pPr>
              <w:ind w:left="280"/>
              <w:spacing w:after="0"/>
              <w:rPr>
                <w:sz w:val="20"/>
                <w:szCs w:val="20"/>
                <w:color w:val="auto"/>
              </w:rPr>
            </w:pPr>
            <w:r>
              <w:rPr>
                <w:rFonts w:ascii="Arial" w:cs="Arial" w:eastAsia="Arial" w:hAnsi="Arial"/>
                <w:sz w:val="16"/>
                <w:szCs w:val="16"/>
                <w:color w:val="auto"/>
              </w:rPr>
              <w:t>Intersegment elimination</w:t>
            </w:r>
          </w:p>
        </w:tc>
        <w:tc>
          <w:tcPr>
            <w:tcW w:w="22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(29)</w:t>
            </w:r>
          </w:p>
        </w:tc>
        <w:tc>
          <w:tcPr>
            <w:tcW w:w="2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96</w:t>
            </w:r>
          </w:p>
        </w:tc>
        <w:tc>
          <w:tcPr>
            <w:tcW w:w="32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w:t>
            </w:r>
          </w:p>
        </w:tc>
      </w:tr>
      <w:tr>
        <w:trPr>
          <w:trHeight w:val="261"/>
        </w:trPr>
        <w:tc>
          <w:tcPr>
            <w:tcW w:w="7780" w:type="dxa"/>
            <w:vAlign w:val="bottom"/>
          </w:tcPr>
          <w:p>
            <w:pPr>
              <w:spacing w:after="0"/>
              <w:rPr>
                <w:sz w:val="22"/>
                <w:szCs w:val="22"/>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93,632</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(223,456)</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65,463</w:t>
            </w:r>
          </w:p>
        </w:tc>
      </w:tr>
      <w:tr>
        <w:trPr>
          <w:trHeight w:val="263"/>
        </w:trPr>
        <w:tc>
          <w:tcPr>
            <w:tcW w:w="7780" w:type="dxa"/>
            <w:vAlign w:val="bottom"/>
          </w:tcPr>
          <w:p>
            <w:pPr>
              <w:ind w:left="40"/>
              <w:spacing w:after="0"/>
              <w:rPr>
                <w:sz w:val="20"/>
                <w:szCs w:val="20"/>
                <w:color w:val="auto"/>
              </w:rPr>
            </w:pPr>
            <w:r>
              <w:rPr>
                <w:rFonts w:ascii="Arial" w:cs="Arial" w:eastAsia="Arial" w:hAnsi="Arial"/>
                <w:sz w:val="16"/>
                <w:szCs w:val="16"/>
                <w:b w:val="1"/>
                <w:bCs w:val="1"/>
                <w:color w:val="auto"/>
              </w:rPr>
              <w:t>Depreciation of Property, Plant and Equipment</w:t>
            </w:r>
          </w:p>
        </w:tc>
        <w:tc>
          <w:tcPr>
            <w:tcW w:w="2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270"/>
        </w:trPr>
        <w:tc>
          <w:tcPr>
            <w:tcW w:w="7780" w:type="dxa"/>
            <w:vAlign w:val="bottom"/>
          </w:tcPr>
          <w:p>
            <w:pPr>
              <w:ind w:left="280"/>
              <w:spacing w:after="0"/>
              <w:rPr>
                <w:sz w:val="20"/>
                <w:szCs w:val="20"/>
                <w:color w:val="auto"/>
              </w:rPr>
            </w:pPr>
            <w:r>
              <w:rPr>
                <w:rFonts w:ascii="Arial" w:cs="Arial" w:eastAsia="Arial" w:hAnsi="Arial"/>
                <w:sz w:val="16"/>
                <w:szCs w:val="16"/>
                <w:color w:val="auto"/>
              </w:rPr>
              <w:t>Higher education</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ind w:right="80"/>
              <w:spacing w:after="0"/>
              <w:rPr>
                <w:sz w:val="20"/>
                <w:szCs w:val="20"/>
                <w:color w:val="auto"/>
              </w:rPr>
            </w:pPr>
            <w:r>
              <w:rPr>
                <w:rFonts w:ascii="Arial" w:cs="Arial" w:eastAsia="Arial" w:hAnsi="Arial"/>
                <w:sz w:val="16"/>
                <w:szCs w:val="16"/>
                <w:b w:val="1"/>
                <w:bCs w:val="1"/>
                <w:color w:val="auto"/>
              </w:rPr>
              <w:t>16,822</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17,937</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29,187</w:t>
            </w:r>
          </w:p>
        </w:tc>
      </w:tr>
      <w:tr>
        <w:trPr>
          <w:trHeight w:val="270"/>
        </w:trPr>
        <w:tc>
          <w:tcPr>
            <w:tcW w:w="7780" w:type="dxa"/>
            <w:vAlign w:val="bottom"/>
          </w:tcPr>
          <w:p>
            <w:pPr>
              <w:ind w:left="280"/>
              <w:spacing w:after="0"/>
              <w:rPr>
                <w:sz w:val="20"/>
                <w:szCs w:val="20"/>
                <w:color w:val="auto"/>
              </w:rPr>
            </w:pPr>
            <w:r>
              <w:rPr>
                <w:rFonts w:ascii="Arial" w:cs="Arial" w:eastAsia="Arial" w:hAnsi="Arial"/>
                <w:sz w:val="16"/>
                <w:szCs w:val="16"/>
                <w:color w:val="auto"/>
              </w:rPr>
              <w:t>Test preparation</w:t>
            </w:r>
          </w:p>
        </w:tc>
        <w:tc>
          <w:tcPr>
            <w:tcW w:w="220" w:type="dxa"/>
            <w:vAlign w:val="bottom"/>
          </w:tcPr>
          <w:p>
            <w:pPr>
              <w:spacing w:after="0"/>
              <w:rPr>
                <w:sz w:val="23"/>
                <w:szCs w:val="23"/>
                <w:color w:val="auto"/>
              </w:rPr>
            </w:pPr>
          </w:p>
        </w:tc>
        <w:tc>
          <w:tcPr>
            <w:tcW w:w="980" w:type="dxa"/>
            <w:vAlign w:val="bottom"/>
          </w:tcPr>
          <w:p>
            <w:pPr>
              <w:jc w:val="right"/>
              <w:ind w:right="80"/>
              <w:spacing w:after="0"/>
              <w:rPr>
                <w:sz w:val="20"/>
                <w:szCs w:val="20"/>
                <w:color w:val="auto"/>
              </w:rPr>
            </w:pPr>
            <w:r>
              <w:rPr>
                <w:rFonts w:ascii="Arial" w:cs="Arial" w:eastAsia="Arial" w:hAnsi="Arial"/>
                <w:sz w:val="16"/>
                <w:szCs w:val="16"/>
                <w:b w:val="1"/>
                <w:bCs w:val="1"/>
                <w:color w:val="auto"/>
              </w:rPr>
              <w:t>6,287</w:t>
            </w:r>
          </w:p>
        </w:tc>
        <w:tc>
          <w:tcPr>
            <w:tcW w:w="280" w:type="dxa"/>
            <w:vAlign w:val="bottom"/>
          </w:tcPr>
          <w:p>
            <w:pPr>
              <w:spacing w:after="0"/>
              <w:rPr>
                <w:sz w:val="23"/>
                <w:szCs w:val="23"/>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9,045</w:t>
            </w:r>
          </w:p>
        </w:tc>
        <w:tc>
          <w:tcPr>
            <w:tcW w:w="32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12,547</w:t>
            </w:r>
          </w:p>
        </w:tc>
      </w:tr>
      <w:tr>
        <w:trPr>
          <w:trHeight w:val="270"/>
        </w:trPr>
        <w:tc>
          <w:tcPr>
            <w:tcW w:w="7780" w:type="dxa"/>
            <w:vAlign w:val="bottom"/>
          </w:tcPr>
          <w:p>
            <w:pPr>
              <w:ind w:left="280"/>
              <w:spacing w:after="0"/>
              <w:rPr>
                <w:sz w:val="20"/>
                <w:szCs w:val="20"/>
                <w:color w:val="auto"/>
              </w:rPr>
            </w:pPr>
            <w:r>
              <w:rPr>
                <w:rFonts w:ascii="Arial" w:cs="Arial" w:eastAsia="Arial" w:hAnsi="Arial"/>
                <w:sz w:val="16"/>
                <w:szCs w:val="16"/>
                <w:color w:val="auto"/>
              </w:rPr>
              <w:t>Kaplan international</w:t>
            </w:r>
          </w:p>
        </w:tc>
        <w:tc>
          <w:tcPr>
            <w:tcW w:w="220" w:type="dxa"/>
            <w:vAlign w:val="bottom"/>
          </w:tcPr>
          <w:p>
            <w:pPr>
              <w:spacing w:after="0"/>
              <w:rPr>
                <w:sz w:val="23"/>
                <w:szCs w:val="23"/>
                <w:color w:val="auto"/>
              </w:rPr>
            </w:pPr>
          </w:p>
        </w:tc>
        <w:tc>
          <w:tcPr>
            <w:tcW w:w="980" w:type="dxa"/>
            <w:vAlign w:val="bottom"/>
          </w:tcPr>
          <w:p>
            <w:pPr>
              <w:jc w:val="right"/>
              <w:ind w:right="80"/>
              <w:spacing w:after="0"/>
              <w:rPr>
                <w:sz w:val="20"/>
                <w:szCs w:val="20"/>
                <w:color w:val="auto"/>
              </w:rPr>
            </w:pPr>
            <w:r>
              <w:rPr>
                <w:rFonts w:ascii="Arial" w:cs="Arial" w:eastAsia="Arial" w:hAnsi="Arial"/>
                <w:sz w:val="16"/>
                <w:szCs w:val="16"/>
                <w:b w:val="1"/>
                <w:bCs w:val="1"/>
                <w:color w:val="auto"/>
              </w:rPr>
              <w:t>17,523</w:t>
            </w:r>
          </w:p>
        </w:tc>
        <w:tc>
          <w:tcPr>
            <w:tcW w:w="280" w:type="dxa"/>
            <w:vAlign w:val="bottom"/>
          </w:tcPr>
          <w:p>
            <w:pPr>
              <w:spacing w:after="0"/>
              <w:rPr>
                <w:sz w:val="23"/>
                <w:szCs w:val="23"/>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17,811</w:t>
            </w:r>
          </w:p>
        </w:tc>
        <w:tc>
          <w:tcPr>
            <w:tcW w:w="32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19,297</w:t>
            </w:r>
          </w:p>
        </w:tc>
      </w:tr>
      <w:tr>
        <w:trPr>
          <w:trHeight w:val="274"/>
        </w:trPr>
        <w:tc>
          <w:tcPr>
            <w:tcW w:w="7780" w:type="dxa"/>
            <w:vAlign w:val="bottom"/>
          </w:tcPr>
          <w:p>
            <w:pPr>
              <w:ind w:left="280"/>
              <w:spacing w:after="0"/>
              <w:rPr>
                <w:sz w:val="20"/>
                <w:szCs w:val="20"/>
                <w:color w:val="auto"/>
              </w:rPr>
            </w:pPr>
            <w:r>
              <w:rPr>
                <w:rFonts w:ascii="Arial" w:cs="Arial" w:eastAsia="Arial" w:hAnsi="Arial"/>
                <w:sz w:val="16"/>
                <w:szCs w:val="16"/>
                <w:color w:val="auto"/>
              </w:rPr>
              <w:t>Kaplan corporate and other</w:t>
            </w:r>
          </w:p>
        </w:tc>
        <w:tc>
          <w:tcPr>
            <w:tcW w:w="22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555</w:t>
            </w:r>
          </w:p>
        </w:tc>
        <w:tc>
          <w:tcPr>
            <w:tcW w:w="2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16,384</w:t>
            </w:r>
          </w:p>
        </w:tc>
        <w:tc>
          <w:tcPr>
            <w:tcW w:w="32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706</w:t>
            </w:r>
          </w:p>
        </w:tc>
      </w:tr>
      <w:tr>
        <w:trPr>
          <w:trHeight w:val="264"/>
        </w:trPr>
        <w:tc>
          <w:tcPr>
            <w:tcW w:w="7780" w:type="dxa"/>
            <w:vAlign w:val="bottom"/>
          </w:tcPr>
          <w:p>
            <w:pPr>
              <w:spacing w:after="0"/>
              <w:rPr>
                <w:sz w:val="22"/>
                <w:szCs w:val="22"/>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41,187</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61,177</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61,737</w:t>
            </w:r>
          </w:p>
        </w:tc>
      </w:tr>
      <w:tr>
        <w:trPr>
          <w:trHeight w:val="260"/>
        </w:trPr>
        <w:tc>
          <w:tcPr>
            <w:tcW w:w="7780" w:type="dxa"/>
            <w:vAlign w:val="bottom"/>
          </w:tcPr>
          <w:p>
            <w:pPr>
              <w:ind w:left="40"/>
              <w:spacing w:after="0"/>
              <w:rPr>
                <w:sz w:val="20"/>
                <w:szCs w:val="20"/>
                <w:color w:val="auto"/>
              </w:rPr>
            </w:pPr>
            <w:r>
              <w:rPr>
                <w:rFonts w:ascii="Arial" w:cs="Arial" w:eastAsia="Arial" w:hAnsi="Arial"/>
                <w:sz w:val="16"/>
                <w:szCs w:val="16"/>
                <w:b w:val="1"/>
                <w:bCs w:val="1"/>
                <w:color w:val="auto"/>
              </w:rPr>
              <w:t>Amortization of Intangible Assets</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ind w:right="80"/>
              <w:spacing w:after="0"/>
              <w:rPr>
                <w:sz w:val="20"/>
                <w:szCs w:val="20"/>
                <w:color w:val="auto"/>
              </w:rPr>
            </w:pPr>
            <w:r>
              <w:rPr>
                <w:rFonts w:ascii="Arial" w:cs="Arial" w:eastAsia="Arial" w:hAnsi="Arial"/>
                <w:sz w:val="16"/>
                <w:szCs w:val="16"/>
                <w:b w:val="1"/>
                <w:bCs w:val="1"/>
                <w:color w:val="auto"/>
              </w:rPr>
              <w:t>7,516</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5,523</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7,738</w:t>
            </w:r>
          </w:p>
        </w:tc>
      </w:tr>
      <w:tr>
        <w:trPr>
          <w:trHeight w:val="270"/>
        </w:trPr>
        <w:tc>
          <w:tcPr>
            <w:tcW w:w="7780" w:type="dxa"/>
            <w:vAlign w:val="bottom"/>
          </w:tcPr>
          <w:p>
            <w:pPr>
              <w:ind w:left="40"/>
              <w:spacing w:after="0"/>
              <w:rPr>
                <w:sz w:val="20"/>
                <w:szCs w:val="20"/>
                <w:color w:val="auto"/>
              </w:rPr>
            </w:pPr>
            <w:r>
              <w:rPr>
                <w:rFonts w:ascii="Arial" w:cs="Arial" w:eastAsia="Arial" w:hAnsi="Arial"/>
                <w:sz w:val="16"/>
                <w:szCs w:val="16"/>
                <w:b w:val="1"/>
                <w:bCs w:val="1"/>
                <w:color w:val="auto"/>
              </w:rPr>
              <w:t>Impairment of Goodwill and Other Long-Lived Assets</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ind w:right="80"/>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256,830</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17,203</w:t>
            </w:r>
          </w:p>
        </w:tc>
      </w:tr>
      <w:tr>
        <w:trPr>
          <w:trHeight w:val="270"/>
        </w:trPr>
        <w:tc>
          <w:tcPr>
            <w:tcW w:w="7780" w:type="dxa"/>
            <w:vAlign w:val="bottom"/>
          </w:tcPr>
          <w:p>
            <w:pPr>
              <w:ind w:left="40"/>
              <w:spacing w:after="0"/>
              <w:rPr>
                <w:sz w:val="20"/>
                <w:szCs w:val="20"/>
                <w:color w:val="auto"/>
              </w:rPr>
            </w:pPr>
            <w:r>
              <w:rPr>
                <w:rFonts w:ascii="Arial" w:cs="Arial" w:eastAsia="Arial" w:hAnsi="Arial"/>
                <w:sz w:val="16"/>
                <w:szCs w:val="16"/>
                <w:b w:val="1"/>
                <w:bCs w:val="1"/>
                <w:color w:val="auto"/>
              </w:rPr>
              <w:t>Pension Expense</w:t>
            </w:r>
          </w:p>
        </w:tc>
        <w:tc>
          <w:tcPr>
            <w:tcW w:w="2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80" w:type="dxa"/>
            <w:vAlign w:val="bottom"/>
          </w:tcPr>
          <w:p>
            <w:pPr>
              <w:spacing w:after="0"/>
              <w:rPr>
                <w:sz w:val="23"/>
                <w:szCs w:val="23"/>
                <w:color w:val="auto"/>
              </w:rPr>
            </w:pPr>
          </w:p>
        </w:tc>
      </w:tr>
      <w:tr>
        <w:trPr>
          <w:trHeight w:val="270"/>
        </w:trPr>
        <w:tc>
          <w:tcPr>
            <w:tcW w:w="7780" w:type="dxa"/>
            <w:vAlign w:val="bottom"/>
          </w:tcPr>
          <w:p>
            <w:pPr>
              <w:ind w:left="280"/>
              <w:spacing w:after="0"/>
              <w:rPr>
                <w:sz w:val="20"/>
                <w:szCs w:val="20"/>
                <w:color w:val="auto"/>
              </w:rPr>
            </w:pPr>
            <w:r>
              <w:rPr>
                <w:rFonts w:ascii="Arial" w:cs="Arial" w:eastAsia="Arial" w:hAnsi="Arial"/>
                <w:sz w:val="16"/>
                <w:szCs w:val="16"/>
                <w:color w:val="auto"/>
              </w:rPr>
              <w:t>Higher education</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ind w:right="80"/>
              <w:spacing w:after="0"/>
              <w:rPr>
                <w:sz w:val="20"/>
                <w:szCs w:val="20"/>
                <w:color w:val="auto"/>
              </w:rPr>
            </w:pPr>
            <w:r>
              <w:rPr>
                <w:rFonts w:ascii="Arial" w:cs="Arial" w:eastAsia="Arial" w:hAnsi="Arial"/>
                <w:sz w:val="16"/>
                <w:szCs w:val="16"/>
                <w:b w:val="1"/>
                <w:bCs w:val="1"/>
                <w:color w:val="auto"/>
              </w:rPr>
              <w:t>7,620</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10,849</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10,514</w:t>
            </w:r>
          </w:p>
        </w:tc>
      </w:tr>
      <w:tr>
        <w:trPr>
          <w:trHeight w:val="270"/>
        </w:trPr>
        <w:tc>
          <w:tcPr>
            <w:tcW w:w="7780" w:type="dxa"/>
            <w:vAlign w:val="bottom"/>
          </w:tcPr>
          <w:p>
            <w:pPr>
              <w:ind w:left="280"/>
              <w:spacing w:after="0"/>
              <w:rPr>
                <w:sz w:val="20"/>
                <w:szCs w:val="20"/>
                <w:color w:val="auto"/>
              </w:rPr>
            </w:pPr>
            <w:r>
              <w:rPr>
                <w:rFonts w:ascii="Arial" w:cs="Arial" w:eastAsia="Arial" w:hAnsi="Arial"/>
                <w:sz w:val="16"/>
                <w:szCs w:val="16"/>
                <w:color w:val="auto"/>
              </w:rPr>
              <w:t>Test preparation</w:t>
            </w:r>
          </w:p>
        </w:tc>
        <w:tc>
          <w:tcPr>
            <w:tcW w:w="220" w:type="dxa"/>
            <w:vAlign w:val="bottom"/>
          </w:tcPr>
          <w:p>
            <w:pPr>
              <w:spacing w:after="0"/>
              <w:rPr>
                <w:sz w:val="23"/>
                <w:szCs w:val="23"/>
                <w:color w:val="auto"/>
              </w:rPr>
            </w:pPr>
          </w:p>
        </w:tc>
        <w:tc>
          <w:tcPr>
            <w:tcW w:w="980" w:type="dxa"/>
            <w:vAlign w:val="bottom"/>
          </w:tcPr>
          <w:p>
            <w:pPr>
              <w:jc w:val="right"/>
              <w:ind w:right="80"/>
              <w:spacing w:after="0"/>
              <w:rPr>
                <w:sz w:val="20"/>
                <w:szCs w:val="20"/>
                <w:color w:val="auto"/>
              </w:rPr>
            </w:pPr>
            <w:r>
              <w:rPr>
                <w:rFonts w:ascii="Arial" w:cs="Arial" w:eastAsia="Arial" w:hAnsi="Arial"/>
                <w:sz w:val="16"/>
                <w:szCs w:val="16"/>
                <w:b w:val="1"/>
                <w:bCs w:val="1"/>
                <w:color w:val="auto"/>
              </w:rPr>
              <w:t>3,072</w:t>
            </w:r>
          </w:p>
        </w:tc>
        <w:tc>
          <w:tcPr>
            <w:tcW w:w="280" w:type="dxa"/>
            <w:vAlign w:val="bottom"/>
          </w:tcPr>
          <w:p>
            <w:pPr>
              <w:spacing w:after="0"/>
              <w:rPr>
                <w:sz w:val="23"/>
                <w:szCs w:val="23"/>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3,101</w:t>
            </w:r>
          </w:p>
        </w:tc>
        <w:tc>
          <w:tcPr>
            <w:tcW w:w="32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2,888</w:t>
            </w:r>
          </w:p>
        </w:tc>
      </w:tr>
      <w:tr>
        <w:trPr>
          <w:trHeight w:val="270"/>
        </w:trPr>
        <w:tc>
          <w:tcPr>
            <w:tcW w:w="7780" w:type="dxa"/>
            <w:vAlign w:val="bottom"/>
          </w:tcPr>
          <w:p>
            <w:pPr>
              <w:ind w:left="280"/>
              <w:spacing w:after="0"/>
              <w:rPr>
                <w:sz w:val="20"/>
                <w:szCs w:val="20"/>
                <w:color w:val="auto"/>
              </w:rPr>
            </w:pPr>
            <w:r>
              <w:rPr>
                <w:rFonts w:ascii="Arial" w:cs="Arial" w:eastAsia="Arial" w:hAnsi="Arial"/>
                <w:sz w:val="16"/>
                <w:szCs w:val="16"/>
                <w:color w:val="auto"/>
              </w:rPr>
              <w:t>Kaplan international</w:t>
            </w:r>
          </w:p>
        </w:tc>
        <w:tc>
          <w:tcPr>
            <w:tcW w:w="220" w:type="dxa"/>
            <w:vAlign w:val="bottom"/>
          </w:tcPr>
          <w:p>
            <w:pPr>
              <w:spacing w:after="0"/>
              <w:rPr>
                <w:sz w:val="23"/>
                <w:szCs w:val="23"/>
                <w:color w:val="auto"/>
              </w:rPr>
            </w:pPr>
          </w:p>
        </w:tc>
        <w:tc>
          <w:tcPr>
            <w:tcW w:w="980" w:type="dxa"/>
            <w:vAlign w:val="bottom"/>
          </w:tcPr>
          <w:p>
            <w:pPr>
              <w:jc w:val="right"/>
              <w:ind w:right="80"/>
              <w:spacing w:after="0"/>
              <w:rPr>
                <w:sz w:val="20"/>
                <w:szCs w:val="20"/>
                <w:color w:val="auto"/>
              </w:rPr>
            </w:pPr>
            <w:r>
              <w:rPr>
                <w:rFonts w:ascii="Arial" w:cs="Arial" w:eastAsia="Arial" w:hAnsi="Arial"/>
                <w:sz w:val="16"/>
                <w:szCs w:val="16"/>
                <w:b w:val="1"/>
                <w:bCs w:val="1"/>
                <w:color w:val="auto"/>
              </w:rPr>
              <w:t>268</w:t>
            </w:r>
          </w:p>
        </w:tc>
        <w:tc>
          <w:tcPr>
            <w:tcW w:w="280" w:type="dxa"/>
            <w:vAlign w:val="bottom"/>
          </w:tcPr>
          <w:p>
            <w:pPr>
              <w:spacing w:after="0"/>
              <w:rPr>
                <w:sz w:val="23"/>
                <w:szCs w:val="23"/>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424</w:t>
            </w:r>
          </w:p>
        </w:tc>
        <w:tc>
          <w:tcPr>
            <w:tcW w:w="32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356</w:t>
            </w:r>
          </w:p>
        </w:tc>
      </w:tr>
      <w:tr>
        <w:trPr>
          <w:trHeight w:val="274"/>
        </w:trPr>
        <w:tc>
          <w:tcPr>
            <w:tcW w:w="7780" w:type="dxa"/>
            <w:vAlign w:val="bottom"/>
          </w:tcPr>
          <w:p>
            <w:pPr>
              <w:ind w:left="280"/>
              <w:spacing w:after="0"/>
              <w:rPr>
                <w:sz w:val="20"/>
                <w:szCs w:val="20"/>
                <w:color w:val="auto"/>
              </w:rPr>
            </w:pPr>
            <w:r>
              <w:rPr>
                <w:rFonts w:ascii="Arial" w:cs="Arial" w:eastAsia="Arial" w:hAnsi="Arial"/>
                <w:sz w:val="16"/>
                <w:szCs w:val="16"/>
                <w:color w:val="auto"/>
              </w:rPr>
              <w:t>Kaplan corporate and other</w:t>
            </w:r>
          </w:p>
        </w:tc>
        <w:tc>
          <w:tcPr>
            <w:tcW w:w="22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843</w:t>
            </w:r>
          </w:p>
        </w:tc>
        <w:tc>
          <w:tcPr>
            <w:tcW w:w="2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4,430</w:t>
            </w:r>
          </w:p>
        </w:tc>
        <w:tc>
          <w:tcPr>
            <w:tcW w:w="32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1,660</w:t>
            </w:r>
          </w:p>
        </w:tc>
      </w:tr>
      <w:tr>
        <w:trPr>
          <w:trHeight w:val="261"/>
        </w:trPr>
        <w:tc>
          <w:tcPr>
            <w:tcW w:w="7780" w:type="dxa"/>
            <w:vAlign w:val="bottom"/>
          </w:tcPr>
          <w:p>
            <w:pPr>
              <w:spacing w:after="0"/>
              <w:rPr>
                <w:sz w:val="22"/>
                <w:szCs w:val="22"/>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11,803</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18,804</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15,418</w:t>
            </w:r>
          </w:p>
        </w:tc>
      </w:tr>
      <w:tr>
        <w:trPr>
          <w:trHeight w:val="263"/>
        </w:trPr>
        <w:tc>
          <w:tcPr>
            <w:tcW w:w="7780" w:type="dxa"/>
            <w:vAlign w:val="bottom"/>
          </w:tcPr>
          <w:p>
            <w:pPr>
              <w:ind w:left="40"/>
              <w:spacing w:after="0"/>
              <w:rPr>
                <w:sz w:val="20"/>
                <w:szCs w:val="20"/>
                <w:color w:val="auto"/>
              </w:rPr>
            </w:pPr>
            <w:r>
              <w:rPr>
                <w:rFonts w:ascii="Arial" w:cs="Arial" w:eastAsia="Arial" w:hAnsi="Arial"/>
                <w:sz w:val="16"/>
                <w:szCs w:val="16"/>
                <w:b w:val="1"/>
                <w:bCs w:val="1"/>
                <w:color w:val="auto"/>
              </w:rPr>
              <w:t>Capital Expenditures</w:t>
            </w:r>
          </w:p>
        </w:tc>
        <w:tc>
          <w:tcPr>
            <w:tcW w:w="2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270"/>
        </w:trPr>
        <w:tc>
          <w:tcPr>
            <w:tcW w:w="7780" w:type="dxa"/>
            <w:vAlign w:val="bottom"/>
          </w:tcPr>
          <w:p>
            <w:pPr>
              <w:ind w:left="280"/>
              <w:spacing w:after="0"/>
              <w:rPr>
                <w:sz w:val="20"/>
                <w:szCs w:val="20"/>
                <w:color w:val="auto"/>
              </w:rPr>
            </w:pPr>
            <w:r>
              <w:rPr>
                <w:rFonts w:ascii="Arial" w:cs="Arial" w:eastAsia="Arial" w:hAnsi="Arial"/>
                <w:sz w:val="16"/>
                <w:szCs w:val="16"/>
                <w:color w:val="auto"/>
              </w:rPr>
              <w:t>Higher education</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ind w:right="80"/>
              <w:spacing w:after="0"/>
              <w:rPr>
                <w:sz w:val="20"/>
                <w:szCs w:val="20"/>
                <w:color w:val="auto"/>
              </w:rPr>
            </w:pPr>
            <w:r>
              <w:rPr>
                <w:rFonts w:ascii="Arial" w:cs="Arial" w:eastAsia="Arial" w:hAnsi="Arial"/>
                <w:sz w:val="16"/>
                <w:szCs w:val="16"/>
                <w:b w:val="1"/>
                <w:bCs w:val="1"/>
                <w:color w:val="auto"/>
              </w:rPr>
              <w:t>5,364</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10,202</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11,551</w:t>
            </w:r>
          </w:p>
        </w:tc>
      </w:tr>
      <w:tr>
        <w:trPr>
          <w:trHeight w:val="270"/>
        </w:trPr>
        <w:tc>
          <w:tcPr>
            <w:tcW w:w="7780" w:type="dxa"/>
            <w:vAlign w:val="bottom"/>
          </w:tcPr>
          <w:p>
            <w:pPr>
              <w:ind w:left="280"/>
              <w:spacing w:after="0"/>
              <w:rPr>
                <w:sz w:val="20"/>
                <w:szCs w:val="20"/>
                <w:color w:val="auto"/>
              </w:rPr>
            </w:pPr>
            <w:r>
              <w:rPr>
                <w:rFonts w:ascii="Arial" w:cs="Arial" w:eastAsia="Arial" w:hAnsi="Arial"/>
                <w:sz w:val="16"/>
                <w:szCs w:val="16"/>
                <w:color w:val="auto"/>
              </w:rPr>
              <w:t>Test preparation</w:t>
            </w:r>
          </w:p>
        </w:tc>
        <w:tc>
          <w:tcPr>
            <w:tcW w:w="220" w:type="dxa"/>
            <w:vAlign w:val="bottom"/>
          </w:tcPr>
          <w:p>
            <w:pPr>
              <w:spacing w:after="0"/>
              <w:rPr>
                <w:sz w:val="23"/>
                <w:szCs w:val="23"/>
                <w:color w:val="auto"/>
              </w:rPr>
            </w:pPr>
          </w:p>
        </w:tc>
        <w:tc>
          <w:tcPr>
            <w:tcW w:w="980" w:type="dxa"/>
            <w:vAlign w:val="bottom"/>
          </w:tcPr>
          <w:p>
            <w:pPr>
              <w:jc w:val="right"/>
              <w:ind w:right="80"/>
              <w:spacing w:after="0"/>
              <w:rPr>
                <w:sz w:val="20"/>
                <w:szCs w:val="20"/>
                <w:color w:val="auto"/>
              </w:rPr>
            </w:pPr>
            <w:r>
              <w:rPr>
                <w:rFonts w:ascii="Arial" w:cs="Arial" w:eastAsia="Arial" w:hAnsi="Arial"/>
                <w:sz w:val="16"/>
                <w:szCs w:val="16"/>
                <w:b w:val="1"/>
                <w:bCs w:val="1"/>
                <w:color w:val="auto"/>
              </w:rPr>
              <w:t>4,672</w:t>
            </w:r>
          </w:p>
        </w:tc>
        <w:tc>
          <w:tcPr>
            <w:tcW w:w="280" w:type="dxa"/>
            <w:vAlign w:val="bottom"/>
          </w:tcPr>
          <w:p>
            <w:pPr>
              <w:spacing w:after="0"/>
              <w:rPr>
                <w:sz w:val="23"/>
                <w:szCs w:val="23"/>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8,720</w:t>
            </w:r>
          </w:p>
        </w:tc>
        <w:tc>
          <w:tcPr>
            <w:tcW w:w="32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1,143</w:t>
            </w:r>
          </w:p>
        </w:tc>
      </w:tr>
      <w:tr>
        <w:trPr>
          <w:trHeight w:val="270"/>
        </w:trPr>
        <w:tc>
          <w:tcPr>
            <w:tcW w:w="7780" w:type="dxa"/>
            <w:vAlign w:val="bottom"/>
          </w:tcPr>
          <w:p>
            <w:pPr>
              <w:ind w:left="280"/>
              <w:spacing w:after="0"/>
              <w:rPr>
                <w:sz w:val="20"/>
                <w:szCs w:val="20"/>
                <w:color w:val="auto"/>
              </w:rPr>
            </w:pPr>
            <w:r>
              <w:rPr>
                <w:rFonts w:ascii="Arial" w:cs="Arial" w:eastAsia="Arial" w:hAnsi="Arial"/>
                <w:sz w:val="16"/>
                <w:szCs w:val="16"/>
                <w:color w:val="auto"/>
              </w:rPr>
              <w:t>Kaplan international</w:t>
            </w:r>
          </w:p>
        </w:tc>
        <w:tc>
          <w:tcPr>
            <w:tcW w:w="220" w:type="dxa"/>
            <w:vAlign w:val="bottom"/>
          </w:tcPr>
          <w:p>
            <w:pPr>
              <w:spacing w:after="0"/>
              <w:rPr>
                <w:sz w:val="23"/>
                <w:szCs w:val="23"/>
                <w:color w:val="auto"/>
              </w:rPr>
            </w:pPr>
          </w:p>
        </w:tc>
        <w:tc>
          <w:tcPr>
            <w:tcW w:w="980" w:type="dxa"/>
            <w:vAlign w:val="bottom"/>
          </w:tcPr>
          <w:p>
            <w:pPr>
              <w:jc w:val="right"/>
              <w:ind w:right="80"/>
              <w:spacing w:after="0"/>
              <w:rPr>
                <w:sz w:val="20"/>
                <w:szCs w:val="20"/>
                <w:color w:val="auto"/>
              </w:rPr>
            </w:pPr>
            <w:r>
              <w:rPr>
                <w:rFonts w:ascii="Arial" w:cs="Arial" w:eastAsia="Arial" w:hAnsi="Arial"/>
                <w:sz w:val="16"/>
                <w:szCs w:val="16"/>
                <w:b w:val="1"/>
                <w:bCs w:val="1"/>
                <w:color w:val="auto"/>
              </w:rPr>
              <w:t>16,252</w:t>
            </w:r>
          </w:p>
        </w:tc>
        <w:tc>
          <w:tcPr>
            <w:tcW w:w="280" w:type="dxa"/>
            <w:vAlign w:val="bottom"/>
          </w:tcPr>
          <w:p>
            <w:pPr>
              <w:spacing w:after="0"/>
              <w:rPr>
                <w:sz w:val="23"/>
                <w:szCs w:val="23"/>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22,673</w:t>
            </w:r>
          </w:p>
        </w:tc>
        <w:tc>
          <w:tcPr>
            <w:tcW w:w="32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20,802</w:t>
            </w:r>
          </w:p>
        </w:tc>
      </w:tr>
      <w:tr>
        <w:trPr>
          <w:trHeight w:val="274"/>
        </w:trPr>
        <w:tc>
          <w:tcPr>
            <w:tcW w:w="7780" w:type="dxa"/>
            <w:vAlign w:val="bottom"/>
          </w:tcPr>
          <w:p>
            <w:pPr>
              <w:ind w:left="280"/>
              <w:spacing w:after="0"/>
              <w:rPr>
                <w:sz w:val="20"/>
                <w:szCs w:val="20"/>
                <w:color w:val="auto"/>
              </w:rPr>
            </w:pPr>
            <w:r>
              <w:rPr>
                <w:rFonts w:ascii="Arial" w:cs="Arial" w:eastAsia="Arial" w:hAnsi="Arial"/>
                <w:sz w:val="16"/>
                <w:szCs w:val="16"/>
                <w:color w:val="auto"/>
              </w:rPr>
              <w:t>Kaplan corporate and other</w:t>
            </w:r>
          </w:p>
        </w:tc>
        <w:tc>
          <w:tcPr>
            <w:tcW w:w="22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209</w:t>
            </w:r>
          </w:p>
        </w:tc>
        <w:tc>
          <w:tcPr>
            <w:tcW w:w="2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625</w:t>
            </w:r>
          </w:p>
        </w:tc>
        <w:tc>
          <w:tcPr>
            <w:tcW w:w="32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32</w:t>
            </w:r>
          </w:p>
        </w:tc>
      </w:tr>
      <w:tr>
        <w:trPr>
          <w:trHeight w:val="264"/>
        </w:trPr>
        <w:tc>
          <w:tcPr>
            <w:tcW w:w="7780" w:type="dxa"/>
            <w:vAlign w:val="bottom"/>
          </w:tcPr>
          <w:p>
            <w:pPr>
              <w:spacing w:after="0"/>
              <w:rPr>
                <w:sz w:val="22"/>
                <w:szCs w:val="22"/>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26,497</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42,220</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33,528</w:t>
            </w:r>
          </w:p>
        </w:tc>
      </w:tr>
    </w:tbl>
    <w:p>
      <w:pPr>
        <w:spacing w:after="0" w:line="126" w:lineRule="exact"/>
        <w:rPr>
          <w:sz w:val="20"/>
          <w:szCs w:val="20"/>
          <w:color w:val="auto"/>
        </w:rPr>
      </w:pPr>
    </w:p>
    <w:p>
      <w:pPr>
        <w:ind w:right="20"/>
        <w:spacing w:after="0" w:line="234" w:lineRule="auto"/>
        <w:rPr>
          <w:sz w:val="20"/>
          <w:szCs w:val="20"/>
          <w:color w:val="auto"/>
        </w:rPr>
      </w:pPr>
      <w:r>
        <w:rPr>
          <w:rFonts w:ascii="Arial" w:cs="Arial" w:eastAsia="Arial" w:hAnsi="Arial"/>
          <w:sz w:val="18"/>
          <w:szCs w:val="18"/>
          <w:color w:val="auto"/>
        </w:rPr>
        <w:t>In the third quarter of 2015, a favorable $3.0 million out of period revenue adjustment was included at the test preparation segment that related to prior periods from 2011 through the second quarter of 2015. With respect to this error, the Company has concluded that it was not material to the Company’s financial position or results of operations for 2015 and prior years and the related interim periods, based on its consideration of quantitative and qualitative factors.</w:t>
      </w:r>
    </w:p>
    <w:p>
      <w:pPr>
        <w:spacing w:after="0" w:line="111" w:lineRule="exact"/>
        <w:rPr>
          <w:sz w:val="20"/>
          <w:szCs w:val="20"/>
          <w:color w:val="auto"/>
        </w:rPr>
      </w:pPr>
    </w:p>
    <w:p>
      <w:pPr>
        <w:ind w:left="40"/>
        <w:spacing w:after="0"/>
        <w:rPr>
          <w:sz w:val="20"/>
          <w:szCs w:val="20"/>
          <w:color w:val="auto"/>
        </w:rPr>
      </w:pPr>
      <w:r>
        <w:rPr>
          <w:rFonts w:ascii="Arial" w:cs="Arial" w:eastAsia="Arial" w:hAnsi="Arial"/>
          <w:sz w:val="18"/>
          <w:szCs w:val="18"/>
          <w:color w:val="auto"/>
        </w:rPr>
        <w:t>Asset information for the Company’s education division is as follows: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90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180" w:type="dxa"/>
            <w:vAlign w:val="bottom"/>
            <w:tcBorders>
              <w:bottom w:val="single" w:sz="8" w:color="auto"/>
            </w:tcBorders>
            <w:gridSpan w:val="3"/>
          </w:tcPr>
          <w:p>
            <w:pPr>
              <w:jc w:val="right"/>
              <w:ind w:right="460"/>
              <w:spacing w:after="0"/>
              <w:rPr>
                <w:sz w:val="20"/>
                <w:szCs w:val="20"/>
                <w:color w:val="auto"/>
              </w:rPr>
            </w:pPr>
            <w:r>
              <w:rPr>
                <w:rFonts w:ascii="Arial" w:cs="Arial" w:eastAsia="Arial" w:hAnsi="Arial"/>
                <w:sz w:val="14"/>
                <w:szCs w:val="14"/>
                <w:b w:val="1"/>
                <w:bCs w:val="1"/>
                <w:color w:val="auto"/>
              </w:rPr>
              <w:t>As of December 31</w:t>
            </w:r>
          </w:p>
        </w:tc>
      </w:tr>
      <w:tr>
        <w:trPr>
          <w:trHeight w:val="264"/>
        </w:trPr>
        <w:tc>
          <w:tcPr>
            <w:tcW w:w="90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62"/>
              <w:spacing w:after="0"/>
              <w:rPr>
                <w:sz w:val="20"/>
                <w:szCs w:val="20"/>
                <w:color w:val="auto"/>
              </w:rPr>
            </w:pPr>
            <w:r>
              <w:rPr>
                <w:rFonts w:ascii="Arial" w:cs="Arial" w:eastAsia="Arial" w:hAnsi="Arial"/>
                <w:sz w:val="14"/>
                <w:szCs w:val="14"/>
                <w:b w:val="1"/>
                <w:bCs w:val="1"/>
                <w:color w:val="auto"/>
              </w:rPr>
              <w:t>2016</w:t>
            </w:r>
          </w:p>
        </w:tc>
        <w:tc>
          <w:tcPr>
            <w:tcW w:w="3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color w:val="auto"/>
              </w:rPr>
              <w:t>2015</w:t>
            </w:r>
          </w:p>
        </w:tc>
      </w:tr>
      <w:tr>
        <w:trPr>
          <w:trHeight w:val="257"/>
        </w:trPr>
        <w:tc>
          <w:tcPr>
            <w:tcW w:w="9020" w:type="dxa"/>
            <w:vAlign w:val="bottom"/>
          </w:tcPr>
          <w:p>
            <w:pPr>
              <w:ind w:left="40"/>
              <w:spacing w:after="0"/>
              <w:rPr>
                <w:sz w:val="20"/>
                <w:szCs w:val="20"/>
                <w:color w:val="auto"/>
              </w:rPr>
            </w:pPr>
            <w:r>
              <w:rPr>
                <w:rFonts w:ascii="Arial" w:cs="Arial" w:eastAsia="Arial" w:hAnsi="Arial"/>
                <w:sz w:val="16"/>
                <w:szCs w:val="16"/>
                <w:b w:val="1"/>
                <w:bCs w:val="1"/>
                <w:color w:val="auto"/>
              </w:rPr>
              <w:t>Identifiable Assets</w:t>
            </w:r>
          </w:p>
        </w:tc>
        <w:tc>
          <w:tcPr>
            <w:tcW w:w="2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20" w:type="dxa"/>
            <w:vAlign w:val="bottom"/>
          </w:tcPr>
          <w:p>
            <w:pPr>
              <w:spacing w:after="0"/>
              <w:rPr>
                <w:sz w:val="22"/>
                <w:szCs w:val="22"/>
                <w:color w:val="auto"/>
              </w:rPr>
            </w:pPr>
          </w:p>
        </w:tc>
      </w:tr>
      <w:tr>
        <w:trPr>
          <w:trHeight w:val="270"/>
        </w:trPr>
        <w:tc>
          <w:tcPr>
            <w:tcW w:w="9020" w:type="dxa"/>
            <w:vAlign w:val="bottom"/>
          </w:tcPr>
          <w:p>
            <w:pPr>
              <w:ind w:left="280"/>
              <w:spacing w:after="0"/>
              <w:rPr>
                <w:sz w:val="20"/>
                <w:szCs w:val="20"/>
                <w:color w:val="auto"/>
              </w:rPr>
            </w:pPr>
            <w:r>
              <w:rPr>
                <w:rFonts w:ascii="Arial" w:cs="Arial" w:eastAsia="Arial" w:hAnsi="Arial"/>
                <w:sz w:val="16"/>
                <w:szCs w:val="16"/>
                <w:color w:val="auto"/>
              </w:rPr>
              <w:t>Higher education</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62"/>
              <w:spacing w:after="0"/>
              <w:rPr>
                <w:sz w:val="20"/>
                <w:szCs w:val="20"/>
                <w:color w:val="auto"/>
              </w:rPr>
            </w:pPr>
            <w:r>
              <w:rPr>
                <w:rFonts w:ascii="Arial" w:cs="Arial" w:eastAsia="Arial" w:hAnsi="Arial"/>
                <w:sz w:val="16"/>
                <w:szCs w:val="16"/>
                <w:b w:val="1"/>
                <w:bCs w:val="1"/>
                <w:color w:val="auto"/>
              </w:rPr>
              <w:t>373,127</w:t>
            </w:r>
          </w:p>
        </w:tc>
        <w:tc>
          <w:tcPr>
            <w:tcW w:w="3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447,282</w:t>
            </w:r>
          </w:p>
        </w:tc>
      </w:tr>
      <w:tr>
        <w:trPr>
          <w:trHeight w:val="270"/>
        </w:trPr>
        <w:tc>
          <w:tcPr>
            <w:tcW w:w="9020" w:type="dxa"/>
            <w:vAlign w:val="bottom"/>
          </w:tcPr>
          <w:p>
            <w:pPr>
              <w:ind w:left="280"/>
              <w:spacing w:after="0"/>
              <w:rPr>
                <w:sz w:val="20"/>
                <w:szCs w:val="20"/>
                <w:color w:val="auto"/>
              </w:rPr>
            </w:pPr>
            <w:r>
              <w:rPr>
                <w:rFonts w:ascii="Arial" w:cs="Arial" w:eastAsia="Arial" w:hAnsi="Arial"/>
                <w:sz w:val="16"/>
                <w:szCs w:val="16"/>
                <w:color w:val="auto"/>
              </w:rPr>
              <w:t>Test preparation</w:t>
            </w:r>
          </w:p>
        </w:tc>
        <w:tc>
          <w:tcPr>
            <w:tcW w:w="220" w:type="dxa"/>
            <w:vAlign w:val="bottom"/>
          </w:tcPr>
          <w:p>
            <w:pPr>
              <w:spacing w:after="0"/>
              <w:rPr>
                <w:sz w:val="23"/>
                <w:szCs w:val="23"/>
                <w:color w:val="auto"/>
              </w:rPr>
            </w:pPr>
          </w:p>
        </w:tc>
        <w:tc>
          <w:tcPr>
            <w:tcW w:w="960" w:type="dxa"/>
            <w:vAlign w:val="bottom"/>
          </w:tcPr>
          <w:p>
            <w:pPr>
              <w:jc w:val="right"/>
              <w:ind w:right="62"/>
              <w:spacing w:after="0"/>
              <w:rPr>
                <w:sz w:val="20"/>
                <w:szCs w:val="20"/>
                <w:color w:val="auto"/>
              </w:rPr>
            </w:pPr>
            <w:r>
              <w:rPr>
                <w:rFonts w:ascii="Arial" w:cs="Arial" w:eastAsia="Arial" w:hAnsi="Arial"/>
                <w:sz w:val="16"/>
                <w:szCs w:val="16"/>
                <w:b w:val="1"/>
                <w:bCs w:val="1"/>
                <w:color w:val="auto"/>
              </w:rPr>
              <w:t>133,709</w:t>
            </w:r>
          </w:p>
        </w:tc>
        <w:tc>
          <w:tcPr>
            <w:tcW w:w="300" w:type="dxa"/>
            <w:vAlign w:val="bottom"/>
          </w:tcPr>
          <w:p>
            <w:pPr>
              <w:spacing w:after="0"/>
              <w:rPr>
                <w:sz w:val="23"/>
                <w:szCs w:val="23"/>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134,535</w:t>
            </w:r>
          </w:p>
        </w:tc>
      </w:tr>
      <w:tr>
        <w:trPr>
          <w:trHeight w:val="270"/>
        </w:trPr>
        <w:tc>
          <w:tcPr>
            <w:tcW w:w="9020" w:type="dxa"/>
            <w:vAlign w:val="bottom"/>
          </w:tcPr>
          <w:p>
            <w:pPr>
              <w:ind w:left="280"/>
              <w:spacing w:after="0"/>
              <w:rPr>
                <w:sz w:val="20"/>
                <w:szCs w:val="20"/>
                <w:color w:val="auto"/>
              </w:rPr>
            </w:pPr>
            <w:r>
              <w:rPr>
                <w:rFonts w:ascii="Arial" w:cs="Arial" w:eastAsia="Arial" w:hAnsi="Arial"/>
                <w:sz w:val="16"/>
                <w:szCs w:val="16"/>
                <w:color w:val="auto"/>
              </w:rPr>
              <w:t>Kaplan international</w:t>
            </w:r>
          </w:p>
        </w:tc>
        <w:tc>
          <w:tcPr>
            <w:tcW w:w="220" w:type="dxa"/>
            <w:vAlign w:val="bottom"/>
          </w:tcPr>
          <w:p>
            <w:pPr>
              <w:spacing w:after="0"/>
              <w:rPr>
                <w:sz w:val="23"/>
                <w:szCs w:val="23"/>
                <w:color w:val="auto"/>
              </w:rPr>
            </w:pPr>
          </w:p>
        </w:tc>
        <w:tc>
          <w:tcPr>
            <w:tcW w:w="960" w:type="dxa"/>
            <w:vAlign w:val="bottom"/>
          </w:tcPr>
          <w:p>
            <w:pPr>
              <w:jc w:val="right"/>
              <w:ind w:right="62"/>
              <w:spacing w:after="0"/>
              <w:rPr>
                <w:sz w:val="20"/>
                <w:szCs w:val="20"/>
                <w:color w:val="auto"/>
              </w:rPr>
            </w:pPr>
            <w:r>
              <w:rPr>
                <w:rFonts w:ascii="Arial" w:cs="Arial" w:eastAsia="Arial" w:hAnsi="Arial"/>
                <w:sz w:val="16"/>
                <w:szCs w:val="16"/>
                <w:b w:val="1"/>
                <w:bCs w:val="1"/>
                <w:color w:val="auto"/>
              </w:rPr>
              <w:t>950,922</w:t>
            </w:r>
          </w:p>
        </w:tc>
        <w:tc>
          <w:tcPr>
            <w:tcW w:w="300" w:type="dxa"/>
            <w:vAlign w:val="bottom"/>
          </w:tcPr>
          <w:p>
            <w:pPr>
              <w:spacing w:after="0"/>
              <w:rPr>
                <w:sz w:val="23"/>
                <w:szCs w:val="23"/>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826,475</w:t>
            </w:r>
          </w:p>
        </w:tc>
      </w:tr>
      <w:tr>
        <w:trPr>
          <w:trHeight w:val="274"/>
        </w:trPr>
        <w:tc>
          <w:tcPr>
            <w:tcW w:w="9020" w:type="dxa"/>
            <w:vAlign w:val="bottom"/>
          </w:tcPr>
          <w:p>
            <w:pPr>
              <w:ind w:left="280"/>
              <w:spacing w:after="0"/>
              <w:rPr>
                <w:sz w:val="20"/>
                <w:szCs w:val="20"/>
                <w:color w:val="auto"/>
              </w:rPr>
            </w:pPr>
            <w:r>
              <w:rPr>
                <w:rFonts w:ascii="Arial" w:cs="Arial" w:eastAsia="Arial" w:hAnsi="Arial"/>
                <w:sz w:val="16"/>
                <w:szCs w:val="16"/>
                <w:color w:val="auto"/>
              </w:rPr>
              <w:t>Kaplan corporate and other</w:t>
            </w:r>
          </w:p>
        </w:tc>
        <w:tc>
          <w:tcPr>
            <w:tcW w:w="22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b w:val="1"/>
                <w:bCs w:val="1"/>
                <w:color w:val="auto"/>
              </w:rPr>
              <w:t>21,509</w:t>
            </w:r>
          </w:p>
        </w:tc>
        <w:tc>
          <w:tcPr>
            <w:tcW w:w="30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46,228</w:t>
            </w:r>
          </w:p>
        </w:tc>
      </w:tr>
      <w:tr>
        <w:trPr>
          <w:trHeight w:val="264"/>
        </w:trPr>
        <w:tc>
          <w:tcPr>
            <w:tcW w:w="9020" w:type="dxa"/>
            <w:vAlign w:val="bottom"/>
          </w:tcPr>
          <w:p>
            <w:pPr>
              <w:spacing w:after="0"/>
              <w:rPr>
                <w:sz w:val="22"/>
                <w:szCs w:val="22"/>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b w:val="1"/>
                <w:bCs w:val="1"/>
                <w:color w:val="auto"/>
              </w:rPr>
              <w:t>1,479,267</w:t>
            </w:r>
          </w:p>
        </w:tc>
        <w:tc>
          <w:tcPr>
            <w:tcW w:w="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1,454,520</w:t>
            </w:r>
          </w:p>
        </w:tc>
      </w:tr>
      <w:tr>
        <w:trPr>
          <w:trHeight w:val="20"/>
        </w:trPr>
        <w:tc>
          <w:tcPr>
            <w:tcW w:w="90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724" w:right="239" w:bottom="1036" w:gutter="0" w:footer="0" w:header="0"/>
        </w:sect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111</w:t>
      </w:r>
    </w:p>
    <w:p>
      <w:pPr>
        <w:sectPr>
          <w:pgSz w:w="11900" w:h="16838" w:orient="portrait"/>
          <w:cols w:equalWidth="0" w:num="1">
            <w:col w:w="11420"/>
          </w:cols>
          <w:pgMar w:left="240" w:top="724" w:right="239" w:bottom="1036" w:gutter="0" w:footer="0" w:header="0"/>
          <w:type w:val="continuous"/>
        </w:sectPr>
      </w:pPr>
    </w:p>
    <w:bookmarkStart w:id="115" w:name="page116"/>
    <w:bookmarkEnd w:id="115"/>
    <w:p>
      <w:pPr>
        <w:ind w:left="500" w:hanging="492"/>
        <w:spacing w:after="0"/>
        <w:tabs>
          <w:tab w:leader="none" w:pos="500" w:val="left"/>
        </w:tabs>
        <w:numPr>
          <w:ilvl w:val="0"/>
          <w:numId w:val="81"/>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QUARTERLY OPERATING RESULTS AND COMPREHENSIVE INCOME (UNAUDITED)</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Quarterly results of operations and comprehensive income for the year ended December 31, 2016, is as follows: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980" w:type="dxa"/>
            <w:vAlign w:val="bottom"/>
          </w:tcPr>
          <w:p>
            <w:pPr>
              <w:spacing w:after="0"/>
              <w:rPr>
                <w:sz w:val="14"/>
                <w:szCs w:val="14"/>
                <w:color w:val="auto"/>
              </w:rPr>
            </w:pPr>
          </w:p>
        </w:tc>
        <w:tc>
          <w:tcPr>
            <w:tcW w:w="1060" w:type="dxa"/>
            <w:vAlign w:val="bottom"/>
          </w:tcPr>
          <w:p>
            <w:pPr>
              <w:jc w:val="right"/>
              <w:ind w:right="302"/>
              <w:spacing w:after="0"/>
              <w:rPr>
                <w:sz w:val="20"/>
                <w:szCs w:val="20"/>
                <w:color w:val="auto"/>
              </w:rPr>
            </w:pPr>
            <w:r>
              <w:rPr>
                <w:rFonts w:ascii="Arial" w:cs="Arial" w:eastAsia="Arial" w:hAnsi="Arial"/>
                <w:sz w:val="14"/>
                <w:szCs w:val="14"/>
                <w:b w:val="1"/>
                <w:bCs w:val="1"/>
                <w:color w:val="auto"/>
              </w:rPr>
              <w:t>First</w:t>
            </w:r>
          </w:p>
        </w:tc>
        <w:tc>
          <w:tcPr>
            <w:tcW w:w="1120" w:type="dxa"/>
            <w:vAlign w:val="bottom"/>
          </w:tcPr>
          <w:p>
            <w:pPr>
              <w:jc w:val="right"/>
              <w:ind w:right="182"/>
              <w:spacing w:after="0"/>
              <w:rPr>
                <w:sz w:val="20"/>
                <w:szCs w:val="20"/>
                <w:color w:val="auto"/>
              </w:rPr>
            </w:pPr>
            <w:r>
              <w:rPr>
                <w:rFonts w:ascii="Arial" w:cs="Arial" w:eastAsia="Arial" w:hAnsi="Arial"/>
                <w:sz w:val="14"/>
                <w:szCs w:val="14"/>
                <w:b w:val="1"/>
                <w:bCs w:val="1"/>
                <w:color w:val="auto"/>
              </w:rPr>
              <w:t>Second</w:t>
            </w:r>
          </w:p>
        </w:tc>
        <w:tc>
          <w:tcPr>
            <w:tcW w:w="1140" w:type="dxa"/>
            <w:vAlign w:val="bottom"/>
          </w:tcPr>
          <w:p>
            <w:pPr>
              <w:jc w:val="right"/>
              <w:ind w:right="262"/>
              <w:spacing w:after="0"/>
              <w:rPr>
                <w:sz w:val="20"/>
                <w:szCs w:val="20"/>
                <w:color w:val="auto"/>
              </w:rPr>
            </w:pPr>
            <w:r>
              <w:rPr>
                <w:rFonts w:ascii="Arial" w:cs="Arial" w:eastAsia="Arial" w:hAnsi="Arial"/>
                <w:sz w:val="14"/>
                <w:szCs w:val="14"/>
                <w:b w:val="1"/>
                <w:bCs w:val="1"/>
                <w:color w:val="auto"/>
              </w:rPr>
              <w:t>Third</w:t>
            </w:r>
          </w:p>
        </w:tc>
        <w:tc>
          <w:tcPr>
            <w:tcW w:w="1120" w:type="dxa"/>
            <w:vAlign w:val="bottom"/>
          </w:tcPr>
          <w:p>
            <w:pPr>
              <w:jc w:val="right"/>
              <w:ind w:right="202"/>
              <w:spacing w:after="0"/>
              <w:rPr>
                <w:sz w:val="20"/>
                <w:szCs w:val="20"/>
                <w:color w:val="auto"/>
              </w:rPr>
            </w:pPr>
            <w:r>
              <w:rPr>
                <w:rFonts w:ascii="Arial" w:cs="Arial" w:eastAsia="Arial" w:hAnsi="Arial"/>
                <w:sz w:val="14"/>
                <w:szCs w:val="14"/>
                <w:b w:val="1"/>
                <w:bCs w:val="1"/>
                <w:color w:val="auto"/>
              </w:rPr>
              <w:t>Fourth</w:t>
            </w:r>
          </w:p>
        </w:tc>
      </w:tr>
      <w:tr>
        <w:trPr>
          <w:trHeight w:val="203"/>
        </w:trPr>
        <w:tc>
          <w:tcPr>
            <w:tcW w:w="69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 except per share amounts)</w:t>
            </w:r>
          </w:p>
        </w:tc>
        <w:tc>
          <w:tcPr>
            <w:tcW w:w="1060" w:type="dxa"/>
            <w:vAlign w:val="bottom"/>
            <w:tcBorders>
              <w:bottom w:val="single" w:sz="8" w:color="auto"/>
            </w:tcBorders>
          </w:tcPr>
          <w:p>
            <w:pPr>
              <w:jc w:val="right"/>
              <w:ind w:right="202"/>
              <w:spacing w:after="0"/>
              <w:rPr>
                <w:sz w:val="20"/>
                <w:szCs w:val="20"/>
                <w:color w:val="auto"/>
              </w:rPr>
            </w:pPr>
            <w:r>
              <w:rPr>
                <w:rFonts w:ascii="Arial" w:cs="Arial" w:eastAsia="Arial" w:hAnsi="Arial"/>
                <w:sz w:val="14"/>
                <w:szCs w:val="14"/>
                <w:b w:val="1"/>
                <w:bCs w:val="1"/>
                <w:color w:val="auto"/>
              </w:rPr>
              <w:t>Quarter</w:t>
            </w:r>
          </w:p>
        </w:tc>
        <w:tc>
          <w:tcPr>
            <w:tcW w:w="1120" w:type="dxa"/>
            <w:vAlign w:val="bottom"/>
            <w:tcBorders>
              <w:bottom w:val="single" w:sz="8" w:color="auto"/>
            </w:tcBorders>
          </w:tcPr>
          <w:p>
            <w:pPr>
              <w:jc w:val="right"/>
              <w:ind w:right="182"/>
              <w:spacing w:after="0"/>
              <w:rPr>
                <w:sz w:val="20"/>
                <w:szCs w:val="20"/>
                <w:color w:val="auto"/>
              </w:rPr>
            </w:pPr>
            <w:r>
              <w:rPr>
                <w:rFonts w:ascii="Arial" w:cs="Arial" w:eastAsia="Arial" w:hAnsi="Arial"/>
                <w:sz w:val="14"/>
                <w:szCs w:val="14"/>
                <w:b w:val="1"/>
                <w:bCs w:val="1"/>
                <w:color w:val="auto"/>
              </w:rPr>
              <w:t>Quarter</w:t>
            </w:r>
          </w:p>
        </w:tc>
        <w:tc>
          <w:tcPr>
            <w:tcW w:w="1140" w:type="dxa"/>
            <w:vAlign w:val="bottom"/>
            <w:tcBorders>
              <w:bottom w:val="single" w:sz="8" w:color="auto"/>
            </w:tcBorders>
          </w:tcPr>
          <w:p>
            <w:pPr>
              <w:jc w:val="right"/>
              <w:ind w:right="182"/>
              <w:spacing w:after="0"/>
              <w:rPr>
                <w:sz w:val="20"/>
                <w:szCs w:val="20"/>
                <w:color w:val="auto"/>
              </w:rPr>
            </w:pPr>
            <w:r>
              <w:rPr>
                <w:rFonts w:ascii="Arial" w:cs="Arial" w:eastAsia="Arial" w:hAnsi="Arial"/>
                <w:sz w:val="14"/>
                <w:szCs w:val="14"/>
                <w:b w:val="1"/>
                <w:bCs w:val="1"/>
                <w:color w:val="auto"/>
              </w:rPr>
              <w:t>Quarter</w:t>
            </w:r>
          </w:p>
        </w:tc>
        <w:tc>
          <w:tcPr>
            <w:tcW w:w="1120" w:type="dxa"/>
            <w:vAlign w:val="bottom"/>
            <w:tcBorders>
              <w:bottom w:val="single" w:sz="8" w:color="auto"/>
            </w:tcBorders>
          </w:tcPr>
          <w:p>
            <w:pPr>
              <w:jc w:val="right"/>
              <w:ind w:right="182"/>
              <w:spacing w:after="0"/>
              <w:rPr>
                <w:sz w:val="20"/>
                <w:szCs w:val="20"/>
                <w:color w:val="auto"/>
              </w:rPr>
            </w:pPr>
            <w:r>
              <w:rPr>
                <w:rFonts w:ascii="Arial" w:cs="Arial" w:eastAsia="Arial" w:hAnsi="Arial"/>
                <w:sz w:val="14"/>
                <w:szCs w:val="14"/>
                <w:b w:val="1"/>
                <w:bCs w:val="1"/>
                <w:color w:val="auto"/>
              </w:rPr>
              <w:t>Quarter</w:t>
            </w:r>
          </w:p>
        </w:tc>
      </w:tr>
      <w:tr>
        <w:trPr>
          <w:trHeight w:val="257"/>
        </w:trPr>
        <w:tc>
          <w:tcPr>
            <w:tcW w:w="6980" w:type="dxa"/>
            <w:vAlign w:val="bottom"/>
          </w:tcPr>
          <w:p>
            <w:pPr>
              <w:ind w:left="40"/>
              <w:spacing w:after="0"/>
              <w:rPr>
                <w:sz w:val="20"/>
                <w:szCs w:val="20"/>
                <w:color w:val="auto"/>
              </w:rPr>
            </w:pPr>
            <w:r>
              <w:rPr>
                <w:rFonts w:ascii="Arial" w:cs="Arial" w:eastAsia="Arial" w:hAnsi="Arial"/>
                <w:sz w:val="16"/>
                <w:szCs w:val="16"/>
                <w:b w:val="1"/>
                <w:bCs w:val="1"/>
                <w:color w:val="auto"/>
              </w:rPr>
              <w:t>Operating Revenues</w:t>
            </w:r>
          </w:p>
        </w:tc>
        <w:tc>
          <w:tcPr>
            <w:tcW w:w="10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62"/>
        </w:trPr>
        <w:tc>
          <w:tcPr>
            <w:tcW w:w="6980" w:type="dxa"/>
            <w:vAlign w:val="bottom"/>
          </w:tcPr>
          <w:p>
            <w:pPr>
              <w:ind w:left="280"/>
              <w:spacing w:after="0"/>
              <w:rPr>
                <w:sz w:val="20"/>
                <w:szCs w:val="20"/>
                <w:color w:val="auto"/>
              </w:rPr>
            </w:pPr>
            <w:r>
              <w:rPr>
                <w:rFonts w:ascii="Arial" w:cs="Arial" w:eastAsia="Arial" w:hAnsi="Arial"/>
                <w:sz w:val="16"/>
                <w:szCs w:val="16"/>
                <w:color w:val="auto"/>
              </w:rPr>
              <w:t>Education</w:t>
            </w:r>
          </w:p>
        </w:tc>
        <w:tc>
          <w:tcPr>
            <w:tcW w:w="1060" w:type="dxa"/>
            <w:vAlign w:val="bottom"/>
          </w:tcPr>
          <w:p>
            <w:pPr>
              <w:jc w:val="right"/>
              <w:ind w:right="62"/>
              <w:spacing w:after="0"/>
              <w:rPr>
                <w:sz w:val="20"/>
                <w:szCs w:val="20"/>
                <w:color w:val="auto"/>
              </w:rPr>
            </w:pPr>
            <w:r>
              <w:rPr>
                <w:rFonts w:ascii="Arial" w:cs="Arial" w:eastAsia="Arial" w:hAnsi="Arial"/>
                <w:sz w:val="16"/>
                <w:szCs w:val="16"/>
                <w:color w:val="auto"/>
              </w:rPr>
              <w:t>$   401,006</w:t>
            </w:r>
          </w:p>
        </w:tc>
        <w:tc>
          <w:tcPr>
            <w:tcW w:w="1120" w:type="dxa"/>
            <w:vAlign w:val="bottom"/>
          </w:tcPr>
          <w:p>
            <w:pPr>
              <w:jc w:val="right"/>
              <w:ind w:right="42"/>
              <w:spacing w:after="0"/>
              <w:rPr>
                <w:sz w:val="20"/>
                <w:szCs w:val="20"/>
                <w:color w:val="auto"/>
              </w:rPr>
            </w:pPr>
            <w:r>
              <w:rPr>
                <w:rFonts w:ascii="Arial" w:cs="Arial" w:eastAsia="Arial" w:hAnsi="Arial"/>
                <w:sz w:val="16"/>
                <w:szCs w:val="16"/>
                <w:color w:val="auto"/>
              </w:rPr>
              <w:t>$   419,144</w:t>
            </w:r>
          </w:p>
        </w:tc>
        <w:tc>
          <w:tcPr>
            <w:tcW w:w="1140" w:type="dxa"/>
            <w:vAlign w:val="bottom"/>
          </w:tcPr>
          <w:p>
            <w:pPr>
              <w:jc w:val="right"/>
              <w:ind w:right="42"/>
              <w:spacing w:after="0"/>
              <w:rPr>
                <w:sz w:val="20"/>
                <w:szCs w:val="20"/>
                <w:color w:val="auto"/>
              </w:rPr>
            </w:pPr>
            <w:r>
              <w:rPr>
                <w:rFonts w:ascii="Arial" w:cs="Arial" w:eastAsia="Arial" w:hAnsi="Arial"/>
                <w:sz w:val="16"/>
                <w:szCs w:val="16"/>
                <w:color w:val="auto"/>
              </w:rPr>
              <w:t>$   386,936</w:t>
            </w:r>
          </w:p>
        </w:tc>
        <w:tc>
          <w:tcPr>
            <w:tcW w:w="1120" w:type="dxa"/>
            <w:vAlign w:val="bottom"/>
          </w:tcPr>
          <w:p>
            <w:pPr>
              <w:jc w:val="right"/>
              <w:ind w:right="22"/>
              <w:spacing w:after="0"/>
              <w:rPr>
                <w:sz w:val="20"/>
                <w:szCs w:val="20"/>
                <w:color w:val="auto"/>
              </w:rPr>
            </w:pPr>
            <w:r>
              <w:rPr>
                <w:rFonts w:ascii="Arial" w:cs="Arial" w:eastAsia="Arial" w:hAnsi="Arial"/>
                <w:sz w:val="16"/>
                <w:szCs w:val="16"/>
                <w:color w:val="auto"/>
              </w:rPr>
              <w:t>$   391,261</w:t>
            </w:r>
          </w:p>
        </w:tc>
      </w:tr>
      <w:tr>
        <w:trPr>
          <w:trHeight w:val="270"/>
        </w:trPr>
        <w:tc>
          <w:tcPr>
            <w:tcW w:w="6980" w:type="dxa"/>
            <w:vAlign w:val="bottom"/>
          </w:tcPr>
          <w:p>
            <w:pPr>
              <w:ind w:left="280"/>
              <w:spacing w:after="0"/>
              <w:rPr>
                <w:sz w:val="20"/>
                <w:szCs w:val="20"/>
                <w:color w:val="auto"/>
              </w:rPr>
            </w:pPr>
            <w:r>
              <w:rPr>
                <w:rFonts w:ascii="Arial" w:cs="Arial" w:eastAsia="Arial" w:hAnsi="Arial"/>
                <w:sz w:val="16"/>
                <w:szCs w:val="16"/>
                <w:color w:val="auto"/>
              </w:rPr>
              <w:t>Advertising</w:t>
            </w:r>
          </w:p>
        </w:tc>
        <w:tc>
          <w:tcPr>
            <w:tcW w:w="1060" w:type="dxa"/>
            <w:vAlign w:val="bottom"/>
          </w:tcPr>
          <w:p>
            <w:pPr>
              <w:jc w:val="right"/>
              <w:ind w:right="62"/>
              <w:spacing w:after="0"/>
              <w:rPr>
                <w:sz w:val="20"/>
                <w:szCs w:val="20"/>
                <w:color w:val="auto"/>
              </w:rPr>
            </w:pPr>
            <w:r>
              <w:rPr>
                <w:rFonts w:ascii="Arial" w:cs="Arial" w:eastAsia="Arial" w:hAnsi="Arial"/>
                <w:sz w:val="16"/>
                <w:szCs w:val="16"/>
                <w:color w:val="auto"/>
              </w:rPr>
              <w:t>68,158</w:t>
            </w:r>
          </w:p>
        </w:tc>
        <w:tc>
          <w:tcPr>
            <w:tcW w:w="1120" w:type="dxa"/>
            <w:vAlign w:val="bottom"/>
          </w:tcPr>
          <w:p>
            <w:pPr>
              <w:jc w:val="right"/>
              <w:ind w:right="42"/>
              <w:spacing w:after="0"/>
              <w:rPr>
                <w:sz w:val="20"/>
                <w:szCs w:val="20"/>
                <w:color w:val="auto"/>
              </w:rPr>
            </w:pPr>
            <w:r>
              <w:rPr>
                <w:rFonts w:ascii="Arial" w:cs="Arial" w:eastAsia="Arial" w:hAnsi="Arial"/>
                <w:sz w:val="16"/>
                <w:szCs w:val="16"/>
                <w:color w:val="auto"/>
              </w:rPr>
              <w:t>70,901</w:t>
            </w:r>
          </w:p>
        </w:tc>
        <w:tc>
          <w:tcPr>
            <w:tcW w:w="1140" w:type="dxa"/>
            <w:vAlign w:val="bottom"/>
          </w:tcPr>
          <w:p>
            <w:pPr>
              <w:jc w:val="right"/>
              <w:ind w:right="42"/>
              <w:spacing w:after="0"/>
              <w:rPr>
                <w:sz w:val="20"/>
                <w:szCs w:val="20"/>
                <w:color w:val="auto"/>
              </w:rPr>
            </w:pPr>
            <w:r>
              <w:rPr>
                <w:rFonts w:ascii="Arial" w:cs="Arial" w:eastAsia="Arial" w:hAnsi="Arial"/>
                <w:sz w:val="16"/>
                <w:szCs w:val="16"/>
                <w:color w:val="auto"/>
              </w:rPr>
              <w:t>86,531</w:t>
            </w:r>
          </w:p>
        </w:tc>
        <w:tc>
          <w:tcPr>
            <w:tcW w:w="1120" w:type="dxa"/>
            <w:vAlign w:val="bottom"/>
          </w:tcPr>
          <w:p>
            <w:pPr>
              <w:jc w:val="right"/>
              <w:ind w:right="22"/>
              <w:spacing w:after="0"/>
              <w:rPr>
                <w:sz w:val="20"/>
                <w:szCs w:val="20"/>
                <w:color w:val="auto"/>
              </w:rPr>
            </w:pPr>
            <w:r>
              <w:rPr>
                <w:rFonts w:ascii="Arial" w:cs="Arial" w:eastAsia="Arial" w:hAnsi="Arial"/>
                <w:sz w:val="16"/>
                <w:szCs w:val="16"/>
                <w:color w:val="auto"/>
              </w:rPr>
              <w:t>85,488</w:t>
            </w:r>
          </w:p>
        </w:tc>
      </w:tr>
      <w:tr>
        <w:trPr>
          <w:trHeight w:val="279"/>
        </w:trPr>
        <w:tc>
          <w:tcPr>
            <w:tcW w:w="6980" w:type="dxa"/>
            <w:vAlign w:val="bottom"/>
          </w:tcPr>
          <w:p>
            <w:pPr>
              <w:ind w:left="280"/>
              <w:spacing w:after="0"/>
              <w:rPr>
                <w:sz w:val="20"/>
                <w:szCs w:val="20"/>
                <w:color w:val="auto"/>
              </w:rPr>
            </w:pPr>
            <w:r>
              <w:rPr>
                <w:rFonts w:ascii="Arial" w:cs="Arial" w:eastAsia="Arial" w:hAnsi="Arial"/>
                <w:sz w:val="16"/>
                <w:szCs w:val="16"/>
                <w:color w:val="auto"/>
              </w:rPr>
              <w:t>Other</w:t>
            </w:r>
          </w:p>
        </w:tc>
        <w:tc>
          <w:tcPr>
            <w:tcW w:w="106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rPr>
              <w:t>132,576</w:t>
            </w:r>
          </w:p>
        </w:tc>
        <w:tc>
          <w:tcPr>
            <w:tcW w:w="112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138,888</w:t>
            </w:r>
          </w:p>
        </w:tc>
        <w:tc>
          <w:tcPr>
            <w:tcW w:w="114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148,171</w:t>
            </w:r>
          </w:p>
        </w:tc>
        <w:tc>
          <w:tcPr>
            <w:tcW w:w="112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152,830</w:t>
            </w:r>
          </w:p>
        </w:tc>
      </w:tr>
      <w:tr>
        <w:trPr>
          <w:trHeight w:val="264"/>
        </w:trPr>
        <w:tc>
          <w:tcPr>
            <w:tcW w:w="6980" w:type="dxa"/>
            <w:vAlign w:val="bottom"/>
          </w:tcPr>
          <w:p>
            <w:pPr>
              <w:spacing w:after="0"/>
              <w:rPr>
                <w:sz w:val="22"/>
                <w:szCs w:val="22"/>
                <w:color w:val="auto"/>
              </w:rPr>
            </w:pPr>
          </w:p>
        </w:tc>
        <w:tc>
          <w:tcPr>
            <w:tcW w:w="106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rPr>
              <w:t>601,740</w:t>
            </w:r>
          </w:p>
        </w:tc>
        <w:tc>
          <w:tcPr>
            <w:tcW w:w="112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628,933</w:t>
            </w:r>
          </w:p>
        </w:tc>
        <w:tc>
          <w:tcPr>
            <w:tcW w:w="114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621,638</w:t>
            </w:r>
          </w:p>
        </w:tc>
        <w:tc>
          <w:tcPr>
            <w:tcW w:w="112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629,579</w:t>
            </w:r>
          </w:p>
        </w:tc>
      </w:tr>
      <w:tr>
        <w:trPr>
          <w:trHeight w:val="263"/>
        </w:trPr>
        <w:tc>
          <w:tcPr>
            <w:tcW w:w="6980" w:type="dxa"/>
            <w:vAlign w:val="bottom"/>
          </w:tcPr>
          <w:p>
            <w:pPr>
              <w:ind w:left="40"/>
              <w:spacing w:after="0"/>
              <w:rPr>
                <w:sz w:val="20"/>
                <w:szCs w:val="20"/>
                <w:color w:val="auto"/>
              </w:rPr>
            </w:pPr>
            <w:r>
              <w:rPr>
                <w:rFonts w:ascii="Arial" w:cs="Arial" w:eastAsia="Arial" w:hAnsi="Arial"/>
                <w:sz w:val="16"/>
                <w:szCs w:val="16"/>
                <w:b w:val="1"/>
                <w:bCs w:val="1"/>
                <w:color w:val="auto"/>
              </w:rPr>
              <w:t>Operating Costs and Expenses</w:t>
            </w:r>
          </w:p>
        </w:tc>
        <w:tc>
          <w:tcPr>
            <w:tcW w:w="10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20" w:type="dxa"/>
            <w:vAlign w:val="bottom"/>
          </w:tcPr>
          <w:p>
            <w:pPr>
              <w:spacing w:after="0"/>
              <w:rPr>
                <w:sz w:val="22"/>
                <w:szCs w:val="22"/>
                <w:color w:val="auto"/>
              </w:rPr>
            </w:pPr>
          </w:p>
        </w:tc>
      </w:tr>
    </w:tbl>
    <w:p>
      <w:pPr>
        <w:spacing w:after="0" w:line="43" w:lineRule="exact"/>
        <w:rPr>
          <w:sz w:val="20"/>
          <w:szCs w:val="20"/>
          <w:color w:val="auto"/>
        </w:rPr>
      </w:pPr>
    </w:p>
    <w:p>
      <w:pPr>
        <w:sectPr>
          <w:pgSz w:w="11900" w:h="16838" w:orient="portrait"/>
          <w:cols w:equalWidth="0" w:num="1">
            <w:col w:w="11420"/>
          </w:cols>
          <w:pgMar w:left="240" w:top="722" w:right="239" w:bottom="1440" w:gutter="0" w:footer="0" w:header="0"/>
        </w:sectPr>
      </w:pPr>
    </w:p>
    <w:p>
      <w:pPr>
        <w:ind w:left="280"/>
        <w:spacing w:after="0"/>
        <w:rPr>
          <w:sz w:val="20"/>
          <w:szCs w:val="20"/>
          <w:color w:val="auto"/>
        </w:rPr>
      </w:pPr>
      <w:r>
        <w:rPr>
          <w:rFonts w:ascii="Arial" w:cs="Arial" w:eastAsia="Arial" w:hAnsi="Arial"/>
          <w:sz w:val="16"/>
          <w:szCs w:val="16"/>
          <w:color w:val="auto"/>
        </w:rPr>
        <w:t>Operating</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Selling, general and administrative</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Depreciation of property, plant and equipment</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Amortization of intangible assets</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Impairment of goodwill</w:t>
      </w:r>
    </w:p>
    <w:p>
      <w:pPr>
        <w:spacing w:after="0" w:line="381"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Income from Operations</w:t>
      </w:r>
    </w:p>
    <w:p>
      <w:pPr>
        <w:spacing w:after="0" w:line="88" w:lineRule="exact"/>
        <w:rPr>
          <w:sz w:val="20"/>
          <w:szCs w:val="20"/>
          <w:color w:val="auto"/>
        </w:rPr>
      </w:pPr>
    </w:p>
    <w:p>
      <w:pPr>
        <w:ind w:left="280"/>
        <w:spacing w:after="0"/>
        <w:rPr>
          <w:sz w:val="20"/>
          <w:szCs w:val="20"/>
          <w:color w:val="auto"/>
        </w:rPr>
      </w:pPr>
      <w:r>
        <w:rPr>
          <w:rFonts w:ascii="Arial" w:cs="Arial" w:eastAsia="Arial" w:hAnsi="Arial"/>
          <w:sz w:val="16"/>
          <w:szCs w:val="16"/>
          <w:color w:val="auto"/>
        </w:rPr>
        <w:t>Equity in earnings (losses) of affiliates, net</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Interest income</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Interest expense</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Other income (expense), net</w:t>
      </w:r>
    </w:p>
    <w:p>
      <w:pPr>
        <w:spacing w:after="0" w:line="98" w:lineRule="exact"/>
        <w:rPr>
          <w:sz w:val="20"/>
          <w:szCs w:val="20"/>
          <w:color w:val="auto"/>
        </w:rPr>
      </w:pPr>
    </w:p>
    <w:p>
      <w:pPr>
        <w:ind w:left="40" w:right="3300"/>
        <w:spacing w:after="0" w:line="361" w:lineRule="auto"/>
        <w:rPr>
          <w:sz w:val="20"/>
          <w:szCs w:val="20"/>
          <w:color w:val="auto"/>
        </w:rPr>
      </w:pPr>
      <w:r>
        <w:rPr>
          <w:rFonts w:ascii="Arial" w:cs="Arial" w:eastAsia="Arial" w:hAnsi="Arial"/>
          <w:sz w:val="16"/>
          <w:szCs w:val="16"/>
          <w:b w:val="1"/>
          <w:bCs w:val="1"/>
          <w:color w:val="auto"/>
        </w:rPr>
        <w:t>Income from Operations Before Income Taxes Provision for Income Taxes</w:t>
      </w:r>
    </w:p>
    <w:p>
      <w:pPr>
        <w:ind w:left="40"/>
        <w:spacing w:after="0"/>
        <w:rPr>
          <w:sz w:val="20"/>
          <w:szCs w:val="20"/>
          <w:color w:val="auto"/>
        </w:rPr>
      </w:pPr>
      <w:r>
        <w:rPr>
          <w:rFonts w:ascii="Arial" w:cs="Arial" w:eastAsia="Arial" w:hAnsi="Arial"/>
          <w:sz w:val="16"/>
          <w:szCs w:val="16"/>
          <w:b w:val="1"/>
          <w:bCs w:val="1"/>
          <w:color w:val="auto"/>
        </w:rPr>
        <w:t>Net Income</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Net Income Attributable to Noncontrolling Interests</w:t>
      </w:r>
    </w:p>
    <w:p>
      <w:pPr>
        <w:spacing w:after="0" w:line="11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Net Income Attributable to Graham Holdings Company Common Stockholders</w:t>
      </w:r>
    </w:p>
    <w:p>
      <w:pPr>
        <w:spacing w:after="0" w:line="248"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Per Share Information Attributable to Graham Holdings Company Common Stockholders</w:t>
      </w:r>
    </w:p>
    <w:p>
      <w:pPr>
        <w:spacing w:after="0" w:line="115" w:lineRule="exact"/>
        <w:rPr>
          <w:sz w:val="20"/>
          <w:szCs w:val="20"/>
          <w:color w:val="auto"/>
        </w:rPr>
      </w:pPr>
    </w:p>
    <w:p>
      <w:pPr>
        <w:ind w:left="40"/>
        <w:spacing w:after="0"/>
        <w:rPr>
          <w:sz w:val="20"/>
          <w:szCs w:val="20"/>
          <w:color w:val="auto"/>
        </w:rPr>
      </w:pPr>
      <w:r>
        <w:rPr>
          <w:rFonts w:ascii="Arial" w:cs="Arial" w:eastAsia="Arial" w:hAnsi="Arial"/>
          <w:sz w:val="16"/>
          <w:szCs w:val="16"/>
          <w:color w:val="auto"/>
        </w:rPr>
        <w:t>Basic net income per common share</w:t>
      </w:r>
    </w:p>
    <w:p>
      <w:pPr>
        <w:spacing w:after="0" w:line="127" w:lineRule="exact"/>
        <w:rPr>
          <w:sz w:val="20"/>
          <w:szCs w:val="20"/>
          <w:color w:val="auto"/>
        </w:rPr>
      </w:pPr>
    </w:p>
    <w:p>
      <w:pPr>
        <w:ind w:left="40"/>
        <w:spacing w:after="0"/>
        <w:rPr>
          <w:sz w:val="20"/>
          <w:szCs w:val="20"/>
          <w:color w:val="auto"/>
        </w:rPr>
      </w:pPr>
      <w:r>
        <w:rPr>
          <w:rFonts w:ascii="Arial" w:cs="Arial" w:eastAsia="Arial" w:hAnsi="Arial"/>
          <w:sz w:val="16"/>
          <w:szCs w:val="16"/>
          <w:color w:val="auto"/>
        </w:rPr>
        <w:t>Diluted net income per common share</w:t>
      </w:r>
    </w:p>
    <w:p>
      <w:pPr>
        <w:spacing w:after="0" w:line="113" w:lineRule="exact"/>
        <w:rPr>
          <w:sz w:val="20"/>
          <w:szCs w:val="20"/>
          <w:color w:val="auto"/>
        </w:rPr>
      </w:pPr>
    </w:p>
    <w:p>
      <w:pPr>
        <w:ind w:left="40" w:right="2860"/>
        <w:spacing w:after="0" w:line="374" w:lineRule="auto"/>
        <w:rPr>
          <w:sz w:val="20"/>
          <w:szCs w:val="20"/>
          <w:color w:val="auto"/>
        </w:rPr>
      </w:pPr>
      <w:r>
        <w:rPr>
          <w:rFonts w:ascii="Arial" w:cs="Arial" w:eastAsia="Arial" w:hAnsi="Arial"/>
          <w:sz w:val="16"/>
          <w:szCs w:val="16"/>
          <w:color w:val="auto"/>
        </w:rPr>
        <w:t>Basic average number of common shares outstanding Diluted average number of common shares outstanding 2016 Quarterly comprehensive income (loss)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9"/>
        </w:trPr>
        <w:tc>
          <w:tcPr>
            <w:tcW w:w="220" w:type="dxa"/>
            <w:vAlign w:val="bottom"/>
          </w:tcPr>
          <w:p>
            <w:pPr>
              <w:spacing w:after="0"/>
              <w:rPr>
                <w:sz w:val="19"/>
                <w:szCs w:val="19"/>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291,632</w:t>
            </w:r>
          </w:p>
        </w:tc>
        <w:tc>
          <w:tcPr>
            <w:tcW w:w="280" w:type="dxa"/>
            <w:vAlign w:val="bottom"/>
          </w:tcPr>
          <w:p>
            <w:pPr>
              <w:spacing w:after="0"/>
              <w:rPr>
                <w:sz w:val="19"/>
                <w:szCs w:val="19"/>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296,033</w:t>
            </w:r>
          </w:p>
        </w:tc>
        <w:tc>
          <w:tcPr>
            <w:tcW w:w="280" w:type="dxa"/>
            <w:vAlign w:val="bottom"/>
          </w:tcPr>
          <w:p>
            <w:pPr>
              <w:spacing w:after="0"/>
              <w:rPr>
                <w:sz w:val="19"/>
                <w:szCs w:val="19"/>
                <w:color w:val="auto"/>
              </w:rPr>
            </w:pPr>
          </w:p>
        </w:tc>
        <w:tc>
          <w:tcPr>
            <w:tcW w:w="840" w:type="dxa"/>
            <w:vAlign w:val="bottom"/>
          </w:tcPr>
          <w:p>
            <w:pPr>
              <w:jc w:val="right"/>
              <w:ind w:right="59"/>
              <w:spacing w:after="0"/>
              <w:rPr>
                <w:sz w:val="20"/>
                <w:szCs w:val="20"/>
                <w:color w:val="auto"/>
              </w:rPr>
            </w:pPr>
            <w:r>
              <w:rPr>
                <w:rFonts w:ascii="Arial" w:cs="Arial" w:eastAsia="Arial" w:hAnsi="Arial"/>
                <w:sz w:val="16"/>
                <w:szCs w:val="16"/>
                <w:color w:val="auto"/>
              </w:rPr>
              <w:t>293,194</w:t>
            </w:r>
          </w:p>
        </w:tc>
        <w:tc>
          <w:tcPr>
            <w:tcW w:w="300" w:type="dxa"/>
            <w:vAlign w:val="bottom"/>
          </w:tcPr>
          <w:p>
            <w:pPr>
              <w:spacing w:after="0"/>
              <w:rPr>
                <w:sz w:val="19"/>
                <w:szCs w:val="19"/>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300,086</w:t>
            </w:r>
          </w:p>
        </w:tc>
      </w:tr>
      <w:tr>
        <w:trPr>
          <w:trHeight w:val="270"/>
        </w:trPr>
        <w:tc>
          <w:tcPr>
            <w:tcW w:w="220" w:type="dxa"/>
            <w:vAlign w:val="bottom"/>
          </w:tcPr>
          <w:p>
            <w:pPr>
              <w:spacing w:after="0"/>
              <w:rPr>
                <w:sz w:val="23"/>
                <w:szCs w:val="23"/>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235,213</w:t>
            </w:r>
          </w:p>
        </w:tc>
        <w:tc>
          <w:tcPr>
            <w:tcW w:w="280" w:type="dxa"/>
            <w:vAlign w:val="bottom"/>
          </w:tcPr>
          <w:p>
            <w:pPr>
              <w:spacing w:after="0"/>
              <w:rPr>
                <w:sz w:val="23"/>
                <w:szCs w:val="23"/>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236,437</w:t>
            </w:r>
          </w:p>
        </w:tc>
        <w:tc>
          <w:tcPr>
            <w:tcW w:w="280" w:type="dxa"/>
            <w:vAlign w:val="bottom"/>
          </w:tcPr>
          <w:p>
            <w:pPr>
              <w:spacing w:after="0"/>
              <w:rPr>
                <w:sz w:val="23"/>
                <w:szCs w:val="23"/>
                <w:color w:val="auto"/>
              </w:rPr>
            </w:pPr>
          </w:p>
        </w:tc>
        <w:tc>
          <w:tcPr>
            <w:tcW w:w="840" w:type="dxa"/>
            <w:vAlign w:val="bottom"/>
          </w:tcPr>
          <w:p>
            <w:pPr>
              <w:jc w:val="right"/>
              <w:ind w:right="59"/>
              <w:spacing w:after="0"/>
              <w:rPr>
                <w:sz w:val="20"/>
                <w:szCs w:val="20"/>
                <w:color w:val="auto"/>
              </w:rPr>
            </w:pPr>
            <w:r>
              <w:rPr>
                <w:rFonts w:ascii="Arial" w:cs="Arial" w:eastAsia="Arial" w:hAnsi="Arial"/>
                <w:sz w:val="16"/>
                <w:szCs w:val="16"/>
                <w:color w:val="auto"/>
              </w:rPr>
              <w:t>237,694</w:t>
            </w:r>
          </w:p>
        </w:tc>
        <w:tc>
          <w:tcPr>
            <w:tcW w:w="30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195,173</w:t>
            </w:r>
          </w:p>
        </w:tc>
      </w:tr>
      <w:tr>
        <w:trPr>
          <w:trHeight w:val="270"/>
        </w:trPr>
        <w:tc>
          <w:tcPr>
            <w:tcW w:w="220" w:type="dxa"/>
            <w:vAlign w:val="bottom"/>
          </w:tcPr>
          <w:p>
            <w:pPr>
              <w:spacing w:after="0"/>
              <w:rPr>
                <w:sz w:val="23"/>
                <w:szCs w:val="23"/>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16,761</w:t>
            </w:r>
          </w:p>
        </w:tc>
        <w:tc>
          <w:tcPr>
            <w:tcW w:w="280" w:type="dxa"/>
            <w:vAlign w:val="bottom"/>
          </w:tcPr>
          <w:p>
            <w:pPr>
              <w:spacing w:after="0"/>
              <w:rPr>
                <w:sz w:val="23"/>
                <w:szCs w:val="23"/>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16,045</w:t>
            </w:r>
          </w:p>
        </w:tc>
        <w:tc>
          <w:tcPr>
            <w:tcW w:w="280" w:type="dxa"/>
            <w:vAlign w:val="bottom"/>
          </w:tcPr>
          <w:p>
            <w:pPr>
              <w:spacing w:after="0"/>
              <w:rPr>
                <w:sz w:val="23"/>
                <w:szCs w:val="23"/>
                <w:color w:val="auto"/>
              </w:rPr>
            </w:pPr>
          </w:p>
        </w:tc>
        <w:tc>
          <w:tcPr>
            <w:tcW w:w="840" w:type="dxa"/>
            <w:vAlign w:val="bottom"/>
          </w:tcPr>
          <w:p>
            <w:pPr>
              <w:jc w:val="right"/>
              <w:ind w:right="59"/>
              <w:spacing w:after="0"/>
              <w:rPr>
                <w:sz w:val="20"/>
                <w:szCs w:val="20"/>
                <w:color w:val="auto"/>
              </w:rPr>
            </w:pPr>
            <w:r>
              <w:rPr>
                <w:rFonts w:ascii="Arial" w:cs="Arial" w:eastAsia="Arial" w:hAnsi="Arial"/>
                <w:sz w:val="16"/>
                <w:szCs w:val="16"/>
                <w:color w:val="auto"/>
              </w:rPr>
              <w:t>16,097</w:t>
            </w:r>
          </w:p>
        </w:tc>
        <w:tc>
          <w:tcPr>
            <w:tcW w:w="30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15,717</w:t>
            </w:r>
          </w:p>
        </w:tc>
      </w:tr>
      <w:tr>
        <w:trPr>
          <w:trHeight w:val="270"/>
        </w:trPr>
        <w:tc>
          <w:tcPr>
            <w:tcW w:w="220" w:type="dxa"/>
            <w:vAlign w:val="bottom"/>
          </w:tcPr>
          <w:p>
            <w:pPr>
              <w:spacing w:after="0"/>
              <w:rPr>
                <w:sz w:val="23"/>
                <w:szCs w:val="23"/>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6,262</w:t>
            </w:r>
          </w:p>
        </w:tc>
        <w:tc>
          <w:tcPr>
            <w:tcW w:w="280" w:type="dxa"/>
            <w:vAlign w:val="bottom"/>
          </w:tcPr>
          <w:p>
            <w:pPr>
              <w:spacing w:after="0"/>
              <w:rPr>
                <w:sz w:val="23"/>
                <w:szCs w:val="23"/>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6,278</w:t>
            </w:r>
          </w:p>
        </w:tc>
        <w:tc>
          <w:tcPr>
            <w:tcW w:w="280" w:type="dxa"/>
            <w:vAlign w:val="bottom"/>
          </w:tcPr>
          <w:p>
            <w:pPr>
              <w:spacing w:after="0"/>
              <w:rPr>
                <w:sz w:val="23"/>
                <w:szCs w:val="23"/>
                <w:color w:val="auto"/>
              </w:rPr>
            </w:pPr>
          </w:p>
        </w:tc>
        <w:tc>
          <w:tcPr>
            <w:tcW w:w="840" w:type="dxa"/>
            <w:vAlign w:val="bottom"/>
          </w:tcPr>
          <w:p>
            <w:pPr>
              <w:jc w:val="right"/>
              <w:ind w:right="59"/>
              <w:spacing w:after="0"/>
              <w:rPr>
                <w:sz w:val="20"/>
                <w:szCs w:val="20"/>
                <w:color w:val="auto"/>
              </w:rPr>
            </w:pPr>
            <w:r>
              <w:rPr>
                <w:rFonts w:ascii="Arial" w:cs="Arial" w:eastAsia="Arial" w:hAnsi="Arial"/>
                <w:sz w:val="16"/>
                <w:szCs w:val="16"/>
                <w:color w:val="auto"/>
              </w:rPr>
              <w:t>6,620</w:t>
            </w:r>
          </w:p>
        </w:tc>
        <w:tc>
          <w:tcPr>
            <w:tcW w:w="30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7,511</w:t>
            </w:r>
          </w:p>
        </w:tc>
      </w:tr>
      <w:tr>
        <w:trPr>
          <w:trHeight w:val="279"/>
        </w:trPr>
        <w:tc>
          <w:tcPr>
            <w:tcW w:w="2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1,603</w:t>
            </w:r>
          </w:p>
        </w:tc>
      </w:tr>
      <w:tr>
        <w:trPr>
          <w:trHeight w:val="264"/>
        </w:trPr>
        <w:tc>
          <w:tcPr>
            <w:tcW w:w="22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549,868</w:t>
            </w: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554,793</w:t>
            </w:r>
          </w:p>
        </w:tc>
        <w:tc>
          <w:tcPr>
            <w:tcW w:w="2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553,605</w:t>
            </w:r>
          </w:p>
        </w:tc>
        <w:tc>
          <w:tcPr>
            <w:tcW w:w="30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520,090</w:t>
            </w:r>
          </w:p>
        </w:tc>
      </w:tr>
      <w:tr>
        <w:trPr>
          <w:trHeight w:val="255"/>
        </w:trPr>
        <w:tc>
          <w:tcPr>
            <w:tcW w:w="220" w:type="dxa"/>
            <w:vAlign w:val="bottom"/>
          </w:tcPr>
          <w:p>
            <w:pPr>
              <w:spacing w:after="0"/>
              <w:rPr>
                <w:sz w:val="22"/>
                <w:szCs w:val="22"/>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51,872</w:t>
            </w:r>
          </w:p>
        </w:tc>
        <w:tc>
          <w:tcPr>
            <w:tcW w:w="280" w:type="dxa"/>
            <w:vAlign w:val="bottom"/>
          </w:tcPr>
          <w:p>
            <w:pPr>
              <w:spacing w:after="0"/>
              <w:rPr>
                <w:sz w:val="22"/>
                <w:szCs w:val="22"/>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74,140</w:t>
            </w:r>
          </w:p>
        </w:tc>
        <w:tc>
          <w:tcPr>
            <w:tcW w:w="280" w:type="dxa"/>
            <w:vAlign w:val="bottom"/>
          </w:tcPr>
          <w:p>
            <w:pPr>
              <w:spacing w:after="0"/>
              <w:rPr>
                <w:sz w:val="22"/>
                <w:szCs w:val="22"/>
                <w:color w:val="auto"/>
              </w:rPr>
            </w:pPr>
          </w:p>
        </w:tc>
        <w:tc>
          <w:tcPr>
            <w:tcW w:w="840" w:type="dxa"/>
            <w:vAlign w:val="bottom"/>
          </w:tcPr>
          <w:p>
            <w:pPr>
              <w:jc w:val="right"/>
              <w:ind w:right="59"/>
              <w:spacing w:after="0"/>
              <w:rPr>
                <w:sz w:val="20"/>
                <w:szCs w:val="20"/>
                <w:color w:val="auto"/>
              </w:rPr>
            </w:pPr>
            <w:r>
              <w:rPr>
                <w:rFonts w:ascii="Arial" w:cs="Arial" w:eastAsia="Arial" w:hAnsi="Arial"/>
                <w:sz w:val="16"/>
                <w:szCs w:val="16"/>
                <w:color w:val="auto"/>
              </w:rPr>
              <w:t>68,033</w:t>
            </w:r>
          </w:p>
        </w:tc>
        <w:tc>
          <w:tcPr>
            <w:tcW w:w="300" w:type="dxa"/>
            <w:vAlign w:val="bottom"/>
          </w:tcPr>
          <w:p>
            <w:pPr>
              <w:spacing w:after="0"/>
              <w:rPr>
                <w:sz w:val="22"/>
                <w:szCs w:val="22"/>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109,489</w:t>
            </w:r>
          </w:p>
        </w:tc>
      </w:tr>
      <w:tr>
        <w:trPr>
          <w:trHeight w:val="270"/>
        </w:trPr>
        <w:tc>
          <w:tcPr>
            <w:tcW w:w="220" w:type="dxa"/>
            <w:vAlign w:val="bottom"/>
          </w:tcPr>
          <w:p>
            <w:pPr>
              <w:spacing w:after="0"/>
              <w:rPr>
                <w:sz w:val="23"/>
                <w:szCs w:val="23"/>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1,004</w:t>
            </w:r>
          </w:p>
        </w:tc>
        <w:tc>
          <w:tcPr>
            <w:tcW w:w="28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(891)</w:t>
            </w:r>
          </w:p>
        </w:tc>
        <w:tc>
          <w:tcPr>
            <w:tcW w:w="28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(1,008)</w:t>
            </w:r>
          </w:p>
        </w:tc>
        <w:tc>
          <w:tcPr>
            <w:tcW w:w="3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(7,042)</w:t>
            </w:r>
          </w:p>
        </w:tc>
      </w:tr>
      <w:tr>
        <w:trPr>
          <w:trHeight w:val="270"/>
        </w:trPr>
        <w:tc>
          <w:tcPr>
            <w:tcW w:w="220" w:type="dxa"/>
            <w:vAlign w:val="bottom"/>
          </w:tcPr>
          <w:p>
            <w:pPr>
              <w:spacing w:after="0"/>
              <w:rPr>
                <w:sz w:val="23"/>
                <w:szCs w:val="23"/>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591</w:t>
            </w:r>
          </w:p>
        </w:tc>
        <w:tc>
          <w:tcPr>
            <w:tcW w:w="280" w:type="dxa"/>
            <w:vAlign w:val="bottom"/>
          </w:tcPr>
          <w:p>
            <w:pPr>
              <w:spacing w:after="0"/>
              <w:rPr>
                <w:sz w:val="23"/>
                <w:szCs w:val="23"/>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721</w:t>
            </w:r>
          </w:p>
        </w:tc>
        <w:tc>
          <w:tcPr>
            <w:tcW w:w="280" w:type="dxa"/>
            <w:vAlign w:val="bottom"/>
          </w:tcPr>
          <w:p>
            <w:pPr>
              <w:spacing w:after="0"/>
              <w:rPr>
                <w:sz w:val="23"/>
                <w:szCs w:val="23"/>
                <w:color w:val="auto"/>
              </w:rPr>
            </w:pPr>
          </w:p>
        </w:tc>
        <w:tc>
          <w:tcPr>
            <w:tcW w:w="840" w:type="dxa"/>
            <w:vAlign w:val="bottom"/>
          </w:tcPr>
          <w:p>
            <w:pPr>
              <w:jc w:val="right"/>
              <w:ind w:right="59"/>
              <w:spacing w:after="0"/>
              <w:rPr>
                <w:sz w:val="20"/>
                <w:szCs w:val="20"/>
                <w:color w:val="auto"/>
              </w:rPr>
            </w:pPr>
            <w:r>
              <w:rPr>
                <w:rFonts w:ascii="Arial" w:cs="Arial" w:eastAsia="Arial" w:hAnsi="Arial"/>
                <w:sz w:val="16"/>
                <w:szCs w:val="16"/>
                <w:color w:val="auto"/>
              </w:rPr>
              <w:t>740</w:t>
            </w:r>
          </w:p>
        </w:tc>
        <w:tc>
          <w:tcPr>
            <w:tcW w:w="30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1,041</w:t>
            </w:r>
          </w:p>
        </w:tc>
      </w:tr>
      <w:tr>
        <w:trPr>
          <w:trHeight w:val="270"/>
        </w:trPr>
        <w:tc>
          <w:tcPr>
            <w:tcW w:w="22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(7,948)</w:t>
            </w:r>
          </w:p>
        </w:tc>
        <w:tc>
          <w:tcPr>
            <w:tcW w:w="28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(7,971)</w:t>
            </w:r>
          </w:p>
        </w:tc>
        <w:tc>
          <w:tcPr>
            <w:tcW w:w="28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(8,614)</w:t>
            </w:r>
          </w:p>
        </w:tc>
        <w:tc>
          <w:tcPr>
            <w:tcW w:w="3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(10,857)</w:t>
            </w:r>
          </w:p>
        </w:tc>
      </w:tr>
      <w:tr>
        <w:trPr>
          <w:trHeight w:val="279"/>
        </w:trPr>
        <w:tc>
          <w:tcPr>
            <w:tcW w:w="2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15,096</w:t>
            </w:r>
          </w:p>
        </w:tc>
        <w:tc>
          <w:tcPr>
            <w:tcW w:w="2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19,000</w:t>
            </w:r>
          </w:p>
        </w:tc>
        <w:tc>
          <w:tcPr>
            <w:tcW w:w="2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(18,225)</w:t>
            </w:r>
          </w:p>
        </w:tc>
        <w:tc>
          <w:tcPr>
            <w:tcW w:w="3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(28,513)</w:t>
            </w:r>
          </w:p>
        </w:tc>
      </w:tr>
      <w:tr>
        <w:trPr>
          <w:trHeight w:val="255"/>
        </w:trPr>
        <w:tc>
          <w:tcPr>
            <w:tcW w:w="220" w:type="dxa"/>
            <w:vAlign w:val="bottom"/>
          </w:tcPr>
          <w:p>
            <w:pPr>
              <w:spacing w:after="0"/>
              <w:rPr>
                <w:sz w:val="22"/>
                <w:szCs w:val="22"/>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60,615</w:t>
            </w:r>
          </w:p>
        </w:tc>
        <w:tc>
          <w:tcPr>
            <w:tcW w:w="280" w:type="dxa"/>
            <w:vAlign w:val="bottom"/>
          </w:tcPr>
          <w:p>
            <w:pPr>
              <w:spacing w:after="0"/>
              <w:rPr>
                <w:sz w:val="22"/>
                <w:szCs w:val="22"/>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84,999</w:t>
            </w:r>
          </w:p>
        </w:tc>
        <w:tc>
          <w:tcPr>
            <w:tcW w:w="280" w:type="dxa"/>
            <w:vAlign w:val="bottom"/>
          </w:tcPr>
          <w:p>
            <w:pPr>
              <w:spacing w:after="0"/>
              <w:rPr>
                <w:sz w:val="22"/>
                <w:szCs w:val="22"/>
                <w:color w:val="auto"/>
              </w:rPr>
            </w:pPr>
          </w:p>
        </w:tc>
        <w:tc>
          <w:tcPr>
            <w:tcW w:w="840" w:type="dxa"/>
            <w:vAlign w:val="bottom"/>
          </w:tcPr>
          <w:p>
            <w:pPr>
              <w:jc w:val="right"/>
              <w:ind w:right="59"/>
              <w:spacing w:after="0"/>
              <w:rPr>
                <w:sz w:val="20"/>
                <w:szCs w:val="20"/>
                <w:color w:val="auto"/>
              </w:rPr>
            </w:pPr>
            <w:r>
              <w:rPr>
                <w:rFonts w:ascii="Arial" w:cs="Arial" w:eastAsia="Arial" w:hAnsi="Arial"/>
                <w:sz w:val="16"/>
                <w:szCs w:val="16"/>
                <w:color w:val="auto"/>
              </w:rPr>
              <w:t>40,926</w:t>
            </w:r>
          </w:p>
        </w:tc>
        <w:tc>
          <w:tcPr>
            <w:tcW w:w="300" w:type="dxa"/>
            <w:vAlign w:val="bottom"/>
          </w:tcPr>
          <w:p>
            <w:pPr>
              <w:spacing w:after="0"/>
              <w:rPr>
                <w:sz w:val="22"/>
                <w:szCs w:val="22"/>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64,118</w:t>
            </w:r>
          </w:p>
        </w:tc>
      </w:tr>
      <w:tr>
        <w:trPr>
          <w:trHeight w:val="279"/>
        </w:trPr>
        <w:tc>
          <w:tcPr>
            <w:tcW w:w="2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22,400</w:t>
            </w:r>
          </w:p>
        </w:tc>
        <w:tc>
          <w:tcPr>
            <w:tcW w:w="2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23,800</w:t>
            </w:r>
          </w:p>
        </w:tc>
        <w:tc>
          <w:tcPr>
            <w:tcW w:w="2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7,800</w:t>
            </w:r>
          </w:p>
        </w:tc>
        <w:tc>
          <w:tcPr>
            <w:tcW w:w="3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27,200</w:t>
            </w:r>
          </w:p>
        </w:tc>
      </w:tr>
      <w:tr>
        <w:trPr>
          <w:trHeight w:val="255"/>
        </w:trPr>
        <w:tc>
          <w:tcPr>
            <w:tcW w:w="220" w:type="dxa"/>
            <w:vAlign w:val="bottom"/>
          </w:tcPr>
          <w:p>
            <w:pPr>
              <w:spacing w:after="0"/>
              <w:rPr>
                <w:sz w:val="22"/>
                <w:szCs w:val="22"/>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38,215</w:t>
            </w:r>
          </w:p>
        </w:tc>
        <w:tc>
          <w:tcPr>
            <w:tcW w:w="280" w:type="dxa"/>
            <w:vAlign w:val="bottom"/>
          </w:tcPr>
          <w:p>
            <w:pPr>
              <w:spacing w:after="0"/>
              <w:rPr>
                <w:sz w:val="22"/>
                <w:szCs w:val="22"/>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61,199</w:t>
            </w:r>
          </w:p>
        </w:tc>
        <w:tc>
          <w:tcPr>
            <w:tcW w:w="280" w:type="dxa"/>
            <w:vAlign w:val="bottom"/>
          </w:tcPr>
          <w:p>
            <w:pPr>
              <w:spacing w:after="0"/>
              <w:rPr>
                <w:sz w:val="22"/>
                <w:szCs w:val="22"/>
                <w:color w:val="auto"/>
              </w:rPr>
            </w:pPr>
          </w:p>
        </w:tc>
        <w:tc>
          <w:tcPr>
            <w:tcW w:w="840" w:type="dxa"/>
            <w:vAlign w:val="bottom"/>
          </w:tcPr>
          <w:p>
            <w:pPr>
              <w:jc w:val="right"/>
              <w:ind w:right="59"/>
              <w:spacing w:after="0"/>
              <w:rPr>
                <w:sz w:val="20"/>
                <w:szCs w:val="20"/>
                <w:color w:val="auto"/>
              </w:rPr>
            </w:pPr>
            <w:r>
              <w:rPr>
                <w:rFonts w:ascii="Arial" w:cs="Arial" w:eastAsia="Arial" w:hAnsi="Arial"/>
                <w:sz w:val="16"/>
                <w:szCs w:val="16"/>
                <w:color w:val="auto"/>
              </w:rPr>
              <w:t>33,126</w:t>
            </w:r>
          </w:p>
        </w:tc>
        <w:tc>
          <w:tcPr>
            <w:tcW w:w="300" w:type="dxa"/>
            <w:vAlign w:val="bottom"/>
          </w:tcPr>
          <w:p>
            <w:pPr>
              <w:spacing w:after="0"/>
              <w:rPr>
                <w:sz w:val="22"/>
                <w:szCs w:val="22"/>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36,918</w:t>
            </w:r>
          </w:p>
        </w:tc>
      </w:tr>
      <w:tr>
        <w:trPr>
          <w:trHeight w:val="279"/>
        </w:trPr>
        <w:tc>
          <w:tcPr>
            <w:tcW w:w="2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(435)</w:t>
            </w:r>
          </w:p>
        </w:tc>
        <w:tc>
          <w:tcPr>
            <w:tcW w:w="2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(433)</w:t>
            </w:r>
          </w:p>
        </w:tc>
        <w:tc>
          <w:tcPr>
            <w:tcW w:w="2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r>
      <w:tr>
        <w:trPr>
          <w:trHeight w:val="264"/>
        </w:trPr>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37,780</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60,766</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33,126</w:t>
            </w:r>
          </w:p>
        </w:tc>
        <w:tc>
          <w:tcPr>
            <w:tcW w:w="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36,918</w:t>
            </w:r>
          </w:p>
        </w:tc>
      </w:tr>
      <w:tr>
        <w:trPr>
          <w:trHeight w:val="20"/>
        </w:trPr>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392"/>
        </w:trPr>
        <w:tc>
          <w:tcPr>
            <w:tcW w:w="2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r>
      <w:tr>
        <w:trPr>
          <w:trHeight w:val="257"/>
        </w:trPr>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6.63</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10.82</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5.90</w:t>
            </w:r>
          </w:p>
        </w:tc>
        <w:tc>
          <w:tcPr>
            <w:tcW w:w="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6.60</w:t>
            </w:r>
          </w:p>
        </w:tc>
      </w:tr>
      <w:tr>
        <w:trPr>
          <w:trHeight w:val="20"/>
        </w:trPr>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251"/>
        </w:trPr>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6.59</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10.76</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5.87</w:t>
            </w:r>
          </w:p>
        </w:tc>
        <w:tc>
          <w:tcPr>
            <w:tcW w:w="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6.57</w:t>
            </w:r>
          </w:p>
        </w:tc>
      </w:tr>
      <w:tr>
        <w:trPr>
          <w:trHeight w:val="20"/>
        </w:trPr>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242"/>
        </w:trPr>
        <w:tc>
          <w:tcPr>
            <w:tcW w:w="220" w:type="dxa"/>
            <w:vAlign w:val="bottom"/>
          </w:tcPr>
          <w:p>
            <w:pPr>
              <w:spacing w:after="0"/>
              <w:rPr>
                <w:sz w:val="21"/>
                <w:szCs w:val="21"/>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5,623</w:t>
            </w:r>
          </w:p>
        </w:tc>
        <w:tc>
          <w:tcPr>
            <w:tcW w:w="280" w:type="dxa"/>
            <w:vAlign w:val="bottom"/>
          </w:tcPr>
          <w:p>
            <w:pPr>
              <w:spacing w:after="0"/>
              <w:rPr>
                <w:sz w:val="21"/>
                <w:szCs w:val="21"/>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5,544</w:t>
            </w:r>
          </w:p>
        </w:tc>
        <w:tc>
          <w:tcPr>
            <w:tcW w:w="280" w:type="dxa"/>
            <w:vAlign w:val="bottom"/>
          </w:tcPr>
          <w:p>
            <w:pPr>
              <w:spacing w:after="0"/>
              <w:rPr>
                <w:sz w:val="21"/>
                <w:szCs w:val="21"/>
                <w:color w:val="auto"/>
              </w:rPr>
            </w:pPr>
          </w:p>
        </w:tc>
        <w:tc>
          <w:tcPr>
            <w:tcW w:w="840" w:type="dxa"/>
            <w:vAlign w:val="bottom"/>
          </w:tcPr>
          <w:p>
            <w:pPr>
              <w:jc w:val="right"/>
              <w:ind w:right="59"/>
              <w:spacing w:after="0"/>
              <w:rPr>
                <w:sz w:val="20"/>
                <w:szCs w:val="20"/>
                <w:color w:val="auto"/>
              </w:rPr>
            </w:pPr>
            <w:r>
              <w:rPr>
                <w:rFonts w:ascii="Arial" w:cs="Arial" w:eastAsia="Arial" w:hAnsi="Arial"/>
                <w:sz w:val="16"/>
                <w:szCs w:val="16"/>
                <w:color w:val="auto"/>
              </w:rPr>
              <w:t>5,544</w:t>
            </w:r>
          </w:p>
        </w:tc>
        <w:tc>
          <w:tcPr>
            <w:tcW w:w="300" w:type="dxa"/>
            <w:vAlign w:val="bottom"/>
          </w:tcPr>
          <w:p>
            <w:pPr>
              <w:spacing w:after="0"/>
              <w:rPr>
                <w:sz w:val="21"/>
                <w:szCs w:val="21"/>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5,527</w:t>
            </w:r>
          </w:p>
        </w:tc>
      </w:tr>
      <w:tr>
        <w:trPr>
          <w:trHeight w:val="270"/>
        </w:trPr>
        <w:tc>
          <w:tcPr>
            <w:tcW w:w="220" w:type="dxa"/>
            <w:vAlign w:val="bottom"/>
          </w:tcPr>
          <w:p>
            <w:pPr>
              <w:spacing w:after="0"/>
              <w:rPr>
                <w:sz w:val="23"/>
                <w:szCs w:val="23"/>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5,652</w:t>
            </w:r>
          </w:p>
        </w:tc>
        <w:tc>
          <w:tcPr>
            <w:tcW w:w="280" w:type="dxa"/>
            <w:vAlign w:val="bottom"/>
          </w:tcPr>
          <w:p>
            <w:pPr>
              <w:spacing w:after="0"/>
              <w:rPr>
                <w:sz w:val="23"/>
                <w:szCs w:val="23"/>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5,574</w:t>
            </w:r>
          </w:p>
        </w:tc>
        <w:tc>
          <w:tcPr>
            <w:tcW w:w="280" w:type="dxa"/>
            <w:vAlign w:val="bottom"/>
          </w:tcPr>
          <w:p>
            <w:pPr>
              <w:spacing w:after="0"/>
              <w:rPr>
                <w:sz w:val="23"/>
                <w:szCs w:val="23"/>
                <w:color w:val="auto"/>
              </w:rPr>
            </w:pPr>
          </w:p>
        </w:tc>
        <w:tc>
          <w:tcPr>
            <w:tcW w:w="840" w:type="dxa"/>
            <w:vAlign w:val="bottom"/>
          </w:tcPr>
          <w:p>
            <w:pPr>
              <w:jc w:val="right"/>
              <w:ind w:right="59"/>
              <w:spacing w:after="0"/>
              <w:rPr>
                <w:sz w:val="20"/>
                <w:szCs w:val="20"/>
                <w:color w:val="auto"/>
              </w:rPr>
            </w:pPr>
            <w:r>
              <w:rPr>
                <w:rFonts w:ascii="Arial" w:cs="Arial" w:eastAsia="Arial" w:hAnsi="Arial"/>
                <w:sz w:val="16"/>
                <w:szCs w:val="16"/>
                <w:color w:val="auto"/>
              </w:rPr>
              <w:t>5,574</w:t>
            </w:r>
          </w:p>
        </w:tc>
        <w:tc>
          <w:tcPr>
            <w:tcW w:w="30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5,556</w:t>
            </w:r>
          </w:p>
        </w:tc>
      </w:tr>
      <w:tr>
        <w:trPr>
          <w:trHeight w:val="270"/>
        </w:trPr>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41,015</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49,996</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59"/>
              <w:spacing w:after="0"/>
              <w:rPr>
                <w:sz w:val="20"/>
                <w:szCs w:val="20"/>
                <w:color w:val="auto"/>
              </w:rPr>
            </w:pPr>
            <w:r>
              <w:rPr>
                <w:rFonts w:ascii="Arial" w:cs="Arial" w:eastAsia="Arial" w:hAnsi="Arial"/>
                <w:sz w:val="16"/>
                <w:szCs w:val="16"/>
                <w:color w:val="auto"/>
              </w:rPr>
              <w:t>40,331</w:t>
            </w:r>
          </w:p>
        </w:tc>
        <w:tc>
          <w:tcPr>
            <w:tcW w:w="3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(40,946)</w:t>
            </w:r>
          </w:p>
        </w:tc>
      </w:tr>
    </w:tbl>
    <w:p>
      <w:pPr>
        <w:spacing w:after="0" w:line="151" w:lineRule="exact"/>
        <w:rPr>
          <w:sz w:val="20"/>
          <w:szCs w:val="20"/>
          <w:color w:val="auto"/>
        </w:rPr>
      </w:pPr>
    </w:p>
    <w:p>
      <w:pPr>
        <w:sectPr>
          <w:pgSz w:w="11900" w:h="16838" w:orient="portrait"/>
          <w:cols w:equalWidth="0" w:num="2">
            <w:col w:w="6880" w:space="100"/>
            <w:col w:w="4440"/>
          </w:cols>
          <w:pgMar w:left="240" w:top="722" w:right="239" w:bottom="1440" w:gutter="0" w:footer="0" w:header="0"/>
          <w:type w:val="continuous"/>
        </w:sectPr>
      </w:pPr>
    </w:p>
    <w:p>
      <w:pPr>
        <w:spacing w:after="0"/>
        <w:rPr>
          <w:sz w:val="20"/>
          <w:szCs w:val="20"/>
          <w:color w:val="auto"/>
        </w:rPr>
      </w:pPr>
      <w:r>
        <w:rPr>
          <w:rFonts w:ascii="Arial" w:cs="Arial" w:eastAsia="Arial" w:hAnsi="Arial"/>
          <w:sz w:val="14"/>
          <w:szCs w:val="14"/>
          <w:color w:val="auto"/>
        </w:rPr>
        <w:t>The sum of the four quarters may not necessarily be equal to the annual amounts reported in the Consolidated Statements of Operations due to rounding.</w:t>
      </w: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420"/>
          </w:cols>
          <w:pgMar w:left="240" w:top="722" w:right="239" w:bottom="1440" w:gutter="0" w:footer="0" w:header="0"/>
          <w:type w:val="continuous"/>
        </w:sectPr>
      </w:pPr>
    </w:p>
    <w:bookmarkStart w:id="116" w:name="page117"/>
    <w:bookmarkEnd w:id="116"/>
    <w:p>
      <w:pPr>
        <w:spacing w:after="0"/>
        <w:rPr>
          <w:sz w:val="20"/>
          <w:szCs w:val="20"/>
          <w:color w:val="auto"/>
        </w:rPr>
      </w:pPr>
      <w:r>
        <w:rPr>
          <w:rFonts w:ascii="Arial" w:cs="Arial" w:eastAsia="Arial" w:hAnsi="Arial"/>
          <w:sz w:val="18"/>
          <w:szCs w:val="18"/>
          <w:color w:val="auto"/>
        </w:rPr>
        <w:t>Quarterly results of operations and comprehensive income for the year ended December 31, 2015, is as follows: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980" w:type="dxa"/>
            <w:vAlign w:val="bottom"/>
          </w:tcPr>
          <w:p>
            <w:pPr>
              <w:spacing w:after="0"/>
              <w:rPr>
                <w:sz w:val="14"/>
                <w:szCs w:val="14"/>
                <w:color w:val="auto"/>
              </w:rPr>
            </w:pPr>
          </w:p>
        </w:tc>
        <w:tc>
          <w:tcPr>
            <w:tcW w:w="1060" w:type="dxa"/>
            <w:vAlign w:val="bottom"/>
          </w:tcPr>
          <w:p>
            <w:pPr>
              <w:jc w:val="right"/>
              <w:ind w:right="302"/>
              <w:spacing w:after="0"/>
              <w:rPr>
                <w:sz w:val="20"/>
                <w:szCs w:val="20"/>
                <w:color w:val="auto"/>
              </w:rPr>
            </w:pPr>
            <w:r>
              <w:rPr>
                <w:rFonts w:ascii="Arial" w:cs="Arial" w:eastAsia="Arial" w:hAnsi="Arial"/>
                <w:sz w:val="14"/>
                <w:szCs w:val="14"/>
                <w:b w:val="1"/>
                <w:bCs w:val="1"/>
                <w:color w:val="auto"/>
              </w:rPr>
              <w:t>First</w:t>
            </w:r>
          </w:p>
        </w:tc>
        <w:tc>
          <w:tcPr>
            <w:tcW w:w="1120" w:type="dxa"/>
            <w:vAlign w:val="bottom"/>
          </w:tcPr>
          <w:p>
            <w:pPr>
              <w:jc w:val="right"/>
              <w:ind w:right="182"/>
              <w:spacing w:after="0"/>
              <w:rPr>
                <w:sz w:val="20"/>
                <w:szCs w:val="20"/>
                <w:color w:val="auto"/>
              </w:rPr>
            </w:pPr>
            <w:r>
              <w:rPr>
                <w:rFonts w:ascii="Arial" w:cs="Arial" w:eastAsia="Arial" w:hAnsi="Arial"/>
                <w:sz w:val="14"/>
                <w:szCs w:val="14"/>
                <w:b w:val="1"/>
                <w:bCs w:val="1"/>
                <w:color w:val="auto"/>
              </w:rPr>
              <w:t>Second</w:t>
            </w:r>
          </w:p>
        </w:tc>
        <w:tc>
          <w:tcPr>
            <w:tcW w:w="1140" w:type="dxa"/>
            <w:vAlign w:val="bottom"/>
          </w:tcPr>
          <w:p>
            <w:pPr>
              <w:jc w:val="right"/>
              <w:ind w:right="262"/>
              <w:spacing w:after="0"/>
              <w:rPr>
                <w:sz w:val="20"/>
                <w:szCs w:val="20"/>
                <w:color w:val="auto"/>
              </w:rPr>
            </w:pPr>
            <w:r>
              <w:rPr>
                <w:rFonts w:ascii="Arial" w:cs="Arial" w:eastAsia="Arial" w:hAnsi="Arial"/>
                <w:sz w:val="14"/>
                <w:szCs w:val="14"/>
                <w:b w:val="1"/>
                <w:bCs w:val="1"/>
                <w:color w:val="auto"/>
              </w:rPr>
              <w:t>Third</w:t>
            </w:r>
          </w:p>
        </w:tc>
        <w:tc>
          <w:tcPr>
            <w:tcW w:w="1120" w:type="dxa"/>
            <w:vAlign w:val="bottom"/>
          </w:tcPr>
          <w:p>
            <w:pPr>
              <w:jc w:val="right"/>
              <w:ind w:right="202"/>
              <w:spacing w:after="0"/>
              <w:rPr>
                <w:sz w:val="20"/>
                <w:szCs w:val="20"/>
                <w:color w:val="auto"/>
              </w:rPr>
            </w:pPr>
            <w:r>
              <w:rPr>
                <w:rFonts w:ascii="Arial" w:cs="Arial" w:eastAsia="Arial" w:hAnsi="Arial"/>
                <w:sz w:val="14"/>
                <w:szCs w:val="14"/>
                <w:b w:val="1"/>
                <w:bCs w:val="1"/>
                <w:color w:val="auto"/>
              </w:rPr>
              <w:t>Fourth</w:t>
            </w:r>
          </w:p>
        </w:tc>
      </w:tr>
      <w:tr>
        <w:trPr>
          <w:trHeight w:val="203"/>
        </w:trPr>
        <w:tc>
          <w:tcPr>
            <w:tcW w:w="69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 except per share amounts)</w:t>
            </w:r>
          </w:p>
        </w:tc>
        <w:tc>
          <w:tcPr>
            <w:tcW w:w="1060" w:type="dxa"/>
            <w:vAlign w:val="bottom"/>
            <w:tcBorders>
              <w:bottom w:val="single" w:sz="8" w:color="auto"/>
            </w:tcBorders>
          </w:tcPr>
          <w:p>
            <w:pPr>
              <w:jc w:val="right"/>
              <w:ind w:right="202"/>
              <w:spacing w:after="0"/>
              <w:rPr>
                <w:sz w:val="20"/>
                <w:szCs w:val="20"/>
                <w:color w:val="auto"/>
              </w:rPr>
            </w:pPr>
            <w:r>
              <w:rPr>
                <w:rFonts w:ascii="Arial" w:cs="Arial" w:eastAsia="Arial" w:hAnsi="Arial"/>
                <w:sz w:val="14"/>
                <w:szCs w:val="14"/>
                <w:b w:val="1"/>
                <w:bCs w:val="1"/>
                <w:color w:val="auto"/>
              </w:rPr>
              <w:t>Quarter</w:t>
            </w:r>
          </w:p>
        </w:tc>
        <w:tc>
          <w:tcPr>
            <w:tcW w:w="1120" w:type="dxa"/>
            <w:vAlign w:val="bottom"/>
            <w:tcBorders>
              <w:bottom w:val="single" w:sz="8" w:color="auto"/>
            </w:tcBorders>
          </w:tcPr>
          <w:p>
            <w:pPr>
              <w:jc w:val="right"/>
              <w:ind w:right="182"/>
              <w:spacing w:after="0"/>
              <w:rPr>
                <w:sz w:val="20"/>
                <w:szCs w:val="20"/>
                <w:color w:val="auto"/>
              </w:rPr>
            </w:pPr>
            <w:r>
              <w:rPr>
                <w:rFonts w:ascii="Arial" w:cs="Arial" w:eastAsia="Arial" w:hAnsi="Arial"/>
                <w:sz w:val="14"/>
                <w:szCs w:val="14"/>
                <w:b w:val="1"/>
                <w:bCs w:val="1"/>
                <w:color w:val="auto"/>
              </w:rPr>
              <w:t>Quarter</w:t>
            </w:r>
          </w:p>
        </w:tc>
        <w:tc>
          <w:tcPr>
            <w:tcW w:w="1140" w:type="dxa"/>
            <w:vAlign w:val="bottom"/>
            <w:tcBorders>
              <w:bottom w:val="single" w:sz="8" w:color="auto"/>
            </w:tcBorders>
          </w:tcPr>
          <w:p>
            <w:pPr>
              <w:jc w:val="right"/>
              <w:ind w:right="182"/>
              <w:spacing w:after="0"/>
              <w:rPr>
                <w:sz w:val="20"/>
                <w:szCs w:val="20"/>
                <w:color w:val="auto"/>
              </w:rPr>
            </w:pPr>
            <w:r>
              <w:rPr>
                <w:rFonts w:ascii="Arial" w:cs="Arial" w:eastAsia="Arial" w:hAnsi="Arial"/>
                <w:sz w:val="14"/>
                <w:szCs w:val="14"/>
                <w:b w:val="1"/>
                <w:bCs w:val="1"/>
                <w:color w:val="auto"/>
              </w:rPr>
              <w:t>Quarter</w:t>
            </w:r>
          </w:p>
        </w:tc>
        <w:tc>
          <w:tcPr>
            <w:tcW w:w="1120" w:type="dxa"/>
            <w:vAlign w:val="bottom"/>
            <w:tcBorders>
              <w:bottom w:val="single" w:sz="8" w:color="auto"/>
            </w:tcBorders>
          </w:tcPr>
          <w:p>
            <w:pPr>
              <w:jc w:val="right"/>
              <w:ind w:right="182"/>
              <w:spacing w:after="0"/>
              <w:rPr>
                <w:sz w:val="20"/>
                <w:szCs w:val="20"/>
                <w:color w:val="auto"/>
              </w:rPr>
            </w:pPr>
            <w:r>
              <w:rPr>
                <w:rFonts w:ascii="Arial" w:cs="Arial" w:eastAsia="Arial" w:hAnsi="Arial"/>
                <w:sz w:val="14"/>
                <w:szCs w:val="14"/>
                <w:b w:val="1"/>
                <w:bCs w:val="1"/>
                <w:color w:val="auto"/>
              </w:rPr>
              <w:t>Quarter</w:t>
            </w:r>
          </w:p>
        </w:tc>
      </w:tr>
      <w:tr>
        <w:trPr>
          <w:trHeight w:val="257"/>
        </w:trPr>
        <w:tc>
          <w:tcPr>
            <w:tcW w:w="6980" w:type="dxa"/>
            <w:vAlign w:val="bottom"/>
          </w:tcPr>
          <w:p>
            <w:pPr>
              <w:ind w:left="40"/>
              <w:spacing w:after="0"/>
              <w:rPr>
                <w:sz w:val="20"/>
                <w:szCs w:val="20"/>
                <w:color w:val="auto"/>
              </w:rPr>
            </w:pPr>
            <w:r>
              <w:rPr>
                <w:rFonts w:ascii="Arial" w:cs="Arial" w:eastAsia="Arial" w:hAnsi="Arial"/>
                <w:sz w:val="16"/>
                <w:szCs w:val="16"/>
                <w:b w:val="1"/>
                <w:bCs w:val="1"/>
                <w:color w:val="auto"/>
              </w:rPr>
              <w:t>Operating Revenues</w:t>
            </w:r>
          </w:p>
        </w:tc>
        <w:tc>
          <w:tcPr>
            <w:tcW w:w="10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62"/>
        </w:trPr>
        <w:tc>
          <w:tcPr>
            <w:tcW w:w="6980" w:type="dxa"/>
            <w:vAlign w:val="bottom"/>
          </w:tcPr>
          <w:p>
            <w:pPr>
              <w:ind w:left="280"/>
              <w:spacing w:after="0"/>
              <w:rPr>
                <w:sz w:val="20"/>
                <w:szCs w:val="20"/>
                <w:color w:val="auto"/>
              </w:rPr>
            </w:pPr>
            <w:r>
              <w:rPr>
                <w:rFonts w:ascii="Arial" w:cs="Arial" w:eastAsia="Arial" w:hAnsi="Arial"/>
                <w:sz w:val="16"/>
                <w:szCs w:val="16"/>
                <w:color w:val="auto"/>
              </w:rPr>
              <w:t>Education</w:t>
            </w:r>
          </w:p>
        </w:tc>
        <w:tc>
          <w:tcPr>
            <w:tcW w:w="1060" w:type="dxa"/>
            <w:vAlign w:val="bottom"/>
          </w:tcPr>
          <w:p>
            <w:pPr>
              <w:jc w:val="right"/>
              <w:ind w:right="62"/>
              <w:spacing w:after="0"/>
              <w:rPr>
                <w:sz w:val="20"/>
                <w:szCs w:val="20"/>
                <w:color w:val="auto"/>
              </w:rPr>
            </w:pPr>
            <w:r>
              <w:rPr>
                <w:rFonts w:ascii="Arial" w:cs="Arial" w:eastAsia="Arial" w:hAnsi="Arial"/>
                <w:sz w:val="16"/>
                <w:szCs w:val="16"/>
                <w:color w:val="auto"/>
              </w:rPr>
              <w:t>$   500,602</w:t>
            </w:r>
          </w:p>
        </w:tc>
        <w:tc>
          <w:tcPr>
            <w:tcW w:w="1120" w:type="dxa"/>
            <w:vAlign w:val="bottom"/>
          </w:tcPr>
          <w:p>
            <w:pPr>
              <w:jc w:val="right"/>
              <w:ind w:right="42"/>
              <w:spacing w:after="0"/>
              <w:rPr>
                <w:sz w:val="20"/>
                <w:szCs w:val="20"/>
                <w:color w:val="auto"/>
              </w:rPr>
            </w:pPr>
            <w:r>
              <w:rPr>
                <w:rFonts w:ascii="Arial" w:cs="Arial" w:eastAsia="Arial" w:hAnsi="Arial"/>
                <w:sz w:val="16"/>
                <w:szCs w:val="16"/>
                <w:color w:val="auto"/>
              </w:rPr>
              <w:t>$   523,625</w:t>
            </w:r>
          </w:p>
        </w:tc>
        <w:tc>
          <w:tcPr>
            <w:tcW w:w="1140" w:type="dxa"/>
            <w:vAlign w:val="bottom"/>
          </w:tcPr>
          <w:p>
            <w:pPr>
              <w:jc w:val="right"/>
              <w:ind w:right="42"/>
              <w:spacing w:after="0"/>
              <w:rPr>
                <w:sz w:val="20"/>
                <w:szCs w:val="20"/>
                <w:color w:val="auto"/>
              </w:rPr>
            </w:pPr>
            <w:r>
              <w:rPr>
                <w:rFonts w:ascii="Arial" w:cs="Arial" w:eastAsia="Arial" w:hAnsi="Arial"/>
                <w:sz w:val="16"/>
                <w:szCs w:val="16"/>
                <w:color w:val="auto"/>
              </w:rPr>
              <w:t>$   481,687</w:t>
            </w:r>
          </w:p>
        </w:tc>
        <w:tc>
          <w:tcPr>
            <w:tcW w:w="1120" w:type="dxa"/>
            <w:vAlign w:val="bottom"/>
          </w:tcPr>
          <w:p>
            <w:pPr>
              <w:jc w:val="right"/>
              <w:ind w:right="22"/>
              <w:spacing w:after="0"/>
              <w:rPr>
                <w:sz w:val="20"/>
                <w:szCs w:val="20"/>
                <w:color w:val="auto"/>
              </w:rPr>
            </w:pPr>
            <w:r>
              <w:rPr>
                <w:rFonts w:ascii="Arial" w:cs="Arial" w:eastAsia="Arial" w:hAnsi="Arial"/>
                <w:sz w:val="16"/>
                <w:szCs w:val="16"/>
                <w:color w:val="auto"/>
              </w:rPr>
              <w:t>$   421,491</w:t>
            </w:r>
          </w:p>
        </w:tc>
      </w:tr>
      <w:tr>
        <w:trPr>
          <w:trHeight w:val="270"/>
        </w:trPr>
        <w:tc>
          <w:tcPr>
            <w:tcW w:w="6980" w:type="dxa"/>
            <w:vAlign w:val="bottom"/>
          </w:tcPr>
          <w:p>
            <w:pPr>
              <w:ind w:left="280"/>
              <w:spacing w:after="0"/>
              <w:rPr>
                <w:sz w:val="20"/>
                <w:szCs w:val="20"/>
                <w:color w:val="auto"/>
              </w:rPr>
            </w:pPr>
            <w:r>
              <w:rPr>
                <w:rFonts w:ascii="Arial" w:cs="Arial" w:eastAsia="Arial" w:hAnsi="Arial"/>
                <w:sz w:val="16"/>
                <w:szCs w:val="16"/>
                <w:color w:val="auto"/>
              </w:rPr>
              <w:t>Advertising</w:t>
            </w:r>
          </w:p>
        </w:tc>
        <w:tc>
          <w:tcPr>
            <w:tcW w:w="1060" w:type="dxa"/>
            <w:vAlign w:val="bottom"/>
          </w:tcPr>
          <w:p>
            <w:pPr>
              <w:jc w:val="right"/>
              <w:ind w:right="62"/>
              <w:spacing w:after="0"/>
              <w:rPr>
                <w:sz w:val="20"/>
                <w:szCs w:val="20"/>
                <w:color w:val="auto"/>
              </w:rPr>
            </w:pPr>
            <w:r>
              <w:rPr>
                <w:rFonts w:ascii="Arial" w:cs="Arial" w:eastAsia="Arial" w:hAnsi="Arial"/>
                <w:sz w:val="16"/>
                <w:szCs w:val="16"/>
                <w:color w:val="auto"/>
              </w:rPr>
              <w:t>66,454</w:t>
            </w:r>
          </w:p>
        </w:tc>
        <w:tc>
          <w:tcPr>
            <w:tcW w:w="1120" w:type="dxa"/>
            <w:vAlign w:val="bottom"/>
          </w:tcPr>
          <w:p>
            <w:pPr>
              <w:jc w:val="right"/>
              <w:ind w:right="42"/>
              <w:spacing w:after="0"/>
              <w:rPr>
                <w:sz w:val="20"/>
                <w:szCs w:val="20"/>
                <w:color w:val="auto"/>
              </w:rPr>
            </w:pPr>
            <w:r>
              <w:rPr>
                <w:rFonts w:ascii="Arial" w:cs="Arial" w:eastAsia="Arial" w:hAnsi="Arial"/>
                <w:sz w:val="16"/>
                <w:szCs w:val="16"/>
                <w:color w:val="auto"/>
              </w:rPr>
              <w:t>70,137</w:t>
            </w:r>
          </w:p>
        </w:tc>
        <w:tc>
          <w:tcPr>
            <w:tcW w:w="1140" w:type="dxa"/>
            <w:vAlign w:val="bottom"/>
          </w:tcPr>
          <w:p>
            <w:pPr>
              <w:jc w:val="right"/>
              <w:ind w:right="42"/>
              <w:spacing w:after="0"/>
              <w:rPr>
                <w:sz w:val="20"/>
                <w:szCs w:val="20"/>
                <w:color w:val="auto"/>
              </w:rPr>
            </w:pPr>
            <w:r>
              <w:rPr>
                <w:rFonts w:ascii="Arial" w:cs="Arial" w:eastAsia="Arial" w:hAnsi="Arial"/>
                <w:sz w:val="16"/>
                <w:szCs w:val="16"/>
                <w:color w:val="auto"/>
              </w:rPr>
              <w:t>68,898</w:t>
            </w:r>
          </w:p>
        </w:tc>
        <w:tc>
          <w:tcPr>
            <w:tcW w:w="1120" w:type="dxa"/>
            <w:vAlign w:val="bottom"/>
          </w:tcPr>
          <w:p>
            <w:pPr>
              <w:jc w:val="right"/>
              <w:ind w:right="22"/>
              <w:spacing w:after="0"/>
              <w:rPr>
                <w:sz w:val="20"/>
                <w:szCs w:val="20"/>
                <w:color w:val="auto"/>
              </w:rPr>
            </w:pPr>
            <w:r>
              <w:rPr>
                <w:rFonts w:ascii="Arial" w:cs="Arial" w:eastAsia="Arial" w:hAnsi="Arial"/>
                <w:sz w:val="16"/>
                <w:szCs w:val="16"/>
                <w:color w:val="auto"/>
              </w:rPr>
              <w:t>74,435</w:t>
            </w:r>
          </w:p>
        </w:tc>
      </w:tr>
      <w:tr>
        <w:trPr>
          <w:trHeight w:val="279"/>
        </w:trPr>
        <w:tc>
          <w:tcPr>
            <w:tcW w:w="6980" w:type="dxa"/>
            <w:vAlign w:val="bottom"/>
          </w:tcPr>
          <w:p>
            <w:pPr>
              <w:ind w:left="280"/>
              <w:spacing w:after="0"/>
              <w:rPr>
                <w:sz w:val="20"/>
                <w:szCs w:val="20"/>
                <w:color w:val="auto"/>
              </w:rPr>
            </w:pPr>
            <w:r>
              <w:rPr>
                <w:rFonts w:ascii="Arial" w:cs="Arial" w:eastAsia="Arial" w:hAnsi="Arial"/>
                <w:sz w:val="16"/>
                <w:szCs w:val="16"/>
                <w:color w:val="auto"/>
              </w:rPr>
              <w:t>Other</w:t>
            </w:r>
          </w:p>
        </w:tc>
        <w:tc>
          <w:tcPr>
            <w:tcW w:w="106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rPr>
              <w:t>80,369</w:t>
            </w:r>
          </w:p>
        </w:tc>
        <w:tc>
          <w:tcPr>
            <w:tcW w:w="112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87,128</w:t>
            </w:r>
          </w:p>
        </w:tc>
        <w:tc>
          <w:tcPr>
            <w:tcW w:w="114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90,847</w:t>
            </w:r>
          </w:p>
        </w:tc>
        <w:tc>
          <w:tcPr>
            <w:tcW w:w="112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120,441</w:t>
            </w:r>
          </w:p>
        </w:tc>
      </w:tr>
      <w:tr>
        <w:trPr>
          <w:trHeight w:val="264"/>
        </w:trPr>
        <w:tc>
          <w:tcPr>
            <w:tcW w:w="6980" w:type="dxa"/>
            <w:vAlign w:val="bottom"/>
          </w:tcPr>
          <w:p>
            <w:pPr>
              <w:spacing w:after="0"/>
              <w:rPr>
                <w:sz w:val="22"/>
                <w:szCs w:val="22"/>
                <w:color w:val="auto"/>
              </w:rPr>
            </w:pPr>
          </w:p>
        </w:tc>
        <w:tc>
          <w:tcPr>
            <w:tcW w:w="106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rPr>
              <w:t>647,425</w:t>
            </w:r>
          </w:p>
        </w:tc>
        <w:tc>
          <w:tcPr>
            <w:tcW w:w="112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680,890</w:t>
            </w:r>
          </w:p>
        </w:tc>
        <w:tc>
          <w:tcPr>
            <w:tcW w:w="114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641,432</w:t>
            </w:r>
          </w:p>
        </w:tc>
        <w:tc>
          <w:tcPr>
            <w:tcW w:w="112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616,367</w:t>
            </w:r>
          </w:p>
        </w:tc>
      </w:tr>
      <w:tr>
        <w:trPr>
          <w:trHeight w:val="263"/>
        </w:trPr>
        <w:tc>
          <w:tcPr>
            <w:tcW w:w="6980" w:type="dxa"/>
            <w:vAlign w:val="bottom"/>
          </w:tcPr>
          <w:p>
            <w:pPr>
              <w:ind w:left="40"/>
              <w:spacing w:after="0"/>
              <w:rPr>
                <w:sz w:val="20"/>
                <w:szCs w:val="20"/>
                <w:color w:val="auto"/>
              </w:rPr>
            </w:pPr>
            <w:r>
              <w:rPr>
                <w:rFonts w:ascii="Arial" w:cs="Arial" w:eastAsia="Arial" w:hAnsi="Arial"/>
                <w:sz w:val="16"/>
                <w:szCs w:val="16"/>
                <w:b w:val="1"/>
                <w:bCs w:val="1"/>
                <w:color w:val="auto"/>
              </w:rPr>
              <w:t>Operating Costs and Expenses</w:t>
            </w:r>
          </w:p>
        </w:tc>
        <w:tc>
          <w:tcPr>
            <w:tcW w:w="10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20" w:type="dxa"/>
            <w:vAlign w:val="bottom"/>
          </w:tcPr>
          <w:p>
            <w:pPr>
              <w:spacing w:after="0"/>
              <w:rPr>
                <w:sz w:val="22"/>
                <w:szCs w:val="22"/>
                <w:color w:val="auto"/>
              </w:rPr>
            </w:pPr>
          </w:p>
        </w:tc>
      </w:tr>
    </w:tbl>
    <w:p>
      <w:pPr>
        <w:spacing w:after="0" w:line="43" w:lineRule="exact"/>
        <w:rPr>
          <w:sz w:val="20"/>
          <w:szCs w:val="20"/>
          <w:color w:val="auto"/>
        </w:rPr>
      </w:pPr>
    </w:p>
    <w:p>
      <w:pPr>
        <w:sectPr>
          <w:pgSz w:w="11900" w:h="16838" w:orient="portrait"/>
          <w:cols w:equalWidth="0" w:num="1">
            <w:col w:w="11420"/>
          </w:cols>
          <w:pgMar w:left="240" w:top="738" w:right="239" w:bottom="1440" w:gutter="0" w:footer="0" w:header="0"/>
        </w:sectPr>
      </w:pPr>
    </w:p>
    <w:p>
      <w:pPr>
        <w:ind w:left="280"/>
        <w:spacing w:after="0"/>
        <w:rPr>
          <w:sz w:val="20"/>
          <w:szCs w:val="20"/>
          <w:color w:val="auto"/>
        </w:rPr>
      </w:pPr>
      <w:r>
        <w:rPr>
          <w:rFonts w:ascii="Arial" w:cs="Arial" w:eastAsia="Arial" w:hAnsi="Arial"/>
          <w:sz w:val="16"/>
          <w:szCs w:val="16"/>
          <w:color w:val="auto"/>
        </w:rPr>
        <w:t>Operating</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Selling, general and administrative</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Depreciation of property, plant and equipment</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Amortization of intangible assets</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Impairment of goodwill and other long-lived assets</w:t>
      </w:r>
    </w:p>
    <w:p>
      <w:pPr>
        <w:spacing w:after="0" w:line="381"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Income (Loss) from Operations</w:t>
      </w:r>
    </w:p>
    <w:p>
      <w:pPr>
        <w:spacing w:after="0" w:line="88" w:lineRule="exact"/>
        <w:rPr>
          <w:sz w:val="20"/>
          <w:szCs w:val="20"/>
          <w:color w:val="auto"/>
        </w:rPr>
      </w:pPr>
    </w:p>
    <w:p>
      <w:pPr>
        <w:ind w:left="280"/>
        <w:spacing w:after="0"/>
        <w:rPr>
          <w:sz w:val="20"/>
          <w:szCs w:val="20"/>
          <w:color w:val="auto"/>
        </w:rPr>
      </w:pPr>
      <w:r>
        <w:rPr>
          <w:rFonts w:ascii="Arial" w:cs="Arial" w:eastAsia="Arial" w:hAnsi="Arial"/>
          <w:sz w:val="16"/>
          <w:szCs w:val="16"/>
          <w:color w:val="auto"/>
        </w:rPr>
        <w:t>Equity in (losses) earnings of affiliates, net</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Interest income</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Interest expense</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Other (expense) income, net</w:t>
      </w:r>
    </w:p>
    <w:p>
      <w:pPr>
        <w:spacing w:after="0" w:line="98" w:lineRule="exact"/>
        <w:rPr>
          <w:sz w:val="20"/>
          <w:szCs w:val="20"/>
          <w:color w:val="auto"/>
        </w:rPr>
      </w:pPr>
    </w:p>
    <w:p>
      <w:pPr>
        <w:ind w:left="40" w:right="1880"/>
        <w:spacing w:after="0" w:line="361" w:lineRule="auto"/>
        <w:rPr>
          <w:sz w:val="20"/>
          <w:szCs w:val="20"/>
          <w:color w:val="auto"/>
        </w:rPr>
      </w:pPr>
      <w:r>
        <w:rPr>
          <w:rFonts w:ascii="Arial" w:cs="Arial" w:eastAsia="Arial" w:hAnsi="Arial"/>
          <w:sz w:val="16"/>
          <w:szCs w:val="16"/>
          <w:b w:val="1"/>
          <w:bCs w:val="1"/>
          <w:color w:val="auto"/>
        </w:rPr>
        <w:t>(Loss) Income from Continuing Operations Before Income Taxes Provision (Benefit) for Income Taxes</w:t>
      </w:r>
    </w:p>
    <w:p>
      <w:pPr>
        <w:ind w:left="40" w:right="3040"/>
        <w:spacing w:after="0" w:line="358" w:lineRule="auto"/>
        <w:rPr>
          <w:sz w:val="20"/>
          <w:szCs w:val="20"/>
          <w:color w:val="auto"/>
        </w:rPr>
      </w:pPr>
      <w:r>
        <w:rPr>
          <w:rFonts w:ascii="Arial" w:cs="Arial" w:eastAsia="Arial" w:hAnsi="Arial"/>
          <w:sz w:val="16"/>
          <w:szCs w:val="16"/>
          <w:b w:val="1"/>
          <w:bCs w:val="1"/>
          <w:color w:val="auto"/>
        </w:rPr>
        <w:t>(Loss) Income from Continuing Operations Income from Discontinued Operations, Net of Tax Net Income (Loss)</w:t>
      </w:r>
    </w:p>
    <w:p>
      <w:pPr>
        <w:ind w:left="40" w:right="2100"/>
        <w:spacing w:after="0" w:line="369" w:lineRule="auto"/>
        <w:rPr>
          <w:sz w:val="20"/>
          <w:szCs w:val="20"/>
          <w:color w:val="auto"/>
        </w:rPr>
      </w:pPr>
      <w:r>
        <w:rPr>
          <w:rFonts w:ascii="Arial" w:cs="Arial" w:eastAsia="Arial" w:hAnsi="Arial"/>
          <w:sz w:val="16"/>
          <w:szCs w:val="16"/>
          <w:b w:val="1"/>
          <w:bCs w:val="1"/>
          <w:color w:val="auto"/>
        </w:rPr>
        <w:t>Net (Income) Loss Attributable to Noncontrolling Interests Net Income (Loss) Attributable to Graham Holdings Company Redeemable Preferred Stock Dividends</w:t>
      </w:r>
    </w:p>
    <w:p>
      <w:pPr>
        <w:spacing w:after="0" w:line="2"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Net Income (Loss) Attributable to Graham Holdings Company Common Stockholders</w:t>
      </w:r>
    </w:p>
    <w:p>
      <w:pPr>
        <w:spacing w:after="0" w:line="248"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Amounts Attributable to Graham Holdings Company Common Stockholders</w:t>
      </w:r>
    </w:p>
    <w:p>
      <w:pPr>
        <w:spacing w:after="0" w:line="88" w:lineRule="exact"/>
        <w:rPr>
          <w:sz w:val="20"/>
          <w:szCs w:val="20"/>
          <w:color w:val="auto"/>
        </w:rPr>
      </w:pPr>
    </w:p>
    <w:p>
      <w:pPr>
        <w:ind w:left="40"/>
        <w:spacing w:after="0"/>
        <w:rPr>
          <w:sz w:val="20"/>
          <w:szCs w:val="20"/>
          <w:color w:val="auto"/>
        </w:rPr>
      </w:pPr>
      <w:r>
        <w:rPr>
          <w:rFonts w:ascii="Arial" w:cs="Arial" w:eastAsia="Arial" w:hAnsi="Arial"/>
          <w:sz w:val="16"/>
          <w:szCs w:val="16"/>
          <w:color w:val="auto"/>
        </w:rPr>
        <w:t>(Loss) income from continuing operations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Income from discontinued operations, net of tax</w:t>
      </w:r>
    </w:p>
    <w:p>
      <w:pPr>
        <w:spacing w:after="0" w:line="113" w:lineRule="exact"/>
        <w:rPr>
          <w:sz w:val="20"/>
          <w:szCs w:val="20"/>
          <w:color w:val="auto"/>
        </w:rPr>
      </w:pPr>
    </w:p>
    <w:p>
      <w:pPr>
        <w:ind w:left="40"/>
        <w:spacing w:after="0"/>
        <w:rPr>
          <w:sz w:val="20"/>
          <w:szCs w:val="20"/>
          <w:color w:val="auto"/>
        </w:rPr>
      </w:pPr>
      <w:r>
        <w:rPr>
          <w:rFonts w:ascii="Arial" w:cs="Arial" w:eastAsia="Arial" w:hAnsi="Arial"/>
          <w:sz w:val="16"/>
          <w:szCs w:val="16"/>
          <w:color w:val="auto"/>
        </w:rPr>
        <w:t>Net income (loss) attributable to Graham Holdings Company common stockholders</w:t>
      </w:r>
    </w:p>
    <w:p>
      <w:pPr>
        <w:spacing w:after="0" w:line="246" w:lineRule="exact"/>
        <w:rPr>
          <w:sz w:val="20"/>
          <w:szCs w:val="20"/>
          <w:color w:val="auto"/>
        </w:rPr>
      </w:pPr>
    </w:p>
    <w:p>
      <w:pPr>
        <w:ind w:left="40"/>
        <w:spacing w:after="0" w:line="364" w:lineRule="auto"/>
        <w:rPr>
          <w:sz w:val="20"/>
          <w:szCs w:val="20"/>
          <w:color w:val="auto"/>
        </w:rPr>
      </w:pPr>
      <w:r>
        <w:rPr>
          <w:rFonts w:ascii="Arial" w:cs="Arial" w:eastAsia="Arial" w:hAnsi="Arial"/>
          <w:sz w:val="16"/>
          <w:szCs w:val="16"/>
          <w:b w:val="1"/>
          <w:bCs w:val="1"/>
          <w:color w:val="auto"/>
        </w:rPr>
        <w:t xml:space="preserve">Per Share Information Attributable to Graham Holdings Company Common Stockholders </w:t>
      </w:r>
      <w:r>
        <w:rPr>
          <w:rFonts w:ascii="Arial" w:cs="Arial" w:eastAsia="Arial" w:hAnsi="Arial"/>
          <w:sz w:val="16"/>
          <w:szCs w:val="16"/>
          <w:color w:val="auto"/>
        </w:rPr>
        <w:t>Basic (loss) income per common share from continuing operations Basic income per common share from discontinued operations</w:t>
      </w:r>
    </w:p>
    <w:p>
      <w:pPr>
        <w:spacing w:after="0" w:line="2" w:lineRule="exact"/>
        <w:rPr>
          <w:sz w:val="20"/>
          <w:szCs w:val="20"/>
          <w:color w:val="auto"/>
        </w:rPr>
      </w:pPr>
    </w:p>
    <w:p>
      <w:pPr>
        <w:ind w:left="40"/>
        <w:spacing w:after="0"/>
        <w:rPr>
          <w:sz w:val="20"/>
          <w:szCs w:val="20"/>
          <w:color w:val="auto"/>
        </w:rPr>
      </w:pPr>
      <w:r>
        <w:rPr>
          <w:rFonts w:ascii="Arial" w:cs="Arial" w:eastAsia="Arial" w:hAnsi="Arial"/>
          <w:sz w:val="16"/>
          <w:szCs w:val="16"/>
          <w:color w:val="auto"/>
        </w:rPr>
        <w:t>Basic net income (loss) per common share</w:t>
      </w:r>
    </w:p>
    <w:p>
      <w:pPr>
        <w:spacing w:after="0" w:line="248" w:lineRule="exact"/>
        <w:rPr>
          <w:sz w:val="20"/>
          <w:szCs w:val="20"/>
          <w:color w:val="auto"/>
        </w:rPr>
      </w:pPr>
    </w:p>
    <w:p>
      <w:pPr>
        <w:ind w:left="40" w:right="1980"/>
        <w:spacing w:after="0" w:line="369" w:lineRule="auto"/>
        <w:rPr>
          <w:sz w:val="20"/>
          <w:szCs w:val="20"/>
          <w:color w:val="auto"/>
        </w:rPr>
      </w:pPr>
      <w:r>
        <w:rPr>
          <w:rFonts w:ascii="Arial" w:cs="Arial" w:eastAsia="Arial" w:hAnsi="Arial"/>
          <w:sz w:val="16"/>
          <w:szCs w:val="16"/>
          <w:color w:val="auto"/>
        </w:rPr>
        <w:t>Diluted (loss) income per common share from continuing operations Diluted income per common share from discontinued operations</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6"/>
          <w:szCs w:val="16"/>
          <w:color w:val="auto"/>
        </w:rPr>
        <w:t>Diluted net income (loss) per common share</w:t>
      </w:r>
    </w:p>
    <w:p>
      <w:pPr>
        <w:spacing w:after="0" w:line="113" w:lineRule="exact"/>
        <w:rPr>
          <w:sz w:val="20"/>
          <w:szCs w:val="20"/>
          <w:color w:val="auto"/>
        </w:rPr>
      </w:pPr>
    </w:p>
    <w:p>
      <w:pPr>
        <w:ind w:left="40" w:right="2860"/>
        <w:spacing w:after="0" w:line="374" w:lineRule="auto"/>
        <w:rPr>
          <w:sz w:val="20"/>
          <w:szCs w:val="20"/>
          <w:color w:val="auto"/>
        </w:rPr>
      </w:pPr>
      <w:r>
        <w:rPr>
          <w:rFonts w:ascii="Arial" w:cs="Arial" w:eastAsia="Arial" w:hAnsi="Arial"/>
          <w:sz w:val="16"/>
          <w:szCs w:val="16"/>
          <w:color w:val="auto"/>
        </w:rPr>
        <w:t>Basic average number of common shares outstanding Diluted average number of common shares outstanding 2015 Quarterly comprehensive income (loss)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9"/>
        </w:trPr>
        <w:tc>
          <w:tcPr>
            <w:tcW w:w="220" w:type="dxa"/>
            <w:vAlign w:val="bottom"/>
          </w:tcPr>
          <w:p>
            <w:pPr>
              <w:spacing w:after="0"/>
              <w:rPr>
                <w:sz w:val="19"/>
                <w:szCs w:val="19"/>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309,223</w:t>
            </w:r>
          </w:p>
        </w:tc>
        <w:tc>
          <w:tcPr>
            <w:tcW w:w="280" w:type="dxa"/>
            <w:vAlign w:val="bottom"/>
          </w:tcPr>
          <w:p>
            <w:pPr>
              <w:spacing w:after="0"/>
              <w:rPr>
                <w:sz w:val="19"/>
                <w:szCs w:val="19"/>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311,121</w:t>
            </w:r>
          </w:p>
        </w:tc>
        <w:tc>
          <w:tcPr>
            <w:tcW w:w="1120" w:type="dxa"/>
            <w:vAlign w:val="bottom"/>
          </w:tcPr>
          <w:p>
            <w:pPr>
              <w:jc w:val="right"/>
              <w:ind w:right="59"/>
              <w:spacing w:after="0"/>
              <w:rPr>
                <w:sz w:val="20"/>
                <w:szCs w:val="20"/>
                <w:color w:val="auto"/>
              </w:rPr>
            </w:pPr>
            <w:r>
              <w:rPr>
                <w:rFonts w:ascii="Arial" w:cs="Arial" w:eastAsia="Arial" w:hAnsi="Arial"/>
                <w:sz w:val="16"/>
                <w:szCs w:val="16"/>
                <w:color w:val="auto"/>
              </w:rPr>
              <w:t>302,029</w:t>
            </w:r>
          </w:p>
        </w:tc>
        <w:tc>
          <w:tcPr>
            <w:tcW w:w="300" w:type="dxa"/>
            <w:vAlign w:val="bottom"/>
          </w:tcPr>
          <w:p>
            <w:pPr>
              <w:spacing w:after="0"/>
              <w:rPr>
                <w:sz w:val="19"/>
                <w:szCs w:val="19"/>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283,780</w:t>
            </w:r>
          </w:p>
        </w:tc>
      </w:tr>
      <w:tr>
        <w:trPr>
          <w:trHeight w:val="270"/>
        </w:trPr>
        <w:tc>
          <w:tcPr>
            <w:tcW w:w="220" w:type="dxa"/>
            <w:vAlign w:val="bottom"/>
          </w:tcPr>
          <w:p>
            <w:pPr>
              <w:spacing w:after="0"/>
              <w:rPr>
                <w:sz w:val="23"/>
                <w:szCs w:val="23"/>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302,405</w:t>
            </w:r>
          </w:p>
        </w:tc>
        <w:tc>
          <w:tcPr>
            <w:tcW w:w="280" w:type="dxa"/>
            <w:vAlign w:val="bottom"/>
          </w:tcPr>
          <w:p>
            <w:pPr>
              <w:spacing w:after="0"/>
              <w:rPr>
                <w:sz w:val="23"/>
                <w:szCs w:val="23"/>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276,412</w:t>
            </w:r>
          </w:p>
        </w:tc>
        <w:tc>
          <w:tcPr>
            <w:tcW w:w="1120" w:type="dxa"/>
            <w:vAlign w:val="bottom"/>
          </w:tcPr>
          <w:p>
            <w:pPr>
              <w:jc w:val="right"/>
              <w:ind w:right="59"/>
              <w:spacing w:after="0"/>
              <w:rPr>
                <w:sz w:val="20"/>
                <w:szCs w:val="20"/>
                <w:color w:val="auto"/>
              </w:rPr>
            </w:pPr>
            <w:r>
              <w:rPr>
                <w:rFonts w:ascii="Arial" w:cs="Arial" w:eastAsia="Arial" w:hAnsi="Arial"/>
                <w:sz w:val="16"/>
                <w:szCs w:val="16"/>
                <w:color w:val="auto"/>
              </w:rPr>
              <w:t>285,563</w:t>
            </w:r>
          </w:p>
        </w:tc>
        <w:tc>
          <w:tcPr>
            <w:tcW w:w="30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239,783</w:t>
            </w:r>
          </w:p>
        </w:tc>
      </w:tr>
      <w:tr>
        <w:trPr>
          <w:trHeight w:val="270"/>
        </w:trPr>
        <w:tc>
          <w:tcPr>
            <w:tcW w:w="220" w:type="dxa"/>
            <w:vAlign w:val="bottom"/>
          </w:tcPr>
          <w:p>
            <w:pPr>
              <w:spacing w:after="0"/>
              <w:rPr>
                <w:sz w:val="23"/>
                <w:szCs w:val="23"/>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22,197</w:t>
            </w:r>
          </w:p>
        </w:tc>
        <w:tc>
          <w:tcPr>
            <w:tcW w:w="280" w:type="dxa"/>
            <w:vAlign w:val="bottom"/>
          </w:tcPr>
          <w:p>
            <w:pPr>
              <w:spacing w:after="0"/>
              <w:rPr>
                <w:sz w:val="23"/>
                <w:szCs w:val="23"/>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25,609</w:t>
            </w:r>
          </w:p>
        </w:tc>
        <w:tc>
          <w:tcPr>
            <w:tcW w:w="1120" w:type="dxa"/>
            <w:vAlign w:val="bottom"/>
          </w:tcPr>
          <w:p>
            <w:pPr>
              <w:jc w:val="right"/>
              <w:ind w:right="59"/>
              <w:spacing w:after="0"/>
              <w:rPr>
                <w:sz w:val="20"/>
                <w:szCs w:val="20"/>
                <w:color w:val="auto"/>
              </w:rPr>
            </w:pPr>
            <w:r>
              <w:rPr>
                <w:rFonts w:ascii="Arial" w:cs="Arial" w:eastAsia="Arial" w:hAnsi="Arial"/>
                <w:sz w:val="16"/>
                <w:szCs w:val="16"/>
                <w:color w:val="auto"/>
              </w:rPr>
              <w:t>14,460</w:t>
            </w:r>
          </w:p>
        </w:tc>
        <w:tc>
          <w:tcPr>
            <w:tcW w:w="30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15,640</w:t>
            </w:r>
          </w:p>
        </w:tc>
      </w:tr>
      <w:tr>
        <w:trPr>
          <w:trHeight w:val="270"/>
        </w:trPr>
        <w:tc>
          <w:tcPr>
            <w:tcW w:w="220" w:type="dxa"/>
            <w:vAlign w:val="bottom"/>
          </w:tcPr>
          <w:p>
            <w:pPr>
              <w:spacing w:after="0"/>
              <w:rPr>
                <w:sz w:val="23"/>
                <w:szCs w:val="23"/>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4,738</w:t>
            </w:r>
          </w:p>
        </w:tc>
        <w:tc>
          <w:tcPr>
            <w:tcW w:w="280" w:type="dxa"/>
            <w:vAlign w:val="bottom"/>
          </w:tcPr>
          <w:p>
            <w:pPr>
              <w:spacing w:after="0"/>
              <w:rPr>
                <w:sz w:val="23"/>
                <w:szCs w:val="23"/>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4,647</w:t>
            </w:r>
          </w:p>
        </w:tc>
        <w:tc>
          <w:tcPr>
            <w:tcW w:w="1120" w:type="dxa"/>
            <w:vAlign w:val="bottom"/>
          </w:tcPr>
          <w:p>
            <w:pPr>
              <w:jc w:val="right"/>
              <w:ind w:right="59"/>
              <w:spacing w:after="0"/>
              <w:rPr>
                <w:sz w:val="20"/>
                <w:szCs w:val="20"/>
                <w:color w:val="auto"/>
              </w:rPr>
            </w:pPr>
            <w:r>
              <w:rPr>
                <w:rFonts w:ascii="Arial" w:cs="Arial" w:eastAsia="Arial" w:hAnsi="Arial"/>
                <w:sz w:val="16"/>
                <w:szCs w:val="16"/>
                <w:color w:val="auto"/>
              </w:rPr>
              <w:t>4,512</w:t>
            </w:r>
          </w:p>
        </w:tc>
        <w:tc>
          <w:tcPr>
            <w:tcW w:w="30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5,120</w:t>
            </w:r>
          </w:p>
        </w:tc>
      </w:tr>
      <w:tr>
        <w:trPr>
          <w:trHeight w:val="279"/>
        </w:trPr>
        <w:tc>
          <w:tcPr>
            <w:tcW w:w="2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6,876</w:t>
            </w:r>
          </w:p>
        </w:tc>
        <w:tc>
          <w:tcPr>
            <w:tcW w:w="11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248,591</w:t>
            </w:r>
          </w:p>
        </w:tc>
        <w:tc>
          <w:tcPr>
            <w:tcW w:w="3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4,233</w:t>
            </w:r>
          </w:p>
        </w:tc>
      </w:tr>
      <w:tr>
        <w:trPr>
          <w:trHeight w:val="264"/>
        </w:trPr>
        <w:tc>
          <w:tcPr>
            <w:tcW w:w="22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638,563</w:t>
            </w: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624,665</w:t>
            </w:r>
          </w:p>
        </w:tc>
        <w:tc>
          <w:tcPr>
            <w:tcW w:w="11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855,155</w:t>
            </w:r>
          </w:p>
        </w:tc>
        <w:tc>
          <w:tcPr>
            <w:tcW w:w="30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548,556</w:t>
            </w:r>
          </w:p>
        </w:tc>
      </w:tr>
      <w:tr>
        <w:trPr>
          <w:trHeight w:val="255"/>
        </w:trPr>
        <w:tc>
          <w:tcPr>
            <w:tcW w:w="220" w:type="dxa"/>
            <w:vAlign w:val="bottom"/>
          </w:tcPr>
          <w:p>
            <w:pPr>
              <w:spacing w:after="0"/>
              <w:rPr>
                <w:sz w:val="22"/>
                <w:szCs w:val="22"/>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8,862</w:t>
            </w:r>
          </w:p>
        </w:tc>
        <w:tc>
          <w:tcPr>
            <w:tcW w:w="280" w:type="dxa"/>
            <w:vAlign w:val="bottom"/>
          </w:tcPr>
          <w:p>
            <w:pPr>
              <w:spacing w:after="0"/>
              <w:rPr>
                <w:sz w:val="22"/>
                <w:szCs w:val="22"/>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56,225</w:t>
            </w:r>
          </w:p>
        </w:tc>
        <w:tc>
          <w:tcPr>
            <w:tcW w:w="1120" w:type="dxa"/>
            <w:vAlign w:val="bottom"/>
          </w:tcPr>
          <w:p>
            <w:pPr>
              <w:jc w:val="right"/>
              <w:spacing w:after="0"/>
              <w:rPr>
                <w:sz w:val="20"/>
                <w:szCs w:val="20"/>
                <w:color w:val="auto"/>
              </w:rPr>
            </w:pPr>
            <w:r>
              <w:rPr>
                <w:rFonts w:ascii="Arial" w:cs="Arial" w:eastAsia="Arial" w:hAnsi="Arial"/>
                <w:sz w:val="16"/>
                <w:szCs w:val="16"/>
                <w:color w:val="auto"/>
              </w:rPr>
              <w:t>(213,723)</w:t>
            </w:r>
          </w:p>
        </w:tc>
        <w:tc>
          <w:tcPr>
            <w:tcW w:w="300" w:type="dxa"/>
            <w:vAlign w:val="bottom"/>
          </w:tcPr>
          <w:p>
            <w:pPr>
              <w:spacing w:after="0"/>
              <w:rPr>
                <w:sz w:val="22"/>
                <w:szCs w:val="22"/>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67,811</w:t>
            </w:r>
          </w:p>
        </w:tc>
      </w:tr>
      <w:tr>
        <w:trPr>
          <w:trHeight w:val="270"/>
        </w:trPr>
        <w:tc>
          <w:tcPr>
            <w:tcW w:w="22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(404)</w:t>
            </w:r>
          </w:p>
        </w:tc>
        <w:tc>
          <w:tcPr>
            <w:tcW w:w="28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(353)</w:t>
            </w:r>
          </w:p>
        </w:tc>
        <w:tc>
          <w:tcPr>
            <w:tcW w:w="1120" w:type="dxa"/>
            <w:vAlign w:val="bottom"/>
          </w:tcPr>
          <w:p>
            <w:pPr>
              <w:jc w:val="right"/>
              <w:ind w:right="59"/>
              <w:spacing w:after="0"/>
              <w:rPr>
                <w:sz w:val="20"/>
                <w:szCs w:val="20"/>
                <w:color w:val="auto"/>
              </w:rPr>
            </w:pPr>
            <w:r>
              <w:rPr>
                <w:rFonts w:ascii="Arial" w:cs="Arial" w:eastAsia="Arial" w:hAnsi="Arial"/>
                <w:sz w:val="16"/>
                <w:szCs w:val="16"/>
                <w:color w:val="auto"/>
              </w:rPr>
              <w:t>95</w:t>
            </w:r>
          </w:p>
        </w:tc>
        <w:tc>
          <w:tcPr>
            <w:tcW w:w="3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(35)</w:t>
            </w:r>
          </w:p>
        </w:tc>
      </w:tr>
      <w:tr>
        <w:trPr>
          <w:trHeight w:val="270"/>
        </w:trPr>
        <w:tc>
          <w:tcPr>
            <w:tcW w:w="220" w:type="dxa"/>
            <w:vAlign w:val="bottom"/>
          </w:tcPr>
          <w:p>
            <w:pPr>
              <w:spacing w:after="0"/>
              <w:rPr>
                <w:sz w:val="23"/>
                <w:szCs w:val="23"/>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559</w:t>
            </w:r>
          </w:p>
        </w:tc>
        <w:tc>
          <w:tcPr>
            <w:tcW w:w="280" w:type="dxa"/>
            <w:vAlign w:val="bottom"/>
          </w:tcPr>
          <w:p>
            <w:pPr>
              <w:spacing w:after="0"/>
              <w:rPr>
                <w:sz w:val="23"/>
                <w:szCs w:val="23"/>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323</w:t>
            </w:r>
          </w:p>
        </w:tc>
        <w:tc>
          <w:tcPr>
            <w:tcW w:w="1120" w:type="dxa"/>
            <w:vAlign w:val="bottom"/>
          </w:tcPr>
          <w:p>
            <w:pPr>
              <w:jc w:val="right"/>
              <w:ind w:right="59"/>
              <w:spacing w:after="0"/>
              <w:rPr>
                <w:sz w:val="20"/>
                <w:szCs w:val="20"/>
                <w:color w:val="auto"/>
              </w:rPr>
            </w:pPr>
            <w:r>
              <w:rPr>
                <w:rFonts w:ascii="Arial" w:cs="Arial" w:eastAsia="Arial" w:hAnsi="Arial"/>
                <w:sz w:val="16"/>
                <w:szCs w:val="16"/>
                <w:color w:val="auto"/>
              </w:rPr>
              <w:t>481</w:t>
            </w:r>
          </w:p>
        </w:tc>
        <w:tc>
          <w:tcPr>
            <w:tcW w:w="30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546</w:t>
            </w:r>
          </w:p>
        </w:tc>
      </w:tr>
      <w:tr>
        <w:trPr>
          <w:trHeight w:val="270"/>
        </w:trPr>
        <w:tc>
          <w:tcPr>
            <w:tcW w:w="22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(8,501)</w:t>
            </w:r>
          </w:p>
        </w:tc>
        <w:tc>
          <w:tcPr>
            <w:tcW w:w="28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(8,348)</w:t>
            </w:r>
          </w:p>
        </w:tc>
        <w:tc>
          <w:tcPr>
            <w:tcW w:w="1120" w:type="dxa"/>
            <w:vAlign w:val="bottom"/>
          </w:tcPr>
          <w:p>
            <w:pPr>
              <w:jc w:val="right"/>
              <w:spacing w:after="0"/>
              <w:rPr>
                <w:sz w:val="20"/>
                <w:szCs w:val="20"/>
                <w:color w:val="auto"/>
              </w:rPr>
            </w:pPr>
            <w:r>
              <w:rPr>
                <w:rFonts w:ascii="Arial" w:cs="Arial" w:eastAsia="Arial" w:hAnsi="Arial"/>
                <w:sz w:val="16"/>
                <w:szCs w:val="16"/>
                <w:color w:val="auto"/>
              </w:rPr>
              <w:t>(7,830)</w:t>
            </w:r>
          </w:p>
        </w:tc>
        <w:tc>
          <w:tcPr>
            <w:tcW w:w="3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(7,975)</w:t>
            </w:r>
          </w:p>
        </w:tc>
      </w:tr>
      <w:tr>
        <w:trPr>
          <w:trHeight w:val="279"/>
        </w:trPr>
        <w:tc>
          <w:tcPr>
            <w:tcW w:w="2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(1,105)</w:t>
            </w:r>
          </w:p>
        </w:tc>
        <w:tc>
          <w:tcPr>
            <w:tcW w:w="2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11,678</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(40,458)</w:t>
            </w:r>
          </w:p>
        </w:tc>
        <w:tc>
          <w:tcPr>
            <w:tcW w:w="3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21,262</w:t>
            </w:r>
          </w:p>
        </w:tc>
      </w:tr>
      <w:tr>
        <w:trPr>
          <w:trHeight w:val="255"/>
        </w:trPr>
        <w:tc>
          <w:tcPr>
            <w:tcW w:w="220" w:type="dxa"/>
            <w:vAlign w:val="bottom"/>
          </w:tcPr>
          <w:p>
            <w:pPr>
              <w:spacing w:after="0"/>
              <w:rPr>
                <w:sz w:val="22"/>
                <w:szCs w:val="22"/>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(589)</w:t>
            </w:r>
          </w:p>
        </w:tc>
        <w:tc>
          <w:tcPr>
            <w:tcW w:w="280" w:type="dxa"/>
            <w:vAlign w:val="bottom"/>
          </w:tcPr>
          <w:p>
            <w:pPr>
              <w:spacing w:after="0"/>
              <w:rPr>
                <w:sz w:val="22"/>
                <w:szCs w:val="22"/>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59,525</w:t>
            </w:r>
          </w:p>
        </w:tc>
        <w:tc>
          <w:tcPr>
            <w:tcW w:w="1120" w:type="dxa"/>
            <w:vAlign w:val="bottom"/>
          </w:tcPr>
          <w:p>
            <w:pPr>
              <w:jc w:val="right"/>
              <w:spacing w:after="0"/>
              <w:rPr>
                <w:sz w:val="20"/>
                <w:szCs w:val="20"/>
                <w:color w:val="auto"/>
              </w:rPr>
            </w:pPr>
            <w:r>
              <w:rPr>
                <w:rFonts w:ascii="Arial" w:cs="Arial" w:eastAsia="Arial" w:hAnsi="Arial"/>
                <w:sz w:val="16"/>
                <w:szCs w:val="16"/>
                <w:color w:val="auto"/>
              </w:rPr>
              <w:t>(261,435)</w:t>
            </w:r>
          </w:p>
        </w:tc>
        <w:tc>
          <w:tcPr>
            <w:tcW w:w="300" w:type="dxa"/>
            <w:vAlign w:val="bottom"/>
          </w:tcPr>
          <w:p>
            <w:pPr>
              <w:spacing w:after="0"/>
              <w:rPr>
                <w:sz w:val="22"/>
                <w:szCs w:val="22"/>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81,609</w:t>
            </w:r>
          </w:p>
        </w:tc>
      </w:tr>
      <w:tr>
        <w:trPr>
          <w:trHeight w:val="279"/>
        </w:trPr>
        <w:tc>
          <w:tcPr>
            <w:tcW w:w="2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900</w:t>
            </w:r>
          </w:p>
        </w:tc>
        <w:tc>
          <w:tcPr>
            <w:tcW w:w="2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19,600</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(30,500)</w:t>
            </w:r>
          </w:p>
        </w:tc>
        <w:tc>
          <w:tcPr>
            <w:tcW w:w="3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30,500</w:t>
            </w:r>
          </w:p>
        </w:tc>
      </w:tr>
      <w:tr>
        <w:trPr>
          <w:trHeight w:val="255"/>
        </w:trPr>
        <w:tc>
          <w:tcPr>
            <w:tcW w:w="220" w:type="dxa"/>
            <w:vAlign w:val="bottom"/>
          </w:tcPr>
          <w:p>
            <w:pPr>
              <w:spacing w:after="0"/>
              <w:rPr>
                <w:sz w:val="22"/>
                <w:szCs w:val="22"/>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(1,489)</w:t>
            </w:r>
          </w:p>
        </w:tc>
        <w:tc>
          <w:tcPr>
            <w:tcW w:w="280" w:type="dxa"/>
            <w:vAlign w:val="bottom"/>
          </w:tcPr>
          <w:p>
            <w:pPr>
              <w:spacing w:after="0"/>
              <w:rPr>
                <w:sz w:val="22"/>
                <w:szCs w:val="22"/>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39,925</w:t>
            </w:r>
          </w:p>
        </w:tc>
        <w:tc>
          <w:tcPr>
            <w:tcW w:w="1120" w:type="dxa"/>
            <w:vAlign w:val="bottom"/>
          </w:tcPr>
          <w:p>
            <w:pPr>
              <w:jc w:val="right"/>
              <w:spacing w:after="0"/>
              <w:rPr>
                <w:sz w:val="20"/>
                <w:szCs w:val="20"/>
                <w:color w:val="auto"/>
              </w:rPr>
            </w:pPr>
            <w:r>
              <w:rPr>
                <w:rFonts w:ascii="Arial" w:cs="Arial" w:eastAsia="Arial" w:hAnsi="Arial"/>
                <w:sz w:val="16"/>
                <w:szCs w:val="16"/>
                <w:color w:val="auto"/>
              </w:rPr>
              <w:t>(230,935)</w:t>
            </w:r>
          </w:p>
        </w:tc>
        <w:tc>
          <w:tcPr>
            <w:tcW w:w="300" w:type="dxa"/>
            <w:vAlign w:val="bottom"/>
          </w:tcPr>
          <w:p>
            <w:pPr>
              <w:spacing w:after="0"/>
              <w:rPr>
                <w:sz w:val="22"/>
                <w:szCs w:val="22"/>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51,109</w:t>
            </w:r>
          </w:p>
        </w:tc>
      </w:tr>
      <w:tr>
        <w:trPr>
          <w:trHeight w:val="279"/>
        </w:trPr>
        <w:tc>
          <w:tcPr>
            <w:tcW w:w="2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23,289</w:t>
            </w:r>
          </w:p>
        </w:tc>
        <w:tc>
          <w:tcPr>
            <w:tcW w:w="2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18,502</w:t>
            </w:r>
          </w:p>
        </w:tc>
        <w:tc>
          <w:tcPr>
            <w:tcW w:w="11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379</w:t>
            </w:r>
          </w:p>
        </w:tc>
        <w:tc>
          <w:tcPr>
            <w:tcW w:w="3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r>
      <w:tr>
        <w:trPr>
          <w:trHeight w:val="255"/>
        </w:trPr>
        <w:tc>
          <w:tcPr>
            <w:tcW w:w="220" w:type="dxa"/>
            <w:vAlign w:val="bottom"/>
          </w:tcPr>
          <w:p>
            <w:pPr>
              <w:spacing w:after="0"/>
              <w:rPr>
                <w:sz w:val="22"/>
                <w:szCs w:val="22"/>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21,800</w:t>
            </w:r>
          </w:p>
        </w:tc>
        <w:tc>
          <w:tcPr>
            <w:tcW w:w="280" w:type="dxa"/>
            <w:vAlign w:val="bottom"/>
          </w:tcPr>
          <w:p>
            <w:pPr>
              <w:spacing w:after="0"/>
              <w:rPr>
                <w:sz w:val="22"/>
                <w:szCs w:val="22"/>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58,427</w:t>
            </w:r>
          </w:p>
        </w:tc>
        <w:tc>
          <w:tcPr>
            <w:tcW w:w="1120" w:type="dxa"/>
            <w:vAlign w:val="bottom"/>
          </w:tcPr>
          <w:p>
            <w:pPr>
              <w:jc w:val="right"/>
              <w:spacing w:after="0"/>
              <w:rPr>
                <w:sz w:val="20"/>
                <w:szCs w:val="20"/>
                <w:color w:val="auto"/>
              </w:rPr>
            </w:pPr>
            <w:r>
              <w:rPr>
                <w:rFonts w:ascii="Arial" w:cs="Arial" w:eastAsia="Arial" w:hAnsi="Arial"/>
                <w:sz w:val="16"/>
                <w:szCs w:val="16"/>
                <w:color w:val="auto"/>
              </w:rPr>
              <w:t>(230,556)</w:t>
            </w:r>
          </w:p>
        </w:tc>
        <w:tc>
          <w:tcPr>
            <w:tcW w:w="300" w:type="dxa"/>
            <w:vAlign w:val="bottom"/>
          </w:tcPr>
          <w:p>
            <w:pPr>
              <w:spacing w:after="0"/>
              <w:rPr>
                <w:sz w:val="22"/>
                <w:szCs w:val="22"/>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51,109</w:t>
            </w:r>
          </w:p>
        </w:tc>
      </w:tr>
      <w:tr>
        <w:trPr>
          <w:trHeight w:val="279"/>
        </w:trPr>
        <w:tc>
          <w:tcPr>
            <w:tcW w:w="2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(774)</w:t>
            </w:r>
          </w:p>
        </w:tc>
        <w:tc>
          <w:tcPr>
            <w:tcW w:w="2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(434)</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(287)</w:t>
            </w:r>
          </w:p>
        </w:tc>
        <w:tc>
          <w:tcPr>
            <w:tcW w:w="3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60</w:t>
            </w:r>
          </w:p>
        </w:tc>
      </w:tr>
      <w:tr>
        <w:trPr>
          <w:trHeight w:val="255"/>
        </w:trPr>
        <w:tc>
          <w:tcPr>
            <w:tcW w:w="220" w:type="dxa"/>
            <w:vAlign w:val="bottom"/>
          </w:tcPr>
          <w:p>
            <w:pPr>
              <w:spacing w:after="0"/>
              <w:rPr>
                <w:sz w:val="22"/>
                <w:szCs w:val="22"/>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21,026</w:t>
            </w:r>
          </w:p>
        </w:tc>
        <w:tc>
          <w:tcPr>
            <w:tcW w:w="280" w:type="dxa"/>
            <w:vAlign w:val="bottom"/>
          </w:tcPr>
          <w:p>
            <w:pPr>
              <w:spacing w:after="0"/>
              <w:rPr>
                <w:sz w:val="22"/>
                <w:szCs w:val="22"/>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57,993</w:t>
            </w:r>
          </w:p>
        </w:tc>
        <w:tc>
          <w:tcPr>
            <w:tcW w:w="1120" w:type="dxa"/>
            <w:vAlign w:val="bottom"/>
          </w:tcPr>
          <w:p>
            <w:pPr>
              <w:jc w:val="right"/>
              <w:spacing w:after="0"/>
              <w:rPr>
                <w:sz w:val="20"/>
                <w:szCs w:val="20"/>
                <w:color w:val="auto"/>
              </w:rPr>
            </w:pPr>
            <w:r>
              <w:rPr>
                <w:rFonts w:ascii="Arial" w:cs="Arial" w:eastAsia="Arial" w:hAnsi="Arial"/>
                <w:sz w:val="16"/>
                <w:szCs w:val="16"/>
                <w:color w:val="auto"/>
              </w:rPr>
              <w:t>(230,843)</w:t>
            </w:r>
          </w:p>
        </w:tc>
        <w:tc>
          <w:tcPr>
            <w:tcW w:w="300" w:type="dxa"/>
            <w:vAlign w:val="bottom"/>
          </w:tcPr>
          <w:p>
            <w:pPr>
              <w:spacing w:after="0"/>
              <w:rPr>
                <w:sz w:val="22"/>
                <w:szCs w:val="22"/>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51,169</w:t>
            </w:r>
          </w:p>
        </w:tc>
      </w:tr>
      <w:tr>
        <w:trPr>
          <w:trHeight w:val="279"/>
        </w:trPr>
        <w:tc>
          <w:tcPr>
            <w:tcW w:w="2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(420)</w:t>
            </w:r>
          </w:p>
        </w:tc>
        <w:tc>
          <w:tcPr>
            <w:tcW w:w="2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(211)</w:t>
            </w:r>
          </w:p>
        </w:tc>
        <w:tc>
          <w:tcPr>
            <w:tcW w:w="11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r>
      <w:tr>
        <w:trPr>
          <w:trHeight w:val="264"/>
        </w:trPr>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20,606</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57,782</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  (230,843)</w:t>
            </w:r>
          </w:p>
        </w:tc>
        <w:tc>
          <w:tcPr>
            <w:tcW w:w="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51,169</w:t>
            </w:r>
          </w:p>
        </w:tc>
      </w:tr>
      <w:tr>
        <w:trPr>
          <w:trHeight w:val="20"/>
        </w:trPr>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ind w:left="460" w:hanging="436"/>
        <w:spacing w:after="0"/>
        <w:tabs>
          <w:tab w:leader="none" w:pos="460" w:val="left"/>
        </w:tabs>
        <w:numPr>
          <w:ilvl w:val="0"/>
          <w:numId w:val="82"/>
        </w:numPr>
        <w:rPr>
          <w:rFonts w:ascii="Arial" w:cs="Arial" w:eastAsia="Arial" w:hAnsi="Arial"/>
          <w:sz w:val="16"/>
          <w:szCs w:val="16"/>
          <w:color w:val="auto"/>
        </w:rPr>
      </w:pPr>
      <w:r>
        <w:rPr>
          <w:rFonts w:ascii="Arial" w:cs="Arial" w:eastAsia="Arial" w:hAnsi="Arial"/>
          <w:sz w:val="16"/>
          <w:szCs w:val="16"/>
          <w:color w:val="auto"/>
        </w:rPr>
        <w:t>(2,683)  $    39,280   $  (231,222)  $    51,169</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23,289</w:t>
            </w:r>
          </w:p>
        </w:tc>
        <w:tc>
          <w:tcPr>
            <w:tcW w:w="3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18,502</w:t>
            </w:r>
          </w:p>
        </w:tc>
        <w:tc>
          <w:tcPr>
            <w:tcW w:w="3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379</w:t>
            </w:r>
          </w:p>
        </w:tc>
        <w:tc>
          <w:tcPr>
            <w:tcW w:w="3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r>
      <w:tr>
        <w:trPr>
          <w:trHeight w:val="264"/>
        </w:trPr>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20,606</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57,782</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(230,843)</w:t>
            </w:r>
          </w:p>
        </w:tc>
        <w:tc>
          <w:tcPr>
            <w:tcW w:w="3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51,169</w:t>
            </w:r>
          </w:p>
        </w:tc>
      </w:tr>
      <w:tr>
        <w:trPr>
          <w:trHeight w:val="20"/>
        </w:trPr>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647"/>
        </w:trPr>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(0.58)</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6.74</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(40.32)</w:t>
            </w:r>
          </w:p>
        </w:tc>
        <w:tc>
          <w:tcPr>
            <w:tcW w:w="3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8.78</w:t>
            </w:r>
          </w:p>
        </w:tc>
      </w:tr>
      <w:tr>
        <w:trPr>
          <w:trHeight w:val="279"/>
        </w:trPr>
        <w:tc>
          <w:tcPr>
            <w:tcW w:w="2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4.09</w:t>
            </w:r>
          </w:p>
        </w:tc>
        <w:tc>
          <w:tcPr>
            <w:tcW w:w="3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3.18</w:t>
            </w:r>
          </w:p>
        </w:tc>
        <w:tc>
          <w:tcPr>
            <w:tcW w:w="3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0.07</w:t>
            </w:r>
          </w:p>
        </w:tc>
        <w:tc>
          <w:tcPr>
            <w:tcW w:w="3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r>
      <w:tr>
        <w:trPr>
          <w:trHeight w:val="264"/>
        </w:trPr>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3.51</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9.92</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(40.25)</w:t>
            </w:r>
          </w:p>
        </w:tc>
        <w:tc>
          <w:tcPr>
            <w:tcW w:w="3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8.78</w:t>
            </w:r>
          </w:p>
        </w:tc>
      </w:tr>
      <w:tr>
        <w:trPr>
          <w:trHeight w:val="20"/>
        </w:trPr>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377"/>
        </w:trPr>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(0.58)</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6.71</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(40.32)</w:t>
            </w:r>
          </w:p>
        </w:tc>
        <w:tc>
          <w:tcPr>
            <w:tcW w:w="3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8.72</w:t>
            </w:r>
          </w:p>
        </w:tc>
      </w:tr>
      <w:tr>
        <w:trPr>
          <w:trHeight w:val="279"/>
        </w:trPr>
        <w:tc>
          <w:tcPr>
            <w:tcW w:w="2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4.06</w:t>
            </w:r>
          </w:p>
        </w:tc>
        <w:tc>
          <w:tcPr>
            <w:tcW w:w="3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3.16</w:t>
            </w:r>
          </w:p>
        </w:tc>
        <w:tc>
          <w:tcPr>
            <w:tcW w:w="3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0.07</w:t>
            </w:r>
          </w:p>
        </w:tc>
        <w:tc>
          <w:tcPr>
            <w:tcW w:w="3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r>
      <w:tr>
        <w:trPr>
          <w:trHeight w:val="264"/>
        </w:trPr>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3.48</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9.87</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(40.25)</w:t>
            </w:r>
          </w:p>
        </w:tc>
        <w:tc>
          <w:tcPr>
            <w:tcW w:w="3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8.72</w:t>
            </w:r>
          </w:p>
        </w:tc>
      </w:tr>
      <w:tr>
        <w:trPr>
          <w:trHeight w:val="20"/>
        </w:trPr>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42"/>
        </w:trPr>
        <w:tc>
          <w:tcPr>
            <w:tcW w:w="280" w:type="dxa"/>
            <w:vAlign w:val="bottom"/>
          </w:tcPr>
          <w:p>
            <w:pPr>
              <w:spacing w:after="0"/>
              <w:rPr>
                <w:sz w:val="21"/>
                <w:szCs w:val="21"/>
                <w:color w:val="auto"/>
              </w:rPr>
            </w:pPr>
          </w:p>
        </w:tc>
        <w:tc>
          <w:tcPr>
            <w:tcW w:w="800" w:type="dxa"/>
            <w:vAlign w:val="bottom"/>
          </w:tcPr>
          <w:p>
            <w:pPr>
              <w:jc w:val="right"/>
              <w:ind w:right="79"/>
              <w:spacing w:after="0"/>
              <w:rPr>
                <w:sz w:val="20"/>
                <w:szCs w:val="20"/>
                <w:color w:val="auto"/>
              </w:rPr>
            </w:pPr>
            <w:r>
              <w:rPr>
                <w:rFonts w:ascii="Arial" w:cs="Arial" w:eastAsia="Arial" w:hAnsi="Arial"/>
                <w:sz w:val="16"/>
                <w:szCs w:val="16"/>
                <w:color w:val="auto"/>
              </w:rPr>
              <w:t>5,704</w:t>
            </w:r>
          </w:p>
        </w:tc>
        <w:tc>
          <w:tcPr>
            <w:tcW w:w="340" w:type="dxa"/>
            <w:vAlign w:val="bottom"/>
          </w:tcPr>
          <w:p>
            <w:pPr>
              <w:spacing w:after="0"/>
              <w:rPr>
                <w:sz w:val="21"/>
                <w:szCs w:val="21"/>
                <w:color w:val="auto"/>
              </w:rPr>
            </w:pP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5,720</w:t>
            </w:r>
          </w:p>
        </w:tc>
        <w:tc>
          <w:tcPr>
            <w:tcW w:w="300" w:type="dxa"/>
            <w:vAlign w:val="bottom"/>
          </w:tcPr>
          <w:p>
            <w:pPr>
              <w:spacing w:after="0"/>
              <w:rPr>
                <w:sz w:val="21"/>
                <w:szCs w:val="21"/>
                <w:color w:val="auto"/>
              </w:rPr>
            </w:pPr>
          </w:p>
        </w:tc>
        <w:tc>
          <w:tcPr>
            <w:tcW w:w="860" w:type="dxa"/>
            <w:vAlign w:val="bottom"/>
          </w:tcPr>
          <w:p>
            <w:pPr>
              <w:jc w:val="right"/>
              <w:ind w:right="59"/>
              <w:spacing w:after="0"/>
              <w:rPr>
                <w:sz w:val="20"/>
                <w:szCs w:val="20"/>
                <w:color w:val="auto"/>
              </w:rPr>
            </w:pPr>
            <w:r>
              <w:rPr>
                <w:rFonts w:ascii="Arial" w:cs="Arial" w:eastAsia="Arial" w:hAnsi="Arial"/>
                <w:sz w:val="16"/>
                <w:szCs w:val="16"/>
                <w:color w:val="auto"/>
              </w:rPr>
              <w:t>5,738</w:t>
            </w:r>
          </w:p>
        </w:tc>
        <w:tc>
          <w:tcPr>
            <w:tcW w:w="320" w:type="dxa"/>
            <w:vAlign w:val="bottom"/>
          </w:tcPr>
          <w:p>
            <w:pPr>
              <w:spacing w:after="0"/>
              <w:rPr>
                <w:sz w:val="21"/>
                <w:szCs w:val="21"/>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5,746</w:t>
            </w:r>
          </w:p>
        </w:tc>
      </w:tr>
      <w:tr>
        <w:trPr>
          <w:trHeight w:val="270"/>
        </w:trPr>
        <w:tc>
          <w:tcPr>
            <w:tcW w:w="280" w:type="dxa"/>
            <w:vAlign w:val="bottom"/>
          </w:tcPr>
          <w:p>
            <w:pPr>
              <w:spacing w:after="0"/>
              <w:rPr>
                <w:sz w:val="23"/>
                <w:szCs w:val="23"/>
                <w:color w:val="auto"/>
              </w:rPr>
            </w:pPr>
          </w:p>
        </w:tc>
        <w:tc>
          <w:tcPr>
            <w:tcW w:w="800" w:type="dxa"/>
            <w:vAlign w:val="bottom"/>
          </w:tcPr>
          <w:p>
            <w:pPr>
              <w:jc w:val="right"/>
              <w:ind w:right="79"/>
              <w:spacing w:after="0"/>
              <w:rPr>
                <w:sz w:val="20"/>
                <w:szCs w:val="20"/>
                <w:color w:val="auto"/>
              </w:rPr>
            </w:pPr>
            <w:r>
              <w:rPr>
                <w:rFonts w:ascii="Arial" w:cs="Arial" w:eastAsia="Arial" w:hAnsi="Arial"/>
                <w:sz w:val="16"/>
                <w:szCs w:val="16"/>
                <w:color w:val="auto"/>
              </w:rPr>
              <w:t>5,791</w:t>
            </w:r>
          </w:p>
        </w:tc>
        <w:tc>
          <w:tcPr>
            <w:tcW w:w="340" w:type="dxa"/>
            <w:vAlign w:val="bottom"/>
          </w:tcPr>
          <w:p>
            <w:pPr>
              <w:spacing w:after="0"/>
              <w:rPr>
                <w:sz w:val="23"/>
                <w:szCs w:val="23"/>
                <w:color w:val="auto"/>
              </w:rPr>
            </w:pP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5,805</w:t>
            </w:r>
          </w:p>
        </w:tc>
        <w:tc>
          <w:tcPr>
            <w:tcW w:w="300" w:type="dxa"/>
            <w:vAlign w:val="bottom"/>
          </w:tcPr>
          <w:p>
            <w:pPr>
              <w:spacing w:after="0"/>
              <w:rPr>
                <w:sz w:val="23"/>
                <w:szCs w:val="23"/>
                <w:color w:val="auto"/>
              </w:rPr>
            </w:pPr>
          </w:p>
        </w:tc>
        <w:tc>
          <w:tcPr>
            <w:tcW w:w="860" w:type="dxa"/>
            <w:vAlign w:val="bottom"/>
          </w:tcPr>
          <w:p>
            <w:pPr>
              <w:jc w:val="right"/>
              <w:ind w:right="59"/>
              <w:spacing w:after="0"/>
              <w:rPr>
                <w:sz w:val="20"/>
                <w:szCs w:val="20"/>
                <w:color w:val="auto"/>
              </w:rPr>
            </w:pPr>
            <w:r>
              <w:rPr>
                <w:rFonts w:ascii="Arial" w:cs="Arial" w:eastAsia="Arial" w:hAnsi="Arial"/>
                <w:sz w:val="16"/>
                <w:szCs w:val="16"/>
                <w:color w:val="auto"/>
              </w:rPr>
              <w:t>5,837</w:t>
            </w:r>
          </w:p>
        </w:tc>
        <w:tc>
          <w:tcPr>
            <w:tcW w:w="320" w:type="dxa"/>
            <w:vAlign w:val="bottom"/>
          </w:tcPr>
          <w:p>
            <w:pPr>
              <w:spacing w:after="0"/>
              <w:rPr>
                <w:sz w:val="23"/>
                <w:szCs w:val="23"/>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5,834</w:t>
            </w:r>
          </w:p>
        </w:tc>
      </w:tr>
      <w:tr>
        <w:trPr>
          <w:trHeight w:val="270"/>
        </w:trPr>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79"/>
              <w:spacing w:after="0"/>
              <w:rPr>
                <w:sz w:val="20"/>
                <w:szCs w:val="20"/>
                <w:color w:val="auto"/>
              </w:rPr>
            </w:pPr>
            <w:r>
              <w:rPr>
                <w:rFonts w:ascii="Arial" w:cs="Arial" w:eastAsia="Arial" w:hAnsi="Arial"/>
                <w:sz w:val="16"/>
                <w:szCs w:val="16"/>
                <w:color w:val="auto"/>
              </w:rPr>
              <w:t>4,098</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56,304</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(235,556)</w:t>
            </w:r>
          </w:p>
        </w:tc>
        <w:tc>
          <w:tcPr>
            <w:tcW w:w="3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(64,301)</w:t>
            </w:r>
          </w:p>
        </w:tc>
      </w:tr>
    </w:tbl>
    <w:p>
      <w:pPr>
        <w:spacing w:after="0" w:line="151" w:lineRule="exact"/>
        <w:rPr>
          <w:sz w:val="20"/>
          <w:szCs w:val="20"/>
          <w:color w:val="auto"/>
        </w:rPr>
      </w:pPr>
    </w:p>
    <w:p>
      <w:pPr>
        <w:sectPr>
          <w:pgSz w:w="11900" w:h="16838" w:orient="portrait"/>
          <w:cols w:equalWidth="0" w:num="2">
            <w:col w:w="6880" w:space="100"/>
            <w:col w:w="4440"/>
          </w:cols>
          <w:pgMar w:left="240" w:top="738" w:right="239" w:bottom="1440" w:gutter="0" w:footer="0" w:header="0"/>
          <w:type w:val="continuous"/>
        </w:sectPr>
      </w:pPr>
    </w:p>
    <w:p>
      <w:pPr>
        <w:spacing w:after="0"/>
        <w:rPr>
          <w:sz w:val="20"/>
          <w:szCs w:val="20"/>
          <w:color w:val="auto"/>
        </w:rPr>
      </w:pPr>
      <w:r>
        <w:rPr>
          <w:rFonts w:ascii="Arial" w:cs="Arial" w:eastAsia="Arial" w:hAnsi="Arial"/>
          <w:sz w:val="14"/>
          <w:szCs w:val="14"/>
          <w:color w:val="auto"/>
        </w:rPr>
        <w:t>The sum of the four quarters may not necessarily be equal to the annual amounts reported in the Consolidated Statements of Operations due to rounding.</w:t>
      </w:r>
    </w:p>
    <w:p>
      <w:pPr>
        <w:sectPr>
          <w:pgSz w:w="11900" w:h="16838" w:orient="portrait"/>
          <w:cols w:equalWidth="0" w:num="1">
            <w:col w:w="11420"/>
          </w:cols>
          <w:pgMar w:left="240" w:top="738" w:right="239" w:bottom="1440" w:gutter="0" w:footer="0" w:header="0"/>
          <w:type w:val="continuous"/>
        </w:sect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113</w:t>
      </w:r>
    </w:p>
    <w:p>
      <w:pPr>
        <w:sectPr>
          <w:pgSz w:w="11900" w:h="16838" w:orient="portrait"/>
          <w:cols w:equalWidth="0" w:num="1">
            <w:col w:w="11420"/>
          </w:cols>
          <w:pgMar w:left="240" w:top="738" w:right="239" w:bottom="1440" w:gutter="0" w:footer="0" w:header="0"/>
          <w:type w:val="continuous"/>
        </w:sectPr>
      </w:pPr>
    </w:p>
    <w:bookmarkStart w:id="117" w:name="page118"/>
    <w:bookmarkEnd w:id="117"/>
    <w:p>
      <w:pPr>
        <w:spacing w:after="0"/>
        <w:rPr>
          <w:sz w:val="20"/>
          <w:szCs w:val="20"/>
          <w:color w:val="auto"/>
        </w:rPr>
      </w:pPr>
      <w:r>
        <w:rPr>
          <w:rFonts w:ascii="Arial" w:cs="Arial" w:eastAsia="Arial" w:hAnsi="Arial"/>
          <w:sz w:val="18"/>
          <w:szCs w:val="18"/>
          <w:color w:val="auto"/>
        </w:rPr>
        <w:t>Quarterly impact from certain items in 2016 and 2015 (after-tax and diluted EPS amounts):</w:t>
      </w:r>
    </w:p>
    <w:p>
      <w:pPr>
        <w:spacing w:after="0" w:line="179"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7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jc w:val="right"/>
              <w:ind w:right="262"/>
              <w:spacing w:after="0"/>
              <w:rPr>
                <w:sz w:val="20"/>
                <w:szCs w:val="20"/>
                <w:color w:val="auto"/>
              </w:rPr>
            </w:pPr>
            <w:r>
              <w:rPr>
                <w:rFonts w:ascii="Arial" w:cs="Arial" w:eastAsia="Arial" w:hAnsi="Arial"/>
                <w:sz w:val="14"/>
                <w:szCs w:val="14"/>
                <w:b w:val="1"/>
                <w:bCs w:val="1"/>
                <w:color w:val="auto"/>
              </w:rPr>
              <w:t>First</w:t>
            </w:r>
          </w:p>
        </w:tc>
        <w:tc>
          <w:tcPr>
            <w:tcW w:w="220" w:type="dxa"/>
            <w:vAlign w:val="bottom"/>
          </w:tcPr>
          <w:p>
            <w:pPr>
              <w:spacing w:after="0"/>
              <w:rPr>
                <w:sz w:val="14"/>
                <w:szCs w:val="14"/>
                <w:color w:val="auto"/>
              </w:rPr>
            </w:pPr>
          </w:p>
        </w:tc>
        <w:tc>
          <w:tcPr>
            <w:tcW w:w="780" w:type="dxa"/>
            <w:vAlign w:val="bottom"/>
          </w:tcPr>
          <w:p>
            <w:pPr>
              <w:jc w:val="right"/>
              <w:ind w:right="142"/>
              <w:spacing w:after="0"/>
              <w:rPr>
                <w:sz w:val="20"/>
                <w:szCs w:val="20"/>
                <w:color w:val="auto"/>
              </w:rPr>
            </w:pPr>
            <w:r>
              <w:rPr>
                <w:rFonts w:ascii="Arial" w:cs="Arial" w:eastAsia="Arial" w:hAnsi="Arial"/>
                <w:sz w:val="14"/>
                <w:szCs w:val="14"/>
                <w:b w:val="1"/>
                <w:bCs w:val="1"/>
                <w:color w:val="auto"/>
              </w:rPr>
              <w:t>Second</w:t>
            </w:r>
          </w:p>
        </w:tc>
        <w:tc>
          <w:tcPr>
            <w:tcW w:w="240" w:type="dxa"/>
            <w:vAlign w:val="bottom"/>
          </w:tcPr>
          <w:p>
            <w:pPr>
              <w:spacing w:after="0"/>
              <w:rPr>
                <w:sz w:val="14"/>
                <w:szCs w:val="14"/>
                <w:color w:val="auto"/>
              </w:rPr>
            </w:pPr>
          </w:p>
        </w:tc>
        <w:tc>
          <w:tcPr>
            <w:tcW w:w="780" w:type="dxa"/>
            <w:vAlign w:val="bottom"/>
          </w:tcPr>
          <w:p>
            <w:pPr>
              <w:jc w:val="right"/>
              <w:ind w:right="242"/>
              <w:spacing w:after="0"/>
              <w:rPr>
                <w:sz w:val="20"/>
                <w:szCs w:val="20"/>
                <w:color w:val="auto"/>
              </w:rPr>
            </w:pPr>
            <w:r>
              <w:rPr>
                <w:rFonts w:ascii="Arial" w:cs="Arial" w:eastAsia="Arial" w:hAnsi="Arial"/>
                <w:sz w:val="14"/>
                <w:szCs w:val="14"/>
                <w:b w:val="1"/>
                <w:bCs w:val="1"/>
                <w:color w:val="auto"/>
              </w:rPr>
              <w:t>Third</w:t>
            </w:r>
          </w:p>
        </w:tc>
        <w:tc>
          <w:tcPr>
            <w:tcW w:w="220" w:type="dxa"/>
            <w:vAlign w:val="bottom"/>
          </w:tcPr>
          <w:p>
            <w:pPr>
              <w:spacing w:after="0"/>
              <w:rPr>
                <w:sz w:val="14"/>
                <w:szCs w:val="14"/>
                <w:color w:val="auto"/>
              </w:rPr>
            </w:pPr>
          </w:p>
        </w:tc>
        <w:tc>
          <w:tcPr>
            <w:tcW w:w="760" w:type="dxa"/>
            <w:vAlign w:val="bottom"/>
          </w:tcPr>
          <w:p>
            <w:pPr>
              <w:jc w:val="right"/>
              <w:ind w:right="162"/>
              <w:spacing w:after="0"/>
              <w:rPr>
                <w:sz w:val="20"/>
                <w:szCs w:val="20"/>
                <w:color w:val="auto"/>
              </w:rPr>
            </w:pPr>
            <w:r>
              <w:rPr>
                <w:rFonts w:ascii="Arial" w:cs="Arial" w:eastAsia="Arial" w:hAnsi="Arial"/>
                <w:sz w:val="14"/>
                <w:szCs w:val="14"/>
                <w:b w:val="1"/>
                <w:bCs w:val="1"/>
                <w:color w:val="auto"/>
              </w:rPr>
              <w:t>Fourth</w:t>
            </w:r>
          </w:p>
        </w:tc>
      </w:tr>
      <w:tr>
        <w:trPr>
          <w:trHeight w:val="202"/>
        </w:trPr>
        <w:tc>
          <w:tcPr>
            <w:tcW w:w="74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62"/>
              <w:spacing w:after="0"/>
              <w:rPr>
                <w:sz w:val="20"/>
                <w:szCs w:val="20"/>
                <w:color w:val="auto"/>
              </w:rPr>
            </w:pPr>
            <w:r>
              <w:rPr>
                <w:rFonts w:ascii="Arial" w:cs="Arial" w:eastAsia="Arial" w:hAnsi="Arial"/>
                <w:sz w:val="14"/>
                <w:szCs w:val="14"/>
                <w:b w:val="1"/>
                <w:bCs w:val="1"/>
                <w:color w:val="auto"/>
              </w:rPr>
              <w:t>Quarter</w:t>
            </w: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42"/>
              <w:spacing w:after="0"/>
              <w:rPr>
                <w:sz w:val="20"/>
                <w:szCs w:val="20"/>
                <w:color w:val="auto"/>
              </w:rPr>
            </w:pPr>
            <w:r>
              <w:rPr>
                <w:rFonts w:ascii="Arial" w:cs="Arial" w:eastAsia="Arial" w:hAnsi="Arial"/>
                <w:sz w:val="14"/>
                <w:szCs w:val="14"/>
                <w:b w:val="1"/>
                <w:bCs w:val="1"/>
                <w:color w:val="auto"/>
              </w:rPr>
              <w:t>Quarter</w:t>
            </w:r>
          </w:p>
        </w:tc>
        <w:tc>
          <w:tcPr>
            <w:tcW w:w="2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62"/>
              <w:spacing w:after="0"/>
              <w:rPr>
                <w:sz w:val="20"/>
                <w:szCs w:val="20"/>
                <w:color w:val="auto"/>
              </w:rPr>
            </w:pPr>
            <w:r>
              <w:rPr>
                <w:rFonts w:ascii="Arial" w:cs="Arial" w:eastAsia="Arial" w:hAnsi="Arial"/>
                <w:sz w:val="14"/>
                <w:szCs w:val="14"/>
                <w:b w:val="1"/>
                <w:bCs w:val="1"/>
                <w:color w:val="auto"/>
              </w:rPr>
              <w:t>Quarter</w:t>
            </w: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22"/>
              <w:spacing w:after="0"/>
              <w:rPr>
                <w:sz w:val="20"/>
                <w:szCs w:val="20"/>
                <w:color w:val="auto"/>
              </w:rPr>
            </w:pPr>
            <w:r>
              <w:rPr>
                <w:rFonts w:ascii="Arial" w:cs="Arial" w:eastAsia="Arial" w:hAnsi="Arial"/>
                <w:sz w:val="14"/>
                <w:szCs w:val="14"/>
                <w:b w:val="1"/>
                <w:bCs w:val="1"/>
                <w:color w:val="auto"/>
              </w:rPr>
              <w:t>Quarter</w:t>
            </w:r>
          </w:p>
        </w:tc>
      </w:tr>
      <w:tr>
        <w:trPr>
          <w:trHeight w:val="264"/>
        </w:trPr>
        <w:tc>
          <w:tcPr>
            <w:tcW w:w="7400" w:type="dxa"/>
            <w:vAlign w:val="bottom"/>
          </w:tcPr>
          <w:p>
            <w:pPr>
              <w:spacing w:after="0"/>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60" w:type="dxa"/>
            <w:vAlign w:val="bottom"/>
          </w:tcPr>
          <w:p>
            <w:pPr>
              <w:spacing w:after="0"/>
              <w:rPr>
                <w:sz w:val="22"/>
                <w:szCs w:val="22"/>
                <w:color w:val="auto"/>
              </w:rPr>
            </w:pPr>
          </w:p>
        </w:tc>
      </w:tr>
      <w:tr>
        <w:trPr>
          <w:trHeight w:val="257"/>
        </w:trPr>
        <w:tc>
          <w:tcPr>
            <w:tcW w:w="7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xml:space="preserve">Ÿ  </w:t>
            </w:r>
            <w:r>
              <w:rPr>
                <w:rFonts w:ascii="Arial" w:cs="Arial" w:eastAsia="Arial" w:hAnsi="Arial"/>
                <w:sz w:val="16"/>
                <w:szCs w:val="16"/>
                <w:color w:val="auto"/>
              </w:rPr>
              <w:t>Settlement gain of $10.8 million related to a bulk lump sum pension offering</w:t>
            </w:r>
          </w:p>
        </w:tc>
        <w:tc>
          <w:tcPr>
            <w:tcW w:w="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42"/>
              <w:spacing w:after="0"/>
              <w:rPr>
                <w:sz w:val="20"/>
                <w:szCs w:val="20"/>
                <w:color w:val="auto"/>
              </w:rPr>
            </w:pPr>
            <w:r>
              <w:rPr>
                <w:rFonts w:ascii="Arial" w:cs="Arial" w:eastAsia="Arial" w:hAnsi="Arial"/>
                <w:sz w:val="16"/>
                <w:szCs w:val="16"/>
                <w:color w:val="auto"/>
              </w:rPr>
              <w:t>1.92</w:t>
            </w:r>
          </w:p>
        </w:tc>
      </w:tr>
      <w:tr>
        <w:trPr>
          <w:trHeight w:val="214"/>
        </w:trPr>
        <w:tc>
          <w:tcPr>
            <w:tcW w:w="7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xml:space="preserve">Ÿ  </w:t>
            </w:r>
            <w:r>
              <w:rPr>
                <w:rFonts w:ascii="Arial" w:cs="Arial" w:eastAsia="Arial" w:hAnsi="Arial"/>
                <w:sz w:val="16"/>
                <w:szCs w:val="16"/>
                <w:color w:val="auto"/>
              </w:rPr>
              <w:t>Charges of $7.7 million related to restructuring at the education division ($1.2 million, $0.9 million,</w:t>
            </w: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9"/>
        </w:trPr>
        <w:tc>
          <w:tcPr>
            <w:tcW w:w="7400" w:type="dxa"/>
            <w:vAlign w:val="bottom"/>
          </w:tcPr>
          <w:p>
            <w:pPr>
              <w:ind w:left="220"/>
              <w:spacing w:after="0"/>
              <w:rPr>
                <w:sz w:val="20"/>
                <w:szCs w:val="20"/>
                <w:color w:val="auto"/>
              </w:rPr>
            </w:pPr>
            <w:r>
              <w:rPr>
                <w:rFonts w:ascii="Arial" w:cs="Arial" w:eastAsia="Arial" w:hAnsi="Arial"/>
                <w:sz w:val="16"/>
                <w:szCs w:val="16"/>
                <w:color w:val="auto"/>
              </w:rPr>
              <w:t>$1.1 million and $4.5 million in the first, second, third and fourth quarters, respectively)</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22"/>
              <w:spacing w:after="0"/>
              <w:rPr>
                <w:sz w:val="20"/>
                <w:szCs w:val="20"/>
                <w:color w:val="auto"/>
              </w:rPr>
            </w:pPr>
            <w:r>
              <w:rPr>
                <w:rFonts w:ascii="Arial" w:cs="Arial" w:eastAsia="Arial" w:hAnsi="Arial"/>
                <w:sz w:val="16"/>
                <w:szCs w:val="16"/>
                <w:color w:val="auto"/>
              </w:rPr>
              <w:t>(0.21)</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2"/>
              <w:spacing w:after="0"/>
              <w:rPr>
                <w:sz w:val="20"/>
                <w:szCs w:val="20"/>
                <w:color w:val="auto"/>
              </w:rPr>
            </w:pPr>
            <w:r>
              <w:rPr>
                <w:rFonts w:ascii="Arial" w:cs="Arial" w:eastAsia="Arial" w:hAnsi="Arial"/>
                <w:sz w:val="16"/>
                <w:szCs w:val="16"/>
                <w:color w:val="auto"/>
              </w:rPr>
              <w:t>(0.15)</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22"/>
              <w:spacing w:after="0"/>
              <w:rPr>
                <w:sz w:val="20"/>
                <w:szCs w:val="20"/>
                <w:color w:val="auto"/>
              </w:rPr>
            </w:pPr>
            <w:r>
              <w:rPr>
                <w:rFonts w:ascii="Arial" w:cs="Arial" w:eastAsia="Arial" w:hAnsi="Arial"/>
                <w:sz w:val="16"/>
                <w:szCs w:val="16"/>
                <w:color w:val="auto"/>
              </w:rPr>
              <w:t>(0.19)</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(0.81)</w:t>
            </w:r>
          </w:p>
        </w:tc>
      </w:tr>
      <w:tr>
        <w:trPr>
          <w:trHeight w:val="214"/>
        </w:trPr>
        <w:tc>
          <w:tcPr>
            <w:tcW w:w="7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xml:space="preserve">Ÿ  </w:t>
            </w:r>
            <w:r>
              <w:rPr>
                <w:rFonts w:ascii="Arial" w:cs="Arial" w:eastAsia="Arial" w:hAnsi="Arial"/>
                <w:sz w:val="16"/>
                <w:szCs w:val="16"/>
                <w:color w:val="auto"/>
              </w:rPr>
              <w:t>Non-operating gain, net, of $20.0 million from the sales of land and marketable equity securities</w:t>
            </w: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189"/>
        </w:trPr>
        <w:tc>
          <w:tcPr>
            <w:tcW w:w="7400" w:type="dxa"/>
            <w:vAlign w:val="bottom"/>
          </w:tcPr>
          <w:p>
            <w:pPr>
              <w:ind w:left="220"/>
              <w:spacing w:after="0"/>
              <w:rPr>
                <w:sz w:val="20"/>
                <w:szCs w:val="20"/>
                <w:color w:val="auto"/>
              </w:rPr>
            </w:pPr>
            <w:r>
              <w:rPr>
                <w:rFonts w:ascii="Arial" w:cs="Arial" w:eastAsia="Arial" w:hAnsi="Arial"/>
                <w:sz w:val="16"/>
                <w:szCs w:val="16"/>
                <w:color w:val="auto"/>
              </w:rPr>
              <w:t>($1.1 million gain, $23.9 million gain and $5.0 million loss in the first, second and fourth quarters,</w:t>
            </w: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219"/>
        </w:trPr>
        <w:tc>
          <w:tcPr>
            <w:tcW w:w="7400" w:type="dxa"/>
            <w:vAlign w:val="bottom"/>
          </w:tcPr>
          <w:p>
            <w:pPr>
              <w:ind w:left="220"/>
              <w:spacing w:after="0"/>
              <w:rPr>
                <w:sz w:val="20"/>
                <w:szCs w:val="20"/>
                <w:color w:val="auto"/>
              </w:rPr>
            </w:pPr>
            <w:r>
              <w:rPr>
                <w:rFonts w:ascii="Arial" w:cs="Arial" w:eastAsia="Arial" w:hAnsi="Arial"/>
                <w:sz w:val="16"/>
                <w:szCs w:val="16"/>
                <w:color w:val="auto"/>
              </w:rPr>
              <w:t>respectively)</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82"/>
              <w:spacing w:after="0"/>
              <w:rPr>
                <w:sz w:val="20"/>
                <w:szCs w:val="20"/>
                <w:color w:val="auto"/>
              </w:rPr>
            </w:pPr>
            <w:r>
              <w:rPr>
                <w:rFonts w:ascii="Arial" w:cs="Arial" w:eastAsia="Arial" w:hAnsi="Arial"/>
                <w:sz w:val="16"/>
                <w:szCs w:val="16"/>
                <w:color w:val="auto"/>
              </w:rPr>
              <w:t>0.19</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62"/>
              <w:spacing w:after="0"/>
              <w:rPr>
                <w:sz w:val="20"/>
                <w:szCs w:val="20"/>
                <w:color w:val="auto"/>
              </w:rPr>
            </w:pPr>
            <w:r>
              <w:rPr>
                <w:rFonts w:ascii="Arial" w:cs="Arial" w:eastAsia="Arial" w:hAnsi="Arial"/>
                <w:sz w:val="16"/>
                <w:szCs w:val="16"/>
                <w:color w:val="auto"/>
              </w:rPr>
              <w:t>4.23</w:t>
            </w: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(0.90)</w:t>
            </w:r>
          </w:p>
        </w:tc>
      </w:tr>
      <w:tr>
        <w:trPr>
          <w:trHeight w:val="214"/>
        </w:trPr>
        <w:tc>
          <w:tcPr>
            <w:tcW w:w="7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xml:space="preserve">Ÿ  </w:t>
            </w:r>
            <w:r>
              <w:rPr>
                <w:rFonts w:ascii="Arial" w:cs="Arial" w:eastAsia="Arial" w:hAnsi="Arial"/>
                <w:sz w:val="16"/>
                <w:szCs w:val="16"/>
                <w:color w:val="auto"/>
              </w:rPr>
              <w:t>Non-operating gain of $13.6 million arising from the sale of a business and the formation of a joint</w:t>
            </w: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9"/>
        </w:trPr>
        <w:tc>
          <w:tcPr>
            <w:tcW w:w="7400" w:type="dxa"/>
            <w:vAlign w:val="bottom"/>
          </w:tcPr>
          <w:p>
            <w:pPr>
              <w:ind w:left="220"/>
              <w:spacing w:after="0"/>
              <w:rPr>
                <w:sz w:val="20"/>
                <w:szCs w:val="20"/>
                <w:color w:val="auto"/>
              </w:rPr>
            </w:pPr>
            <w:r>
              <w:rPr>
                <w:rFonts w:ascii="Arial" w:cs="Arial" w:eastAsia="Arial" w:hAnsi="Arial"/>
                <w:sz w:val="16"/>
                <w:szCs w:val="16"/>
                <w:color w:val="auto"/>
              </w:rPr>
              <w:t>venture ($11.9 million and $1.7 million in the first and second quarters, respectively)</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82"/>
              <w:spacing w:after="0"/>
              <w:rPr>
                <w:sz w:val="20"/>
                <w:szCs w:val="20"/>
                <w:color w:val="auto"/>
              </w:rPr>
            </w:pPr>
            <w:r>
              <w:rPr>
                <w:rFonts w:ascii="Arial" w:cs="Arial" w:eastAsia="Arial" w:hAnsi="Arial"/>
                <w:sz w:val="16"/>
                <w:szCs w:val="16"/>
                <w:color w:val="auto"/>
              </w:rPr>
              <w:t>2.08</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62"/>
              <w:spacing w:after="0"/>
              <w:rPr>
                <w:sz w:val="20"/>
                <w:szCs w:val="20"/>
                <w:color w:val="auto"/>
              </w:rPr>
            </w:pPr>
            <w:r>
              <w:rPr>
                <w:rFonts w:ascii="Arial" w:cs="Arial" w:eastAsia="Arial" w:hAnsi="Arial"/>
                <w:sz w:val="16"/>
                <w:szCs w:val="16"/>
                <w:color w:val="auto"/>
              </w:rPr>
              <w:t>0.29</w:t>
            </w: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13"/>
        </w:trPr>
        <w:tc>
          <w:tcPr>
            <w:tcW w:w="7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xml:space="preserve">Ÿ  </w:t>
            </w:r>
            <w:r>
              <w:rPr>
                <w:rFonts w:ascii="Arial" w:cs="Arial" w:eastAsia="Arial" w:hAnsi="Arial"/>
                <w:sz w:val="16"/>
                <w:szCs w:val="16"/>
                <w:color w:val="auto"/>
              </w:rPr>
              <w:t>Non-operating expense of $24.1 million from the write-down of cost method investments and</w:t>
            </w: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9"/>
        </w:trPr>
        <w:tc>
          <w:tcPr>
            <w:tcW w:w="7400" w:type="dxa"/>
            <w:vAlign w:val="bottom"/>
          </w:tcPr>
          <w:p>
            <w:pPr>
              <w:ind w:left="220"/>
              <w:spacing w:after="0"/>
              <w:rPr>
                <w:sz w:val="20"/>
                <w:szCs w:val="20"/>
                <w:color w:val="auto"/>
              </w:rPr>
            </w:pPr>
            <w:r>
              <w:rPr>
                <w:rFonts w:ascii="Arial" w:cs="Arial" w:eastAsia="Arial" w:hAnsi="Arial"/>
                <w:sz w:val="16"/>
                <w:szCs w:val="16"/>
                <w:color w:val="auto"/>
              </w:rPr>
              <w:t>investments in affiliates ($9.6 million and $14.5 million in the third and fourth quarters, respectively)</w:t>
            </w: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22"/>
              <w:spacing w:after="0"/>
              <w:rPr>
                <w:sz w:val="20"/>
                <w:szCs w:val="20"/>
                <w:color w:val="auto"/>
              </w:rPr>
            </w:pPr>
            <w:r>
              <w:rPr>
                <w:rFonts w:ascii="Arial" w:cs="Arial" w:eastAsia="Arial" w:hAnsi="Arial"/>
                <w:sz w:val="16"/>
                <w:szCs w:val="16"/>
                <w:color w:val="auto"/>
              </w:rPr>
              <w:t>(1.70)</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(2.57)</w:t>
            </w:r>
          </w:p>
        </w:tc>
      </w:tr>
      <w:tr>
        <w:trPr>
          <w:trHeight w:val="214"/>
        </w:trPr>
        <w:tc>
          <w:tcPr>
            <w:tcW w:w="74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Ÿ  </w:t>
            </w:r>
            <w:r>
              <w:rPr>
                <w:rFonts w:ascii="Arial" w:cs="Arial" w:eastAsia="Arial" w:hAnsi="Arial"/>
                <w:sz w:val="16"/>
                <w:szCs w:val="16"/>
                <w:color w:val="auto"/>
              </w:rPr>
              <w:t>Losses, net, of $25.5 million for non-operating foreign currency losses ($3.4 million, $15.4 million,</w:t>
            </w: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9"/>
        </w:trPr>
        <w:tc>
          <w:tcPr>
            <w:tcW w:w="7400" w:type="dxa"/>
            <w:vAlign w:val="bottom"/>
          </w:tcPr>
          <w:p>
            <w:pPr>
              <w:ind w:left="220"/>
              <w:spacing w:after="0"/>
              <w:rPr>
                <w:sz w:val="20"/>
                <w:szCs w:val="20"/>
                <w:color w:val="auto"/>
              </w:rPr>
            </w:pPr>
            <w:r>
              <w:rPr>
                <w:rFonts w:ascii="Arial" w:cs="Arial" w:eastAsia="Arial" w:hAnsi="Arial"/>
                <w:sz w:val="16"/>
                <w:szCs w:val="16"/>
                <w:color w:val="auto"/>
              </w:rPr>
              <w:t>$2.4 million and $4.2 million in the first, second, third and fourth quarters, respectively)</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22"/>
              <w:spacing w:after="0"/>
              <w:rPr>
                <w:sz w:val="20"/>
                <w:szCs w:val="20"/>
                <w:color w:val="auto"/>
              </w:rPr>
            </w:pPr>
            <w:r>
              <w:rPr>
                <w:rFonts w:ascii="Arial" w:cs="Arial" w:eastAsia="Arial" w:hAnsi="Arial"/>
                <w:sz w:val="16"/>
                <w:szCs w:val="16"/>
                <w:color w:val="auto"/>
              </w:rPr>
              <w:t>(0.60)</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2"/>
              <w:spacing w:after="0"/>
              <w:rPr>
                <w:sz w:val="20"/>
                <w:szCs w:val="20"/>
                <w:color w:val="auto"/>
              </w:rPr>
            </w:pPr>
            <w:r>
              <w:rPr>
                <w:rFonts w:ascii="Arial" w:cs="Arial" w:eastAsia="Arial" w:hAnsi="Arial"/>
                <w:sz w:val="16"/>
                <w:szCs w:val="16"/>
                <w:color w:val="auto"/>
              </w:rPr>
              <w:t>(2.73)</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22"/>
              <w:spacing w:after="0"/>
              <w:rPr>
                <w:sz w:val="20"/>
                <w:szCs w:val="20"/>
                <w:color w:val="auto"/>
              </w:rPr>
            </w:pPr>
            <w:r>
              <w:rPr>
                <w:rFonts w:ascii="Arial" w:cs="Arial" w:eastAsia="Arial" w:hAnsi="Arial"/>
                <w:sz w:val="16"/>
                <w:szCs w:val="16"/>
                <w:color w:val="auto"/>
              </w:rPr>
              <w:t>(0.43)</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(0.75)</w:t>
            </w:r>
          </w:p>
        </w:tc>
      </w:tr>
      <w:tr>
        <w:trPr>
          <w:trHeight w:val="270"/>
        </w:trPr>
        <w:tc>
          <w:tcPr>
            <w:tcW w:w="74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Ÿ  </w:t>
            </w:r>
            <w:r>
              <w:rPr>
                <w:rFonts w:ascii="Arial" w:cs="Arial" w:eastAsia="Arial" w:hAnsi="Arial"/>
                <w:sz w:val="16"/>
                <w:szCs w:val="16"/>
                <w:color w:val="auto"/>
              </w:rPr>
              <w:t>Net nonrecurring $8.3 million deferred tax benefit related to Kaplan's international operations</w:t>
            </w:r>
          </w:p>
        </w:tc>
        <w:tc>
          <w:tcPr>
            <w:tcW w:w="1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62"/>
              <w:spacing w:after="0"/>
              <w:rPr>
                <w:sz w:val="20"/>
                <w:szCs w:val="20"/>
                <w:color w:val="auto"/>
              </w:rPr>
            </w:pPr>
            <w:r>
              <w:rPr>
                <w:rFonts w:ascii="Arial" w:cs="Arial" w:eastAsia="Arial" w:hAnsi="Arial"/>
                <w:sz w:val="16"/>
                <w:szCs w:val="16"/>
                <w:color w:val="auto"/>
              </w:rPr>
              <w:t>1.47</w:t>
            </w:r>
          </w:p>
        </w:tc>
        <w:tc>
          <w:tcPr>
            <w:tcW w:w="220" w:type="dxa"/>
            <w:vAlign w:val="bottom"/>
          </w:tcPr>
          <w:p>
            <w:pPr>
              <w:spacing w:after="0"/>
              <w:rPr>
                <w:sz w:val="23"/>
                <w:szCs w:val="23"/>
                <w:color w:val="auto"/>
              </w:rPr>
            </w:pPr>
          </w:p>
        </w:tc>
        <w:tc>
          <w:tcPr>
            <w:tcW w:w="760" w:type="dxa"/>
            <w:vAlign w:val="bottom"/>
          </w:tcPr>
          <w:p>
            <w:pPr>
              <w:spacing w:after="0"/>
              <w:rPr>
                <w:sz w:val="23"/>
                <w:szCs w:val="23"/>
                <w:color w:val="auto"/>
              </w:rPr>
            </w:pPr>
          </w:p>
        </w:tc>
      </w:tr>
      <w:tr>
        <w:trPr>
          <w:trHeight w:val="214"/>
        </w:trPr>
        <w:tc>
          <w:tcPr>
            <w:tcW w:w="74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Ÿ  </w:t>
            </w:r>
            <w:r>
              <w:rPr>
                <w:rFonts w:ascii="Arial" w:cs="Arial" w:eastAsia="Arial" w:hAnsi="Arial"/>
                <w:sz w:val="16"/>
                <w:szCs w:val="16"/>
                <w:color w:val="auto"/>
              </w:rPr>
              <w:t>Favorable $5.6 million out of period deferred tax adjustment related to the KHE goodwill impairment</w:t>
            </w: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9"/>
        </w:trPr>
        <w:tc>
          <w:tcPr>
            <w:tcW w:w="7400" w:type="dxa"/>
            <w:vAlign w:val="bottom"/>
          </w:tcPr>
          <w:p>
            <w:pPr>
              <w:ind w:left="220"/>
              <w:spacing w:after="0"/>
              <w:rPr>
                <w:sz w:val="20"/>
                <w:szCs w:val="20"/>
                <w:color w:val="auto"/>
              </w:rPr>
            </w:pPr>
            <w:r>
              <w:rPr>
                <w:rFonts w:ascii="Arial" w:cs="Arial" w:eastAsia="Arial" w:hAnsi="Arial"/>
                <w:sz w:val="16"/>
                <w:szCs w:val="16"/>
                <w:color w:val="auto"/>
              </w:rPr>
              <w:t>recorded in the third quarter of 2015</w:t>
            </w: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62"/>
              <w:spacing w:after="0"/>
              <w:rPr>
                <w:sz w:val="20"/>
                <w:szCs w:val="20"/>
                <w:color w:val="auto"/>
              </w:rPr>
            </w:pPr>
            <w:r>
              <w:rPr>
                <w:rFonts w:ascii="Arial" w:cs="Arial" w:eastAsia="Arial" w:hAnsi="Arial"/>
                <w:sz w:val="16"/>
                <w:szCs w:val="16"/>
                <w:color w:val="auto"/>
              </w:rPr>
              <w:t>1.00</w:t>
            </w: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r>
    </w:tbl>
    <w:p>
      <w:pPr>
        <w:spacing w:after="0" w:line="21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2015</w:t>
      </w:r>
    </w:p>
    <w:p>
      <w:pPr>
        <w:spacing w:after="0" w:line="52" w:lineRule="exact"/>
        <w:rPr>
          <w:sz w:val="20"/>
          <w:szCs w:val="20"/>
          <w:color w:val="auto"/>
        </w:rPr>
      </w:pPr>
    </w:p>
    <w:p>
      <w:pPr>
        <w:ind w:left="260" w:hanging="202"/>
        <w:spacing w:after="0"/>
        <w:tabs>
          <w:tab w:leader="none" w:pos="260" w:val="left"/>
        </w:tabs>
        <w:numPr>
          <w:ilvl w:val="0"/>
          <w:numId w:val="83"/>
        </w:numPr>
        <w:rPr>
          <w:rFonts w:ascii="Times New Roman" w:cs="Times New Roman" w:eastAsia="Times New Roman" w:hAnsi="Times New Roman"/>
          <w:sz w:val="16"/>
          <w:szCs w:val="16"/>
          <w:color w:val="auto"/>
        </w:rPr>
      </w:pPr>
      <w:r>
        <w:rPr>
          <w:rFonts w:ascii="Arial" w:cs="Arial" w:eastAsia="Arial" w:hAnsi="Arial"/>
          <w:sz w:val="16"/>
          <w:szCs w:val="16"/>
          <w:color w:val="auto"/>
        </w:rPr>
        <w:t>Goodwill and long-lived assets impairment charges of $225.2 million at Kaplan and other businesses</w:t>
      </w:r>
    </w:p>
    <w:p>
      <w:pPr>
        <w:spacing w:after="0" w:line="24" w:lineRule="exact"/>
        <w:rPr>
          <w:sz w:val="20"/>
          <w:szCs w:val="20"/>
          <w:color w:val="auto"/>
        </w:rPr>
      </w:pPr>
    </w:p>
    <w:p>
      <w:pPr>
        <w:ind w:left="260"/>
        <w:spacing w:after="0"/>
        <w:tabs>
          <w:tab w:leader="none" w:pos="8500" w:val="left"/>
          <w:tab w:leader="none" w:pos="8900" w:val="left"/>
          <w:tab w:leader="none" w:pos="9500" w:val="left"/>
          <w:tab w:leader="none" w:pos="9820" w:val="left"/>
          <w:tab w:leader="none" w:pos="10520" w:val="left"/>
          <w:tab w:leader="none" w:pos="10920" w:val="left"/>
        </w:tabs>
        <w:rPr>
          <w:sz w:val="20"/>
          <w:szCs w:val="20"/>
          <w:color w:val="auto"/>
        </w:rPr>
      </w:pPr>
      <w:r>
        <w:rPr>
          <w:rFonts w:ascii="Arial" w:cs="Arial" w:eastAsia="Arial" w:hAnsi="Arial"/>
          <w:sz w:val="16"/>
          <w:szCs w:val="16"/>
          <w:color w:val="auto"/>
        </w:rPr>
        <w:t>($4.4 million, $217.1 million and $3.7 million in the second, third and fourth quarters, respectively)</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(0.75)</w:t>
        <w:tab/>
        <w:t>$</w:t>
        <w:tab/>
        <w:t>(37.85)</w:t>
        <w:tab/>
        <w:t>$</w:t>
      </w:r>
      <w:r>
        <w:rPr>
          <w:sz w:val="20"/>
          <w:szCs w:val="20"/>
          <w:color w:val="auto"/>
        </w:rPr>
        <w:tab/>
      </w:r>
      <w:r>
        <w:rPr>
          <w:rFonts w:ascii="Arial" w:cs="Arial" w:eastAsia="Arial" w:hAnsi="Arial"/>
          <w:sz w:val="16"/>
          <w:szCs w:val="16"/>
          <w:color w:val="auto"/>
        </w:rPr>
        <w:t>(0.63)</w:t>
      </w:r>
    </w:p>
    <w:p>
      <w:pPr>
        <w:spacing w:after="0" w:line="39" w:lineRule="exact"/>
        <w:rPr>
          <w:sz w:val="20"/>
          <w:szCs w:val="20"/>
          <w:color w:val="auto"/>
        </w:rPr>
      </w:pPr>
    </w:p>
    <w:p>
      <w:pPr>
        <w:ind w:left="260" w:right="4020" w:hanging="202"/>
        <w:spacing w:after="0" w:line="259" w:lineRule="auto"/>
        <w:tabs>
          <w:tab w:leader="none" w:pos="260" w:val="left"/>
        </w:tabs>
        <w:numPr>
          <w:ilvl w:val="0"/>
          <w:numId w:val="84"/>
        </w:numPr>
        <w:rPr>
          <w:rFonts w:ascii="Times New Roman" w:cs="Times New Roman" w:eastAsia="Times New Roman" w:hAnsi="Times New Roman"/>
          <w:sz w:val="16"/>
          <w:szCs w:val="16"/>
          <w:color w:val="auto"/>
        </w:rPr>
      </w:pPr>
      <w:r>
        <w:rPr>
          <w:rFonts w:ascii="Arial" w:cs="Arial" w:eastAsia="Arial" w:hAnsi="Arial"/>
          <w:sz w:val="16"/>
          <w:szCs w:val="16"/>
          <w:color w:val="auto"/>
        </w:rPr>
        <w:t>Charges of $28.9 million related to restructuring at the education division, corporate office and other businesses ($6.8 million, $10.7 million, $5.8 million and $5.5 million in the first, second, third and</w:t>
      </w:r>
    </w:p>
    <w:p>
      <w:pPr>
        <w:ind w:left="260"/>
        <w:spacing w:after="0"/>
        <w:tabs>
          <w:tab w:leader="none" w:pos="7480" w:val="left"/>
          <w:tab w:leader="none" w:pos="7880" w:val="left"/>
          <w:tab w:leader="none" w:pos="8500" w:val="left"/>
          <w:tab w:leader="none" w:pos="8900" w:val="left"/>
          <w:tab w:leader="none" w:pos="9500" w:val="left"/>
          <w:tab w:leader="none" w:pos="9900" w:val="left"/>
          <w:tab w:leader="none" w:pos="10520" w:val="left"/>
          <w:tab w:leader="none" w:pos="10920" w:val="left"/>
        </w:tabs>
        <w:rPr>
          <w:sz w:val="20"/>
          <w:szCs w:val="20"/>
          <w:color w:val="auto"/>
        </w:rPr>
      </w:pPr>
      <w:r>
        <w:rPr>
          <w:rFonts w:ascii="Arial" w:cs="Arial" w:eastAsia="Arial" w:hAnsi="Arial"/>
          <w:sz w:val="16"/>
          <w:szCs w:val="16"/>
          <w:color w:val="auto"/>
        </w:rPr>
        <w:t>fourth quarters, respectively)</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(1.17)</w:t>
        <w:tab/>
        <w:t>$</w:t>
      </w:r>
      <w:r>
        <w:rPr>
          <w:sz w:val="20"/>
          <w:szCs w:val="20"/>
          <w:color w:val="auto"/>
        </w:rPr>
        <w:tab/>
      </w:r>
      <w:r>
        <w:rPr>
          <w:rFonts w:ascii="Arial" w:cs="Arial" w:eastAsia="Arial" w:hAnsi="Arial"/>
          <w:sz w:val="16"/>
          <w:szCs w:val="16"/>
          <w:color w:val="auto"/>
        </w:rPr>
        <w:t>(1.82)</w:t>
        <w:tab/>
        <w:t>$</w:t>
      </w:r>
      <w:r>
        <w:rPr>
          <w:sz w:val="20"/>
          <w:szCs w:val="20"/>
          <w:color w:val="auto"/>
        </w:rPr>
        <w:tab/>
      </w:r>
      <w:r>
        <w:rPr>
          <w:rFonts w:ascii="Arial" w:cs="Arial" w:eastAsia="Arial" w:hAnsi="Arial"/>
          <w:sz w:val="16"/>
          <w:szCs w:val="16"/>
          <w:color w:val="auto"/>
        </w:rPr>
        <w:t>(1.00)</w:t>
        <w:tab/>
        <w:t>$</w:t>
      </w:r>
      <w:r>
        <w:rPr>
          <w:sz w:val="20"/>
          <w:szCs w:val="20"/>
          <w:color w:val="auto"/>
        </w:rPr>
        <w:tab/>
      </w:r>
      <w:r>
        <w:rPr>
          <w:rFonts w:ascii="Arial" w:cs="Arial" w:eastAsia="Arial" w:hAnsi="Arial"/>
          <w:sz w:val="16"/>
          <w:szCs w:val="16"/>
          <w:color w:val="auto"/>
        </w:rPr>
        <w:t>(0.96)</w:t>
      </w:r>
    </w:p>
    <w:p>
      <w:pPr>
        <w:spacing w:after="0" w:line="39" w:lineRule="exact"/>
        <w:rPr>
          <w:sz w:val="20"/>
          <w:szCs w:val="20"/>
          <w:color w:val="auto"/>
        </w:rPr>
      </w:pPr>
    </w:p>
    <w:tbl>
      <w:tblPr>
        <w:tblLayout w:type="fixed"/>
        <w:tblInd w:w="60" w:type="dxa"/>
        <w:tblCellMar>
          <w:top w:w="0" w:type="dxa"/>
          <w:left w:w="0" w:type="dxa"/>
          <w:bottom w:w="0" w:type="dxa"/>
          <w:right w:w="0" w:type="dxa"/>
        </w:tblCellMar>
      </w:tblPr>
      <w:tr>
        <w:trPr>
          <w:trHeight w:val="189"/>
        </w:trPr>
        <w:tc>
          <w:tcPr>
            <w:tcW w:w="7400" w:type="dxa"/>
            <w:vAlign w:val="bottom"/>
          </w:tcPr>
          <w:p>
            <w:pPr>
              <w:spacing w:after="0"/>
              <w:rPr>
                <w:sz w:val="20"/>
                <w:szCs w:val="20"/>
                <w:color w:val="auto"/>
              </w:rPr>
            </w:pPr>
            <w:r>
              <w:rPr>
                <w:rFonts w:ascii="Times New Roman" w:cs="Times New Roman" w:eastAsia="Times New Roman" w:hAnsi="Times New Roman"/>
                <w:sz w:val="16"/>
                <w:szCs w:val="16"/>
                <w:color w:val="auto"/>
              </w:rPr>
              <w:t xml:space="preserve">Ÿ  </w:t>
            </w:r>
            <w:r>
              <w:rPr>
                <w:rFonts w:ascii="Arial" w:cs="Arial" w:eastAsia="Arial" w:hAnsi="Arial"/>
                <w:sz w:val="16"/>
                <w:szCs w:val="16"/>
                <w:color w:val="auto"/>
              </w:rPr>
              <w:t>Charges of $15.3 million related to the modification of stock option awards in conjunction with the</w:t>
            </w: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80" w:type="dxa"/>
            <w:vAlign w:val="bottom"/>
          </w:tcPr>
          <w:p>
            <w:pPr>
              <w:spacing w:after="0"/>
              <w:rPr>
                <w:sz w:val="16"/>
                <w:szCs w:val="16"/>
                <w:color w:val="auto"/>
              </w:rPr>
            </w:pPr>
          </w:p>
        </w:tc>
      </w:tr>
      <w:tr>
        <w:trPr>
          <w:trHeight w:val="189"/>
        </w:trPr>
        <w:tc>
          <w:tcPr>
            <w:tcW w:w="7400" w:type="dxa"/>
            <w:vAlign w:val="bottom"/>
          </w:tcPr>
          <w:p>
            <w:pPr>
              <w:ind w:left="200"/>
              <w:spacing w:after="0"/>
              <w:rPr>
                <w:sz w:val="20"/>
                <w:szCs w:val="20"/>
                <w:color w:val="auto"/>
              </w:rPr>
            </w:pPr>
            <w:r>
              <w:rPr>
                <w:rFonts w:ascii="Arial" w:cs="Arial" w:eastAsia="Arial" w:hAnsi="Arial"/>
                <w:sz w:val="16"/>
                <w:szCs w:val="16"/>
                <w:color w:val="auto"/>
              </w:rPr>
              <w:t>Cable ONE spin-off and the modification of restricted stock awards ($11.6 million and $3.7 million in</w:t>
            </w: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80" w:type="dxa"/>
            <w:vAlign w:val="bottom"/>
          </w:tcPr>
          <w:p>
            <w:pPr>
              <w:spacing w:after="0"/>
              <w:rPr>
                <w:sz w:val="16"/>
                <w:szCs w:val="16"/>
                <w:color w:val="auto"/>
              </w:rPr>
            </w:pPr>
          </w:p>
        </w:tc>
      </w:tr>
      <w:tr>
        <w:trPr>
          <w:trHeight w:val="219"/>
        </w:trPr>
        <w:tc>
          <w:tcPr>
            <w:tcW w:w="7400" w:type="dxa"/>
            <w:vAlign w:val="bottom"/>
          </w:tcPr>
          <w:p>
            <w:pPr>
              <w:ind w:left="200"/>
              <w:spacing w:after="0"/>
              <w:rPr>
                <w:sz w:val="20"/>
                <w:szCs w:val="20"/>
                <w:color w:val="auto"/>
              </w:rPr>
            </w:pPr>
            <w:r>
              <w:rPr>
                <w:rFonts w:ascii="Arial" w:cs="Arial" w:eastAsia="Arial" w:hAnsi="Arial"/>
                <w:sz w:val="16"/>
                <w:szCs w:val="16"/>
                <w:color w:val="auto"/>
              </w:rPr>
              <w:t>the third and fourth quarters, respectively)</w:t>
            </w: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(1.99)</w:t>
            </w: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(0.63)</w:t>
            </w:r>
          </w:p>
        </w:tc>
      </w:tr>
      <w:tr>
        <w:trPr>
          <w:trHeight w:val="214"/>
        </w:trPr>
        <w:tc>
          <w:tcPr>
            <w:tcW w:w="7400" w:type="dxa"/>
            <w:vAlign w:val="bottom"/>
          </w:tcPr>
          <w:p>
            <w:pPr>
              <w:spacing w:after="0"/>
              <w:rPr>
                <w:sz w:val="20"/>
                <w:szCs w:val="20"/>
                <w:color w:val="auto"/>
              </w:rPr>
            </w:pPr>
            <w:r>
              <w:rPr>
                <w:rFonts w:ascii="Times New Roman" w:cs="Times New Roman" w:eastAsia="Times New Roman" w:hAnsi="Times New Roman"/>
                <w:sz w:val="16"/>
                <w:szCs w:val="16"/>
                <w:color w:val="auto"/>
              </w:rPr>
              <w:t xml:space="preserve">Ÿ  </w:t>
            </w:r>
            <w:r>
              <w:rPr>
                <w:rFonts w:ascii="Arial" w:cs="Arial" w:eastAsia="Arial" w:hAnsi="Arial"/>
                <w:sz w:val="16"/>
                <w:szCs w:val="16"/>
                <w:color w:val="auto"/>
              </w:rPr>
              <w:t>Non-operating losses, net, of $15.7 million arising from the sales of five businesses and an</w:t>
            </w: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189"/>
        </w:trPr>
        <w:tc>
          <w:tcPr>
            <w:tcW w:w="7400" w:type="dxa"/>
            <w:vAlign w:val="bottom"/>
          </w:tcPr>
          <w:p>
            <w:pPr>
              <w:ind w:left="200"/>
              <w:spacing w:after="0"/>
              <w:rPr>
                <w:sz w:val="20"/>
                <w:szCs w:val="20"/>
                <w:color w:val="auto"/>
              </w:rPr>
            </w:pPr>
            <w:r>
              <w:rPr>
                <w:rFonts w:ascii="Arial" w:cs="Arial" w:eastAsia="Arial" w:hAnsi="Arial"/>
                <w:sz w:val="16"/>
                <w:szCs w:val="16"/>
                <w:color w:val="auto"/>
              </w:rPr>
              <w:t>investment, and on the formation of a joint venture ($3.6 million gain, $5.0 million gain and $24.3</w:t>
            </w: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80" w:type="dxa"/>
            <w:vAlign w:val="bottom"/>
          </w:tcPr>
          <w:p>
            <w:pPr>
              <w:spacing w:after="0"/>
              <w:rPr>
                <w:sz w:val="16"/>
                <w:szCs w:val="16"/>
                <w:color w:val="auto"/>
              </w:rPr>
            </w:pPr>
          </w:p>
        </w:tc>
      </w:tr>
      <w:tr>
        <w:trPr>
          <w:trHeight w:val="219"/>
        </w:trPr>
        <w:tc>
          <w:tcPr>
            <w:tcW w:w="7400" w:type="dxa"/>
            <w:vAlign w:val="bottom"/>
          </w:tcPr>
          <w:p>
            <w:pPr>
              <w:ind w:left="200"/>
              <w:spacing w:after="0"/>
              <w:rPr>
                <w:sz w:val="20"/>
                <w:szCs w:val="20"/>
                <w:color w:val="auto"/>
              </w:rPr>
            </w:pPr>
            <w:r>
              <w:rPr>
                <w:rFonts w:ascii="Arial" w:cs="Arial" w:eastAsia="Arial" w:hAnsi="Arial"/>
                <w:sz w:val="16"/>
                <w:szCs w:val="16"/>
                <w:color w:val="auto"/>
              </w:rPr>
              <w:t>million loss in the first, second and third quarters, respectively)</w:t>
            </w:r>
          </w:p>
        </w:tc>
        <w:tc>
          <w:tcPr>
            <w:tcW w:w="2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59"/>
              <w:spacing w:after="0"/>
              <w:rPr>
                <w:sz w:val="20"/>
                <w:szCs w:val="20"/>
                <w:color w:val="auto"/>
              </w:rPr>
            </w:pPr>
            <w:r>
              <w:rPr>
                <w:rFonts w:ascii="Arial" w:cs="Arial" w:eastAsia="Arial" w:hAnsi="Arial"/>
                <w:sz w:val="16"/>
                <w:szCs w:val="16"/>
                <w:color w:val="auto"/>
              </w:rPr>
              <w:t>0.50</w:t>
            </w:r>
          </w:p>
        </w:tc>
        <w:tc>
          <w:tcPr>
            <w:tcW w:w="3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39"/>
              <w:spacing w:after="0"/>
              <w:rPr>
                <w:sz w:val="20"/>
                <w:szCs w:val="20"/>
                <w:color w:val="auto"/>
              </w:rPr>
            </w:pPr>
            <w:r>
              <w:rPr>
                <w:rFonts w:ascii="Arial" w:cs="Arial" w:eastAsia="Arial" w:hAnsi="Arial"/>
                <w:sz w:val="16"/>
                <w:szCs w:val="16"/>
                <w:color w:val="auto"/>
              </w:rPr>
              <w:t>0.85</w:t>
            </w:r>
          </w:p>
        </w:tc>
        <w:tc>
          <w:tcPr>
            <w:tcW w:w="3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(4.16)</w:t>
            </w: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270"/>
        </w:trPr>
        <w:tc>
          <w:tcPr>
            <w:tcW w:w="7400" w:type="dxa"/>
            <w:vAlign w:val="bottom"/>
          </w:tcPr>
          <w:p>
            <w:pPr>
              <w:spacing w:after="0"/>
              <w:rPr>
                <w:sz w:val="20"/>
                <w:szCs w:val="20"/>
                <w:color w:val="auto"/>
              </w:rPr>
            </w:pPr>
            <w:r>
              <w:rPr>
                <w:rFonts w:ascii="Times New Roman" w:cs="Times New Roman" w:eastAsia="Times New Roman" w:hAnsi="Times New Roman"/>
                <w:sz w:val="16"/>
                <w:szCs w:val="16"/>
                <w:color w:val="auto"/>
              </w:rPr>
              <w:t xml:space="preserve">Ÿ  </w:t>
            </w:r>
            <w:r>
              <w:rPr>
                <w:rFonts w:ascii="Arial" w:cs="Arial" w:eastAsia="Arial" w:hAnsi="Arial"/>
                <w:sz w:val="16"/>
                <w:szCs w:val="16"/>
                <w:color w:val="auto"/>
              </w:rPr>
              <w:t>Gain of $13.2 million from the sale of land</w:t>
            </w:r>
          </w:p>
        </w:tc>
        <w:tc>
          <w:tcPr>
            <w:tcW w:w="2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2.27</w:t>
            </w:r>
          </w:p>
        </w:tc>
      </w:tr>
      <w:tr>
        <w:trPr>
          <w:trHeight w:val="214"/>
        </w:trPr>
        <w:tc>
          <w:tcPr>
            <w:tcW w:w="7400" w:type="dxa"/>
            <w:vAlign w:val="bottom"/>
          </w:tcPr>
          <w:p>
            <w:pPr>
              <w:spacing w:after="0"/>
              <w:rPr>
                <w:sz w:val="20"/>
                <w:szCs w:val="20"/>
                <w:color w:val="auto"/>
              </w:rPr>
            </w:pPr>
            <w:r>
              <w:rPr>
                <w:rFonts w:ascii="Times New Roman" w:cs="Times New Roman" w:eastAsia="Times New Roman" w:hAnsi="Times New Roman"/>
                <w:sz w:val="16"/>
                <w:szCs w:val="16"/>
                <w:color w:val="auto"/>
              </w:rPr>
              <w:t xml:space="preserve">Ÿ  </w:t>
            </w:r>
            <w:r>
              <w:rPr>
                <w:rFonts w:ascii="Arial" w:cs="Arial" w:eastAsia="Arial" w:hAnsi="Arial"/>
                <w:sz w:val="16"/>
                <w:szCs w:val="16"/>
                <w:color w:val="auto"/>
              </w:rPr>
              <w:t>Losses, net, of $9.7 million for non-operating unrealized foreign currency (losses) gains ($4.4 million</w:t>
            </w: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189"/>
        </w:trPr>
        <w:tc>
          <w:tcPr>
            <w:tcW w:w="7400" w:type="dxa"/>
            <w:vAlign w:val="bottom"/>
          </w:tcPr>
          <w:p>
            <w:pPr>
              <w:ind w:left="200"/>
              <w:spacing w:after="0"/>
              <w:rPr>
                <w:sz w:val="20"/>
                <w:szCs w:val="20"/>
                <w:color w:val="auto"/>
              </w:rPr>
            </w:pPr>
            <w:r>
              <w:rPr>
                <w:rFonts w:ascii="Arial" w:cs="Arial" w:eastAsia="Arial" w:hAnsi="Arial"/>
                <w:sz w:val="16"/>
                <w:szCs w:val="16"/>
                <w:color w:val="auto"/>
              </w:rPr>
              <w:t>loss, $2.3 million gain, $8.0 million loss and $0.4 million gain in the first, second, third and fourth</w:t>
            </w: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80" w:type="dxa"/>
            <w:vAlign w:val="bottom"/>
          </w:tcPr>
          <w:p>
            <w:pPr>
              <w:spacing w:after="0"/>
              <w:rPr>
                <w:sz w:val="16"/>
                <w:szCs w:val="16"/>
                <w:color w:val="auto"/>
              </w:rPr>
            </w:pPr>
          </w:p>
        </w:tc>
      </w:tr>
      <w:tr>
        <w:trPr>
          <w:trHeight w:val="219"/>
        </w:trPr>
        <w:tc>
          <w:tcPr>
            <w:tcW w:w="7400" w:type="dxa"/>
            <w:vAlign w:val="bottom"/>
          </w:tcPr>
          <w:p>
            <w:pPr>
              <w:ind w:left="200"/>
              <w:spacing w:after="0"/>
              <w:rPr>
                <w:sz w:val="20"/>
                <w:szCs w:val="20"/>
                <w:color w:val="auto"/>
              </w:rPr>
            </w:pPr>
            <w:r>
              <w:rPr>
                <w:rFonts w:ascii="Arial" w:cs="Arial" w:eastAsia="Arial" w:hAnsi="Arial"/>
                <w:sz w:val="16"/>
                <w:szCs w:val="16"/>
                <w:color w:val="auto"/>
              </w:rPr>
              <w:t>quarters, respectively)</w:t>
            </w:r>
          </w:p>
        </w:tc>
        <w:tc>
          <w:tcPr>
            <w:tcW w:w="2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(0.75)</w:t>
            </w:r>
          </w:p>
        </w:tc>
        <w:tc>
          <w:tcPr>
            <w:tcW w:w="3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39"/>
              <w:spacing w:after="0"/>
              <w:rPr>
                <w:sz w:val="20"/>
                <w:szCs w:val="20"/>
                <w:color w:val="auto"/>
              </w:rPr>
            </w:pPr>
            <w:r>
              <w:rPr>
                <w:rFonts w:ascii="Arial" w:cs="Arial" w:eastAsia="Arial" w:hAnsi="Arial"/>
                <w:sz w:val="16"/>
                <w:szCs w:val="16"/>
                <w:color w:val="auto"/>
              </w:rPr>
              <w:t>0.39</w:t>
            </w:r>
          </w:p>
        </w:tc>
        <w:tc>
          <w:tcPr>
            <w:tcW w:w="3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(1.37)</w:t>
            </w: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0.07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400"/>
          </w:cols>
          <w:pgMar w:left="240" w:top="738" w:right="259" w:bottom="1440" w:gutter="0" w:footer="0" w:header="0"/>
        </w:sectPr>
      </w:pPr>
    </w:p>
    <w:bookmarkStart w:id="118" w:name="page119"/>
    <w:bookmarkEnd w:id="118"/>
    <w:p>
      <w:pPr>
        <w:jc w:val="center"/>
        <w:ind w:right="-19"/>
        <w:spacing w:after="0"/>
        <w:rPr>
          <w:sz w:val="20"/>
          <w:szCs w:val="20"/>
          <w:color w:val="auto"/>
        </w:rPr>
      </w:pPr>
      <w:r>
        <w:rPr>
          <w:rFonts w:ascii="Arial" w:cs="Arial" w:eastAsia="Arial" w:hAnsi="Arial"/>
          <w:sz w:val="18"/>
          <w:szCs w:val="18"/>
          <w:b w:val="1"/>
          <w:bCs w:val="1"/>
          <w:color w:val="auto"/>
        </w:rPr>
        <w:t>GRAHAM HOLDINGS COMPANY</w:t>
      </w:r>
    </w:p>
    <w:p>
      <w:pPr>
        <w:spacing w:after="0" w:line="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FIVE-YEAR SUMMARY OF SELECTED HISTORICAL FINANCIAL DATA</w:t>
      </w:r>
    </w:p>
    <w:p>
      <w:pPr>
        <w:spacing w:after="0" w:line="154"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See Notes to Consolidated Financial Statements for the summary of significant accounting policies and additional information relative to the years 2014–2016 and refer to Note 3 for discussion of discontinued operations.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240" w:type="dxa"/>
            <w:vAlign w:val="bottom"/>
            <w:tcBorders>
              <w:bottom w:val="single" w:sz="8" w:color="auto"/>
            </w:tcBorders>
          </w:tcPr>
          <w:p>
            <w:pPr>
              <w:ind w:left="40"/>
              <w:spacing w:after="0"/>
              <w:rPr>
                <w:sz w:val="20"/>
                <w:szCs w:val="20"/>
                <w:color w:val="auto"/>
              </w:rPr>
            </w:pPr>
            <w:r>
              <w:rPr>
                <w:rFonts w:ascii="Arial" w:cs="Arial" w:eastAsia="Arial" w:hAnsi="Arial"/>
                <w:sz w:val="13"/>
                <w:szCs w:val="13"/>
                <w:color w:val="auto"/>
              </w:rPr>
              <w:t>(in thousands, except per share amounts)</w:t>
            </w:r>
          </w:p>
        </w:tc>
        <w:tc>
          <w:tcPr>
            <w:tcW w:w="2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89"/>
              <w:spacing w:after="0"/>
              <w:rPr>
                <w:sz w:val="20"/>
                <w:szCs w:val="20"/>
                <w:color w:val="auto"/>
              </w:rPr>
            </w:pPr>
            <w:r>
              <w:rPr>
                <w:rFonts w:ascii="Arial" w:cs="Arial" w:eastAsia="Arial" w:hAnsi="Arial"/>
                <w:sz w:val="13"/>
                <w:szCs w:val="13"/>
                <w:b w:val="1"/>
                <w:bCs w:val="1"/>
                <w:color w:val="auto"/>
              </w:rPr>
              <w:t>2016</w:t>
            </w:r>
          </w:p>
        </w:tc>
        <w:tc>
          <w:tcPr>
            <w:tcW w:w="3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09"/>
              <w:spacing w:after="0"/>
              <w:rPr>
                <w:sz w:val="20"/>
                <w:szCs w:val="20"/>
                <w:color w:val="auto"/>
              </w:rPr>
            </w:pPr>
            <w:r>
              <w:rPr>
                <w:rFonts w:ascii="Arial" w:cs="Arial" w:eastAsia="Arial" w:hAnsi="Arial"/>
                <w:sz w:val="13"/>
                <w:szCs w:val="13"/>
                <w:color w:val="auto"/>
              </w:rPr>
              <w:t>2015</w:t>
            </w:r>
          </w:p>
        </w:tc>
        <w:tc>
          <w:tcPr>
            <w:tcW w:w="3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49"/>
              <w:spacing w:after="0"/>
              <w:rPr>
                <w:sz w:val="20"/>
                <w:szCs w:val="20"/>
                <w:color w:val="auto"/>
              </w:rPr>
            </w:pPr>
            <w:r>
              <w:rPr>
                <w:rFonts w:ascii="Arial" w:cs="Arial" w:eastAsia="Arial" w:hAnsi="Arial"/>
                <w:sz w:val="13"/>
                <w:szCs w:val="13"/>
                <w:color w:val="auto"/>
              </w:rPr>
              <w:t>2014</w:t>
            </w:r>
          </w:p>
        </w:tc>
        <w:tc>
          <w:tcPr>
            <w:tcW w:w="3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69"/>
              <w:spacing w:after="0"/>
              <w:rPr>
                <w:sz w:val="20"/>
                <w:szCs w:val="20"/>
                <w:color w:val="auto"/>
              </w:rPr>
            </w:pPr>
            <w:r>
              <w:rPr>
                <w:rFonts w:ascii="Arial" w:cs="Arial" w:eastAsia="Arial" w:hAnsi="Arial"/>
                <w:sz w:val="13"/>
                <w:szCs w:val="13"/>
                <w:color w:val="auto"/>
              </w:rPr>
              <w:t>2013</w:t>
            </w:r>
          </w:p>
        </w:tc>
        <w:tc>
          <w:tcPr>
            <w:tcW w:w="3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49"/>
              <w:spacing w:after="0"/>
              <w:rPr>
                <w:sz w:val="20"/>
                <w:szCs w:val="20"/>
                <w:color w:val="auto"/>
              </w:rPr>
            </w:pPr>
            <w:r>
              <w:rPr>
                <w:rFonts w:ascii="Arial" w:cs="Arial" w:eastAsia="Arial" w:hAnsi="Arial"/>
                <w:sz w:val="13"/>
                <w:szCs w:val="13"/>
                <w:color w:val="auto"/>
              </w:rPr>
              <w:t>2012</w:t>
            </w:r>
          </w:p>
        </w:tc>
        <w:tc>
          <w:tcPr>
            <w:tcW w:w="0" w:type="dxa"/>
            <w:vAlign w:val="bottom"/>
          </w:tcPr>
          <w:p>
            <w:pPr>
              <w:spacing w:after="0"/>
              <w:rPr>
                <w:sz w:val="1"/>
                <w:szCs w:val="1"/>
                <w:color w:val="auto"/>
              </w:rPr>
            </w:pPr>
          </w:p>
        </w:tc>
      </w:tr>
      <w:tr>
        <w:trPr>
          <w:trHeight w:val="266"/>
        </w:trPr>
        <w:tc>
          <w:tcPr>
            <w:tcW w:w="5240" w:type="dxa"/>
            <w:vAlign w:val="bottom"/>
          </w:tcPr>
          <w:p>
            <w:pPr>
              <w:ind w:left="40"/>
              <w:spacing w:after="0"/>
              <w:rPr>
                <w:sz w:val="20"/>
                <w:szCs w:val="20"/>
                <w:color w:val="auto"/>
              </w:rPr>
            </w:pPr>
            <w:r>
              <w:rPr>
                <w:rFonts w:ascii="Arial" w:cs="Arial" w:eastAsia="Arial" w:hAnsi="Arial"/>
                <w:sz w:val="14"/>
                <w:szCs w:val="14"/>
                <w:b w:val="1"/>
                <w:bCs w:val="1"/>
                <w:color w:val="auto"/>
              </w:rPr>
              <w:t>Results of Operations</w:t>
            </w:r>
          </w:p>
        </w:tc>
        <w:tc>
          <w:tcPr>
            <w:tcW w:w="2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240" w:type="dxa"/>
            <w:vAlign w:val="bottom"/>
          </w:tcPr>
          <w:p>
            <w:pPr>
              <w:ind w:left="280"/>
              <w:spacing w:after="0"/>
              <w:rPr>
                <w:sz w:val="20"/>
                <w:szCs w:val="20"/>
                <w:color w:val="auto"/>
              </w:rPr>
            </w:pPr>
            <w:r>
              <w:rPr>
                <w:rFonts w:ascii="Arial" w:cs="Arial" w:eastAsia="Arial" w:hAnsi="Arial"/>
                <w:sz w:val="14"/>
                <w:szCs w:val="14"/>
                <w:color w:val="auto"/>
              </w:rPr>
              <w:t>Operating revenues</w:t>
            </w:r>
          </w:p>
        </w:tc>
        <w:tc>
          <w:tcPr>
            <w:tcW w:w="26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920" w:type="dxa"/>
            <w:vAlign w:val="bottom"/>
          </w:tcPr>
          <w:p>
            <w:pPr>
              <w:jc w:val="right"/>
              <w:ind w:right="69"/>
              <w:spacing w:after="0"/>
              <w:rPr>
                <w:sz w:val="20"/>
                <w:szCs w:val="20"/>
                <w:color w:val="auto"/>
              </w:rPr>
            </w:pPr>
            <w:r>
              <w:rPr>
                <w:rFonts w:ascii="Arial" w:cs="Arial" w:eastAsia="Arial" w:hAnsi="Arial"/>
                <w:sz w:val="14"/>
                <w:szCs w:val="14"/>
                <w:b w:val="1"/>
                <w:bCs w:val="1"/>
                <w:color w:val="auto"/>
              </w:rPr>
              <w:t>2,481,890</w:t>
            </w:r>
          </w:p>
        </w:tc>
        <w:tc>
          <w:tcPr>
            <w:tcW w:w="3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89"/>
              <w:spacing w:after="0"/>
              <w:rPr>
                <w:sz w:val="20"/>
                <w:szCs w:val="20"/>
                <w:color w:val="auto"/>
              </w:rPr>
            </w:pPr>
            <w:r>
              <w:rPr>
                <w:rFonts w:ascii="Arial" w:cs="Arial" w:eastAsia="Arial" w:hAnsi="Arial"/>
                <w:sz w:val="14"/>
                <w:szCs w:val="14"/>
                <w:color w:val="auto"/>
              </w:rPr>
              <w:t>2,586,114</w:t>
            </w:r>
          </w:p>
        </w:tc>
        <w:tc>
          <w:tcPr>
            <w:tcW w:w="3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9"/>
              <w:spacing w:after="0"/>
              <w:rPr>
                <w:sz w:val="20"/>
                <w:szCs w:val="20"/>
                <w:color w:val="auto"/>
              </w:rPr>
            </w:pPr>
            <w:r>
              <w:rPr>
                <w:rFonts w:ascii="Arial" w:cs="Arial" w:eastAsia="Arial" w:hAnsi="Arial"/>
                <w:sz w:val="14"/>
                <w:szCs w:val="14"/>
                <w:color w:val="auto"/>
              </w:rPr>
              <w:t>2,737,032</w:t>
            </w:r>
          </w:p>
        </w:tc>
        <w:tc>
          <w:tcPr>
            <w:tcW w:w="3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49"/>
              <w:spacing w:after="0"/>
              <w:rPr>
                <w:sz w:val="20"/>
                <w:szCs w:val="20"/>
                <w:color w:val="auto"/>
              </w:rPr>
            </w:pPr>
            <w:r>
              <w:rPr>
                <w:rFonts w:ascii="Arial" w:cs="Arial" w:eastAsia="Arial" w:hAnsi="Arial"/>
                <w:sz w:val="14"/>
                <w:szCs w:val="14"/>
                <w:color w:val="auto"/>
              </w:rPr>
              <w:t>2,600,602</w:t>
            </w:r>
          </w:p>
        </w:tc>
        <w:tc>
          <w:tcPr>
            <w:tcW w:w="3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9"/>
              <w:spacing w:after="0"/>
              <w:rPr>
                <w:sz w:val="20"/>
                <w:szCs w:val="20"/>
                <w:color w:val="auto"/>
              </w:rPr>
            </w:pPr>
            <w:r>
              <w:rPr>
                <w:rFonts w:ascii="Arial" w:cs="Arial" w:eastAsia="Arial" w:hAnsi="Arial"/>
                <w:sz w:val="14"/>
                <w:szCs w:val="14"/>
                <w:color w:val="auto"/>
              </w:rPr>
              <w:t>2,585,469</w:t>
            </w:r>
          </w:p>
        </w:tc>
        <w:tc>
          <w:tcPr>
            <w:tcW w:w="0" w:type="dxa"/>
            <w:vAlign w:val="bottom"/>
          </w:tcPr>
          <w:p>
            <w:pPr>
              <w:spacing w:after="0"/>
              <w:rPr>
                <w:sz w:val="1"/>
                <w:szCs w:val="1"/>
                <w:color w:val="auto"/>
              </w:rPr>
            </w:pPr>
          </w:p>
        </w:tc>
      </w:tr>
      <w:tr>
        <w:trPr>
          <w:trHeight w:val="270"/>
        </w:trPr>
        <w:tc>
          <w:tcPr>
            <w:tcW w:w="5240" w:type="dxa"/>
            <w:vAlign w:val="bottom"/>
          </w:tcPr>
          <w:p>
            <w:pPr>
              <w:ind w:left="280"/>
              <w:spacing w:after="0"/>
              <w:rPr>
                <w:sz w:val="20"/>
                <w:szCs w:val="20"/>
                <w:color w:val="auto"/>
              </w:rPr>
            </w:pPr>
            <w:r>
              <w:rPr>
                <w:rFonts w:ascii="Arial" w:cs="Arial" w:eastAsia="Arial" w:hAnsi="Arial"/>
                <w:sz w:val="14"/>
                <w:szCs w:val="14"/>
                <w:color w:val="auto"/>
              </w:rPr>
              <w:t>Income (loss) from operations</w:t>
            </w:r>
          </w:p>
        </w:tc>
        <w:tc>
          <w:tcPr>
            <w:tcW w:w="260" w:type="dxa"/>
            <w:vAlign w:val="bottom"/>
          </w:tcPr>
          <w:p>
            <w:pPr>
              <w:spacing w:after="0"/>
              <w:rPr>
                <w:sz w:val="23"/>
                <w:szCs w:val="23"/>
                <w:color w:val="auto"/>
              </w:rPr>
            </w:pPr>
          </w:p>
        </w:tc>
        <w:tc>
          <w:tcPr>
            <w:tcW w:w="920" w:type="dxa"/>
            <w:vAlign w:val="bottom"/>
          </w:tcPr>
          <w:p>
            <w:pPr>
              <w:jc w:val="right"/>
              <w:ind w:right="69"/>
              <w:spacing w:after="0"/>
              <w:rPr>
                <w:sz w:val="20"/>
                <w:szCs w:val="20"/>
                <w:color w:val="auto"/>
              </w:rPr>
            </w:pPr>
            <w:r>
              <w:rPr>
                <w:rFonts w:ascii="Arial" w:cs="Arial" w:eastAsia="Arial" w:hAnsi="Arial"/>
                <w:sz w:val="14"/>
                <w:szCs w:val="14"/>
                <w:b w:val="1"/>
                <w:bCs w:val="1"/>
                <w:color w:val="auto"/>
              </w:rPr>
              <w:t>303,534</w:t>
            </w:r>
          </w:p>
        </w:tc>
        <w:tc>
          <w:tcPr>
            <w:tcW w:w="360" w:type="dxa"/>
            <w:vAlign w:val="bottom"/>
          </w:tcPr>
          <w:p>
            <w:pPr>
              <w:spacing w:after="0"/>
              <w:rPr>
                <w:sz w:val="23"/>
                <w:szCs w:val="23"/>
                <w:color w:val="auto"/>
              </w:rPr>
            </w:pPr>
          </w:p>
        </w:tc>
        <w:tc>
          <w:tcPr>
            <w:tcW w:w="960" w:type="dxa"/>
            <w:vAlign w:val="bottom"/>
          </w:tcPr>
          <w:p>
            <w:pPr>
              <w:jc w:val="right"/>
              <w:ind w:right="49"/>
              <w:spacing w:after="0"/>
              <w:rPr>
                <w:sz w:val="20"/>
                <w:szCs w:val="20"/>
                <w:color w:val="auto"/>
              </w:rPr>
            </w:pPr>
            <w:r>
              <w:rPr>
                <w:rFonts w:ascii="Arial" w:cs="Arial" w:eastAsia="Arial" w:hAnsi="Arial"/>
                <w:sz w:val="14"/>
                <w:szCs w:val="14"/>
                <w:color w:val="auto"/>
              </w:rPr>
              <w:t>(80,825)</w:t>
            </w:r>
          </w:p>
        </w:tc>
        <w:tc>
          <w:tcPr>
            <w:tcW w:w="320" w:type="dxa"/>
            <w:vAlign w:val="bottom"/>
          </w:tcPr>
          <w:p>
            <w:pPr>
              <w:spacing w:after="0"/>
              <w:rPr>
                <w:sz w:val="23"/>
                <w:szCs w:val="23"/>
                <w:color w:val="auto"/>
              </w:rPr>
            </w:pPr>
          </w:p>
        </w:tc>
        <w:tc>
          <w:tcPr>
            <w:tcW w:w="880" w:type="dxa"/>
            <w:vAlign w:val="bottom"/>
          </w:tcPr>
          <w:p>
            <w:pPr>
              <w:jc w:val="right"/>
              <w:ind w:right="49"/>
              <w:spacing w:after="0"/>
              <w:rPr>
                <w:sz w:val="20"/>
                <w:szCs w:val="20"/>
                <w:color w:val="auto"/>
              </w:rPr>
            </w:pPr>
            <w:r>
              <w:rPr>
                <w:rFonts w:ascii="Arial" w:cs="Arial" w:eastAsia="Arial" w:hAnsi="Arial"/>
                <w:sz w:val="14"/>
                <w:szCs w:val="14"/>
                <w:color w:val="auto"/>
              </w:rPr>
              <w:t>232,720</w:t>
            </w:r>
          </w:p>
        </w:tc>
        <w:tc>
          <w:tcPr>
            <w:tcW w:w="340" w:type="dxa"/>
            <w:vAlign w:val="bottom"/>
          </w:tcPr>
          <w:p>
            <w:pPr>
              <w:spacing w:after="0"/>
              <w:rPr>
                <w:sz w:val="23"/>
                <w:szCs w:val="23"/>
                <w:color w:val="auto"/>
              </w:rPr>
            </w:pPr>
          </w:p>
        </w:tc>
        <w:tc>
          <w:tcPr>
            <w:tcW w:w="900" w:type="dxa"/>
            <w:vAlign w:val="bottom"/>
          </w:tcPr>
          <w:p>
            <w:pPr>
              <w:jc w:val="right"/>
              <w:ind w:right="49"/>
              <w:spacing w:after="0"/>
              <w:rPr>
                <w:sz w:val="20"/>
                <w:szCs w:val="20"/>
                <w:color w:val="auto"/>
              </w:rPr>
            </w:pPr>
            <w:r>
              <w:rPr>
                <w:rFonts w:ascii="Arial" w:cs="Arial" w:eastAsia="Arial" w:hAnsi="Arial"/>
                <w:sz w:val="14"/>
                <w:szCs w:val="14"/>
                <w:color w:val="auto"/>
              </w:rPr>
              <w:t>149,434</w:t>
            </w:r>
          </w:p>
        </w:tc>
        <w:tc>
          <w:tcPr>
            <w:tcW w:w="3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(5,967)</w:t>
            </w:r>
          </w:p>
        </w:tc>
        <w:tc>
          <w:tcPr>
            <w:tcW w:w="0" w:type="dxa"/>
            <w:vAlign w:val="bottom"/>
          </w:tcPr>
          <w:p>
            <w:pPr>
              <w:spacing w:after="0"/>
              <w:rPr>
                <w:sz w:val="1"/>
                <w:szCs w:val="1"/>
                <w:color w:val="auto"/>
              </w:rPr>
            </w:pPr>
          </w:p>
        </w:tc>
      </w:tr>
      <w:tr>
        <w:trPr>
          <w:trHeight w:val="270"/>
        </w:trPr>
        <w:tc>
          <w:tcPr>
            <w:tcW w:w="5240" w:type="dxa"/>
            <w:vAlign w:val="bottom"/>
          </w:tcPr>
          <w:p>
            <w:pPr>
              <w:ind w:left="280"/>
              <w:spacing w:after="0"/>
              <w:rPr>
                <w:sz w:val="20"/>
                <w:szCs w:val="20"/>
                <w:color w:val="auto"/>
              </w:rPr>
            </w:pPr>
            <w:r>
              <w:rPr>
                <w:rFonts w:ascii="Arial" w:cs="Arial" w:eastAsia="Arial" w:hAnsi="Arial"/>
                <w:sz w:val="14"/>
                <w:szCs w:val="14"/>
                <w:color w:val="auto"/>
              </w:rPr>
              <w:t>Income (loss) from continuing operations</w:t>
            </w:r>
          </w:p>
        </w:tc>
        <w:tc>
          <w:tcPr>
            <w:tcW w:w="260" w:type="dxa"/>
            <w:vAlign w:val="bottom"/>
          </w:tcPr>
          <w:p>
            <w:pPr>
              <w:spacing w:after="0"/>
              <w:rPr>
                <w:sz w:val="23"/>
                <w:szCs w:val="23"/>
                <w:color w:val="auto"/>
              </w:rPr>
            </w:pPr>
          </w:p>
        </w:tc>
        <w:tc>
          <w:tcPr>
            <w:tcW w:w="920" w:type="dxa"/>
            <w:vAlign w:val="bottom"/>
          </w:tcPr>
          <w:p>
            <w:pPr>
              <w:jc w:val="right"/>
              <w:ind w:right="69"/>
              <w:spacing w:after="0"/>
              <w:rPr>
                <w:sz w:val="20"/>
                <w:szCs w:val="20"/>
                <w:color w:val="auto"/>
              </w:rPr>
            </w:pPr>
            <w:r>
              <w:rPr>
                <w:rFonts w:ascii="Arial" w:cs="Arial" w:eastAsia="Arial" w:hAnsi="Arial"/>
                <w:sz w:val="14"/>
                <w:szCs w:val="14"/>
                <w:b w:val="1"/>
                <w:bCs w:val="1"/>
                <w:color w:val="auto"/>
              </w:rPr>
              <w:t>169,458</w:t>
            </w:r>
          </w:p>
        </w:tc>
        <w:tc>
          <w:tcPr>
            <w:tcW w:w="360" w:type="dxa"/>
            <w:vAlign w:val="bottom"/>
          </w:tcPr>
          <w:p>
            <w:pPr>
              <w:spacing w:after="0"/>
              <w:rPr>
                <w:sz w:val="23"/>
                <w:szCs w:val="23"/>
                <w:color w:val="auto"/>
              </w:rPr>
            </w:pPr>
          </w:p>
        </w:tc>
        <w:tc>
          <w:tcPr>
            <w:tcW w:w="960" w:type="dxa"/>
            <w:vAlign w:val="bottom"/>
          </w:tcPr>
          <w:p>
            <w:pPr>
              <w:jc w:val="right"/>
              <w:ind w:right="49"/>
              <w:spacing w:after="0"/>
              <w:rPr>
                <w:sz w:val="20"/>
                <w:szCs w:val="20"/>
                <w:color w:val="auto"/>
              </w:rPr>
            </w:pPr>
            <w:r>
              <w:rPr>
                <w:rFonts w:ascii="Arial" w:cs="Arial" w:eastAsia="Arial" w:hAnsi="Arial"/>
                <w:sz w:val="14"/>
                <w:szCs w:val="14"/>
                <w:color w:val="auto"/>
              </w:rPr>
              <w:t>(141,390)</w:t>
            </w:r>
          </w:p>
        </w:tc>
        <w:tc>
          <w:tcPr>
            <w:tcW w:w="320" w:type="dxa"/>
            <w:vAlign w:val="bottom"/>
          </w:tcPr>
          <w:p>
            <w:pPr>
              <w:spacing w:after="0"/>
              <w:rPr>
                <w:sz w:val="23"/>
                <w:szCs w:val="23"/>
                <w:color w:val="auto"/>
              </w:rPr>
            </w:pPr>
          </w:p>
        </w:tc>
        <w:tc>
          <w:tcPr>
            <w:tcW w:w="880" w:type="dxa"/>
            <w:vAlign w:val="bottom"/>
          </w:tcPr>
          <w:p>
            <w:pPr>
              <w:jc w:val="right"/>
              <w:ind w:right="49"/>
              <w:spacing w:after="0"/>
              <w:rPr>
                <w:sz w:val="20"/>
                <w:szCs w:val="20"/>
                <w:color w:val="auto"/>
              </w:rPr>
            </w:pPr>
            <w:r>
              <w:rPr>
                <w:rFonts w:ascii="Arial" w:cs="Arial" w:eastAsia="Arial" w:hAnsi="Arial"/>
                <w:sz w:val="14"/>
                <w:szCs w:val="14"/>
                <w:color w:val="auto"/>
              </w:rPr>
              <w:t>765,403</w:t>
            </w:r>
          </w:p>
        </w:tc>
        <w:tc>
          <w:tcPr>
            <w:tcW w:w="340" w:type="dxa"/>
            <w:vAlign w:val="bottom"/>
          </w:tcPr>
          <w:p>
            <w:pPr>
              <w:spacing w:after="0"/>
              <w:rPr>
                <w:sz w:val="23"/>
                <w:szCs w:val="23"/>
                <w:color w:val="auto"/>
              </w:rPr>
            </w:pPr>
          </w:p>
        </w:tc>
        <w:tc>
          <w:tcPr>
            <w:tcW w:w="900" w:type="dxa"/>
            <w:vAlign w:val="bottom"/>
          </w:tcPr>
          <w:p>
            <w:pPr>
              <w:jc w:val="right"/>
              <w:ind w:right="49"/>
              <w:spacing w:after="0"/>
              <w:rPr>
                <w:sz w:val="20"/>
                <w:szCs w:val="20"/>
                <w:color w:val="auto"/>
              </w:rPr>
            </w:pPr>
            <w:r>
              <w:rPr>
                <w:rFonts w:ascii="Arial" w:cs="Arial" w:eastAsia="Arial" w:hAnsi="Arial"/>
                <w:sz w:val="14"/>
                <w:szCs w:val="14"/>
                <w:color w:val="auto"/>
              </w:rPr>
              <w:t>64,731</w:t>
            </w:r>
          </w:p>
        </w:tc>
        <w:tc>
          <w:tcPr>
            <w:tcW w:w="3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(48,513)</w:t>
            </w:r>
          </w:p>
        </w:tc>
        <w:tc>
          <w:tcPr>
            <w:tcW w:w="0" w:type="dxa"/>
            <w:vAlign w:val="bottom"/>
          </w:tcPr>
          <w:p>
            <w:pPr>
              <w:spacing w:after="0"/>
              <w:rPr>
                <w:sz w:val="1"/>
                <w:szCs w:val="1"/>
                <w:color w:val="auto"/>
              </w:rPr>
            </w:pPr>
          </w:p>
        </w:tc>
      </w:tr>
      <w:tr>
        <w:trPr>
          <w:trHeight w:val="178"/>
        </w:trPr>
        <w:tc>
          <w:tcPr>
            <w:tcW w:w="5240" w:type="dxa"/>
            <w:vAlign w:val="bottom"/>
          </w:tcPr>
          <w:p>
            <w:pPr>
              <w:ind w:left="280"/>
              <w:spacing w:after="0"/>
              <w:rPr>
                <w:sz w:val="20"/>
                <w:szCs w:val="20"/>
                <w:color w:val="auto"/>
              </w:rPr>
            </w:pPr>
            <w:r>
              <w:rPr>
                <w:rFonts w:ascii="Arial" w:cs="Arial" w:eastAsia="Arial" w:hAnsi="Arial"/>
                <w:sz w:val="14"/>
                <w:szCs w:val="14"/>
                <w:color w:val="auto"/>
              </w:rPr>
              <w:t>Net income (loss) attributable to Graham Holdings Company</w:t>
            </w:r>
          </w:p>
        </w:tc>
        <w:tc>
          <w:tcPr>
            <w:tcW w:w="260" w:type="dxa"/>
            <w:vAlign w:val="bottom"/>
          </w:tcPr>
          <w:p>
            <w:pPr>
              <w:spacing w:after="0"/>
              <w:rPr>
                <w:sz w:val="15"/>
                <w:szCs w:val="15"/>
                <w:color w:val="auto"/>
              </w:rPr>
            </w:pPr>
          </w:p>
        </w:tc>
        <w:tc>
          <w:tcPr>
            <w:tcW w:w="920" w:type="dxa"/>
            <w:vAlign w:val="bottom"/>
            <w:vMerge w:val="restart"/>
          </w:tcPr>
          <w:p>
            <w:pPr>
              <w:jc w:val="right"/>
              <w:ind w:right="69"/>
              <w:spacing w:after="0"/>
              <w:rPr>
                <w:sz w:val="20"/>
                <w:szCs w:val="20"/>
                <w:color w:val="auto"/>
              </w:rPr>
            </w:pPr>
            <w:r>
              <w:rPr>
                <w:rFonts w:ascii="Arial" w:cs="Arial" w:eastAsia="Arial" w:hAnsi="Arial"/>
                <w:sz w:val="14"/>
                <w:szCs w:val="14"/>
                <w:b w:val="1"/>
                <w:bCs w:val="1"/>
                <w:color w:val="auto"/>
              </w:rPr>
              <w:t>168,590</w:t>
            </w:r>
          </w:p>
        </w:tc>
        <w:tc>
          <w:tcPr>
            <w:tcW w:w="3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5240" w:type="dxa"/>
            <w:vAlign w:val="bottom"/>
          </w:tcPr>
          <w:p>
            <w:pPr>
              <w:ind w:left="520"/>
              <w:spacing w:after="0"/>
              <w:rPr>
                <w:sz w:val="20"/>
                <w:szCs w:val="20"/>
                <w:color w:val="auto"/>
              </w:rPr>
            </w:pPr>
            <w:r>
              <w:rPr>
                <w:rFonts w:ascii="Arial" w:cs="Arial" w:eastAsia="Arial" w:hAnsi="Arial"/>
                <w:sz w:val="14"/>
                <w:szCs w:val="14"/>
                <w:color w:val="auto"/>
              </w:rPr>
              <w:t>common stockholders</w:t>
            </w:r>
          </w:p>
        </w:tc>
        <w:tc>
          <w:tcPr>
            <w:tcW w:w="260" w:type="dxa"/>
            <w:vAlign w:val="bottom"/>
          </w:tcPr>
          <w:p>
            <w:pPr>
              <w:spacing w:after="0"/>
              <w:rPr>
                <w:sz w:val="17"/>
                <w:szCs w:val="17"/>
                <w:color w:val="auto"/>
              </w:rPr>
            </w:pPr>
          </w:p>
        </w:tc>
        <w:tc>
          <w:tcPr>
            <w:tcW w:w="92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Pr>
          <w:p>
            <w:pPr>
              <w:jc w:val="right"/>
              <w:ind w:right="49"/>
              <w:spacing w:after="0"/>
              <w:rPr>
                <w:sz w:val="20"/>
                <w:szCs w:val="20"/>
                <w:color w:val="auto"/>
              </w:rPr>
            </w:pPr>
            <w:r>
              <w:rPr>
                <w:rFonts w:ascii="Arial" w:cs="Arial" w:eastAsia="Arial" w:hAnsi="Arial"/>
                <w:sz w:val="14"/>
                <w:szCs w:val="14"/>
                <w:color w:val="auto"/>
              </w:rPr>
              <w:t>(101,286)</w:t>
            </w:r>
          </w:p>
        </w:tc>
        <w:tc>
          <w:tcPr>
            <w:tcW w:w="320" w:type="dxa"/>
            <w:vAlign w:val="bottom"/>
          </w:tcPr>
          <w:p>
            <w:pPr>
              <w:spacing w:after="0"/>
              <w:rPr>
                <w:sz w:val="17"/>
                <w:szCs w:val="17"/>
                <w:color w:val="auto"/>
              </w:rPr>
            </w:pPr>
          </w:p>
        </w:tc>
        <w:tc>
          <w:tcPr>
            <w:tcW w:w="880" w:type="dxa"/>
            <w:vAlign w:val="bottom"/>
          </w:tcPr>
          <w:p>
            <w:pPr>
              <w:jc w:val="right"/>
              <w:ind w:right="49"/>
              <w:spacing w:after="0"/>
              <w:rPr>
                <w:sz w:val="20"/>
                <w:szCs w:val="20"/>
                <w:color w:val="auto"/>
              </w:rPr>
            </w:pPr>
            <w:r>
              <w:rPr>
                <w:rFonts w:ascii="Arial" w:cs="Arial" w:eastAsia="Arial" w:hAnsi="Arial"/>
                <w:sz w:val="14"/>
                <w:szCs w:val="14"/>
                <w:color w:val="auto"/>
              </w:rPr>
              <w:t>1,292,996</w:t>
            </w:r>
          </w:p>
        </w:tc>
        <w:tc>
          <w:tcPr>
            <w:tcW w:w="340" w:type="dxa"/>
            <w:vAlign w:val="bottom"/>
          </w:tcPr>
          <w:p>
            <w:pPr>
              <w:spacing w:after="0"/>
              <w:rPr>
                <w:sz w:val="17"/>
                <w:szCs w:val="17"/>
                <w:color w:val="auto"/>
              </w:rPr>
            </w:pPr>
          </w:p>
        </w:tc>
        <w:tc>
          <w:tcPr>
            <w:tcW w:w="900" w:type="dxa"/>
            <w:vAlign w:val="bottom"/>
          </w:tcPr>
          <w:p>
            <w:pPr>
              <w:jc w:val="right"/>
              <w:ind w:right="49"/>
              <w:spacing w:after="0"/>
              <w:rPr>
                <w:sz w:val="20"/>
                <w:szCs w:val="20"/>
                <w:color w:val="auto"/>
              </w:rPr>
            </w:pPr>
            <w:r>
              <w:rPr>
                <w:rFonts w:ascii="Arial" w:cs="Arial" w:eastAsia="Arial" w:hAnsi="Arial"/>
                <w:sz w:val="14"/>
                <w:szCs w:val="14"/>
                <w:color w:val="auto"/>
              </w:rPr>
              <w:t>236,010</w:t>
            </w:r>
          </w:p>
        </w:tc>
        <w:tc>
          <w:tcPr>
            <w:tcW w:w="340" w:type="dxa"/>
            <w:vAlign w:val="bottom"/>
          </w:tcPr>
          <w:p>
            <w:pPr>
              <w:spacing w:after="0"/>
              <w:rPr>
                <w:sz w:val="17"/>
                <w:szCs w:val="17"/>
                <w:color w:val="auto"/>
              </w:rPr>
            </w:pPr>
          </w:p>
        </w:tc>
        <w:tc>
          <w:tcPr>
            <w:tcW w:w="880" w:type="dxa"/>
            <w:vAlign w:val="bottom"/>
          </w:tcPr>
          <w:p>
            <w:pPr>
              <w:jc w:val="right"/>
              <w:ind w:right="49"/>
              <w:spacing w:after="0"/>
              <w:rPr>
                <w:sz w:val="20"/>
                <w:szCs w:val="20"/>
                <w:color w:val="auto"/>
              </w:rPr>
            </w:pPr>
            <w:r>
              <w:rPr>
                <w:rFonts w:ascii="Arial" w:cs="Arial" w:eastAsia="Arial" w:hAnsi="Arial"/>
                <w:sz w:val="14"/>
                <w:szCs w:val="14"/>
                <w:color w:val="auto"/>
              </w:rPr>
              <w:t>131,218</w:t>
            </w:r>
          </w:p>
        </w:tc>
        <w:tc>
          <w:tcPr>
            <w:tcW w:w="0" w:type="dxa"/>
            <w:vAlign w:val="bottom"/>
          </w:tcPr>
          <w:p>
            <w:pPr>
              <w:spacing w:after="0"/>
              <w:rPr>
                <w:sz w:val="1"/>
                <w:szCs w:val="1"/>
                <w:color w:val="auto"/>
              </w:rPr>
            </w:pPr>
          </w:p>
        </w:tc>
      </w:tr>
      <w:tr>
        <w:trPr>
          <w:trHeight w:val="270"/>
        </w:trPr>
        <w:tc>
          <w:tcPr>
            <w:tcW w:w="5240" w:type="dxa"/>
            <w:vAlign w:val="bottom"/>
          </w:tcPr>
          <w:p>
            <w:pPr>
              <w:ind w:left="40"/>
              <w:spacing w:after="0"/>
              <w:rPr>
                <w:sz w:val="20"/>
                <w:szCs w:val="20"/>
                <w:color w:val="auto"/>
              </w:rPr>
            </w:pPr>
            <w:r>
              <w:rPr>
                <w:rFonts w:ascii="Arial" w:cs="Arial" w:eastAsia="Arial" w:hAnsi="Arial"/>
                <w:sz w:val="14"/>
                <w:szCs w:val="14"/>
                <w:b w:val="1"/>
                <w:bCs w:val="1"/>
                <w:color w:val="auto"/>
              </w:rPr>
              <w:t>Per Share Amounts</w:t>
            </w:r>
          </w:p>
        </w:tc>
        <w:tc>
          <w:tcPr>
            <w:tcW w:w="2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8"/>
        </w:trPr>
        <w:tc>
          <w:tcPr>
            <w:tcW w:w="5240" w:type="dxa"/>
            <w:vAlign w:val="bottom"/>
          </w:tcPr>
          <w:p>
            <w:pPr>
              <w:ind w:left="280"/>
              <w:spacing w:after="0"/>
              <w:rPr>
                <w:sz w:val="20"/>
                <w:szCs w:val="20"/>
                <w:color w:val="auto"/>
              </w:rPr>
            </w:pPr>
            <w:r>
              <w:rPr>
                <w:rFonts w:ascii="Arial" w:cs="Arial" w:eastAsia="Arial" w:hAnsi="Arial"/>
                <w:sz w:val="14"/>
                <w:szCs w:val="14"/>
                <w:color w:val="auto"/>
              </w:rPr>
              <w:t>Basic earnings (loss) per common share attributable to Graham Holdings</w:t>
            </w: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5240" w:type="dxa"/>
            <w:vAlign w:val="bottom"/>
          </w:tcPr>
          <w:p>
            <w:pPr>
              <w:ind w:left="360"/>
              <w:spacing w:after="0"/>
              <w:rPr>
                <w:sz w:val="20"/>
                <w:szCs w:val="20"/>
                <w:color w:val="auto"/>
              </w:rPr>
            </w:pPr>
            <w:r>
              <w:rPr>
                <w:rFonts w:ascii="Arial" w:cs="Arial" w:eastAsia="Arial" w:hAnsi="Arial"/>
                <w:sz w:val="14"/>
                <w:szCs w:val="14"/>
                <w:color w:val="auto"/>
              </w:rPr>
              <w:t>Company common stockholders</w:t>
            </w: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6"/>
        </w:trPr>
        <w:tc>
          <w:tcPr>
            <w:tcW w:w="5240" w:type="dxa"/>
            <w:vAlign w:val="bottom"/>
          </w:tcPr>
          <w:p>
            <w:pPr>
              <w:ind w:left="720"/>
              <w:spacing w:after="0"/>
              <w:rPr>
                <w:sz w:val="20"/>
                <w:szCs w:val="20"/>
                <w:color w:val="auto"/>
              </w:rPr>
            </w:pPr>
            <w:r>
              <w:rPr>
                <w:rFonts w:ascii="Arial" w:cs="Arial" w:eastAsia="Arial" w:hAnsi="Arial"/>
                <w:sz w:val="14"/>
                <w:szCs w:val="14"/>
                <w:color w:val="auto"/>
              </w:rPr>
              <w:t>Income (loss) from continuing operations</w:t>
            </w:r>
          </w:p>
        </w:tc>
        <w:tc>
          <w:tcPr>
            <w:tcW w:w="26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920" w:type="dxa"/>
            <w:vAlign w:val="bottom"/>
          </w:tcPr>
          <w:p>
            <w:pPr>
              <w:jc w:val="right"/>
              <w:ind w:right="69"/>
              <w:spacing w:after="0"/>
              <w:rPr>
                <w:sz w:val="20"/>
                <w:szCs w:val="20"/>
                <w:color w:val="auto"/>
              </w:rPr>
            </w:pPr>
            <w:r>
              <w:rPr>
                <w:rFonts w:ascii="Arial" w:cs="Arial" w:eastAsia="Arial" w:hAnsi="Arial"/>
                <w:sz w:val="14"/>
                <w:szCs w:val="14"/>
                <w:b w:val="1"/>
                <w:bCs w:val="1"/>
                <w:color w:val="auto"/>
              </w:rPr>
              <w:t>29.95</w:t>
            </w:r>
          </w:p>
        </w:tc>
        <w:tc>
          <w:tcPr>
            <w:tcW w:w="3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49"/>
              <w:spacing w:after="0"/>
              <w:rPr>
                <w:sz w:val="20"/>
                <w:szCs w:val="20"/>
                <w:color w:val="auto"/>
              </w:rPr>
            </w:pPr>
            <w:r>
              <w:rPr>
                <w:rFonts w:ascii="Arial" w:cs="Arial" w:eastAsia="Arial" w:hAnsi="Arial"/>
                <w:sz w:val="14"/>
                <w:szCs w:val="14"/>
                <w:color w:val="auto"/>
              </w:rPr>
              <w:t>(25.23)</w:t>
            </w:r>
          </w:p>
        </w:tc>
        <w:tc>
          <w:tcPr>
            <w:tcW w:w="3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9"/>
              <w:spacing w:after="0"/>
              <w:rPr>
                <w:sz w:val="20"/>
                <w:szCs w:val="20"/>
                <w:color w:val="auto"/>
              </w:rPr>
            </w:pPr>
            <w:r>
              <w:rPr>
                <w:rFonts w:ascii="Arial" w:cs="Arial" w:eastAsia="Arial" w:hAnsi="Arial"/>
                <w:sz w:val="14"/>
                <w:szCs w:val="14"/>
                <w:color w:val="auto"/>
              </w:rPr>
              <w:t>115.88</w:t>
            </w:r>
          </w:p>
        </w:tc>
        <w:tc>
          <w:tcPr>
            <w:tcW w:w="3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49"/>
              <w:spacing w:after="0"/>
              <w:rPr>
                <w:sz w:val="20"/>
                <w:szCs w:val="20"/>
                <w:color w:val="auto"/>
              </w:rPr>
            </w:pPr>
            <w:r>
              <w:rPr>
                <w:rFonts w:ascii="Arial" w:cs="Arial" w:eastAsia="Arial" w:hAnsi="Arial"/>
                <w:sz w:val="14"/>
                <w:szCs w:val="14"/>
                <w:color w:val="auto"/>
              </w:rPr>
              <w:t>8.62</w:t>
            </w:r>
          </w:p>
        </w:tc>
        <w:tc>
          <w:tcPr>
            <w:tcW w:w="3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(7.17)</w:t>
            </w:r>
          </w:p>
        </w:tc>
        <w:tc>
          <w:tcPr>
            <w:tcW w:w="0" w:type="dxa"/>
            <w:vAlign w:val="bottom"/>
          </w:tcPr>
          <w:p>
            <w:pPr>
              <w:spacing w:after="0"/>
              <w:rPr>
                <w:sz w:val="1"/>
                <w:szCs w:val="1"/>
                <w:color w:val="auto"/>
              </w:rPr>
            </w:pPr>
          </w:p>
        </w:tc>
      </w:tr>
      <w:tr>
        <w:trPr>
          <w:trHeight w:val="270"/>
        </w:trPr>
        <w:tc>
          <w:tcPr>
            <w:tcW w:w="5240" w:type="dxa"/>
            <w:vAlign w:val="bottom"/>
          </w:tcPr>
          <w:p>
            <w:pPr>
              <w:ind w:left="720"/>
              <w:spacing w:after="0"/>
              <w:rPr>
                <w:sz w:val="20"/>
                <w:szCs w:val="20"/>
                <w:color w:val="auto"/>
              </w:rPr>
            </w:pPr>
            <w:r>
              <w:rPr>
                <w:rFonts w:ascii="Arial" w:cs="Arial" w:eastAsia="Arial" w:hAnsi="Arial"/>
                <w:sz w:val="14"/>
                <w:szCs w:val="14"/>
                <w:color w:val="auto"/>
              </w:rPr>
              <w:t>Net income (loss)</w:t>
            </w:r>
          </w:p>
        </w:tc>
        <w:tc>
          <w:tcPr>
            <w:tcW w:w="260" w:type="dxa"/>
            <w:vAlign w:val="bottom"/>
          </w:tcPr>
          <w:p>
            <w:pPr>
              <w:spacing w:after="0"/>
              <w:rPr>
                <w:sz w:val="23"/>
                <w:szCs w:val="23"/>
                <w:color w:val="auto"/>
              </w:rPr>
            </w:pPr>
          </w:p>
        </w:tc>
        <w:tc>
          <w:tcPr>
            <w:tcW w:w="920" w:type="dxa"/>
            <w:vAlign w:val="bottom"/>
          </w:tcPr>
          <w:p>
            <w:pPr>
              <w:jc w:val="right"/>
              <w:ind w:right="69"/>
              <w:spacing w:after="0"/>
              <w:rPr>
                <w:sz w:val="20"/>
                <w:szCs w:val="20"/>
                <w:color w:val="auto"/>
              </w:rPr>
            </w:pPr>
            <w:r>
              <w:rPr>
                <w:rFonts w:ascii="Arial" w:cs="Arial" w:eastAsia="Arial" w:hAnsi="Arial"/>
                <w:sz w:val="14"/>
                <w:szCs w:val="14"/>
                <w:b w:val="1"/>
                <w:bCs w:val="1"/>
                <w:color w:val="auto"/>
              </w:rPr>
              <w:t>29.95</w:t>
            </w:r>
          </w:p>
        </w:tc>
        <w:tc>
          <w:tcPr>
            <w:tcW w:w="360" w:type="dxa"/>
            <w:vAlign w:val="bottom"/>
          </w:tcPr>
          <w:p>
            <w:pPr>
              <w:spacing w:after="0"/>
              <w:rPr>
                <w:sz w:val="23"/>
                <w:szCs w:val="23"/>
                <w:color w:val="auto"/>
              </w:rPr>
            </w:pPr>
          </w:p>
        </w:tc>
        <w:tc>
          <w:tcPr>
            <w:tcW w:w="960" w:type="dxa"/>
            <w:vAlign w:val="bottom"/>
          </w:tcPr>
          <w:p>
            <w:pPr>
              <w:jc w:val="right"/>
              <w:ind w:right="49"/>
              <w:spacing w:after="0"/>
              <w:rPr>
                <w:sz w:val="20"/>
                <w:szCs w:val="20"/>
                <w:color w:val="auto"/>
              </w:rPr>
            </w:pPr>
            <w:r>
              <w:rPr>
                <w:rFonts w:ascii="Arial" w:cs="Arial" w:eastAsia="Arial" w:hAnsi="Arial"/>
                <w:sz w:val="14"/>
                <w:szCs w:val="14"/>
                <w:color w:val="auto"/>
              </w:rPr>
              <w:t>(17.87)</w:t>
            </w:r>
          </w:p>
        </w:tc>
        <w:tc>
          <w:tcPr>
            <w:tcW w:w="320" w:type="dxa"/>
            <w:vAlign w:val="bottom"/>
          </w:tcPr>
          <w:p>
            <w:pPr>
              <w:spacing w:after="0"/>
              <w:rPr>
                <w:sz w:val="23"/>
                <w:szCs w:val="23"/>
                <w:color w:val="auto"/>
              </w:rPr>
            </w:pPr>
          </w:p>
        </w:tc>
        <w:tc>
          <w:tcPr>
            <w:tcW w:w="880" w:type="dxa"/>
            <w:vAlign w:val="bottom"/>
          </w:tcPr>
          <w:p>
            <w:pPr>
              <w:jc w:val="right"/>
              <w:ind w:right="49"/>
              <w:spacing w:after="0"/>
              <w:rPr>
                <w:sz w:val="20"/>
                <w:szCs w:val="20"/>
                <w:color w:val="auto"/>
              </w:rPr>
            </w:pPr>
            <w:r>
              <w:rPr>
                <w:rFonts w:ascii="Arial" w:cs="Arial" w:eastAsia="Arial" w:hAnsi="Arial"/>
                <w:sz w:val="14"/>
                <w:szCs w:val="14"/>
                <w:color w:val="auto"/>
              </w:rPr>
              <w:t>195.81</w:t>
            </w:r>
          </w:p>
        </w:tc>
        <w:tc>
          <w:tcPr>
            <w:tcW w:w="340" w:type="dxa"/>
            <w:vAlign w:val="bottom"/>
          </w:tcPr>
          <w:p>
            <w:pPr>
              <w:spacing w:after="0"/>
              <w:rPr>
                <w:sz w:val="23"/>
                <w:szCs w:val="23"/>
                <w:color w:val="auto"/>
              </w:rPr>
            </w:pPr>
          </w:p>
        </w:tc>
        <w:tc>
          <w:tcPr>
            <w:tcW w:w="900" w:type="dxa"/>
            <w:vAlign w:val="bottom"/>
          </w:tcPr>
          <w:p>
            <w:pPr>
              <w:jc w:val="right"/>
              <w:ind w:right="49"/>
              <w:spacing w:after="0"/>
              <w:rPr>
                <w:sz w:val="20"/>
                <w:szCs w:val="20"/>
                <w:color w:val="auto"/>
              </w:rPr>
            </w:pPr>
            <w:r>
              <w:rPr>
                <w:rFonts w:ascii="Arial" w:cs="Arial" w:eastAsia="Arial" w:hAnsi="Arial"/>
                <w:sz w:val="14"/>
                <w:szCs w:val="14"/>
                <w:color w:val="auto"/>
              </w:rPr>
              <w:t>32.10</w:t>
            </w:r>
          </w:p>
        </w:tc>
        <w:tc>
          <w:tcPr>
            <w:tcW w:w="340" w:type="dxa"/>
            <w:vAlign w:val="bottom"/>
          </w:tcPr>
          <w:p>
            <w:pPr>
              <w:spacing w:after="0"/>
              <w:rPr>
                <w:sz w:val="23"/>
                <w:szCs w:val="23"/>
                <w:color w:val="auto"/>
              </w:rPr>
            </w:pPr>
          </w:p>
        </w:tc>
        <w:tc>
          <w:tcPr>
            <w:tcW w:w="880" w:type="dxa"/>
            <w:vAlign w:val="bottom"/>
          </w:tcPr>
          <w:p>
            <w:pPr>
              <w:jc w:val="right"/>
              <w:ind w:right="49"/>
              <w:spacing w:after="0"/>
              <w:rPr>
                <w:sz w:val="20"/>
                <w:szCs w:val="20"/>
                <w:color w:val="auto"/>
              </w:rPr>
            </w:pPr>
            <w:r>
              <w:rPr>
                <w:rFonts w:ascii="Arial" w:cs="Arial" w:eastAsia="Arial" w:hAnsi="Arial"/>
                <w:sz w:val="14"/>
                <w:szCs w:val="14"/>
                <w:color w:val="auto"/>
              </w:rPr>
              <w:t>17.39</w:t>
            </w:r>
          </w:p>
        </w:tc>
        <w:tc>
          <w:tcPr>
            <w:tcW w:w="0" w:type="dxa"/>
            <w:vAlign w:val="bottom"/>
          </w:tcPr>
          <w:p>
            <w:pPr>
              <w:spacing w:after="0"/>
              <w:rPr>
                <w:sz w:val="1"/>
                <w:szCs w:val="1"/>
                <w:color w:val="auto"/>
              </w:rPr>
            </w:pPr>
          </w:p>
        </w:tc>
      </w:tr>
      <w:tr>
        <w:trPr>
          <w:trHeight w:val="178"/>
        </w:trPr>
        <w:tc>
          <w:tcPr>
            <w:tcW w:w="5240" w:type="dxa"/>
            <w:vAlign w:val="bottom"/>
          </w:tcPr>
          <w:p>
            <w:pPr>
              <w:ind w:left="280"/>
              <w:spacing w:after="0"/>
              <w:rPr>
                <w:sz w:val="20"/>
                <w:szCs w:val="20"/>
                <w:color w:val="auto"/>
              </w:rPr>
            </w:pPr>
            <w:r>
              <w:rPr>
                <w:rFonts w:ascii="Arial" w:cs="Arial" w:eastAsia="Arial" w:hAnsi="Arial"/>
                <w:sz w:val="14"/>
                <w:szCs w:val="14"/>
                <w:color w:val="auto"/>
              </w:rPr>
              <w:t>Diluted earnings (loss) per common share attributable to Graham Holdings</w:t>
            </w: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5240" w:type="dxa"/>
            <w:vAlign w:val="bottom"/>
          </w:tcPr>
          <w:p>
            <w:pPr>
              <w:ind w:left="360"/>
              <w:spacing w:after="0"/>
              <w:rPr>
                <w:sz w:val="20"/>
                <w:szCs w:val="20"/>
                <w:color w:val="auto"/>
              </w:rPr>
            </w:pPr>
            <w:r>
              <w:rPr>
                <w:rFonts w:ascii="Arial" w:cs="Arial" w:eastAsia="Arial" w:hAnsi="Arial"/>
                <w:sz w:val="14"/>
                <w:szCs w:val="14"/>
                <w:color w:val="auto"/>
              </w:rPr>
              <w:t>Company common stockholders</w:t>
            </w: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6"/>
        </w:trPr>
        <w:tc>
          <w:tcPr>
            <w:tcW w:w="5240" w:type="dxa"/>
            <w:vAlign w:val="bottom"/>
          </w:tcPr>
          <w:p>
            <w:pPr>
              <w:ind w:left="720"/>
              <w:spacing w:after="0"/>
              <w:rPr>
                <w:sz w:val="20"/>
                <w:szCs w:val="20"/>
                <w:color w:val="auto"/>
              </w:rPr>
            </w:pPr>
            <w:r>
              <w:rPr>
                <w:rFonts w:ascii="Arial" w:cs="Arial" w:eastAsia="Arial" w:hAnsi="Arial"/>
                <w:sz w:val="14"/>
                <w:szCs w:val="14"/>
                <w:color w:val="auto"/>
              </w:rPr>
              <w:t>Income (loss) from continuing operations</w:t>
            </w:r>
          </w:p>
        </w:tc>
        <w:tc>
          <w:tcPr>
            <w:tcW w:w="26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920" w:type="dxa"/>
            <w:vAlign w:val="bottom"/>
          </w:tcPr>
          <w:p>
            <w:pPr>
              <w:jc w:val="right"/>
              <w:ind w:right="69"/>
              <w:spacing w:after="0"/>
              <w:rPr>
                <w:sz w:val="20"/>
                <w:szCs w:val="20"/>
                <w:color w:val="auto"/>
              </w:rPr>
            </w:pPr>
            <w:r>
              <w:rPr>
                <w:rFonts w:ascii="Arial" w:cs="Arial" w:eastAsia="Arial" w:hAnsi="Arial"/>
                <w:sz w:val="14"/>
                <w:szCs w:val="14"/>
                <w:b w:val="1"/>
                <w:bCs w:val="1"/>
                <w:color w:val="auto"/>
              </w:rPr>
              <w:t>29.80</w:t>
            </w:r>
          </w:p>
        </w:tc>
        <w:tc>
          <w:tcPr>
            <w:tcW w:w="3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49"/>
              <w:spacing w:after="0"/>
              <w:rPr>
                <w:sz w:val="20"/>
                <w:szCs w:val="20"/>
                <w:color w:val="auto"/>
              </w:rPr>
            </w:pPr>
            <w:r>
              <w:rPr>
                <w:rFonts w:ascii="Arial" w:cs="Arial" w:eastAsia="Arial" w:hAnsi="Arial"/>
                <w:sz w:val="14"/>
                <w:szCs w:val="14"/>
                <w:color w:val="auto"/>
              </w:rPr>
              <w:t>(25.23)</w:t>
            </w:r>
          </w:p>
        </w:tc>
        <w:tc>
          <w:tcPr>
            <w:tcW w:w="3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9"/>
              <w:spacing w:after="0"/>
              <w:rPr>
                <w:sz w:val="20"/>
                <w:szCs w:val="20"/>
                <w:color w:val="auto"/>
              </w:rPr>
            </w:pPr>
            <w:r>
              <w:rPr>
                <w:rFonts w:ascii="Arial" w:cs="Arial" w:eastAsia="Arial" w:hAnsi="Arial"/>
                <w:sz w:val="14"/>
                <w:szCs w:val="14"/>
                <w:color w:val="auto"/>
              </w:rPr>
              <w:t>115.40</w:t>
            </w:r>
          </w:p>
        </w:tc>
        <w:tc>
          <w:tcPr>
            <w:tcW w:w="3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49"/>
              <w:spacing w:after="0"/>
              <w:rPr>
                <w:sz w:val="20"/>
                <w:szCs w:val="20"/>
                <w:color w:val="auto"/>
              </w:rPr>
            </w:pPr>
            <w:r>
              <w:rPr>
                <w:rFonts w:ascii="Arial" w:cs="Arial" w:eastAsia="Arial" w:hAnsi="Arial"/>
                <w:sz w:val="14"/>
                <w:szCs w:val="14"/>
                <w:color w:val="auto"/>
              </w:rPr>
              <w:t>8.61</w:t>
            </w:r>
          </w:p>
        </w:tc>
        <w:tc>
          <w:tcPr>
            <w:tcW w:w="3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(7.17)</w:t>
            </w:r>
          </w:p>
        </w:tc>
        <w:tc>
          <w:tcPr>
            <w:tcW w:w="0" w:type="dxa"/>
            <w:vAlign w:val="bottom"/>
          </w:tcPr>
          <w:p>
            <w:pPr>
              <w:spacing w:after="0"/>
              <w:rPr>
                <w:sz w:val="1"/>
                <w:szCs w:val="1"/>
                <w:color w:val="auto"/>
              </w:rPr>
            </w:pPr>
          </w:p>
        </w:tc>
      </w:tr>
      <w:tr>
        <w:trPr>
          <w:trHeight w:val="270"/>
        </w:trPr>
        <w:tc>
          <w:tcPr>
            <w:tcW w:w="5240" w:type="dxa"/>
            <w:vAlign w:val="bottom"/>
          </w:tcPr>
          <w:p>
            <w:pPr>
              <w:ind w:left="720"/>
              <w:spacing w:after="0"/>
              <w:rPr>
                <w:sz w:val="20"/>
                <w:szCs w:val="20"/>
                <w:color w:val="auto"/>
              </w:rPr>
            </w:pPr>
            <w:r>
              <w:rPr>
                <w:rFonts w:ascii="Arial" w:cs="Arial" w:eastAsia="Arial" w:hAnsi="Arial"/>
                <w:sz w:val="14"/>
                <w:szCs w:val="14"/>
                <w:color w:val="auto"/>
              </w:rPr>
              <w:t>Net income (loss)</w:t>
            </w:r>
          </w:p>
        </w:tc>
        <w:tc>
          <w:tcPr>
            <w:tcW w:w="260" w:type="dxa"/>
            <w:vAlign w:val="bottom"/>
          </w:tcPr>
          <w:p>
            <w:pPr>
              <w:spacing w:after="0"/>
              <w:rPr>
                <w:sz w:val="23"/>
                <w:szCs w:val="23"/>
                <w:color w:val="auto"/>
              </w:rPr>
            </w:pPr>
          </w:p>
        </w:tc>
        <w:tc>
          <w:tcPr>
            <w:tcW w:w="920" w:type="dxa"/>
            <w:vAlign w:val="bottom"/>
          </w:tcPr>
          <w:p>
            <w:pPr>
              <w:jc w:val="right"/>
              <w:ind w:right="69"/>
              <w:spacing w:after="0"/>
              <w:rPr>
                <w:sz w:val="20"/>
                <w:szCs w:val="20"/>
                <w:color w:val="auto"/>
              </w:rPr>
            </w:pPr>
            <w:r>
              <w:rPr>
                <w:rFonts w:ascii="Arial" w:cs="Arial" w:eastAsia="Arial" w:hAnsi="Arial"/>
                <w:sz w:val="14"/>
                <w:szCs w:val="14"/>
                <w:b w:val="1"/>
                <w:bCs w:val="1"/>
                <w:color w:val="auto"/>
              </w:rPr>
              <w:t>29.80</w:t>
            </w:r>
          </w:p>
        </w:tc>
        <w:tc>
          <w:tcPr>
            <w:tcW w:w="360" w:type="dxa"/>
            <w:vAlign w:val="bottom"/>
          </w:tcPr>
          <w:p>
            <w:pPr>
              <w:spacing w:after="0"/>
              <w:rPr>
                <w:sz w:val="23"/>
                <w:szCs w:val="23"/>
                <w:color w:val="auto"/>
              </w:rPr>
            </w:pPr>
          </w:p>
        </w:tc>
        <w:tc>
          <w:tcPr>
            <w:tcW w:w="960" w:type="dxa"/>
            <w:vAlign w:val="bottom"/>
          </w:tcPr>
          <w:p>
            <w:pPr>
              <w:jc w:val="right"/>
              <w:ind w:right="49"/>
              <w:spacing w:after="0"/>
              <w:rPr>
                <w:sz w:val="20"/>
                <w:szCs w:val="20"/>
                <w:color w:val="auto"/>
              </w:rPr>
            </w:pPr>
            <w:r>
              <w:rPr>
                <w:rFonts w:ascii="Arial" w:cs="Arial" w:eastAsia="Arial" w:hAnsi="Arial"/>
                <w:sz w:val="14"/>
                <w:szCs w:val="14"/>
                <w:color w:val="auto"/>
              </w:rPr>
              <w:t>(17.87)</w:t>
            </w:r>
          </w:p>
        </w:tc>
        <w:tc>
          <w:tcPr>
            <w:tcW w:w="320" w:type="dxa"/>
            <w:vAlign w:val="bottom"/>
          </w:tcPr>
          <w:p>
            <w:pPr>
              <w:spacing w:after="0"/>
              <w:rPr>
                <w:sz w:val="23"/>
                <w:szCs w:val="23"/>
                <w:color w:val="auto"/>
              </w:rPr>
            </w:pPr>
          </w:p>
        </w:tc>
        <w:tc>
          <w:tcPr>
            <w:tcW w:w="880" w:type="dxa"/>
            <w:vAlign w:val="bottom"/>
          </w:tcPr>
          <w:p>
            <w:pPr>
              <w:jc w:val="right"/>
              <w:ind w:right="49"/>
              <w:spacing w:after="0"/>
              <w:rPr>
                <w:sz w:val="20"/>
                <w:szCs w:val="20"/>
                <w:color w:val="auto"/>
              </w:rPr>
            </w:pPr>
            <w:r>
              <w:rPr>
                <w:rFonts w:ascii="Arial" w:cs="Arial" w:eastAsia="Arial" w:hAnsi="Arial"/>
                <w:sz w:val="14"/>
                <w:szCs w:val="14"/>
                <w:color w:val="auto"/>
              </w:rPr>
              <w:t>195.03</w:t>
            </w:r>
          </w:p>
        </w:tc>
        <w:tc>
          <w:tcPr>
            <w:tcW w:w="340" w:type="dxa"/>
            <w:vAlign w:val="bottom"/>
          </w:tcPr>
          <w:p>
            <w:pPr>
              <w:spacing w:after="0"/>
              <w:rPr>
                <w:sz w:val="23"/>
                <w:szCs w:val="23"/>
                <w:color w:val="auto"/>
              </w:rPr>
            </w:pPr>
          </w:p>
        </w:tc>
        <w:tc>
          <w:tcPr>
            <w:tcW w:w="900" w:type="dxa"/>
            <w:vAlign w:val="bottom"/>
          </w:tcPr>
          <w:p>
            <w:pPr>
              <w:jc w:val="right"/>
              <w:ind w:right="49"/>
              <w:spacing w:after="0"/>
              <w:rPr>
                <w:sz w:val="20"/>
                <w:szCs w:val="20"/>
                <w:color w:val="auto"/>
              </w:rPr>
            </w:pPr>
            <w:r>
              <w:rPr>
                <w:rFonts w:ascii="Arial" w:cs="Arial" w:eastAsia="Arial" w:hAnsi="Arial"/>
                <w:sz w:val="14"/>
                <w:szCs w:val="14"/>
                <w:color w:val="auto"/>
              </w:rPr>
              <w:t>32.05</w:t>
            </w:r>
          </w:p>
        </w:tc>
        <w:tc>
          <w:tcPr>
            <w:tcW w:w="340" w:type="dxa"/>
            <w:vAlign w:val="bottom"/>
          </w:tcPr>
          <w:p>
            <w:pPr>
              <w:spacing w:after="0"/>
              <w:rPr>
                <w:sz w:val="23"/>
                <w:szCs w:val="23"/>
                <w:color w:val="auto"/>
              </w:rPr>
            </w:pPr>
          </w:p>
        </w:tc>
        <w:tc>
          <w:tcPr>
            <w:tcW w:w="880" w:type="dxa"/>
            <w:vAlign w:val="bottom"/>
          </w:tcPr>
          <w:p>
            <w:pPr>
              <w:jc w:val="right"/>
              <w:ind w:right="49"/>
              <w:spacing w:after="0"/>
              <w:rPr>
                <w:sz w:val="20"/>
                <w:szCs w:val="20"/>
                <w:color w:val="auto"/>
              </w:rPr>
            </w:pPr>
            <w:r>
              <w:rPr>
                <w:rFonts w:ascii="Arial" w:cs="Arial" w:eastAsia="Arial" w:hAnsi="Arial"/>
                <w:sz w:val="14"/>
                <w:szCs w:val="14"/>
                <w:color w:val="auto"/>
              </w:rPr>
              <w:t>17.39</w:t>
            </w:r>
          </w:p>
        </w:tc>
        <w:tc>
          <w:tcPr>
            <w:tcW w:w="0" w:type="dxa"/>
            <w:vAlign w:val="bottom"/>
          </w:tcPr>
          <w:p>
            <w:pPr>
              <w:spacing w:after="0"/>
              <w:rPr>
                <w:sz w:val="1"/>
                <w:szCs w:val="1"/>
                <w:color w:val="auto"/>
              </w:rPr>
            </w:pPr>
          </w:p>
        </w:tc>
      </w:tr>
      <w:tr>
        <w:trPr>
          <w:trHeight w:val="264"/>
        </w:trPr>
        <w:tc>
          <w:tcPr>
            <w:tcW w:w="5240" w:type="dxa"/>
            <w:vAlign w:val="bottom"/>
          </w:tcPr>
          <w:p>
            <w:pPr>
              <w:ind w:left="280"/>
              <w:spacing w:after="0"/>
              <w:rPr>
                <w:sz w:val="20"/>
                <w:szCs w:val="20"/>
                <w:color w:val="auto"/>
              </w:rPr>
            </w:pPr>
            <w:r>
              <w:rPr>
                <w:rFonts w:ascii="Arial" w:cs="Arial" w:eastAsia="Arial" w:hAnsi="Arial"/>
                <w:sz w:val="14"/>
                <w:szCs w:val="14"/>
                <w:color w:val="auto"/>
              </w:rPr>
              <w:t>Weighted average shares outstanding:</w:t>
            </w:r>
          </w:p>
        </w:tc>
        <w:tc>
          <w:tcPr>
            <w:tcW w:w="2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5240" w:type="dxa"/>
            <w:vAlign w:val="bottom"/>
          </w:tcPr>
          <w:p>
            <w:pPr>
              <w:ind w:left="500"/>
              <w:spacing w:after="0"/>
              <w:rPr>
                <w:sz w:val="20"/>
                <w:szCs w:val="20"/>
                <w:color w:val="auto"/>
              </w:rPr>
            </w:pPr>
            <w:r>
              <w:rPr>
                <w:rFonts w:ascii="Arial" w:cs="Arial" w:eastAsia="Arial" w:hAnsi="Arial"/>
                <w:sz w:val="14"/>
                <w:szCs w:val="14"/>
                <w:color w:val="auto"/>
              </w:rPr>
              <w:t>Basic</w:t>
            </w:r>
          </w:p>
        </w:tc>
        <w:tc>
          <w:tcPr>
            <w:tcW w:w="260" w:type="dxa"/>
            <w:vAlign w:val="bottom"/>
          </w:tcPr>
          <w:p>
            <w:pPr>
              <w:spacing w:after="0"/>
              <w:rPr>
                <w:sz w:val="24"/>
                <w:szCs w:val="24"/>
                <w:color w:val="auto"/>
              </w:rPr>
            </w:pPr>
          </w:p>
        </w:tc>
        <w:tc>
          <w:tcPr>
            <w:tcW w:w="920" w:type="dxa"/>
            <w:vAlign w:val="bottom"/>
          </w:tcPr>
          <w:p>
            <w:pPr>
              <w:jc w:val="right"/>
              <w:ind w:right="69"/>
              <w:spacing w:after="0"/>
              <w:rPr>
                <w:sz w:val="20"/>
                <w:szCs w:val="20"/>
                <w:color w:val="auto"/>
              </w:rPr>
            </w:pPr>
            <w:r>
              <w:rPr>
                <w:rFonts w:ascii="Arial" w:cs="Arial" w:eastAsia="Arial" w:hAnsi="Arial"/>
                <w:sz w:val="14"/>
                <w:szCs w:val="14"/>
                <w:b w:val="1"/>
                <w:bCs w:val="1"/>
                <w:color w:val="auto"/>
              </w:rPr>
              <w:t>5,559</w:t>
            </w:r>
          </w:p>
        </w:tc>
        <w:tc>
          <w:tcPr>
            <w:tcW w:w="360" w:type="dxa"/>
            <w:vAlign w:val="bottom"/>
          </w:tcPr>
          <w:p>
            <w:pPr>
              <w:spacing w:after="0"/>
              <w:rPr>
                <w:sz w:val="24"/>
                <w:szCs w:val="24"/>
                <w:color w:val="auto"/>
              </w:rPr>
            </w:pPr>
          </w:p>
        </w:tc>
        <w:tc>
          <w:tcPr>
            <w:tcW w:w="960" w:type="dxa"/>
            <w:vAlign w:val="bottom"/>
          </w:tcPr>
          <w:p>
            <w:pPr>
              <w:jc w:val="right"/>
              <w:ind w:right="89"/>
              <w:spacing w:after="0"/>
              <w:rPr>
                <w:sz w:val="20"/>
                <w:szCs w:val="20"/>
                <w:color w:val="auto"/>
              </w:rPr>
            </w:pPr>
            <w:r>
              <w:rPr>
                <w:rFonts w:ascii="Arial" w:cs="Arial" w:eastAsia="Arial" w:hAnsi="Arial"/>
                <w:sz w:val="14"/>
                <w:szCs w:val="14"/>
                <w:color w:val="auto"/>
              </w:rPr>
              <w:t>5,727</w:t>
            </w:r>
          </w:p>
        </w:tc>
        <w:tc>
          <w:tcPr>
            <w:tcW w:w="320" w:type="dxa"/>
            <w:vAlign w:val="bottom"/>
          </w:tcPr>
          <w:p>
            <w:pPr>
              <w:spacing w:after="0"/>
              <w:rPr>
                <w:sz w:val="24"/>
                <w:szCs w:val="24"/>
                <w:color w:val="auto"/>
              </w:rPr>
            </w:pPr>
          </w:p>
        </w:tc>
        <w:tc>
          <w:tcPr>
            <w:tcW w:w="880" w:type="dxa"/>
            <w:vAlign w:val="bottom"/>
          </w:tcPr>
          <w:p>
            <w:pPr>
              <w:jc w:val="right"/>
              <w:ind w:right="49"/>
              <w:spacing w:after="0"/>
              <w:rPr>
                <w:sz w:val="20"/>
                <w:szCs w:val="20"/>
                <w:color w:val="auto"/>
              </w:rPr>
            </w:pPr>
            <w:r>
              <w:rPr>
                <w:rFonts w:ascii="Arial" w:cs="Arial" w:eastAsia="Arial" w:hAnsi="Arial"/>
                <w:sz w:val="14"/>
                <w:szCs w:val="14"/>
                <w:color w:val="auto"/>
              </w:rPr>
              <w:t>6,470</w:t>
            </w:r>
          </w:p>
        </w:tc>
        <w:tc>
          <w:tcPr>
            <w:tcW w:w="340" w:type="dxa"/>
            <w:vAlign w:val="bottom"/>
          </w:tcPr>
          <w:p>
            <w:pPr>
              <w:spacing w:after="0"/>
              <w:rPr>
                <w:sz w:val="24"/>
                <w:szCs w:val="24"/>
                <w:color w:val="auto"/>
              </w:rPr>
            </w:pPr>
          </w:p>
        </w:tc>
        <w:tc>
          <w:tcPr>
            <w:tcW w:w="900" w:type="dxa"/>
            <w:vAlign w:val="bottom"/>
          </w:tcPr>
          <w:p>
            <w:pPr>
              <w:jc w:val="right"/>
              <w:ind w:right="49"/>
              <w:spacing w:after="0"/>
              <w:rPr>
                <w:sz w:val="20"/>
                <w:szCs w:val="20"/>
                <w:color w:val="auto"/>
              </w:rPr>
            </w:pPr>
            <w:r>
              <w:rPr>
                <w:rFonts w:ascii="Arial" w:cs="Arial" w:eastAsia="Arial" w:hAnsi="Arial"/>
                <w:sz w:val="14"/>
                <w:szCs w:val="14"/>
                <w:color w:val="auto"/>
              </w:rPr>
              <w:t>7,238</w:t>
            </w:r>
          </w:p>
        </w:tc>
        <w:tc>
          <w:tcPr>
            <w:tcW w:w="340" w:type="dxa"/>
            <w:vAlign w:val="bottom"/>
          </w:tcPr>
          <w:p>
            <w:pPr>
              <w:spacing w:after="0"/>
              <w:rPr>
                <w:sz w:val="24"/>
                <w:szCs w:val="24"/>
                <w:color w:val="auto"/>
              </w:rPr>
            </w:pPr>
          </w:p>
        </w:tc>
        <w:tc>
          <w:tcPr>
            <w:tcW w:w="880" w:type="dxa"/>
            <w:vAlign w:val="bottom"/>
          </w:tcPr>
          <w:p>
            <w:pPr>
              <w:jc w:val="right"/>
              <w:ind w:right="49"/>
              <w:spacing w:after="0"/>
              <w:rPr>
                <w:sz w:val="20"/>
                <w:szCs w:val="20"/>
                <w:color w:val="auto"/>
              </w:rPr>
            </w:pPr>
            <w:r>
              <w:rPr>
                <w:rFonts w:ascii="Arial" w:cs="Arial" w:eastAsia="Arial" w:hAnsi="Arial"/>
                <w:sz w:val="14"/>
                <w:szCs w:val="14"/>
                <w:color w:val="auto"/>
              </w:rPr>
              <w:t>7,360</w:t>
            </w:r>
          </w:p>
        </w:tc>
        <w:tc>
          <w:tcPr>
            <w:tcW w:w="0" w:type="dxa"/>
            <w:vAlign w:val="bottom"/>
          </w:tcPr>
          <w:p>
            <w:pPr>
              <w:spacing w:after="0"/>
              <w:rPr>
                <w:sz w:val="1"/>
                <w:szCs w:val="1"/>
                <w:color w:val="auto"/>
              </w:rPr>
            </w:pPr>
          </w:p>
        </w:tc>
      </w:tr>
      <w:tr>
        <w:trPr>
          <w:trHeight w:val="270"/>
        </w:trPr>
        <w:tc>
          <w:tcPr>
            <w:tcW w:w="5240" w:type="dxa"/>
            <w:vAlign w:val="bottom"/>
          </w:tcPr>
          <w:p>
            <w:pPr>
              <w:ind w:left="500"/>
              <w:spacing w:after="0"/>
              <w:rPr>
                <w:sz w:val="20"/>
                <w:szCs w:val="20"/>
                <w:color w:val="auto"/>
              </w:rPr>
            </w:pPr>
            <w:r>
              <w:rPr>
                <w:rFonts w:ascii="Arial" w:cs="Arial" w:eastAsia="Arial" w:hAnsi="Arial"/>
                <w:sz w:val="14"/>
                <w:szCs w:val="14"/>
                <w:color w:val="auto"/>
              </w:rPr>
              <w:t>Diluted</w:t>
            </w:r>
          </w:p>
        </w:tc>
        <w:tc>
          <w:tcPr>
            <w:tcW w:w="260" w:type="dxa"/>
            <w:vAlign w:val="bottom"/>
          </w:tcPr>
          <w:p>
            <w:pPr>
              <w:spacing w:after="0"/>
              <w:rPr>
                <w:sz w:val="23"/>
                <w:szCs w:val="23"/>
                <w:color w:val="auto"/>
              </w:rPr>
            </w:pPr>
          </w:p>
        </w:tc>
        <w:tc>
          <w:tcPr>
            <w:tcW w:w="920" w:type="dxa"/>
            <w:vAlign w:val="bottom"/>
          </w:tcPr>
          <w:p>
            <w:pPr>
              <w:jc w:val="right"/>
              <w:ind w:right="69"/>
              <w:spacing w:after="0"/>
              <w:rPr>
                <w:sz w:val="20"/>
                <w:szCs w:val="20"/>
                <w:color w:val="auto"/>
              </w:rPr>
            </w:pPr>
            <w:r>
              <w:rPr>
                <w:rFonts w:ascii="Arial" w:cs="Arial" w:eastAsia="Arial" w:hAnsi="Arial"/>
                <w:sz w:val="14"/>
                <w:szCs w:val="14"/>
                <w:b w:val="1"/>
                <w:bCs w:val="1"/>
                <w:color w:val="auto"/>
              </w:rPr>
              <w:t>5,589</w:t>
            </w:r>
          </w:p>
        </w:tc>
        <w:tc>
          <w:tcPr>
            <w:tcW w:w="360" w:type="dxa"/>
            <w:vAlign w:val="bottom"/>
          </w:tcPr>
          <w:p>
            <w:pPr>
              <w:spacing w:after="0"/>
              <w:rPr>
                <w:sz w:val="23"/>
                <w:szCs w:val="23"/>
                <w:color w:val="auto"/>
              </w:rPr>
            </w:pPr>
          </w:p>
        </w:tc>
        <w:tc>
          <w:tcPr>
            <w:tcW w:w="960" w:type="dxa"/>
            <w:vAlign w:val="bottom"/>
          </w:tcPr>
          <w:p>
            <w:pPr>
              <w:jc w:val="right"/>
              <w:ind w:right="89"/>
              <w:spacing w:after="0"/>
              <w:rPr>
                <w:sz w:val="20"/>
                <w:szCs w:val="20"/>
                <w:color w:val="auto"/>
              </w:rPr>
            </w:pPr>
            <w:r>
              <w:rPr>
                <w:rFonts w:ascii="Arial" w:cs="Arial" w:eastAsia="Arial" w:hAnsi="Arial"/>
                <w:sz w:val="14"/>
                <w:szCs w:val="14"/>
                <w:color w:val="auto"/>
              </w:rPr>
              <w:t>5,727</w:t>
            </w:r>
          </w:p>
        </w:tc>
        <w:tc>
          <w:tcPr>
            <w:tcW w:w="320" w:type="dxa"/>
            <w:vAlign w:val="bottom"/>
          </w:tcPr>
          <w:p>
            <w:pPr>
              <w:spacing w:after="0"/>
              <w:rPr>
                <w:sz w:val="23"/>
                <w:szCs w:val="23"/>
                <w:color w:val="auto"/>
              </w:rPr>
            </w:pPr>
          </w:p>
        </w:tc>
        <w:tc>
          <w:tcPr>
            <w:tcW w:w="880" w:type="dxa"/>
            <w:vAlign w:val="bottom"/>
          </w:tcPr>
          <w:p>
            <w:pPr>
              <w:jc w:val="right"/>
              <w:ind w:right="49"/>
              <w:spacing w:after="0"/>
              <w:rPr>
                <w:sz w:val="20"/>
                <w:szCs w:val="20"/>
                <w:color w:val="auto"/>
              </w:rPr>
            </w:pPr>
            <w:r>
              <w:rPr>
                <w:rFonts w:ascii="Arial" w:cs="Arial" w:eastAsia="Arial" w:hAnsi="Arial"/>
                <w:sz w:val="14"/>
                <w:szCs w:val="14"/>
                <w:color w:val="auto"/>
              </w:rPr>
              <w:t>6,559</w:t>
            </w:r>
          </w:p>
        </w:tc>
        <w:tc>
          <w:tcPr>
            <w:tcW w:w="340" w:type="dxa"/>
            <w:vAlign w:val="bottom"/>
          </w:tcPr>
          <w:p>
            <w:pPr>
              <w:spacing w:after="0"/>
              <w:rPr>
                <w:sz w:val="23"/>
                <w:szCs w:val="23"/>
                <w:color w:val="auto"/>
              </w:rPr>
            </w:pPr>
          </w:p>
        </w:tc>
        <w:tc>
          <w:tcPr>
            <w:tcW w:w="900" w:type="dxa"/>
            <w:vAlign w:val="bottom"/>
          </w:tcPr>
          <w:p>
            <w:pPr>
              <w:jc w:val="right"/>
              <w:ind w:right="49"/>
              <w:spacing w:after="0"/>
              <w:rPr>
                <w:sz w:val="20"/>
                <w:szCs w:val="20"/>
                <w:color w:val="auto"/>
              </w:rPr>
            </w:pPr>
            <w:r>
              <w:rPr>
                <w:rFonts w:ascii="Arial" w:cs="Arial" w:eastAsia="Arial" w:hAnsi="Arial"/>
                <w:sz w:val="14"/>
                <w:szCs w:val="14"/>
                <w:color w:val="auto"/>
              </w:rPr>
              <w:t>7,333</w:t>
            </w:r>
          </w:p>
        </w:tc>
        <w:tc>
          <w:tcPr>
            <w:tcW w:w="340" w:type="dxa"/>
            <w:vAlign w:val="bottom"/>
          </w:tcPr>
          <w:p>
            <w:pPr>
              <w:spacing w:after="0"/>
              <w:rPr>
                <w:sz w:val="23"/>
                <w:szCs w:val="23"/>
                <w:color w:val="auto"/>
              </w:rPr>
            </w:pPr>
          </w:p>
        </w:tc>
        <w:tc>
          <w:tcPr>
            <w:tcW w:w="880" w:type="dxa"/>
            <w:vAlign w:val="bottom"/>
          </w:tcPr>
          <w:p>
            <w:pPr>
              <w:jc w:val="right"/>
              <w:ind w:right="49"/>
              <w:spacing w:after="0"/>
              <w:rPr>
                <w:sz w:val="20"/>
                <w:szCs w:val="20"/>
                <w:color w:val="auto"/>
              </w:rPr>
            </w:pPr>
            <w:r>
              <w:rPr>
                <w:rFonts w:ascii="Arial" w:cs="Arial" w:eastAsia="Arial" w:hAnsi="Arial"/>
                <w:sz w:val="14"/>
                <w:szCs w:val="14"/>
                <w:color w:val="auto"/>
              </w:rPr>
              <w:t>7,404</w:t>
            </w:r>
          </w:p>
        </w:tc>
        <w:tc>
          <w:tcPr>
            <w:tcW w:w="0" w:type="dxa"/>
            <w:vAlign w:val="bottom"/>
          </w:tcPr>
          <w:p>
            <w:pPr>
              <w:spacing w:after="0"/>
              <w:rPr>
                <w:sz w:val="1"/>
                <w:szCs w:val="1"/>
                <w:color w:val="auto"/>
              </w:rPr>
            </w:pPr>
          </w:p>
        </w:tc>
      </w:tr>
      <w:tr>
        <w:trPr>
          <w:trHeight w:val="270"/>
        </w:trPr>
        <w:tc>
          <w:tcPr>
            <w:tcW w:w="5240" w:type="dxa"/>
            <w:vAlign w:val="bottom"/>
          </w:tcPr>
          <w:p>
            <w:pPr>
              <w:ind w:left="280"/>
              <w:spacing w:after="0"/>
              <w:rPr>
                <w:sz w:val="20"/>
                <w:szCs w:val="20"/>
                <w:color w:val="auto"/>
              </w:rPr>
            </w:pPr>
            <w:r>
              <w:rPr>
                <w:rFonts w:ascii="Arial" w:cs="Arial" w:eastAsia="Arial" w:hAnsi="Arial"/>
                <w:sz w:val="14"/>
                <w:szCs w:val="14"/>
                <w:color w:val="auto"/>
              </w:rPr>
              <w:t>Cash dividends per common share</w:t>
            </w:r>
          </w:p>
        </w:tc>
        <w:tc>
          <w:tcPr>
            <w:tcW w:w="26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920" w:type="dxa"/>
            <w:vAlign w:val="bottom"/>
          </w:tcPr>
          <w:p>
            <w:pPr>
              <w:jc w:val="right"/>
              <w:ind w:right="69"/>
              <w:spacing w:after="0"/>
              <w:rPr>
                <w:sz w:val="20"/>
                <w:szCs w:val="20"/>
                <w:color w:val="auto"/>
              </w:rPr>
            </w:pPr>
            <w:r>
              <w:rPr>
                <w:rFonts w:ascii="Arial" w:cs="Arial" w:eastAsia="Arial" w:hAnsi="Arial"/>
                <w:sz w:val="14"/>
                <w:szCs w:val="14"/>
                <w:b w:val="1"/>
                <w:bCs w:val="1"/>
                <w:color w:val="auto"/>
              </w:rPr>
              <w:t>4.84</w:t>
            </w:r>
          </w:p>
        </w:tc>
        <w:tc>
          <w:tcPr>
            <w:tcW w:w="3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89"/>
              <w:spacing w:after="0"/>
              <w:rPr>
                <w:sz w:val="20"/>
                <w:szCs w:val="20"/>
                <w:color w:val="auto"/>
              </w:rPr>
            </w:pPr>
            <w:r>
              <w:rPr>
                <w:rFonts w:ascii="Arial" w:cs="Arial" w:eastAsia="Arial" w:hAnsi="Arial"/>
                <w:sz w:val="14"/>
                <w:szCs w:val="14"/>
                <w:color w:val="auto"/>
              </w:rPr>
              <w:t>9.10</w:t>
            </w:r>
          </w:p>
        </w:tc>
        <w:tc>
          <w:tcPr>
            <w:tcW w:w="3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9"/>
              <w:spacing w:after="0"/>
              <w:rPr>
                <w:sz w:val="20"/>
                <w:szCs w:val="20"/>
                <w:color w:val="auto"/>
              </w:rPr>
            </w:pPr>
            <w:r>
              <w:rPr>
                <w:rFonts w:ascii="Arial" w:cs="Arial" w:eastAsia="Arial" w:hAnsi="Arial"/>
                <w:sz w:val="14"/>
                <w:szCs w:val="14"/>
                <w:color w:val="auto"/>
              </w:rPr>
              <w:t>10.20</w:t>
            </w:r>
          </w:p>
        </w:tc>
        <w:tc>
          <w:tcPr>
            <w:tcW w:w="3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3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9"/>
              <w:spacing w:after="0"/>
              <w:rPr>
                <w:sz w:val="20"/>
                <w:szCs w:val="20"/>
                <w:color w:val="auto"/>
              </w:rPr>
            </w:pPr>
            <w:r>
              <w:rPr>
                <w:rFonts w:ascii="Arial" w:cs="Arial" w:eastAsia="Arial" w:hAnsi="Arial"/>
                <w:sz w:val="14"/>
                <w:szCs w:val="14"/>
                <w:color w:val="auto"/>
              </w:rPr>
              <w:t>19.60</w:t>
            </w:r>
          </w:p>
        </w:tc>
        <w:tc>
          <w:tcPr>
            <w:tcW w:w="0" w:type="dxa"/>
            <w:vAlign w:val="bottom"/>
          </w:tcPr>
          <w:p>
            <w:pPr>
              <w:spacing w:after="0"/>
              <w:rPr>
                <w:sz w:val="1"/>
                <w:szCs w:val="1"/>
                <w:color w:val="auto"/>
              </w:rPr>
            </w:pPr>
          </w:p>
        </w:tc>
      </w:tr>
      <w:tr>
        <w:trPr>
          <w:trHeight w:val="270"/>
        </w:trPr>
        <w:tc>
          <w:tcPr>
            <w:tcW w:w="5240" w:type="dxa"/>
            <w:vAlign w:val="bottom"/>
          </w:tcPr>
          <w:p>
            <w:pPr>
              <w:ind w:left="280"/>
              <w:spacing w:after="0"/>
              <w:rPr>
                <w:sz w:val="20"/>
                <w:szCs w:val="20"/>
                <w:color w:val="auto"/>
              </w:rPr>
            </w:pPr>
            <w:r>
              <w:rPr>
                <w:rFonts w:ascii="Arial" w:cs="Arial" w:eastAsia="Arial" w:hAnsi="Arial"/>
                <w:sz w:val="14"/>
                <w:szCs w:val="14"/>
                <w:color w:val="auto"/>
              </w:rPr>
              <w:t>Graham Holdings Company common stockholders’ equity per common share</w:t>
            </w:r>
          </w:p>
        </w:tc>
        <w:tc>
          <w:tcPr>
            <w:tcW w:w="26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920" w:type="dxa"/>
            <w:vAlign w:val="bottom"/>
          </w:tcPr>
          <w:p>
            <w:pPr>
              <w:jc w:val="right"/>
              <w:ind w:right="69"/>
              <w:spacing w:after="0"/>
              <w:rPr>
                <w:sz w:val="20"/>
                <w:szCs w:val="20"/>
                <w:color w:val="auto"/>
              </w:rPr>
            </w:pPr>
            <w:r>
              <w:rPr>
                <w:rFonts w:ascii="Arial" w:cs="Arial" w:eastAsia="Arial" w:hAnsi="Arial"/>
                <w:sz w:val="14"/>
                <w:szCs w:val="14"/>
                <w:b w:val="1"/>
                <w:bCs w:val="1"/>
                <w:color w:val="auto"/>
              </w:rPr>
              <w:t>439.88</w:t>
            </w:r>
          </w:p>
        </w:tc>
        <w:tc>
          <w:tcPr>
            <w:tcW w:w="3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89"/>
              <w:spacing w:after="0"/>
              <w:rPr>
                <w:sz w:val="20"/>
                <w:szCs w:val="20"/>
                <w:color w:val="auto"/>
              </w:rPr>
            </w:pPr>
            <w:r>
              <w:rPr>
                <w:rFonts w:ascii="Arial" w:cs="Arial" w:eastAsia="Arial" w:hAnsi="Arial"/>
                <w:sz w:val="14"/>
                <w:szCs w:val="14"/>
                <w:color w:val="auto"/>
              </w:rPr>
              <w:t>429.15</w:t>
            </w:r>
          </w:p>
        </w:tc>
        <w:tc>
          <w:tcPr>
            <w:tcW w:w="3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9"/>
              <w:spacing w:after="0"/>
              <w:rPr>
                <w:sz w:val="20"/>
                <w:szCs w:val="20"/>
                <w:color w:val="auto"/>
              </w:rPr>
            </w:pPr>
            <w:r>
              <w:rPr>
                <w:rFonts w:ascii="Arial" w:cs="Arial" w:eastAsia="Arial" w:hAnsi="Arial"/>
                <w:sz w:val="14"/>
                <w:szCs w:val="14"/>
                <w:color w:val="auto"/>
              </w:rPr>
              <w:t>541.54</w:t>
            </w:r>
          </w:p>
        </w:tc>
        <w:tc>
          <w:tcPr>
            <w:tcW w:w="3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49"/>
              <w:spacing w:after="0"/>
              <w:rPr>
                <w:sz w:val="20"/>
                <w:szCs w:val="20"/>
                <w:color w:val="auto"/>
              </w:rPr>
            </w:pPr>
            <w:r>
              <w:rPr>
                <w:rFonts w:ascii="Arial" w:cs="Arial" w:eastAsia="Arial" w:hAnsi="Arial"/>
                <w:sz w:val="14"/>
                <w:szCs w:val="14"/>
                <w:color w:val="auto"/>
              </w:rPr>
              <w:t>446.73</w:t>
            </w:r>
          </w:p>
        </w:tc>
        <w:tc>
          <w:tcPr>
            <w:tcW w:w="3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9"/>
              <w:spacing w:after="0"/>
              <w:rPr>
                <w:sz w:val="20"/>
                <w:szCs w:val="20"/>
                <w:color w:val="auto"/>
              </w:rPr>
            </w:pPr>
            <w:r>
              <w:rPr>
                <w:rFonts w:ascii="Arial" w:cs="Arial" w:eastAsia="Arial" w:hAnsi="Arial"/>
                <w:sz w:val="14"/>
                <w:szCs w:val="14"/>
                <w:color w:val="auto"/>
              </w:rPr>
              <w:t>348.17</w:t>
            </w:r>
          </w:p>
        </w:tc>
        <w:tc>
          <w:tcPr>
            <w:tcW w:w="0" w:type="dxa"/>
            <w:vAlign w:val="bottom"/>
          </w:tcPr>
          <w:p>
            <w:pPr>
              <w:spacing w:after="0"/>
              <w:rPr>
                <w:sz w:val="1"/>
                <w:szCs w:val="1"/>
                <w:color w:val="auto"/>
              </w:rPr>
            </w:pPr>
          </w:p>
        </w:tc>
      </w:tr>
      <w:tr>
        <w:trPr>
          <w:trHeight w:val="270"/>
        </w:trPr>
        <w:tc>
          <w:tcPr>
            <w:tcW w:w="5240" w:type="dxa"/>
            <w:vAlign w:val="bottom"/>
          </w:tcPr>
          <w:p>
            <w:pPr>
              <w:ind w:left="40"/>
              <w:spacing w:after="0"/>
              <w:rPr>
                <w:sz w:val="20"/>
                <w:szCs w:val="20"/>
                <w:color w:val="auto"/>
              </w:rPr>
            </w:pPr>
            <w:r>
              <w:rPr>
                <w:rFonts w:ascii="Arial" w:cs="Arial" w:eastAsia="Arial" w:hAnsi="Arial"/>
                <w:sz w:val="14"/>
                <w:szCs w:val="14"/>
                <w:b w:val="1"/>
                <w:bCs w:val="1"/>
                <w:color w:val="auto"/>
              </w:rPr>
              <w:t>Financial Position</w:t>
            </w:r>
          </w:p>
        </w:tc>
        <w:tc>
          <w:tcPr>
            <w:tcW w:w="2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240" w:type="dxa"/>
            <w:vAlign w:val="bottom"/>
          </w:tcPr>
          <w:p>
            <w:pPr>
              <w:ind w:left="280"/>
              <w:spacing w:after="0"/>
              <w:rPr>
                <w:sz w:val="20"/>
                <w:szCs w:val="20"/>
                <w:color w:val="auto"/>
              </w:rPr>
            </w:pPr>
            <w:r>
              <w:rPr>
                <w:rFonts w:ascii="Arial" w:cs="Arial" w:eastAsia="Arial" w:hAnsi="Arial"/>
                <w:sz w:val="14"/>
                <w:szCs w:val="14"/>
                <w:color w:val="auto"/>
              </w:rPr>
              <w:t>Working capital</w:t>
            </w:r>
          </w:p>
        </w:tc>
        <w:tc>
          <w:tcPr>
            <w:tcW w:w="26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920" w:type="dxa"/>
            <w:vAlign w:val="bottom"/>
          </w:tcPr>
          <w:p>
            <w:pPr>
              <w:jc w:val="right"/>
              <w:ind w:right="69"/>
              <w:spacing w:after="0"/>
              <w:rPr>
                <w:sz w:val="20"/>
                <w:szCs w:val="20"/>
                <w:color w:val="auto"/>
              </w:rPr>
            </w:pPr>
            <w:r>
              <w:rPr>
                <w:rFonts w:ascii="Arial" w:cs="Arial" w:eastAsia="Arial" w:hAnsi="Arial"/>
                <w:sz w:val="14"/>
                <w:szCs w:val="14"/>
                <w:b w:val="1"/>
                <w:bCs w:val="1"/>
                <w:color w:val="auto"/>
              </w:rPr>
              <w:t>1,052,385</w:t>
            </w:r>
          </w:p>
        </w:tc>
        <w:tc>
          <w:tcPr>
            <w:tcW w:w="3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89"/>
              <w:spacing w:after="0"/>
              <w:rPr>
                <w:sz w:val="20"/>
                <w:szCs w:val="20"/>
                <w:color w:val="auto"/>
              </w:rPr>
            </w:pPr>
            <w:r>
              <w:rPr>
                <w:rFonts w:ascii="Arial" w:cs="Arial" w:eastAsia="Arial" w:hAnsi="Arial"/>
                <w:sz w:val="14"/>
                <w:szCs w:val="14"/>
                <w:color w:val="auto"/>
              </w:rPr>
              <w:t>1,135,573</w:t>
            </w:r>
          </w:p>
        </w:tc>
        <w:tc>
          <w:tcPr>
            <w:tcW w:w="3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9"/>
              <w:spacing w:after="0"/>
              <w:rPr>
                <w:sz w:val="20"/>
                <w:szCs w:val="20"/>
                <w:color w:val="auto"/>
              </w:rPr>
            </w:pPr>
            <w:r>
              <w:rPr>
                <w:rFonts w:ascii="Arial" w:cs="Arial" w:eastAsia="Arial" w:hAnsi="Arial"/>
                <w:sz w:val="14"/>
                <w:szCs w:val="14"/>
                <w:color w:val="auto"/>
              </w:rPr>
              <w:t>639,911</w:t>
            </w:r>
          </w:p>
        </w:tc>
        <w:tc>
          <w:tcPr>
            <w:tcW w:w="3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49"/>
              <w:spacing w:after="0"/>
              <w:rPr>
                <w:sz w:val="20"/>
                <w:szCs w:val="20"/>
                <w:color w:val="auto"/>
              </w:rPr>
            </w:pPr>
            <w:r>
              <w:rPr>
                <w:rFonts w:ascii="Arial" w:cs="Arial" w:eastAsia="Arial" w:hAnsi="Arial"/>
                <w:sz w:val="14"/>
                <w:szCs w:val="14"/>
                <w:color w:val="auto"/>
              </w:rPr>
              <w:t>768,278</w:t>
            </w:r>
          </w:p>
        </w:tc>
        <w:tc>
          <w:tcPr>
            <w:tcW w:w="3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9"/>
              <w:spacing w:after="0"/>
              <w:rPr>
                <w:sz w:val="20"/>
                <w:szCs w:val="20"/>
                <w:color w:val="auto"/>
              </w:rPr>
            </w:pPr>
            <w:r>
              <w:rPr>
                <w:rFonts w:ascii="Arial" w:cs="Arial" w:eastAsia="Arial" w:hAnsi="Arial"/>
                <w:sz w:val="14"/>
                <w:szCs w:val="14"/>
                <w:color w:val="auto"/>
              </w:rPr>
              <w:t>327,476</w:t>
            </w:r>
          </w:p>
        </w:tc>
        <w:tc>
          <w:tcPr>
            <w:tcW w:w="0" w:type="dxa"/>
            <w:vAlign w:val="bottom"/>
          </w:tcPr>
          <w:p>
            <w:pPr>
              <w:spacing w:after="0"/>
              <w:rPr>
                <w:sz w:val="1"/>
                <w:szCs w:val="1"/>
                <w:color w:val="auto"/>
              </w:rPr>
            </w:pPr>
          </w:p>
        </w:tc>
      </w:tr>
      <w:tr>
        <w:trPr>
          <w:trHeight w:val="270"/>
        </w:trPr>
        <w:tc>
          <w:tcPr>
            <w:tcW w:w="5240" w:type="dxa"/>
            <w:vAlign w:val="bottom"/>
          </w:tcPr>
          <w:p>
            <w:pPr>
              <w:ind w:left="280"/>
              <w:spacing w:after="0"/>
              <w:rPr>
                <w:sz w:val="20"/>
                <w:szCs w:val="20"/>
                <w:color w:val="auto"/>
              </w:rPr>
            </w:pPr>
            <w:r>
              <w:rPr>
                <w:rFonts w:ascii="Arial" w:cs="Arial" w:eastAsia="Arial" w:hAnsi="Arial"/>
                <w:sz w:val="14"/>
                <w:szCs w:val="14"/>
                <w:color w:val="auto"/>
              </w:rPr>
              <w:t>Total assets</w:t>
            </w:r>
          </w:p>
        </w:tc>
        <w:tc>
          <w:tcPr>
            <w:tcW w:w="260" w:type="dxa"/>
            <w:vAlign w:val="bottom"/>
          </w:tcPr>
          <w:p>
            <w:pPr>
              <w:spacing w:after="0"/>
              <w:rPr>
                <w:sz w:val="23"/>
                <w:szCs w:val="23"/>
                <w:color w:val="auto"/>
              </w:rPr>
            </w:pPr>
          </w:p>
        </w:tc>
        <w:tc>
          <w:tcPr>
            <w:tcW w:w="920" w:type="dxa"/>
            <w:vAlign w:val="bottom"/>
          </w:tcPr>
          <w:p>
            <w:pPr>
              <w:jc w:val="right"/>
              <w:ind w:right="69"/>
              <w:spacing w:after="0"/>
              <w:rPr>
                <w:sz w:val="20"/>
                <w:szCs w:val="20"/>
                <w:color w:val="auto"/>
              </w:rPr>
            </w:pPr>
            <w:r>
              <w:rPr>
                <w:rFonts w:ascii="Arial" w:cs="Arial" w:eastAsia="Arial" w:hAnsi="Arial"/>
                <w:sz w:val="14"/>
                <w:szCs w:val="14"/>
                <w:b w:val="1"/>
                <w:bCs w:val="1"/>
                <w:color w:val="auto"/>
              </w:rPr>
              <w:t>4,432,670</w:t>
            </w:r>
          </w:p>
        </w:tc>
        <w:tc>
          <w:tcPr>
            <w:tcW w:w="360" w:type="dxa"/>
            <w:vAlign w:val="bottom"/>
          </w:tcPr>
          <w:p>
            <w:pPr>
              <w:spacing w:after="0"/>
              <w:rPr>
                <w:sz w:val="23"/>
                <w:szCs w:val="23"/>
                <w:color w:val="auto"/>
              </w:rPr>
            </w:pPr>
          </w:p>
        </w:tc>
        <w:tc>
          <w:tcPr>
            <w:tcW w:w="960" w:type="dxa"/>
            <w:vAlign w:val="bottom"/>
          </w:tcPr>
          <w:p>
            <w:pPr>
              <w:jc w:val="right"/>
              <w:ind w:right="89"/>
              <w:spacing w:after="0"/>
              <w:rPr>
                <w:sz w:val="20"/>
                <w:szCs w:val="20"/>
                <w:color w:val="auto"/>
              </w:rPr>
            </w:pPr>
            <w:r>
              <w:rPr>
                <w:rFonts w:ascii="Arial" w:cs="Arial" w:eastAsia="Arial" w:hAnsi="Arial"/>
                <w:sz w:val="14"/>
                <w:szCs w:val="14"/>
                <w:color w:val="auto"/>
              </w:rPr>
              <w:t>4,352,825</w:t>
            </w:r>
          </w:p>
        </w:tc>
        <w:tc>
          <w:tcPr>
            <w:tcW w:w="320" w:type="dxa"/>
            <w:vAlign w:val="bottom"/>
          </w:tcPr>
          <w:p>
            <w:pPr>
              <w:spacing w:after="0"/>
              <w:rPr>
                <w:sz w:val="23"/>
                <w:szCs w:val="23"/>
                <w:color w:val="auto"/>
              </w:rPr>
            </w:pPr>
          </w:p>
        </w:tc>
        <w:tc>
          <w:tcPr>
            <w:tcW w:w="880" w:type="dxa"/>
            <w:vAlign w:val="bottom"/>
          </w:tcPr>
          <w:p>
            <w:pPr>
              <w:jc w:val="right"/>
              <w:ind w:right="49"/>
              <w:spacing w:after="0"/>
              <w:rPr>
                <w:sz w:val="20"/>
                <w:szCs w:val="20"/>
                <w:color w:val="auto"/>
              </w:rPr>
            </w:pPr>
            <w:r>
              <w:rPr>
                <w:rFonts w:ascii="Arial" w:cs="Arial" w:eastAsia="Arial" w:hAnsi="Arial"/>
                <w:sz w:val="14"/>
                <w:szCs w:val="14"/>
                <w:color w:val="auto"/>
              </w:rPr>
              <w:t>5,752,319</w:t>
            </w:r>
          </w:p>
        </w:tc>
        <w:tc>
          <w:tcPr>
            <w:tcW w:w="340" w:type="dxa"/>
            <w:vAlign w:val="bottom"/>
          </w:tcPr>
          <w:p>
            <w:pPr>
              <w:spacing w:after="0"/>
              <w:rPr>
                <w:sz w:val="23"/>
                <w:szCs w:val="23"/>
                <w:color w:val="auto"/>
              </w:rPr>
            </w:pPr>
          </w:p>
        </w:tc>
        <w:tc>
          <w:tcPr>
            <w:tcW w:w="900" w:type="dxa"/>
            <w:vAlign w:val="bottom"/>
          </w:tcPr>
          <w:p>
            <w:pPr>
              <w:jc w:val="right"/>
              <w:ind w:right="49"/>
              <w:spacing w:after="0"/>
              <w:rPr>
                <w:sz w:val="20"/>
                <w:szCs w:val="20"/>
                <w:color w:val="auto"/>
              </w:rPr>
            </w:pPr>
            <w:r>
              <w:rPr>
                <w:rFonts w:ascii="Arial" w:cs="Arial" w:eastAsia="Arial" w:hAnsi="Arial"/>
                <w:sz w:val="14"/>
                <w:szCs w:val="14"/>
                <w:color w:val="auto"/>
              </w:rPr>
              <w:t>5,811,046</w:t>
            </w:r>
          </w:p>
        </w:tc>
        <w:tc>
          <w:tcPr>
            <w:tcW w:w="340" w:type="dxa"/>
            <w:vAlign w:val="bottom"/>
          </w:tcPr>
          <w:p>
            <w:pPr>
              <w:spacing w:after="0"/>
              <w:rPr>
                <w:sz w:val="23"/>
                <w:szCs w:val="23"/>
                <w:color w:val="auto"/>
              </w:rPr>
            </w:pPr>
          </w:p>
        </w:tc>
        <w:tc>
          <w:tcPr>
            <w:tcW w:w="880" w:type="dxa"/>
            <w:vAlign w:val="bottom"/>
          </w:tcPr>
          <w:p>
            <w:pPr>
              <w:jc w:val="right"/>
              <w:ind w:right="49"/>
              <w:spacing w:after="0"/>
              <w:rPr>
                <w:sz w:val="20"/>
                <w:szCs w:val="20"/>
                <w:color w:val="auto"/>
              </w:rPr>
            </w:pPr>
            <w:r>
              <w:rPr>
                <w:rFonts w:ascii="Arial" w:cs="Arial" w:eastAsia="Arial" w:hAnsi="Arial"/>
                <w:sz w:val="14"/>
                <w:szCs w:val="14"/>
                <w:color w:val="auto"/>
              </w:rPr>
              <w:t>5,015,069</w:t>
            </w:r>
          </w:p>
        </w:tc>
        <w:tc>
          <w:tcPr>
            <w:tcW w:w="0" w:type="dxa"/>
            <w:vAlign w:val="bottom"/>
          </w:tcPr>
          <w:p>
            <w:pPr>
              <w:spacing w:after="0"/>
              <w:rPr>
                <w:sz w:val="1"/>
                <w:szCs w:val="1"/>
                <w:color w:val="auto"/>
              </w:rPr>
            </w:pPr>
          </w:p>
        </w:tc>
      </w:tr>
      <w:tr>
        <w:trPr>
          <w:trHeight w:val="270"/>
        </w:trPr>
        <w:tc>
          <w:tcPr>
            <w:tcW w:w="5240" w:type="dxa"/>
            <w:vAlign w:val="bottom"/>
          </w:tcPr>
          <w:p>
            <w:pPr>
              <w:ind w:left="280"/>
              <w:spacing w:after="0"/>
              <w:rPr>
                <w:sz w:val="20"/>
                <w:szCs w:val="20"/>
                <w:color w:val="auto"/>
              </w:rPr>
            </w:pPr>
            <w:r>
              <w:rPr>
                <w:rFonts w:ascii="Arial" w:cs="Arial" w:eastAsia="Arial" w:hAnsi="Arial"/>
                <w:sz w:val="14"/>
                <w:szCs w:val="14"/>
                <w:color w:val="auto"/>
              </w:rPr>
              <w:t>Long-term debt</w:t>
            </w:r>
          </w:p>
        </w:tc>
        <w:tc>
          <w:tcPr>
            <w:tcW w:w="260" w:type="dxa"/>
            <w:vAlign w:val="bottom"/>
          </w:tcPr>
          <w:p>
            <w:pPr>
              <w:spacing w:after="0"/>
              <w:rPr>
                <w:sz w:val="23"/>
                <w:szCs w:val="23"/>
                <w:color w:val="auto"/>
              </w:rPr>
            </w:pPr>
          </w:p>
        </w:tc>
        <w:tc>
          <w:tcPr>
            <w:tcW w:w="920" w:type="dxa"/>
            <w:vAlign w:val="bottom"/>
          </w:tcPr>
          <w:p>
            <w:pPr>
              <w:jc w:val="right"/>
              <w:ind w:right="69"/>
              <w:spacing w:after="0"/>
              <w:rPr>
                <w:sz w:val="20"/>
                <w:szCs w:val="20"/>
                <w:color w:val="auto"/>
              </w:rPr>
            </w:pPr>
            <w:r>
              <w:rPr>
                <w:rFonts w:ascii="Arial" w:cs="Arial" w:eastAsia="Arial" w:hAnsi="Arial"/>
                <w:sz w:val="14"/>
                <w:szCs w:val="14"/>
                <w:b w:val="1"/>
                <w:bCs w:val="1"/>
                <w:color w:val="auto"/>
              </w:rPr>
              <w:t>485,719</w:t>
            </w:r>
          </w:p>
        </w:tc>
        <w:tc>
          <w:tcPr>
            <w:tcW w:w="360" w:type="dxa"/>
            <w:vAlign w:val="bottom"/>
          </w:tcPr>
          <w:p>
            <w:pPr>
              <w:spacing w:after="0"/>
              <w:rPr>
                <w:sz w:val="23"/>
                <w:szCs w:val="23"/>
                <w:color w:val="auto"/>
              </w:rPr>
            </w:pPr>
          </w:p>
        </w:tc>
        <w:tc>
          <w:tcPr>
            <w:tcW w:w="960" w:type="dxa"/>
            <w:vAlign w:val="bottom"/>
          </w:tcPr>
          <w:p>
            <w:pPr>
              <w:jc w:val="right"/>
              <w:ind w:right="89"/>
              <w:spacing w:after="0"/>
              <w:rPr>
                <w:sz w:val="20"/>
                <w:szCs w:val="20"/>
                <w:color w:val="auto"/>
              </w:rPr>
            </w:pPr>
            <w:r>
              <w:rPr>
                <w:rFonts w:ascii="Arial" w:cs="Arial" w:eastAsia="Arial" w:hAnsi="Arial"/>
                <w:sz w:val="14"/>
                <w:szCs w:val="14"/>
                <w:color w:val="auto"/>
              </w:rPr>
              <w:t>399,800</w:t>
            </w:r>
          </w:p>
        </w:tc>
        <w:tc>
          <w:tcPr>
            <w:tcW w:w="320" w:type="dxa"/>
            <w:vAlign w:val="bottom"/>
          </w:tcPr>
          <w:p>
            <w:pPr>
              <w:spacing w:after="0"/>
              <w:rPr>
                <w:sz w:val="23"/>
                <w:szCs w:val="23"/>
                <w:color w:val="auto"/>
              </w:rPr>
            </w:pPr>
          </w:p>
        </w:tc>
        <w:tc>
          <w:tcPr>
            <w:tcW w:w="880" w:type="dxa"/>
            <w:vAlign w:val="bottom"/>
          </w:tcPr>
          <w:p>
            <w:pPr>
              <w:jc w:val="right"/>
              <w:ind w:right="49"/>
              <w:spacing w:after="0"/>
              <w:rPr>
                <w:sz w:val="20"/>
                <w:szCs w:val="20"/>
                <w:color w:val="auto"/>
              </w:rPr>
            </w:pPr>
            <w:r>
              <w:rPr>
                <w:rFonts w:ascii="Arial" w:cs="Arial" w:eastAsia="Arial" w:hAnsi="Arial"/>
                <w:sz w:val="14"/>
                <w:szCs w:val="14"/>
                <w:color w:val="auto"/>
              </w:rPr>
              <w:t>399,545</w:t>
            </w:r>
          </w:p>
        </w:tc>
        <w:tc>
          <w:tcPr>
            <w:tcW w:w="340" w:type="dxa"/>
            <w:vAlign w:val="bottom"/>
          </w:tcPr>
          <w:p>
            <w:pPr>
              <w:spacing w:after="0"/>
              <w:rPr>
                <w:sz w:val="23"/>
                <w:szCs w:val="23"/>
                <w:color w:val="auto"/>
              </w:rPr>
            </w:pPr>
          </w:p>
        </w:tc>
        <w:tc>
          <w:tcPr>
            <w:tcW w:w="900" w:type="dxa"/>
            <w:vAlign w:val="bottom"/>
          </w:tcPr>
          <w:p>
            <w:pPr>
              <w:jc w:val="right"/>
              <w:ind w:right="49"/>
              <w:spacing w:after="0"/>
              <w:rPr>
                <w:sz w:val="20"/>
                <w:szCs w:val="20"/>
                <w:color w:val="auto"/>
              </w:rPr>
            </w:pPr>
            <w:r>
              <w:rPr>
                <w:rFonts w:ascii="Arial" w:cs="Arial" w:eastAsia="Arial" w:hAnsi="Arial"/>
                <w:sz w:val="14"/>
                <w:szCs w:val="14"/>
                <w:color w:val="auto"/>
              </w:rPr>
              <w:t>447,608</w:t>
            </w:r>
          </w:p>
        </w:tc>
        <w:tc>
          <w:tcPr>
            <w:tcW w:w="340" w:type="dxa"/>
            <w:vAlign w:val="bottom"/>
          </w:tcPr>
          <w:p>
            <w:pPr>
              <w:spacing w:after="0"/>
              <w:rPr>
                <w:sz w:val="23"/>
                <w:szCs w:val="23"/>
                <w:color w:val="auto"/>
              </w:rPr>
            </w:pPr>
          </w:p>
        </w:tc>
        <w:tc>
          <w:tcPr>
            <w:tcW w:w="880" w:type="dxa"/>
            <w:vAlign w:val="bottom"/>
          </w:tcPr>
          <w:p>
            <w:pPr>
              <w:jc w:val="right"/>
              <w:ind w:right="49"/>
              <w:spacing w:after="0"/>
              <w:rPr>
                <w:sz w:val="20"/>
                <w:szCs w:val="20"/>
                <w:color w:val="auto"/>
              </w:rPr>
            </w:pPr>
            <w:r>
              <w:rPr>
                <w:rFonts w:ascii="Arial" w:cs="Arial" w:eastAsia="Arial" w:hAnsi="Arial"/>
                <w:sz w:val="14"/>
                <w:szCs w:val="14"/>
                <w:color w:val="auto"/>
              </w:rPr>
              <w:t>453,384</w:t>
            </w:r>
          </w:p>
        </w:tc>
        <w:tc>
          <w:tcPr>
            <w:tcW w:w="0" w:type="dxa"/>
            <w:vAlign w:val="bottom"/>
          </w:tcPr>
          <w:p>
            <w:pPr>
              <w:spacing w:after="0"/>
              <w:rPr>
                <w:sz w:val="1"/>
                <w:szCs w:val="1"/>
                <w:color w:val="auto"/>
              </w:rPr>
            </w:pPr>
          </w:p>
        </w:tc>
      </w:tr>
      <w:tr>
        <w:trPr>
          <w:trHeight w:val="270"/>
        </w:trPr>
        <w:tc>
          <w:tcPr>
            <w:tcW w:w="5240" w:type="dxa"/>
            <w:vAlign w:val="bottom"/>
          </w:tcPr>
          <w:p>
            <w:pPr>
              <w:ind w:left="280"/>
              <w:spacing w:after="0"/>
              <w:rPr>
                <w:sz w:val="20"/>
                <w:szCs w:val="20"/>
                <w:color w:val="auto"/>
              </w:rPr>
            </w:pPr>
            <w:r>
              <w:rPr>
                <w:rFonts w:ascii="Arial" w:cs="Arial" w:eastAsia="Arial" w:hAnsi="Arial"/>
                <w:sz w:val="14"/>
                <w:szCs w:val="14"/>
                <w:color w:val="auto"/>
              </w:rPr>
              <w:t>Graham Holdings Company common stockholders’ equity</w:t>
            </w:r>
          </w:p>
        </w:tc>
        <w:tc>
          <w:tcPr>
            <w:tcW w:w="260" w:type="dxa"/>
            <w:vAlign w:val="bottom"/>
          </w:tcPr>
          <w:p>
            <w:pPr>
              <w:spacing w:after="0"/>
              <w:rPr>
                <w:sz w:val="23"/>
                <w:szCs w:val="23"/>
                <w:color w:val="auto"/>
              </w:rPr>
            </w:pPr>
          </w:p>
        </w:tc>
        <w:tc>
          <w:tcPr>
            <w:tcW w:w="920" w:type="dxa"/>
            <w:vAlign w:val="bottom"/>
          </w:tcPr>
          <w:p>
            <w:pPr>
              <w:jc w:val="right"/>
              <w:ind w:right="69"/>
              <w:spacing w:after="0"/>
              <w:rPr>
                <w:sz w:val="20"/>
                <w:szCs w:val="20"/>
                <w:color w:val="auto"/>
              </w:rPr>
            </w:pPr>
            <w:r>
              <w:rPr>
                <w:rFonts w:ascii="Arial" w:cs="Arial" w:eastAsia="Arial" w:hAnsi="Arial"/>
                <w:sz w:val="14"/>
                <w:szCs w:val="14"/>
                <w:b w:val="1"/>
                <w:bCs w:val="1"/>
                <w:color w:val="auto"/>
              </w:rPr>
              <w:t>2,452,941</w:t>
            </w:r>
          </w:p>
        </w:tc>
        <w:tc>
          <w:tcPr>
            <w:tcW w:w="360" w:type="dxa"/>
            <w:vAlign w:val="bottom"/>
          </w:tcPr>
          <w:p>
            <w:pPr>
              <w:spacing w:after="0"/>
              <w:rPr>
                <w:sz w:val="23"/>
                <w:szCs w:val="23"/>
                <w:color w:val="auto"/>
              </w:rPr>
            </w:pPr>
          </w:p>
        </w:tc>
        <w:tc>
          <w:tcPr>
            <w:tcW w:w="960" w:type="dxa"/>
            <w:vAlign w:val="bottom"/>
          </w:tcPr>
          <w:p>
            <w:pPr>
              <w:jc w:val="right"/>
              <w:ind w:right="89"/>
              <w:spacing w:after="0"/>
              <w:rPr>
                <w:sz w:val="20"/>
                <w:szCs w:val="20"/>
                <w:color w:val="auto"/>
              </w:rPr>
            </w:pPr>
            <w:r>
              <w:rPr>
                <w:rFonts w:ascii="Arial" w:cs="Arial" w:eastAsia="Arial" w:hAnsi="Arial"/>
                <w:sz w:val="14"/>
                <w:szCs w:val="14"/>
                <w:color w:val="auto"/>
              </w:rPr>
              <w:t>2,490,698</w:t>
            </w:r>
          </w:p>
        </w:tc>
        <w:tc>
          <w:tcPr>
            <w:tcW w:w="320" w:type="dxa"/>
            <w:vAlign w:val="bottom"/>
          </w:tcPr>
          <w:p>
            <w:pPr>
              <w:spacing w:after="0"/>
              <w:rPr>
                <w:sz w:val="23"/>
                <w:szCs w:val="23"/>
                <w:color w:val="auto"/>
              </w:rPr>
            </w:pPr>
          </w:p>
        </w:tc>
        <w:tc>
          <w:tcPr>
            <w:tcW w:w="880" w:type="dxa"/>
            <w:vAlign w:val="bottom"/>
          </w:tcPr>
          <w:p>
            <w:pPr>
              <w:jc w:val="right"/>
              <w:ind w:right="49"/>
              <w:spacing w:after="0"/>
              <w:rPr>
                <w:sz w:val="20"/>
                <w:szCs w:val="20"/>
                <w:color w:val="auto"/>
              </w:rPr>
            </w:pPr>
            <w:r>
              <w:rPr>
                <w:rFonts w:ascii="Arial" w:cs="Arial" w:eastAsia="Arial" w:hAnsi="Arial"/>
                <w:sz w:val="14"/>
                <w:szCs w:val="14"/>
                <w:color w:val="auto"/>
              </w:rPr>
              <w:t>3,140,299</w:t>
            </w:r>
          </w:p>
        </w:tc>
        <w:tc>
          <w:tcPr>
            <w:tcW w:w="340" w:type="dxa"/>
            <w:vAlign w:val="bottom"/>
          </w:tcPr>
          <w:p>
            <w:pPr>
              <w:spacing w:after="0"/>
              <w:rPr>
                <w:sz w:val="23"/>
                <w:szCs w:val="23"/>
                <w:color w:val="auto"/>
              </w:rPr>
            </w:pPr>
          </w:p>
        </w:tc>
        <w:tc>
          <w:tcPr>
            <w:tcW w:w="900" w:type="dxa"/>
            <w:vAlign w:val="bottom"/>
          </w:tcPr>
          <w:p>
            <w:pPr>
              <w:jc w:val="right"/>
              <w:ind w:right="49"/>
              <w:spacing w:after="0"/>
              <w:rPr>
                <w:sz w:val="20"/>
                <w:szCs w:val="20"/>
                <w:color w:val="auto"/>
              </w:rPr>
            </w:pPr>
            <w:r>
              <w:rPr>
                <w:rFonts w:ascii="Arial" w:cs="Arial" w:eastAsia="Arial" w:hAnsi="Arial"/>
                <w:sz w:val="14"/>
                <w:szCs w:val="14"/>
                <w:color w:val="auto"/>
              </w:rPr>
              <w:t>3,300,067</w:t>
            </w:r>
          </w:p>
        </w:tc>
        <w:tc>
          <w:tcPr>
            <w:tcW w:w="340" w:type="dxa"/>
            <w:vAlign w:val="bottom"/>
          </w:tcPr>
          <w:p>
            <w:pPr>
              <w:spacing w:after="0"/>
              <w:rPr>
                <w:sz w:val="23"/>
                <w:szCs w:val="23"/>
                <w:color w:val="auto"/>
              </w:rPr>
            </w:pPr>
          </w:p>
        </w:tc>
        <w:tc>
          <w:tcPr>
            <w:tcW w:w="880" w:type="dxa"/>
            <w:vAlign w:val="bottom"/>
          </w:tcPr>
          <w:p>
            <w:pPr>
              <w:jc w:val="right"/>
              <w:ind w:right="49"/>
              <w:spacing w:after="0"/>
              <w:rPr>
                <w:sz w:val="20"/>
                <w:szCs w:val="20"/>
                <w:color w:val="auto"/>
              </w:rPr>
            </w:pPr>
            <w:r>
              <w:rPr>
                <w:rFonts w:ascii="Arial" w:cs="Arial" w:eastAsia="Arial" w:hAnsi="Arial"/>
                <w:sz w:val="14"/>
                <w:szCs w:val="14"/>
                <w:color w:val="auto"/>
              </w:rPr>
              <w:t>2,586,028</w:t>
            </w:r>
          </w:p>
        </w:tc>
        <w:tc>
          <w:tcPr>
            <w:tcW w:w="0" w:type="dxa"/>
            <w:vAlign w:val="bottom"/>
          </w:tcPr>
          <w:p>
            <w:pPr>
              <w:spacing w:after="0"/>
              <w:rPr>
                <w:sz w:val="1"/>
                <w:szCs w:val="1"/>
                <w:color w:val="auto"/>
              </w:rPr>
            </w:pPr>
          </w:p>
        </w:tc>
      </w:tr>
    </w:tbl>
    <w:p>
      <w:pPr>
        <w:spacing w:after="0" w:line="13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Impact from certain items included in income from continuing operations (after-tax and diluted EPS amounts):</w:t>
      </w:r>
    </w:p>
    <w:p>
      <w:pPr>
        <w:spacing w:after="0" w:line="10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2016</w:t>
      </w:r>
    </w:p>
    <w:p>
      <w:pPr>
        <w:spacing w:after="0" w:line="21" w:lineRule="exact"/>
        <w:rPr>
          <w:sz w:val="20"/>
          <w:szCs w:val="20"/>
          <w:color w:val="auto"/>
        </w:rPr>
      </w:pPr>
    </w:p>
    <w:p>
      <w:pPr>
        <w:ind w:left="80" w:hanging="72"/>
        <w:spacing w:after="0"/>
        <w:tabs>
          <w:tab w:leader="none" w:pos="80" w:val="left"/>
        </w:tabs>
        <w:numPr>
          <w:ilvl w:val="0"/>
          <w:numId w:val="85"/>
        </w:numPr>
        <w:rPr>
          <w:rFonts w:ascii="Arial" w:cs="Arial" w:eastAsia="Arial" w:hAnsi="Arial"/>
          <w:sz w:val="14"/>
          <w:szCs w:val="14"/>
          <w:color w:val="auto"/>
        </w:rPr>
      </w:pPr>
      <w:r>
        <w:rPr>
          <w:rFonts w:ascii="Arial" w:cs="Arial" w:eastAsia="Arial" w:hAnsi="Arial"/>
          <w:sz w:val="14"/>
          <w:szCs w:val="14"/>
          <w:color w:val="auto"/>
        </w:rPr>
        <w:t>Settlement gain of $10.8 million ($1.92 per share) related to a bulk lump sum pension offering</w:t>
      </w:r>
    </w:p>
    <w:p>
      <w:pPr>
        <w:spacing w:after="0" w:line="1" w:lineRule="exact"/>
        <w:rPr>
          <w:rFonts w:ascii="Arial" w:cs="Arial" w:eastAsia="Arial" w:hAnsi="Arial"/>
          <w:sz w:val="14"/>
          <w:szCs w:val="14"/>
          <w:color w:val="auto"/>
        </w:rPr>
      </w:pPr>
    </w:p>
    <w:p>
      <w:pPr>
        <w:ind w:left="80" w:hanging="72"/>
        <w:spacing w:after="0"/>
        <w:tabs>
          <w:tab w:leader="none" w:pos="80" w:val="left"/>
        </w:tabs>
        <w:numPr>
          <w:ilvl w:val="0"/>
          <w:numId w:val="85"/>
        </w:numPr>
        <w:rPr>
          <w:rFonts w:ascii="Arial" w:cs="Arial" w:eastAsia="Arial" w:hAnsi="Arial"/>
          <w:sz w:val="14"/>
          <w:szCs w:val="14"/>
          <w:color w:val="auto"/>
        </w:rPr>
      </w:pPr>
      <w:r>
        <w:rPr>
          <w:rFonts w:ascii="Arial" w:cs="Arial" w:eastAsia="Arial" w:hAnsi="Arial"/>
          <w:sz w:val="14"/>
          <w:szCs w:val="14"/>
          <w:color w:val="auto"/>
        </w:rPr>
        <w:t>Charges of $7.7 million ($1.36 per share) related to restructuring at the education division</w:t>
      </w:r>
    </w:p>
    <w:p>
      <w:pPr>
        <w:spacing w:after="0" w:line="1" w:lineRule="exact"/>
        <w:rPr>
          <w:rFonts w:ascii="Arial" w:cs="Arial" w:eastAsia="Arial" w:hAnsi="Arial"/>
          <w:sz w:val="14"/>
          <w:szCs w:val="14"/>
          <w:color w:val="auto"/>
        </w:rPr>
      </w:pPr>
    </w:p>
    <w:p>
      <w:pPr>
        <w:ind w:left="80" w:hanging="72"/>
        <w:spacing w:after="0"/>
        <w:tabs>
          <w:tab w:leader="none" w:pos="80" w:val="left"/>
        </w:tabs>
        <w:numPr>
          <w:ilvl w:val="0"/>
          <w:numId w:val="85"/>
        </w:numPr>
        <w:rPr>
          <w:rFonts w:ascii="Arial" w:cs="Arial" w:eastAsia="Arial" w:hAnsi="Arial"/>
          <w:sz w:val="14"/>
          <w:szCs w:val="14"/>
          <w:color w:val="auto"/>
        </w:rPr>
      </w:pPr>
      <w:r>
        <w:rPr>
          <w:rFonts w:ascii="Arial" w:cs="Arial" w:eastAsia="Arial" w:hAnsi="Arial"/>
          <w:sz w:val="14"/>
          <w:szCs w:val="14"/>
          <w:color w:val="auto"/>
        </w:rPr>
        <w:t>$20.0 million ($3.52 per share) net non-operating gain from the sales of land and marketable equity securities</w:t>
      </w:r>
    </w:p>
    <w:p>
      <w:pPr>
        <w:spacing w:after="0" w:line="1" w:lineRule="exact"/>
        <w:rPr>
          <w:rFonts w:ascii="Arial" w:cs="Arial" w:eastAsia="Arial" w:hAnsi="Arial"/>
          <w:sz w:val="14"/>
          <w:szCs w:val="14"/>
          <w:color w:val="auto"/>
        </w:rPr>
      </w:pPr>
    </w:p>
    <w:p>
      <w:pPr>
        <w:ind w:left="80" w:hanging="72"/>
        <w:spacing w:after="0"/>
        <w:tabs>
          <w:tab w:leader="none" w:pos="80" w:val="left"/>
        </w:tabs>
        <w:numPr>
          <w:ilvl w:val="0"/>
          <w:numId w:val="85"/>
        </w:numPr>
        <w:rPr>
          <w:rFonts w:ascii="Arial" w:cs="Arial" w:eastAsia="Arial" w:hAnsi="Arial"/>
          <w:sz w:val="14"/>
          <w:szCs w:val="14"/>
          <w:color w:val="auto"/>
        </w:rPr>
      </w:pPr>
      <w:r>
        <w:rPr>
          <w:rFonts w:ascii="Arial" w:cs="Arial" w:eastAsia="Arial" w:hAnsi="Arial"/>
          <w:sz w:val="14"/>
          <w:szCs w:val="14"/>
          <w:color w:val="auto"/>
        </w:rPr>
        <w:t>$13.6 million ($2.37 per share) non-operating gain arising from the sale of a business and the formation of a joint venture</w:t>
      </w:r>
    </w:p>
    <w:p>
      <w:pPr>
        <w:spacing w:after="0" w:line="1" w:lineRule="exact"/>
        <w:rPr>
          <w:rFonts w:ascii="Arial" w:cs="Arial" w:eastAsia="Arial" w:hAnsi="Arial"/>
          <w:sz w:val="14"/>
          <w:szCs w:val="14"/>
          <w:color w:val="auto"/>
        </w:rPr>
      </w:pPr>
    </w:p>
    <w:p>
      <w:pPr>
        <w:ind w:left="80" w:hanging="72"/>
        <w:spacing w:after="0"/>
        <w:tabs>
          <w:tab w:leader="none" w:pos="80" w:val="left"/>
        </w:tabs>
        <w:numPr>
          <w:ilvl w:val="0"/>
          <w:numId w:val="85"/>
        </w:numPr>
        <w:rPr>
          <w:rFonts w:ascii="Arial" w:cs="Arial" w:eastAsia="Arial" w:hAnsi="Arial"/>
          <w:sz w:val="14"/>
          <w:szCs w:val="14"/>
          <w:color w:val="auto"/>
        </w:rPr>
      </w:pPr>
      <w:r>
        <w:rPr>
          <w:rFonts w:ascii="Arial" w:cs="Arial" w:eastAsia="Arial" w:hAnsi="Arial"/>
          <w:sz w:val="14"/>
          <w:szCs w:val="14"/>
          <w:color w:val="auto"/>
        </w:rPr>
        <w:t>$24.1 million ($4.27 per share) non-operating expense from the write-down of cost method investments and investments in affiliates</w:t>
      </w:r>
    </w:p>
    <w:p>
      <w:pPr>
        <w:spacing w:after="0" w:line="1" w:lineRule="exact"/>
        <w:rPr>
          <w:rFonts w:ascii="Arial" w:cs="Arial" w:eastAsia="Arial" w:hAnsi="Arial"/>
          <w:sz w:val="14"/>
          <w:szCs w:val="14"/>
          <w:color w:val="auto"/>
        </w:rPr>
      </w:pPr>
    </w:p>
    <w:p>
      <w:pPr>
        <w:ind w:left="80" w:hanging="72"/>
        <w:spacing w:after="0"/>
        <w:tabs>
          <w:tab w:leader="none" w:pos="80" w:val="left"/>
        </w:tabs>
        <w:numPr>
          <w:ilvl w:val="0"/>
          <w:numId w:val="85"/>
        </w:numPr>
        <w:rPr>
          <w:rFonts w:ascii="Arial" w:cs="Arial" w:eastAsia="Arial" w:hAnsi="Arial"/>
          <w:sz w:val="14"/>
          <w:szCs w:val="14"/>
          <w:color w:val="auto"/>
        </w:rPr>
      </w:pPr>
      <w:r>
        <w:rPr>
          <w:rFonts w:ascii="Arial" w:cs="Arial" w:eastAsia="Arial" w:hAnsi="Arial"/>
          <w:sz w:val="14"/>
          <w:szCs w:val="14"/>
          <w:color w:val="auto"/>
        </w:rPr>
        <w:t>Losses, net, of $25.5 million ($4.51 per share) from non-operating foreign currency losses</w:t>
      </w:r>
    </w:p>
    <w:p>
      <w:pPr>
        <w:spacing w:after="0" w:line="1" w:lineRule="exact"/>
        <w:rPr>
          <w:rFonts w:ascii="Arial" w:cs="Arial" w:eastAsia="Arial" w:hAnsi="Arial"/>
          <w:sz w:val="14"/>
          <w:szCs w:val="14"/>
          <w:color w:val="auto"/>
        </w:rPr>
      </w:pPr>
    </w:p>
    <w:p>
      <w:pPr>
        <w:ind w:left="80" w:hanging="72"/>
        <w:spacing w:after="0"/>
        <w:tabs>
          <w:tab w:leader="none" w:pos="80" w:val="left"/>
        </w:tabs>
        <w:numPr>
          <w:ilvl w:val="0"/>
          <w:numId w:val="85"/>
        </w:numPr>
        <w:rPr>
          <w:rFonts w:ascii="Arial" w:cs="Arial" w:eastAsia="Arial" w:hAnsi="Arial"/>
          <w:sz w:val="14"/>
          <w:szCs w:val="14"/>
          <w:color w:val="auto"/>
        </w:rPr>
      </w:pPr>
      <w:r>
        <w:rPr>
          <w:rFonts w:ascii="Arial" w:cs="Arial" w:eastAsia="Arial" w:hAnsi="Arial"/>
          <w:sz w:val="14"/>
          <w:szCs w:val="14"/>
          <w:color w:val="auto"/>
        </w:rPr>
        <w:t>Net nonrecurring $8.3 million ($1.47 per share) deferred tax benefit related to Kaplan's international operations</w:t>
      </w:r>
    </w:p>
    <w:p>
      <w:pPr>
        <w:spacing w:after="0" w:line="1" w:lineRule="exact"/>
        <w:rPr>
          <w:rFonts w:ascii="Arial" w:cs="Arial" w:eastAsia="Arial" w:hAnsi="Arial"/>
          <w:sz w:val="14"/>
          <w:szCs w:val="14"/>
          <w:color w:val="auto"/>
        </w:rPr>
      </w:pPr>
    </w:p>
    <w:p>
      <w:pPr>
        <w:ind w:left="80" w:hanging="72"/>
        <w:spacing w:after="0"/>
        <w:tabs>
          <w:tab w:leader="none" w:pos="80" w:val="left"/>
        </w:tabs>
        <w:numPr>
          <w:ilvl w:val="0"/>
          <w:numId w:val="85"/>
        </w:numPr>
        <w:rPr>
          <w:rFonts w:ascii="Arial" w:cs="Arial" w:eastAsia="Arial" w:hAnsi="Arial"/>
          <w:sz w:val="14"/>
          <w:szCs w:val="14"/>
          <w:color w:val="auto"/>
        </w:rPr>
      </w:pPr>
      <w:r>
        <w:rPr>
          <w:rFonts w:ascii="Arial" w:cs="Arial" w:eastAsia="Arial" w:hAnsi="Arial"/>
          <w:sz w:val="14"/>
          <w:szCs w:val="14"/>
          <w:color w:val="auto"/>
        </w:rPr>
        <w:t>Favorable $5.6 million ($1.00 per share) out of period deferred tax adjustment related to the KHE goodwill impairment from 2015</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2015</w:t>
      </w:r>
    </w:p>
    <w:p>
      <w:pPr>
        <w:spacing w:after="0" w:line="1" w:lineRule="exact"/>
        <w:rPr>
          <w:sz w:val="20"/>
          <w:szCs w:val="20"/>
          <w:color w:val="auto"/>
        </w:rPr>
      </w:pPr>
    </w:p>
    <w:p>
      <w:pPr>
        <w:ind w:left="80" w:hanging="72"/>
        <w:spacing w:after="0"/>
        <w:tabs>
          <w:tab w:leader="none" w:pos="80" w:val="left"/>
        </w:tabs>
        <w:numPr>
          <w:ilvl w:val="0"/>
          <w:numId w:val="86"/>
        </w:numPr>
        <w:rPr>
          <w:rFonts w:ascii="Arial" w:cs="Arial" w:eastAsia="Arial" w:hAnsi="Arial"/>
          <w:sz w:val="14"/>
          <w:szCs w:val="14"/>
          <w:color w:val="auto"/>
        </w:rPr>
      </w:pPr>
      <w:r>
        <w:rPr>
          <w:rFonts w:ascii="Arial" w:cs="Arial" w:eastAsia="Arial" w:hAnsi="Arial"/>
          <w:sz w:val="14"/>
          <w:szCs w:val="14"/>
          <w:color w:val="auto"/>
        </w:rPr>
        <w:t>Goodwill and other long-lived assets impairment charges of $225.2 million ($38.96 per share) at the education division and other business</w:t>
      </w:r>
    </w:p>
    <w:p>
      <w:pPr>
        <w:spacing w:after="0" w:line="1" w:lineRule="exact"/>
        <w:rPr>
          <w:rFonts w:ascii="Arial" w:cs="Arial" w:eastAsia="Arial" w:hAnsi="Arial"/>
          <w:sz w:val="14"/>
          <w:szCs w:val="14"/>
          <w:color w:val="auto"/>
        </w:rPr>
      </w:pPr>
    </w:p>
    <w:p>
      <w:pPr>
        <w:ind w:left="80" w:hanging="72"/>
        <w:spacing w:after="0"/>
        <w:tabs>
          <w:tab w:leader="none" w:pos="80" w:val="left"/>
        </w:tabs>
        <w:numPr>
          <w:ilvl w:val="0"/>
          <w:numId w:val="86"/>
        </w:numPr>
        <w:rPr>
          <w:rFonts w:ascii="Arial" w:cs="Arial" w:eastAsia="Arial" w:hAnsi="Arial"/>
          <w:sz w:val="14"/>
          <w:szCs w:val="14"/>
          <w:color w:val="auto"/>
        </w:rPr>
      </w:pPr>
      <w:r>
        <w:rPr>
          <w:rFonts w:ascii="Arial" w:cs="Arial" w:eastAsia="Arial" w:hAnsi="Arial"/>
          <w:sz w:val="14"/>
          <w:szCs w:val="14"/>
          <w:color w:val="auto"/>
        </w:rPr>
        <w:t>Charges of $28.9 million ($4.97 per share) related to restructuring at the education division, corporate office and other businesses</w:t>
      </w:r>
    </w:p>
    <w:p>
      <w:pPr>
        <w:spacing w:after="0" w:line="1" w:lineRule="exact"/>
        <w:rPr>
          <w:rFonts w:ascii="Arial" w:cs="Arial" w:eastAsia="Arial" w:hAnsi="Arial"/>
          <w:sz w:val="14"/>
          <w:szCs w:val="14"/>
          <w:color w:val="auto"/>
        </w:rPr>
      </w:pPr>
    </w:p>
    <w:p>
      <w:pPr>
        <w:ind w:left="80" w:hanging="72"/>
        <w:spacing w:after="0"/>
        <w:tabs>
          <w:tab w:leader="none" w:pos="80" w:val="left"/>
        </w:tabs>
        <w:numPr>
          <w:ilvl w:val="0"/>
          <w:numId w:val="86"/>
        </w:numPr>
        <w:rPr>
          <w:rFonts w:ascii="Arial" w:cs="Arial" w:eastAsia="Arial" w:hAnsi="Arial"/>
          <w:sz w:val="14"/>
          <w:szCs w:val="14"/>
          <w:color w:val="auto"/>
        </w:rPr>
      </w:pPr>
      <w:r>
        <w:rPr>
          <w:rFonts w:ascii="Arial" w:cs="Arial" w:eastAsia="Arial" w:hAnsi="Arial"/>
          <w:sz w:val="14"/>
          <w:szCs w:val="14"/>
          <w:color w:val="auto"/>
        </w:rPr>
        <w:t>$15.3 million ($2.64 per share) in expense related to the modification of stock option awards and restricted stock awards</w:t>
      </w:r>
    </w:p>
    <w:p>
      <w:pPr>
        <w:spacing w:after="0" w:line="1" w:lineRule="exact"/>
        <w:rPr>
          <w:rFonts w:ascii="Arial" w:cs="Arial" w:eastAsia="Arial" w:hAnsi="Arial"/>
          <w:sz w:val="14"/>
          <w:szCs w:val="14"/>
          <w:color w:val="auto"/>
        </w:rPr>
      </w:pPr>
    </w:p>
    <w:p>
      <w:pPr>
        <w:ind w:left="80" w:hanging="72"/>
        <w:spacing w:after="0"/>
        <w:tabs>
          <w:tab w:leader="none" w:pos="80" w:val="left"/>
        </w:tabs>
        <w:numPr>
          <w:ilvl w:val="0"/>
          <w:numId w:val="86"/>
        </w:numPr>
        <w:rPr>
          <w:rFonts w:ascii="Arial" w:cs="Arial" w:eastAsia="Arial" w:hAnsi="Arial"/>
          <w:sz w:val="14"/>
          <w:szCs w:val="14"/>
          <w:color w:val="auto"/>
        </w:rPr>
      </w:pPr>
      <w:r>
        <w:rPr>
          <w:rFonts w:ascii="Arial" w:cs="Arial" w:eastAsia="Arial" w:hAnsi="Arial"/>
          <w:sz w:val="14"/>
          <w:szCs w:val="14"/>
          <w:color w:val="auto"/>
        </w:rPr>
        <w:t>Net non-operating losses of $15.7 million ($2.82 per share) arising from the sales of five businesses and an investment, and on the formation of a joint venture</w:t>
      </w:r>
    </w:p>
    <w:p>
      <w:pPr>
        <w:spacing w:after="0" w:line="1" w:lineRule="exact"/>
        <w:rPr>
          <w:rFonts w:ascii="Arial" w:cs="Arial" w:eastAsia="Arial" w:hAnsi="Arial"/>
          <w:sz w:val="14"/>
          <w:szCs w:val="14"/>
          <w:color w:val="auto"/>
        </w:rPr>
      </w:pPr>
    </w:p>
    <w:p>
      <w:pPr>
        <w:ind w:left="80" w:hanging="72"/>
        <w:spacing w:after="0"/>
        <w:tabs>
          <w:tab w:leader="none" w:pos="80" w:val="left"/>
        </w:tabs>
        <w:numPr>
          <w:ilvl w:val="0"/>
          <w:numId w:val="86"/>
        </w:numPr>
        <w:rPr>
          <w:rFonts w:ascii="Arial" w:cs="Arial" w:eastAsia="Arial" w:hAnsi="Arial"/>
          <w:sz w:val="14"/>
          <w:szCs w:val="14"/>
          <w:color w:val="auto"/>
        </w:rPr>
      </w:pPr>
      <w:r>
        <w:rPr>
          <w:rFonts w:ascii="Arial" w:cs="Arial" w:eastAsia="Arial" w:hAnsi="Arial"/>
          <w:sz w:val="14"/>
          <w:szCs w:val="14"/>
          <w:color w:val="auto"/>
        </w:rPr>
        <w:t>$13.2 million ($2.27 per share) gain on the sale of land</w:t>
      </w:r>
    </w:p>
    <w:p>
      <w:pPr>
        <w:spacing w:after="0" w:line="1" w:lineRule="exact"/>
        <w:rPr>
          <w:rFonts w:ascii="Arial" w:cs="Arial" w:eastAsia="Arial" w:hAnsi="Arial"/>
          <w:sz w:val="14"/>
          <w:szCs w:val="14"/>
          <w:color w:val="auto"/>
        </w:rPr>
      </w:pPr>
    </w:p>
    <w:p>
      <w:pPr>
        <w:ind w:left="80" w:hanging="72"/>
        <w:spacing w:after="0"/>
        <w:tabs>
          <w:tab w:leader="none" w:pos="80" w:val="left"/>
        </w:tabs>
        <w:numPr>
          <w:ilvl w:val="0"/>
          <w:numId w:val="86"/>
        </w:numPr>
        <w:rPr>
          <w:rFonts w:ascii="Arial" w:cs="Arial" w:eastAsia="Arial" w:hAnsi="Arial"/>
          <w:sz w:val="14"/>
          <w:szCs w:val="14"/>
          <w:color w:val="auto"/>
        </w:rPr>
      </w:pPr>
      <w:r>
        <w:rPr>
          <w:rFonts w:ascii="Arial" w:cs="Arial" w:eastAsia="Arial" w:hAnsi="Arial"/>
          <w:sz w:val="14"/>
          <w:szCs w:val="14"/>
          <w:color w:val="auto"/>
        </w:rPr>
        <w:t>Losses, net, of $9.7 million ($1.67 per share) from non-operating unrealized foreign currency losses</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2014</w:t>
      </w:r>
    </w:p>
    <w:p>
      <w:pPr>
        <w:spacing w:after="0" w:line="21" w:lineRule="exact"/>
        <w:rPr>
          <w:sz w:val="20"/>
          <w:szCs w:val="20"/>
          <w:color w:val="auto"/>
        </w:rPr>
      </w:pPr>
    </w:p>
    <w:p>
      <w:pPr>
        <w:ind w:left="80" w:hanging="72"/>
        <w:spacing w:after="0"/>
        <w:tabs>
          <w:tab w:leader="none" w:pos="80" w:val="left"/>
        </w:tabs>
        <w:numPr>
          <w:ilvl w:val="0"/>
          <w:numId w:val="87"/>
        </w:numPr>
        <w:rPr>
          <w:rFonts w:ascii="Arial" w:cs="Arial" w:eastAsia="Arial" w:hAnsi="Arial"/>
          <w:sz w:val="14"/>
          <w:szCs w:val="14"/>
          <w:color w:val="auto"/>
        </w:rPr>
      </w:pPr>
      <w:r>
        <w:rPr>
          <w:rFonts w:ascii="Arial" w:cs="Arial" w:eastAsia="Arial" w:hAnsi="Arial"/>
          <w:sz w:val="14"/>
          <w:szCs w:val="14"/>
          <w:color w:val="auto"/>
        </w:rPr>
        <w:t>Charges of $20.2 million ($3.05 per share) related to restructuring and early retirement program expense and related charges at the education division and corporate office</w:t>
      </w:r>
    </w:p>
    <w:p>
      <w:pPr>
        <w:spacing w:after="0" w:line="1" w:lineRule="exact"/>
        <w:rPr>
          <w:rFonts w:ascii="Arial" w:cs="Arial" w:eastAsia="Arial" w:hAnsi="Arial"/>
          <w:sz w:val="14"/>
          <w:szCs w:val="14"/>
          <w:color w:val="auto"/>
        </w:rPr>
      </w:pPr>
    </w:p>
    <w:p>
      <w:pPr>
        <w:ind w:left="80" w:hanging="72"/>
        <w:spacing w:after="0"/>
        <w:tabs>
          <w:tab w:leader="none" w:pos="80" w:val="left"/>
        </w:tabs>
        <w:numPr>
          <w:ilvl w:val="0"/>
          <w:numId w:val="87"/>
        </w:numPr>
        <w:rPr>
          <w:rFonts w:ascii="Arial" w:cs="Arial" w:eastAsia="Arial" w:hAnsi="Arial"/>
          <w:sz w:val="14"/>
          <w:szCs w:val="14"/>
          <w:color w:val="auto"/>
        </w:rPr>
      </w:pPr>
      <w:r>
        <w:rPr>
          <w:rFonts w:ascii="Arial" w:cs="Arial" w:eastAsia="Arial" w:hAnsi="Arial"/>
          <w:sz w:val="14"/>
          <w:szCs w:val="14"/>
          <w:color w:val="auto"/>
        </w:rPr>
        <w:t>Intangible and other long-lived assets impairment charge of $11.2 million ($1.69 per share) at the education division and other business</w:t>
      </w:r>
    </w:p>
    <w:p>
      <w:pPr>
        <w:spacing w:after="0" w:line="1" w:lineRule="exact"/>
        <w:rPr>
          <w:rFonts w:ascii="Arial" w:cs="Arial" w:eastAsia="Arial" w:hAnsi="Arial"/>
          <w:sz w:val="14"/>
          <w:szCs w:val="14"/>
          <w:color w:val="auto"/>
        </w:rPr>
      </w:pPr>
    </w:p>
    <w:p>
      <w:pPr>
        <w:ind w:left="80" w:hanging="72"/>
        <w:spacing w:after="0"/>
        <w:tabs>
          <w:tab w:leader="none" w:pos="80" w:val="left"/>
        </w:tabs>
        <w:numPr>
          <w:ilvl w:val="0"/>
          <w:numId w:val="87"/>
        </w:numPr>
        <w:rPr>
          <w:rFonts w:ascii="Arial" w:cs="Arial" w:eastAsia="Arial" w:hAnsi="Arial"/>
          <w:sz w:val="14"/>
          <w:szCs w:val="14"/>
          <w:color w:val="auto"/>
        </w:rPr>
      </w:pPr>
      <w:r>
        <w:rPr>
          <w:rFonts w:ascii="Arial" w:cs="Arial" w:eastAsia="Arial" w:hAnsi="Arial"/>
          <w:sz w:val="14"/>
          <w:szCs w:val="14"/>
          <w:color w:val="auto"/>
        </w:rPr>
        <w:t>Gain from the sale of Classified Ventures of $249.8 million ($37.68 per share)</w:t>
      </w:r>
    </w:p>
    <w:p>
      <w:pPr>
        <w:spacing w:after="0" w:line="1" w:lineRule="exact"/>
        <w:rPr>
          <w:rFonts w:ascii="Arial" w:cs="Arial" w:eastAsia="Arial" w:hAnsi="Arial"/>
          <w:sz w:val="14"/>
          <w:szCs w:val="14"/>
          <w:color w:val="auto"/>
        </w:rPr>
      </w:pPr>
    </w:p>
    <w:p>
      <w:pPr>
        <w:ind w:left="80" w:hanging="72"/>
        <w:spacing w:after="0"/>
        <w:tabs>
          <w:tab w:leader="none" w:pos="80" w:val="left"/>
        </w:tabs>
        <w:numPr>
          <w:ilvl w:val="0"/>
          <w:numId w:val="87"/>
        </w:numPr>
        <w:rPr>
          <w:rFonts w:ascii="Arial" w:cs="Arial" w:eastAsia="Arial" w:hAnsi="Arial"/>
          <w:sz w:val="14"/>
          <w:szCs w:val="14"/>
          <w:color w:val="auto"/>
        </w:rPr>
      </w:pPr>
      <w:r>
        <w:rPr>
          <w:rFonts w:ascii="Arial" w:cs="Arial" w:eastAsia="Arial" w:hAnsi="Arial"/>
          <w:sz w:val="14"/>
          <w:szCs w:val="14"/>
          <w:color w:val="auto"/>
        </w:rPr>
        <w:t>$58.2 million ($8.78 per share) gain from the Classified Ventures’ sale of apartments.com</w:t>
      </w:r>
    </w:p>
    <w:p>
      <w:pPr>
        <w:spacing w:after="0" w:line="1" w:lineRule="exact"/>
        <w:rPr>
          <w:rFonts w:ascii="Arial" w:cs="Arial" w:eastAsia="Arial" w:hAnsi="Arial"/>
          <w:sz w:val="14"/>
          <w:szCs w:val="14"/>
          <w:color w:val="auto"/>
        </w:rPr>
      </w:pPr>
    </w:p>
    <w:p>
      <w:pPr>
        <w:ind w:left="80" w:hanging="72"/>
        <w:spacing w:after="0"/>
        <w:tabs>
          <w:tab w:leader="none" w:pos="80" w:val="left"/>
        </w:tabs>
        <w:numPr>
          <w:ilvl w:val="0"/>
          <w:numId w:val="87"/>
        </w:numPr>
        <w:rPr>
          <w:rFonts w:ascii="Arial" w:cs="Arial" w:eastAsia="Arial" w:hAnsi="Arial"/>
          <w:sz w:val="14"/>
          <w:szCs w:val="14"/>
          <w:color w:val="auto"/>
        </w:rPr>
      </w:pPr>
      <w:r>
        <w:rPr>
          <w:rFonts w:ascii="Arial" w:cs="Arial" w:eastAsia="Arial" w:hAnsi="Arial"/>
          <w:sz w:val="14"/>
          <w:szCs w:val="14"/>
          <w:color w:val="auto"/>
        </w:rPr>
        <w:t>Gain from the Berkshire exchange transaction of $266.7 million ($40.23 per share)</w:t>
      </w:r>
    </w:p>
    <w:p>
      <w:pPr>
        <w:spacing w:after="0" w:line="1" w:lineRule="exact"/>
        <w:rPr>
          <w:rFonts w:ascii="Arial" w:cs="Arial" w:eastAsia="Arial" w:hAnsi="Arial"/>
          <w:sz w:val="14"/>
          <w:szCs w:val="14"/>
          <w:color w:val="auto"/>
        </w:rPr>
      </w:pPr>
    </w:p>
    <w:p>
      <w:pPr>
        <w:ind w:left="80" w:hanging="72"/>
        <w:spacing w:after="0"/>
        <w:tabs>
          <w:tab w:leader="none" w:pos="80" w:val="left"/>
        </w:tabs>
        <w:numPr>
          <w:ilvl w:val="0"/>
          <w:numId w:val="87"/>
        </w:numPr>
        <w:rPr>
          <w:rFonts w:ascii="Arial" w:cs="Arial" w:eastAsia="Arial" w:hAnsi="Arial"/>
          <w:sz w:val="14"/>
          <w:szCs w:val="14"/>
          <w:color w:val="auto"/>
        </w:rPr>
      </w:pPr>
      <w:r>
        <w:rPr>
          <w:rFonts w:ascii="Arial" w:cs="Arial" w:eastAsia="Arial" w:hAnsi="Arial"/>
          <w:sz w:val="14"/>
          <w:szCs w:val="14"/>
          <w:color w:val="auto"/>
        </w:rPr>
        <w:t>$81.8 million ($12.34 per share) gain on the sale of the corporate headquarters building</w:t>
      </w:r>
    </w:p>
    <w:p>
      <w:pPr>
        <w:spacing w:after="0" w:line="1" w:lineRule="exact"/>
        <w:rPr>
          <w:rFonts w:ascii="Arial" w:cs="Arial" w:eastAsia="Arial" w:hAnsi="Arial"/>
          <w:sz w:val="14"/>
          <w:szCs w:val="14"/>
          <w:color w:val="auto"/>
        </w:rPr>
      </w:pPr>
    </w:p>
    <w:p>
      <w:pPr>
        <w:ind w:left="80" w:hanging="72"/>
        <w:spacing w:after="0"/>
        <w:tabs>
          <w:tab w:leader="none" w:pos="80" w:val="left"/>
        </w:tabs>
        <w:numPr>
          <w:ilvl w:val="0"/>
          <w:numId w:val="87"/>
        </w:numPr>
        <w:rPr>
          <w:rFonts w:ascii="Arial" w:cs="Arial" w:eastAsia="Arial" w:hAnsi="Arial"/>
          <w:sz w:val="14"/>
          <w:szCs w:val="14"/>
          <w:color w:val="auto"/>
        </w:rPr>
      </w:pPr>
      <w:r>
        <w:rPr>
          <w:rFonts w:ascii="Arial" w:cs="Arial" w:eastAsia="Arial" w:hAnsi="Arial"/>
          <w:sz w:val="14"/>
          <w:szCs w:val="14"/>
          <w:color w:val="auto"/>
        </w:rPr>
        <w:t>Losses, net, of $7.1 million ($1.08 per share) from non-operating unrealized foreign currency losses</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2013</w:t>
      </w:r>
    </w:p>
    <w:p>
      <w:pPr>
        <w:spacing w:after="0" w:line="21" w:lineRule="exact"/>
        <w:rPr>
          <w:sz w:val="20"/>
          <w:szCs w:val="20"/>
          <w:color w:val="auto"/>
        </w:rPr>
      </w:pPr>
    </w:p>
    <w:p>
      <w:pPr>
        <w:ind w:left="80" w:hanging="72"/>
        <w:spacing w:after="0"/>
        <w:tabs>
          <w:tab w:leader="none" w:pos="80" w:val="left"/>
        </w:tabs>
        <w:numPr>
          <w:ilvl w:val="0"/>
          <w:numId w:val="88"/>
        </w:numPr>
        <w:rPr>
          <w:rFonts w:ascii="Arial" w:cs="Arial" w:eastAsia="Arial" w:hAnsi="Arial"/>
          <w:sz w:val="14"/>
          <w:szCs w:val="14"/>
          <w:color w:val="auto"/>
        </w:rPr>
      </w:pPr>
      <w:r>
        <w:rPr>
          <w:rFonts w:ascii="Arial" w:cs="Arial" w:eastAsia="Arial" w:hAnsi="Arial"/>
          <w:sz w:val="14"/>
          <w:szCs w:val="14"/>
          <w:color w:val="auto"/>
        </w:rPr>
        <w:t>Charges of $25.3 million ($3.46 per share) related to severance and restructuring at the education division</w:t>
      </w:r>
    </w:p>
    <w:p>
      <w:pPr>
        <w:spacing w:after="0" w:line="1" w:lineRule="exact"/>
        <w:rPr>
          <w:rFonts w:ascii="Arial" w:cs="Arial" w:eastAsia="Arial" w:hAnsi="Arial"/>
          <w:sz w:val="14"/>
          <w:szCs w:val="14"/>
          <w:color w:val="auto"/>
        </w:rPr>
      </w:pPr>
    </w:p>
    <w:p>
      <w:pPr>
        <w:ind w:left="80" w:hanging="72"/>
        <w:spacing w:after="0"/>
        <w:tabs>
          <w:tab w:leader="none" w:pos="80" w:val="left"/>
        </w:tabs>
        <w:numPr>
          <w:ilvl w:val="0"/>
          <w:numId w:val="88"/>
        </w:numPr>
        <w:rPr>
          <w:rFonts w:ascii="Arial" w:cs="Arial" w:eastAsia="Arial" w:hAnsi="Arial"/>
          <w:sz w:val="14"/>
          <w:szCs w:val="14"/>
          <w:color w:val="auto"/>
        </w:rPr>
      </w:pPr>
      <w:r>
        <w:rPr>
          <w:rFonts w:ascii="Arial" w:cs="Arial" w:eastAsia="Arial" w:hAnsi="Arial"/>
          <w:sz w:val="14"/>
          <w:szCs w:val="14"/>
          <w:color w:val="auto"/>
        </w:rPr>
        <w:t>Intangible assets impairment charge of $3.2 million ($0.44 per share) at the education division</w:t>
      </w:r>
    </w:p>
    <w:p>
      <w:pPr>
        <w:spacing w:after="0" w:line="1" w:lineRule="exact"/>
        <w:rPr>
          <w:rFonts w:ascii="Arial" w:cs="Arial" w:eastAsia="Arial" w:hAnsi="Arial"/>
          <w:sz w:val="14"/>
          <w:szCs w:val="14"/>
          <w:color w:val="auto"/>
        </w:rPr>
      </w:pPr>
    </w:p>
    <w:p>
      <w:pPr>
        <w:ind w:left="80" w:hanging="72"/>
        <w:spacing w:after="0"/>
        <w:tabs>
          <w:tab w:leader="none" w:pos="80" w:val="left"/>
        </w:tabs>
        <w:numPr>
          <w:ilvl w:val="0"/>
          <w:numId w:val="88"/>
        </w:numPr>
        <w:rPr>
          <w:rFonts w:ascii="Arial" w:cs="Arial" w:eastAsia="Arial" w:hAnsi="Arial"/>
          <w:sz w:val="14"/>
          <w:szCs w:val="14"/>
          <w:color w:val="auto"/>
        </w:rPr>
      </w:pPr>
      <w:r>
        <w:rPr>
          <w:rFonts w:ascii="Arial" w:cs="Arial" w:eastAsia="Arial" w:hAnsi="Arial"/>
          <w:sz w:val="14"/>
          <w:szCs w:val="14"/>
          <w:color w:val="auto"/>
        </w:rPr>
        <w:t>Write-down of a marketable equity security of $6.7 million ($0.91 per share)</w:t>
      </w:r>
    </w:p>
    <w:p>
      <w:pPr>
        <w:spacing w:after="0" w:line="1" w:lineRule="exact"/>
        <w:rPr>
          <w:rFonts w:ascii="Arial" w:cs="Arial" w:eastAsia="Arial" w:hAnsi="Arial"/>
          <w:sz w:val="14"/>
          <w:szCs w:val="14"/>
          <w:color w:val="auto"/>
        </w:rPr>
      </w:pPr>
    </w:p>
    <w:p>
      <w:pPr>
        <w:ind w:left="80" w:hanging="72"/>
        <w:spacing w:after="0"/>
        <w:tabs>
          <w:tab w:leader="none" w:pos="80" w:val="left"/>
        </w:tabs>
        <w:numPr>
          <w:ilvl w:val="0"/>
          <w:numId w:val="88"/>
        </w:numPr>
        <w:rPr>
          <w:rFonts w:ascii="Arial" w:cs="Arial" w:eastAsia="Arial" w:hAnsi="Arial"/>
          <w:sz w:val="14"/>
          <w:szCs w:val="14"/>
          <w:color w:val="auto"/>
        </w:rPr>
      </w:pPr>
      <w:r>
        <w:rPr>
          <w:rFonts w:ascii="Arial" w:cs="Arial" w:eastAsia="Arial" w:hAnsi="Arial"/>
          <w:sz w:val="14"/>
          <w:szCs w:val="14"/>
          <w:color w:val="auto"/>
        </w:rPr>
        <w:t>Losses, net, of $8.6 million ($1.17 per share) from non-operating unrealized foreign currency losses</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2012</w:t>
      </w:r>
    </w:p>
    <w:p>
      <w:pPr>
        <w:spacing w:after="0" w:line="21" w:lineRule="exact"/>
        <w:rPr>
          <w:sz w:val="20"/>
          <w:szCs w:val="20"/>
          <w:color w:val="auto"/>
        </w:rPr>
      </w:pPr>
    </w:p>
    <w:p>
      <w:pPr>
        <w:ind w:left="80" w:hanging="72"/>
        <w:spacing w:after="0"/>
        <w:tabs>
          <w:tab w:leader="none" w:pos="80" w:val="left"/>
        </w:tabs>
        <w:numPr>
          <w:ilvl w:val="0"/>
          <w:numId w:val="89"/>
        </w:numPr>
        <w:rPr>
          <w:rFonts w:ascii="Arial" w:cs="Arial" w:eastAsia="Arial" w:hAnsi="Arial"/>
          <w:sz w:val="14"/>
          <w:szCs w:val="14"/>
          <w:color w:val="auto"/>
        </w:rPr>
      </w:pPr>
      <w:r>
        <w:rPr>
          <w:rFonts w:ascii="Arial" w:cs="Arial" w:eastAsia="Arial" w:hAnsi="Arial"/>
          <w:sz w:val="14"/>
          <w:szCs w:val="14"/>
          <w:color w:val="auto"/>
        </w:rPr>
        <w:t>Goodwill and other long-lived assets impairment charge of $81.9 million ($11.33 per share) at KTP</w:t>
      </w:r>
    </w:p>
    <w:p>
      <w:pPr>
        <w:spacing w:after="0" w:line="1" w:lineRule="exact"/>
        <w:rPr>
          <w:rFonts w:ascii="Arial" w:cs="Arial" w:eastAsia="Arial" w:hAnsi="Arial"/>
          <w:sz w:val="14"/>
          <w:szCs w:val="14"/>
          <w:color w:val="auto"/>
        </w:rPr>
      </w:pPr>
    </w:p>
    <w:p>
      <w:pPr>
        <w:ind w:left="80" w:hanging="72"/>
        <w:spacing w:after="0"/>
        <w:tabs>
          <w:tab w:leader="none" w:pos="80" w:val="left"/>
        </w:tabs>
        <w:numPr>
          <w:ilvl w:val="0"/>
          <w:numId w:val="89"/>
        </w:numPr>
        <w:rPr>
          <w:rFonts w:ascii="Arial" w:cs="Arial" w:eastAsia="Arial" w:hAnsi="Arial"/>
          <w:sz w:val="14"/>
          <w:szCs w:val="14"/>
          <w:color w:val="auto"/>
        </w:rPr>
      </w:pPr>
      <w:r>
        <w:rPr>
          <w:rFonts w:ascii="Arial" w:cs="Arial" w:eastAsia="Arial" w:hAnsi="Arial"/>
          <w:sz w:val="14"/>
          <w:szCs w:val="14"/>
          <w:color w:val="auto"/>
        </w:rPr>
        <w:t>Charges of $32.9 million ($4.53 per share) related to severance and restructuring at the education division</w:t>
      </w:r>
    </w:p>
    <w:p>
      <w:pPr>
        <w:spacing w:after="0" w:line="1" w:lineRule="exact"/>
        <w:rPr>
          <w:rFonts w:ascii="Arial" w:cs="Arial" w:eastAsia="Arial" w:hAnsi="Arial"/>
          <w:sz w:val="14"/>
          <w:szCs w:val="14"/>
          <w:color w:val="auto"/>
        </w:rPr>
      </w:pPr>
    </w:p>
    <w:p>
      <w:pPr>
        <w:ind w:left="80" w:hanging="72"/>
        <w:spacing w:after="0"/>
        <w:tabs>
          <w:tab w:leader="none" w:pos="80" w:val="left"/>
        </w:tabs>
        <w:numPr>
          <w:ilvl w:val="0"/>
          <w:numId w:val="89"/>
        </w:numPr>
        <w:rPr>
          <w:rFonts w:ascii="Arial" w:cs="Arial" w:eastAsia="Arial" w:hAnsi="Arial"/>
          <w:sz w:val="14"/>
          <w:szCs w:val="14"/>
          <w:color w:val="auto"/>
        </w:rPr>
      </w:pPr>
      <w:r>
        <w:rPr>
          <w:rFonts w:ascii="Arial" w:cs="Arial" w:eastAsia="Arial" w:hAnsi="Arial"/>
          <w:sz w:val="14"/>
          <w:szCs w:val="14"/>
          <w:color w:val="auto"/>
        </w:rPr>
        <w:t>Write-down of a marketable equity security of $11.2 million ($1.54 per share)</w:t>
      </w:r>
    </w:p>
    <w:p>
      <w:pPr>
        <w:spacing w:after="0" w:line="1" w:lineRule="exact"/>
        <w:rPr>
          <w:rFonts w:ascii="Arial" w:cs="Arial" w:eastAsia="Arial" w:hAnsi="Arial"/>
          <w:sz w:val="14"/>
          <w:szCs w:val="14"/>
          <w:color w:val="auto"/>
        </w:rPr>
      </w:pPr>
    </w:p>
    <w:p>
      <w:pPr>
        <w:ind w:left="80" w:hanging="72"/>
        <w:spacing w:after="0"/>
        <w:tabs>
          <w:tab w:leader="none" w:pos="80" w:val="left"/>
        </w:tabs>
        <w:numPr>
          <w:ilvl w:val="0"/>
          <w:numId w:val="89"/>
        </w:numPr>
        <w:rPr>
          <w:rFonts w:ascii="Arial" w:cs="Arial" w:eastAsia="Arial" w:hAnsi="Arial"/>
          <w:sz w:val="14"/>
          <w:szCs w:val="14"/>
          <w:color w:val="auto"/>
        </w:rPr>
      </w:pPr>
      <w:r>
        <w:rPr>
          <w:rFonts w:ascii="Arial" w:cs="Arial" w:eastAsia="Arial" w:hAnsi="Arial"/>
          <w:sz w:val="14"/>
          <w:szCs w:val="14"/>
          <w:color w:val="auto"/>
        </w:rPr>
        <w:t>$3.7 million ($0.48 per share) gain on sale of cost method investment</w:t>
      </w:r>
    </w:p>
    <w:p>
      <w:pPr>
        <w:spacing w:after="0" w:line="1" w:lineRule="exact"/>
        <w:rPr>
          <w:rFonts w:ascii="Arial" w:cs="Arial" w:eastAsia="Arial" w:hAnsi="Arial"/>
          <w:sz w:val="14"/>
          <w:szCs w:val="14"/>
          <w:color w:val="auto"/>
        </w:rPr>
      </w:pPr>
    </w:p>
    <w:p>
      <w:pPr>
        <w:ind w:left="80" w:hanging="72"/>
        <w:spacing w:after="0"/>
        <w:tabs>
          <w:tab w:leader="none" w:pos="80" w:val="left"/>
        </w:tabs>
        <w:numPr>
          <w:ilvl w:val="0"/>
          <w:numId w:val="89"/>
        </w:numPr>
        <w:rPr>
          <w:rFonts w:ascii="Arial" w:cs="Arial" w:eastAsia="Arial" w:hAnsi="Arial"/>
          <w:sz w:val="14"/>
          <w:szCs w:val="14"/>
          <w:color w:val="auto"/>
        </w:rPr>
      </w:pPr>
      <w:r>
        <w:rPr>
          <w:rFonts w:ascii="Arial" w:cs="Arial" w:eastAsia="Arial" w:hAnsi="Arial"/>
          <w:sz w:val="14"/>
          <w:szCs w:val="14"/>
          <w:color w:val="auto"/>
        </w:rPr>
        <w:t>Gains, net, of $2.0 million ($0.27 per share) from non-operating unrealized foreign currency gains</w:t>
      </w:r>
    </w:p>
    <w:p>
      <w:pPr>
        <w:sectPr>
          <w:pgSz w:w="11900" w:h="16838" w:orient="portrait"/>
          <w:cols w:equalWidth="0" w:num="1">
            <w:col w:w="11400"/>
          </w:cols>
          <w:pgMar w:left="240" w:top="736" w:right="259" w:bottom="1090" w:gutter="0" w:footer="0" w:header="0"/>
        </w:sectPr>
      </w:pPr>
    </w:p>
    <w:p>
      <w:pPr>
        <w:spacing w:after="0" w:line="33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115</w:t>
      </w:r>
    </w:p>
    <w:p>
      <w:pPr>
        <w:sectPr>
          <w:pgSz w:w="11900" w:h="16838" w:orient="portrait"/>
          <w:cols w:equalWidth="0" w:num="1">
            <w:col w:w="11400"/>
          </w:cols>
          <w:pgMar w:left="240" w:top="736" w:right="259" w:bottom="1090" w:gutter="0" w:footer="0" w:header="0"/>
          <w:type w:val="continuous"/>
        </w:sectPr>
      </w:pPr>
    </w:p>
    <w:bookmarkStart w:id="119" w:name="page120"/>
    <w:bookmarkEnd w:id="119"/>
    <w:tbl>
      <w:tblPr>
        <w:tblLayout w:type="fixed"/>
        <w:tblInd w:w="0" w:type="dxa"/>
        <w:tblCellMar>
          <w:top w:w="0" w:type="dxa"/>
          <w:left w:w="0" w:type="dxa"/>
          <w:bottom w:w="0" w:type="dxa"/>
          <w:right w:w="0" w:type="dxa"/>
        </w:tblCellMar>
      </w:tblPr>
      <w:tr>
        <w:trPr>
          <w:trHeight w:val="253"/>
        </w:trPr>
        <w:tc>
          <w:tcPr>
            <w:tcW w:w="2720" w:type="dxa"/>
            <w:vAlign w:val="bottom"/>
          </w:tcPr>
          <w:p>
            <w:pPr>
              <w:spacing w:after="0"/>
              <w:rPr>
                <w:sz w:val="21"/>
                <w:szCs w:val="21"/>
                <w:color w:val="auto"/>
              </w:rPr>
            </w:pPr>
          </w:p>
        </w:tc>
        <w:tc>
          <w:tcPr>
            <w:tcW w:w="8700" w:type="dxa"/>
            <w:vAlign w:val="bottom"/>
          </w:tcPr>
          <w:p>
            <w:pPr>
              <w:ind w:left="2140"/>
              <w:spacing w:after="0"/>
              <w:rPr>
                <w:sz w:val="20"/>
                <w:szCs w:val="20"/>
                <w:color w:val="auto"/>
              </w:rPr>
            </w:pPr>
            <w:r>
              <w:rPr>
                <w:rFonts w:ascii="Arial" w:cs="Arial" w:eastAsia="Arial" w:hAnsi="Arial"/>
                <w:sz w:val="18"/>
                <w:szCs w:val="18"/>
                <w:b w:val="1"/>
                <w:bCs w:val="1"/>
                <w:color w:val="auto"/>
              </w:rPr>
              <w:t>INDEX TO EXHIBITS</w:t>
            </w:r>
          </w:p>
        </w:tc>
      </w:tr>
      <w:tr>
        <w:trPr>
          <w:trHeight w:val="513"/>
        </w:trPr>
        <w:tc>
          <w:tcPr>
            <w:tcW w:w="2720" w:type="dxa"/>
            <w:vAlign w:val="bottom"/>
          </w:tcPr>
          <w:p>
            <w:pPr>
              <w:ind w:left="40"/>
              <w:spacing w:after="0"/>
              <w:rPr>
                <w:sz w:val="20"/>
                <w:szCs w:val="20"/>
                <w:color w:val="auto"/>
              </w:rPr>
            </w:pPr>
            <w:r>
              <w:rPr>
                <w:rFonts w:ascii="Arial" w:cs="Arial" w:eastAsia="Arial" w:hAnsi="Arial"/>
                <w:sz w:val="14"/>
                <w:szCs w:val="14"/>
                <w:b w:val="1"/>
                <w:bCs w:val="1"/>
                <w:color w:val="auto"/>
              </w:rPr>
              <w:t>Exhibit</w:t>
            </w:r>
          </w:p>
        </w:tc>
        <w:tc>
          <w:tcPr>
            <w:tcW w:w="8700" w:type="dxa"/>
            <w:vAlign w:val="bottom"/>
          </w:tcPr>
          <w:p>
            <w:pPr>
              <w:spacing w:after="0"/>
              <w:rPr>
                <w:sz w:val="24"/>
                <w:szCs w:val="24"/>
                <w:color w:val="auto"/>
              </w:rPr>
            </w:pPr>
          </w:p>
        </w:tc>
      </w:tr>
      <w:tr>
        <w:trPr>
          <w:trHeight w:val="203"/>
        </w:trPr>
        <w:tc>
          <w:tcPr>
            <w:tcW w:w="27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Number</w:t>
            </w:r>
          </w:p>
        </w:tc>
        <w:tc>
          <w:tcPr>
            <w:tcW w:w="8700" w:type="dxa"/>
            <w:vAlign w:val="bottom"/>
            <w:tcBorders>
              <w:bottom w:val="single" w:sz="8" w:color="auto"/>
            </w:tcBorders>
          </w:tcPr>
          <w:p>
            <w:pPr>
              <w:ind w:left="3120"/>
              <w:spacing w:after="0"/>
              <w:rPr>
                <w:sz w:val="20"/>
                <w:szCs w:val="20"/>
                <w:color w:val="auto"/>
              </w:rPr>
            </w:pPr>
            <w:r>
              <w:rPr>
                <w:rFonts w:ascii="Arial" w:cs="Arial" w:eastAsia="Arial" w:hAnsi="Arial"/>
                <w:sz w:val="14"/>
                <w:szCs w:val="14"/>
                <w:b w:val="1"/>
                <w:bCs w:val="1"/>
                <w:color w:val="auto"/>
              </w:rPr>
              <w:t>Description</w:t>
            </w:r>
          </w:p>
        </w:tc>
      </w:tr>
    </w:tbl>
    <w:p>
      <w:pPr>
        <w:spacing w:after="0" w:line="269" w:lineRule="exact"/>
        <w:rPr>
          <w:sz w:val="20"/>
          <w:szCs w:val="20"/>
          <w:color w:val="auto"/>
        </w:rPr>
      </w:pPr>
    </w:p>
    <w:p>
      <w:pPr>
        <w:ind w:left="1080" w:right="760" w:hanging="655"/>
        <w:spacing w:after="0" w:line="265" w:lineRule="auto"/>
        <w:tabs>
          <w:tab w:leader="none" w:pos="1060" w:val="left"/>
        </w:tabs>
        <w:rPr>
          <w:sz w:val="20"/>
          <w:szCs w:val="20"/>
          <w:color w:val="auto"/>
        </w:rPr>
      </w:pPr>
      <w:r>
        <w:rPr>
          <w:rFonts w:ascii="Arial" w:cs="Arial" w:eastAsia="Arial" w:hAnsi="Arial"/>
          <w:sz w:val="17"/>
          <w:szCs w:val="17"/>
          <w:color w:val="auto"/>
        </w:rPr>
        <w:t>3.1</w:t>
      </w:r>
      <w:r>
        <w:rPr>
          <w:sz w:val="20"/>
          <w:szCs w:val="20"/>
          <w:color w:val="auto"/>
        </w:rPr>
        <w:tab/>
      </w:r>
      <w:r>
        <w:rPr>
          <w:rFonts w:ascii="Arial" w:cs="Arial" w:eastAsia="Arial" w:hAnsi="Arial"/>
          <w:sz w:val="17"/>
          <w:szCs w:val="17"/>
          <w:color w:val="auto"/>
        </w:rPr>
        <w:t>Restated Certificate of Incorporation of the Company dated November 13, 2003 (incorporated by reference to Exhibit 3.1 to the Company’s Annual Report on Form 10-K for the fiscal year ended December 28, 2003).</w:t>
      </w:r>
    </w:p>
    <w:p>
      <w:pPr>
        <w:ind w:left="1080" w:right="300" w:hanging="655"/>
        <w:spacing w:after="0" w:line="265" w:lineRule="auto"/>
        <w:tabs>
          <w:tab w:leader="none" w:pos="1060" w:val="left"/>
        </w:tabs>
        <w:rPr>
          <w:sz w:val="20"/>
          <w:szCs w:val="20"/>
          <w:color w:val="auto"/>
        </w:rPr>
      </w:pPr>
      <w:r>
        <w:rPr>
          <w:rFonts w:ascii="Arial" w:cs="Arial" w:eastAsia="Arial" w:hAnsi="Arial"/>
          <w:sz w:val="17"/>
          <w:szCs w:val="17"/>
          <w:color w:val="auto"/>
        </w:rPr>
        <w:t>3.2</w:t>
      </w:r>
      <w:r>
        <w:rPr>
          <w:sz w:val="20"/>
          <w:szCs w:val="20"/>
          <w:color w:val="auto"/>
        </w:rPr>
        <w:tab/>
      </w:r>
      <w:r>
        <w:rPr>
          <w:rFonts w:ascii="Arial" w:cs="Arial" w:eastAsia="Arial" w:hAnsi="Arial"/>
          <w:sz w:val="17"/>
          <w:szCs w:val="17"/>
          <w:color w:val="auto"/>
        </w:rPr>
        <w:t>Certificate of Amendment, effective November 29, 2013, to the Restated Certificate of Incorporation of the Company (incorporated by reference to Exhibit 3.1 to the Company’s Current Report on Form 8-K filed November 29, 2013).</w:t>
      </w:r>
    </w:p>
    <w:p>
      <w:pPr>
        <w:ind w:left="1080" w:right="720" w:hanging="655"/>
        <w:spacing w:after="0" w:line="265" w:lineRule="auto"/>
        <w:tabs>
          <w:tab w:leader="none" w:pos="1060" w:val="left"/>
        </w:tabs>
        <w:rPr>
          <w:sz w:val="20"/>
          <w:szCs w:val="20"/>
          <w:color w:val="auto"/>
        </w:rPr>
      </w:pPr>
      <w:r>
        <w:rPr>
          <w:rFonts w:ascii="Arial" w:cs="Arial" w:eastAsia="Arial" w:hAnsi="Arial"/>
          <w:sz w:val="17"/>
          <w:szCs w:val="17"/>
          <w:color w:val="auto"/>
        </w:rPr>
        <w:t>3.3</w:t>
      </w:r>
      <w:r>
        <w:rPr>
          <w:sz w:val="20"/>
          <w:szCs w:val="20"/>
          <w:color w:val="auto"/>
        </w:rPr>
        <w:tab/>
      </w:r>
      <w:r>
        <w:rPr>
          <w:rFonts w:ascii="Arial" w:cs="Arial" w:eastAsia="Arial" w:hAnsi="Arial"/>
          <w:sz w:val="17"/>
          <w:szCs w:val="17"/>
          <w:color w:val="auto"/>
        </w:rPr>
        <w:t>By-Laws of the Company as amended and restated through November 29, 2013 (incorporated by reference to Exhibit 3.2 to the Company’s Current Report on Form 8-K filed November 29, 2013).</w:t>
      </w:r>
    </w:p>
    <w:p>
      <w:pPr>
        <w:ind w:left="1080" w:right="380" w:hanging="655"/>
        <w:spacing w:after="0" w:line="253" w:lineRule="auto"/>
        <w:tabs>
          <w:tab w:leader="none" w:pos="1060" w:val="left"/>
        </w:tabs>
        <w:rPr>
          <w:sz w:val="20"/>
          <w:szCs w:val="20"/>
          <w:color w:val="auto"/>
        </w:rPr>
      </w:pPr>
      <w:r>
        <w:rPr>
          <w:rFonts w:ascii="Arial" w:cs="Arial" w:eastAsia="Arial" w:hAnsi="Arial"/>
          <w:sz w:val="17"/>
          <w:szCs w:val="17"/>
          <w:color w:val="auto"/>
        </w:rPr>
        <w:t>4.1</w:t>
      </w:r>
      <w:r>
        <w:rPr>
          <w:sz w:val="20"/>
          <w:szCs w:val="20"/>
          <w:color w:val="auto"/>
        </w:rPr>
        <w:tab/>
      </w:r>
      <w:r>
        <w:rPr>
          <w:rFonts w:ascii="Arial" w:cs="Arial" w:eastAsia="Arial" w:hAnsi="Arial"/>
          <w:sz w:val="17"/>
          <w:szCs w:val="17"/>
          <w:color w:val="auto"/>
        </w:rPr>
        <w:t>Second Supplemental Indenture dated January 30, 2009, between the Company and The Bank of New York Mellon Trust Company, N.A., as successor to The First National Bank of Chicago, as Trustee (incorporated by reference to Exhibit 10.2 to the Company’s Current Report on Form 8-K filed January 30, 2009).</w:t>
      </w:r>
    </w:p>
    <w:p>
      <w:pPr>
        <w:spacing w:after="0" w:line="3" w:lineRule="exact"/>
        <w:rPr>
          <w:sz w:val="20"/>
          <w:szCs w:val="20"/>
          <w:color w:val="auto"/>
        </w:rPr>
      </w:pPr>
    </w:p>
    <w:p>
      <w:pPr>
        <w:ind w:left="1080" w:right="40" w:hanging="655"/>
        <w:spacing w:after="0" w:line="246" w:lineRule="auto"/>
        <w:tabs>
          <w:tab w:leader="none" w:pos="1060" w:val="left"/>
        </w:tabs>
        <w:rPr>
          <w:sz w:val="20"/>
          <w:szCs w:val="20"/>
          <w:color w:val="auto"/>
        </w:rPr>
      </w:pPr>
      <w:r>
        <w:rPr>
          <w:rFonts w:ascii="Arial" w:cs="Arial" w:eastAsia="Arial" w:hAnsi="Arial"/>
          <w:sz w:val="17"/>
          <w:szCs w:val="17"/>
          <w:color w:val="auto"/>
        </w:rPr>
        <w:t>4.2</w:t>
      </w:r>
      <w:r>
        <w:rPr>
          <w:sz w:val="20"/>
          <w:szCs w:val="20"/>
          <w:color w:val="auto"/>
        </w:rPr>
        <w:tab/>
      </w:r>
      <w:r>
        <w:rPr>
          <w:rFonts w:ascii="Arial" w:cs="Arial" w:eastAsia="Arial" w:hAnsi="Arial"/>
          <w:sz w:val="17"/>
          <w:szCs w:val="17"/>
          <w:color w:val="auto"/>
        </w:rPr>
        <w:t>Five-Year Credit Agreement, dated as of June 29, 2015, among the Company, and certain of its domestic subsidiaries as guarantors, the several lenders from time to time party thereto, Wells Fargo Bank, National Association, as Administrative Agent and JPMorgan Chase Bank, N.A., as Syndication Agent (incorporated by reference to Exhibit 10.1 to the Company’s Current Report on Form 8-K filed July 1, 2015).</w:t>
      </w:r>
    </w:p>
    <w:p>
      <w:pPr>
        <w:spacing w:after="0" w:line="9" w:lineRule="exact"/>
        <w:rPr>
          <w:sz w:val="20"/>
          <w:szCs w:val="20"/>
          <w:color w:val="auto"/>
        </w:rPr>
      </w:pPr>
    </w:p>
    <w:p>
      <w:pPr>
        <w:ind w:left="1080" w:right="120" w:hanging="750"/>
        <w:spacing w:after="0" w:line="253" w:lineRule="auto"/>
        <w:tabs>
          <w:tab w:leader="none" w:pos="1060" w:val="left"/>
        </w:tabs>
        <w:rPr>
          <w:sz w:val="20"/>
          <w:szCs w:val="20"/>
          <w:color w:val="auto"/>
        </w:rPr>
      </w:pPr>
      <w:r>
        <w:rPr>
          <w:rFonts w:ascii="Arial" w:cs="Arial" w:eastAsia="Arial" w:hAnsi="Arial"/>
          <w:sz w:val="17"/>
          <w:szCs w:val="17"/>
          <w:color w:val="auto"/>
        </w:rPr>
        <w:t>10.1</w:t>
      </w:r>
      <w:r>
        <w:rPr>
          <w:sz w:val="20"/>
          <w:szCs w:val="20"/>
          <w:color w:val="auto"/>
        </w:rPr>
        <w:tab/>
      </w:r>
      <w:r>
        <w:rPr>
          <w:rFonts w:ascii="Arial" w:cs="Arial" w:eastAsia="Arial" w:hAnsi="Arial"/>
          <w:sz w:val="17"/>
          <w:szCs w:val="17"/>
          <w:color w:val="auto"/>
        </w:rPr>
        <w:t>Graham Holdings Company 2012 Incentive Compensation Plan, as amended and restated effective November 29, 2013, as adjusted to reflect the spin-off of Cable ONE. (incorporated by reference to Exhibit 10.1 to Company’s Annual Report on Form 10-K for the fiscal year ended December 31, 2015)*</w:t>
      </w:r>
    </w:p>
    <w:p>
      <w:pPr>
        <w:spacing w:after="0" w:line="3" w:lineRule="exact"/>
        <w:rPr>
          <w:sz w:val="20"/>
          <w:szCs w:val="20"/>
          <w:color w:val="auto"/>
        </w:rPr>
      </w:pPr>
    </w:p>
    <w:p>
      <w:pPr>
        <w:ind w:left="320"/>
        <w:spacing w:after="0"/>
        <w:tabs>
          <w:tab w:leader="none" w:pos="1060" w:val="left"/>
        </w:tabs>
        <w:rPr>
          <w:sz w:val="20"/>
          <w:szCs w:val="20"/>
          <w:color w:val="auto"/>
        </w:rPr>
      </w:pPr>
      <w:r>
        <w:rPr>
          <w:rFonts w:ascii="Arial" w:cs="Arial" w:eastAsia="Arial" w:hAnsi="Arial"/>
          <w:sz w:val="17"/>
          <w:szCs w:val="17"/>
          <w:color w:val="auto"/>
        </w:rPr>
        <w:t>10.2</w:t>
      </w:r>
      <w:r>
        <w:rPr>
          <w:sz w:val="20"/>
          <w:szCs w:val="20"/>
          <w:color w:val="auto"/>
        </w:rPr>
        <w:tab/>
      </w:r>
      <w:r>
        <w:rPr>
          <w:rFonts w:ascii="Arial" w:cs="Arial" w:eastAsia="Arial" w:hAnsi="Arial"/>
          <w:sz w:val="17"/>
          <w:szCs w:val="17"/>
          <w:color w:val="auto"/>
        </w:rPr>
        <w:t>Washington Post Company Stock Option Plan as amended and restated effective May 31, 2003 (incorporated by reference to Exhibit</w:t>
      </w:r>
    </w:p>
    <w:p>
      <w:pPr>
        <w:spacing w:after="0" w:line="16" w:lineRule="exact"/>
        <w:rPr>
          <w:sz w:val="20"/>
          <w:szCs w:val="20"/>
          <w:color w:val="auto"/>
        </w:rPr>
      </w:pPr>
    </w:p>
    <w:p>
      <w:pPr>
        <w:ind w:left="1080"/>
        <w:spacing w:after="0"/>
        <w:rPr>
          <w:sz w:val="20"/>
          <w:szCs w:val="20"/>
          <w:color w:val="auto"/>
        </w:rPr>
      </w:pPr>
      <w:r>
        <w:rPr>
          <w:rFonts w:ascii="Arial" w:cs="Arial" w:eastAsia="Arial" w:hAnsi="Arial"/>
          <w:sz w:val="17"/>
          <w:szCs w:val="17"/>
          <w:color w:val="auto"/>
        </w:rPr>
        <w:t>10.1 to The Washington Post Company’s Quarterly Report on Form 10-Q for the quarter ended September 28, 2003).*</w:t>
      </w:r>
    </w:p>
    <w:p>
      <w:pPr>
        <w:spacing w:after="0" w:line="26" w:lineRule="exact"/>
        <w:rPr>
          <w:sz w:val="20"/>
          <w:szCs w:val="20"/>
          <w:color w:val="auto"/>
        </w:rPr>
      </w:pPr>
    </w:p>
    <w:p>
      <w:pPr>
        <w:ind w:left="1080" w:right="300" w:hanging="750"/>
        <w:spacing w:after="0" w:line="265" w:lineRule="auto"/>
        <w:tabs>
          <w:tab w:leader="none" w:pos="1060" w:val="left"/>
        </w:tabs>
        <w:rPr>
          <w:sz w:val="20"/>
          <w:szCs w:val="20"/>
          <w:color w:val="auto"/>
        </w:rPr>
      </w:pPr>
      <w:r>
        <w:rPr>
          <w:rFonts w:ascii="Arial" w:cs="Arial" w:eastAsia="Arial" w:hAnsi="Arial"/>
          <w:sz w:val="17"/>
          <w:szCs w:val="17"/>
          <w:color w:val="auto"/>
        </w:rPr>
        <w:t>10.3</w:t>
      </w:r>
      <w:r>
        <w:rPr>
          <w:sz w:val="20"/>
          <w:szCs w:val="20"/>
          <w:color w:val="auto"/>
        </w:rPr>
        <w:tab/>
      </w:r>
      <w:r>
        <w:rPr>
          <w:rFonts w:ascii="Arial" w:cs="Arial" w:eastAsia="Arial" w:hAnsi="Arial"/>
          <w:sz w:val="17"/>
          <w:szCs w:val="17"/>
          <w:color w:val="auto"/>
        </w:rPr>
        <w:t>Graham Holdings Company Supplemental Executive Retirement Plan as amended and restated effective December 10, 2013 (incorporated by reference to Exhibit 10.3 to Company’s Annual Report on Form 10-K for the fiscal year ended December 31, 2013).*</w:t>
      </w:r>
    </w:p>
    <w:p>
      <w:pPr>
        <w:ind w:left="1080" w:right="220" w:hanging="750"/>
        <w:spacing w:after="0" w:line="265" w:lineRule="auto"/>
        <w:tabs>
          <w:tab w:leader="none" w:pos="1060" w:val="left"/>
        </w:tabs>
        <w:rPr>
          <w:sz w:val="20"/>
          <w:szCs w:val="20"/>
          <w:color w:val="auto"/>
        </w:rPr>
      </w:pPr>
      <w:r>
        <w:rPr>
          <w:rFonts w:ascii="Arial" w:cs="Arial" w:eastAsia="Arial" w:hAnsi="Arial"/>
          <w:sz w:val="17"/>
          <w:szCs w:val="17"/>
          <w:color w:val="auto"/>
        </w:rPr>
        <w:t>10.4</w:t>
      </w:r>
      <w:r>
        <w:rPr>
          <w:sz w:val="20"/>
          <w:szCs w:val="20"/>
          <w:color w:val="auto"/>
        </w:rPr>
        <w:tab/>
      </w:r>
      <w:r>
        <w:rPr>
          <w:rFonts w:ascii="Arial" w:cs="Arial" w:eastAsia="Arial" w:hAnsi="Arial"/>
          <w:sz w:val="17"/>
          <w:szCs w:val="17"/>
          <w:color w:val="auto"/>
        </w:rPr>
        <w:t>Amendment No. 1 to Graham Holdings Company Supplemental Executive Retirement Plan, effective March 31, 2014 (incorporated by reference to Exhibit 10.4 to the Company’s Annual Report on Form 10-K for the fiscal year ended December 31, 2014).*</w:t>
      </w:r>
    </w:p>
    <w:p>
      <w:pPr>
        <w:jc w:val="center"/>
        <w:ind w:right="440"/>
        <w:spacing w:after="0" w:line="265" w:lineRule="auto"/>
        <w:rPr>
          <w:sz w:val="20"/>
          <w:szCs w:val="20"/>
          <w:color w:val="auto"/>
        </w:rPr>
      </w:pPr>
      <w:r>
        <w:rPr>
          <w:rFonts w:ascii="Arial" w:cs="Arial" w:eastAsia="Arial" w:hAnsi="Arial"/>
          <w:sz w:val="17"/>
          <w:szCs w:val="17"/>
          <w:color w:val="auto"/>
        </w:rPr>
        <w:t>10.5     Graham Holdings Company Deferred Compensation Plan as amended and restated effective January 1, 2014 (incorporated by reference to Exhibit 10.4 to Company’s Annual Report on Form 10-K for the fiscal year ended December 31, 2013).*</w:t>
      </w:r>
    </w:p>
    <w:p>
      <w:pPr>
        <w:ind w:left="320"/>
        <w:spacing w:after="0"/>
        <w:tabs>
          <w:tab w:leader="none" w:pos="1060" w:val="left"/>
        </w:tabs>
        <w:rPr>
          <w:sz w:val="20"/>
          <w:szCs w:val="20"/>
          <w:color w:val="auto"/>
        </w:rPr>
      </w:pPr>
      <w:r>
        <w:rPr>
          <w:rFonts w:ascii="Arial" w:cs="Arial" w:eastAsia="Arial" w:hAnsi="Arial"/>
          <w:sz w:val="17"/>
          <w:szCs w:val="17"/>
          <w:color w:val="auto"/>
        </w:rPr>
        <w:t>10.6</w:t>
      </w:r>
      <w:r>
        <w:rPr>
          <w:sz w:val="20"/>
          <w:szCs w:val="20"/>
          <w:color w:val="auto"/>
        </w:rPr>
        <w:tab/>
      </w:r>
      <w:r>
        <w:rPr>
          <w:rFonts w:ascii="Arial" w:cs="Arial" w:eastAsia="Arial" w:hAnsi="Arial"/>
          <w:sz w:val="17"/>
          <w:szCs w:val="17"/>
          <w:color w:val="auto"/>
        </w:rPr>
        <w:t>Letter Agreement between the Company and Timothy J. O’Shaughnessy, dated October 20, 2014 (incorporated by reference to Exhibit</w:t>
      </w:r>
    </w:p>
    <w:p>
      <w:pPr>
        <w:spacing w:after="0" w:line="16" w:lineRule="exact"/>
        <w:rPr>
          <w:sz w:val="20"/>
          <w:szCs w:val="20"/>
          <w:color w:val="auto"/>
        </w:rPr>
      </w:pPr>
    </w:p>
    <w:p>
      <w:pPr>
        <w:ind w:left="1080"/>
        <w:spacing w:after="0"/>
        <w:rPr>
          <w:sz w:val="20"/>
          <w:szCs w:val="20"/>
          <w:color w:val="auto"/>
        </w:rPr>
      </w:pPr>
      <w:r>
        <w:rPr>
          <w:rFonts w:ascii="Arial" w:cs="Arial" w:eastAsia="Arial" w:hAnsi="Arial"/>
          <w:sz w:val="17"/>
          <w:szCs w:val="17"/>
          <w:color w:val="auto"/>
        </w:rPr>
        <w:t>10.6 to the Company’s Annual Report on Form 10-K for the fiscal year ended December 31, 2014).*</w:t>
      </w:r>
    </w:p>
    <w:p>
      <w:pPr>
        <w:spacing w:after="0" w:line="26" w:lineRule="exact"/>
        <w:rPr>
          <w:sz w:val="20"/>
          <w:szCs w:val="20"/>
          <w:color w:val="auto"/>
        </w:rPr>
      </w:pPr>
    </w:p>
    <w:p>
      <w:pPr>
        <w:ind w:left="1080" w:right="280" w:hanging="750"/>
        <w:spacing w:after="0" w:line="265" w:lineRule="auto"/>
        <w:tabs>
          <w:tab w:leader="none" w:pos="1060" w:val="left"/>
        </w:tabs>
        <w:rPr>
          <w:sz w:val="20"/>
          <w:szCs w:val="20"/>
          <w:color w:val="auto"/>
        </w:rPr>
      </w:pPr>
      <w:r>
        <w:rPr>
          <w:rFonts w:ascii="Arial" w:cs="Arial" w:eastAsia="Arial" w:hAnsi="Arial"/>
          <w:sz w:val="17"/>
          <w:szCs w:val="17"/>
          <w:color w:val="auto"/>
        </w:rPr>
        <w:t>10.7</w:t>
      </w:r>
      <w:r>
        <w:rPr>
          <w:sz w:val="20"/>
          <w:szCs w:val="20"/>
          <w:color w:val="auto"/>
        </w:rPr>
        <w:tab/>
      </w:r>
      <w:r>
        <w:rPr>
          <w:rFonts w:ascii="Arial" w:cs="Arial" w:eastAsia="Arial" w:hAnsi="Arial"/>
          <w:sz w:val="17"/>
          <w:szCs w:val="17"/>
          <w:color w:val="auto"/>
        </w:rPr>
        <w:t>Letter Agreement between the Company and Hal S. Jones, dated July 16, 2014 (incorporated by reference to the Company’s Current Report on Form 8-K filed July 16, 2014).*</w:t>
      </w:r>
    </w:p>
    <w:p>
      <w:pPr>
        <w:ind w:left="1080" w:right="600" w:hanging="750"/>
        <w:spacing w:after="0" w:line="265" w:lineRule="auto"/>
        <w:tabs>
          <w:tab w:leader="none" w:pos="1060" w:val="left"/>
        </w:tabs>
        <w:rPr>
          <w:sz w:val="20"/>
          <w:szCs w:val="20"/>
          <w:color w:val="auto"/>
        </w:rPr>
      </w:pPr>
      <w:r>
        <w:rPr>
          <w:rFonts w:ascii="Arial" w:cs="Arial" w:eastAsia="Arial" w:hAnsi="Arial"/>
          <w:sz w:val="17"/>
          <w:szCs w:val="17"/>
          <w:color w:val="auto"/>
        </w:rPr>
        <w:t>10.8</w:t>
      </w:r>
      <w:r>
        <w:rPr>
          <w:sz w:val="20"/>
          <w:szCs w:val="20"/>
          <w:color w:val="auto"/>
        </w:rPr>
        <w:tab/>
      </w:r>
      <w:r>
        <w:rPr>
          <w:rFonts w:ascii="Arial" w:cs="Arial" w:eastAsia="Arial" w:hAnsi="Arial"/>
          <w:sz w:val="17"/>
          <w:szCs w:val="17"/>
          <w:color w:val="auto"/>
        </w:rPr>
        <w:t>Letter Agreement between the Company and Andrew S. Rosen, dated April 7, 2014 (incorporated by reference to the Company’s Quarterly Report on Form 10-Q for the quarter ended March 31, 2015).*</w:t>
      </w:r>
    </w:p>
    <w:p>
      <w:pPr>
        <w:ind w:left="1080" w:right="620" w:hanging="750"/>
        <w:spacing w:after="0" w:line="281" w:lineRule="auto"/>
        <w:tabs>
          <w:tab w:leader="none" w:pos="1060" w:val="left"/>
        </w:tabs>
        <w:rPr>
          <w:sz w:val="20"/>
          <w:szCs w:val="20"/>
          <w:color w:val="auto"/>
        </w:rPr>
      </w:pPr>
      <w:r>
        <w:rPr>
          <w:rFonts w:ascii="Arial" w:cs="Arial" w:eastAsia="Arial" w:hAnsi="Arial"/>
          <w:sz w:val="17"/>
          <w:szCs w:val="17"/>
          <w:color w:val="auto"/>
        </w:rPr>
        <w:t>10.9</w:t>
      </w:r>
      <w:r>
        <w:rPr>
          <w:sz w:val="20"/>
          <w:szCs w:val="20"/>
          <w:color w:val="auto"/>
        </w:rPr>
        <w:tab/>
      </w:r>
      <w:r>
        <w:rPr>
          <w:rFonts w:ascii="Arial" w:cs="Arial" w:eastAsia="Arial" w:hAnsi="Arial"/>
          <w:sz w:val="16"/>
          <w:szCs w:val="16"/>
          <w:color w:val="auto"/>
        </w:rPr>
        <w:t>Tax Matters Agreement, dated as of June 16, 2015 by and between the Company and Cable One, Inc. (incorporated by reference to the Company's Current Report on Form 8-K filed June 17, 2015).</w:t>
      </w:r>
    </w:p>
    <w:p>
      <w:pPr>
        <w:spacing w:after="0" w:line="1" w:lineRule="exact"/>
        <w:rPr>
          <w:sz w:val="20"/>
          <w:szCs w:val="20"/>
          <w:color w:val="auto"/>
        </w:rPr>
      </w:pPr>
    </w:p>
    <w:p>
      <w:pPr>
        <w:ind w:left="460"/>
        <w:spacing w:after="0"/>
        <w:tabs>
          <w:tab w:leader="none" w:pos="1060" w:val="left"/>
        </w:tabs>
        <w:rPr>
          <w:sz w:val="20"/>
          <w:szCs w:val="20"/>
          <w:color w:val="auto"/>
        </w:rPr>
      </w:pPr>
      <w:r>
        <w:rPr>
          <w:rFonts w:ascii="Arial" w:cs="Arial" w:eastAsia="Arial" w:hAnsi="Arial"/>
          <w:sz w:val="17"/>
          <w:szCs w:val="17"/>
          <w:color w:val="auto"/>
        </w:rPr>
        <w:t>21</w:t>
      </w:r>
      <w:r>
        <w:rPr>
          <w:sz w:val="20"/>
          <w:szCs w:val="20"/>
          <w:color w:val="auto"/>
        </w:rPr>
        <w:tab/>
      </w:r>
      <w:r>
        <w:rPr>
          <w:rFonts w:ascii="Arial" w:cs="Arial" w:eastAsia="Arial" w:hAnsi="Arial"/>
          <w:sz w:val="17"/>
          <w:szCs w:val="17"/>
          <w:color w:val="auto"/>
        </w:rPr>
        <w:t>List of subsidiaries of the Company.</w:t>
      </w:r>
    </w:p>
    <w:p>
      <w:pPr>
        <w:spacing w:after="0" w:line="75" w:lineRule="exact"/>
        <w:rPr>
          <w:sz w:val="20"/>
          <w:szCs w:val="20"/>
          <w:color w:val="auto"/>
        </w:rPr>
      </w:pPr>
    </w:p>
    <w:p>
      <w:pPr>
        <w:ind w:left="1080" w:hanging="614"/>
        <w:spacing w:after="0"/>
        <w:tabs>
          <w:tab w:leader="none" w:pos="1080" w:val="left"/>
        </w:tabs>
        <w:numPr>
          <w:ilvl w:val="0"/>
          <w:numId w:val="90"/>
        </w:numPr>
        <w:rPr>
          <w:rFonts w:ascii="Arial" w:cs="Arial" w:eastAsia="Arial" w:hAnsi="Arial"/>
          <w:sz w:val="17"/>
          <w:szCs w:val="17"/>
          <w:color w:val="auto"/>
        </w:rPr>
      </w:pPr>
      <w:r>
        <w:rPr>
          <w:rFonts w:ascii="Arial" w:cs="Arial" w:eastAsia="Arial" w:hAnsi="Arial"/>
          <w:sz w:val="17"/>
          <w:szCs w:val="17"/>
          <w:color w:val="auto"/>
        </w:rPr>
        <w:t>Consent of independent registered public accounting firm.</w:t>
      </w:r>
    </w:p>
    <w:p>
      <w:pPr>
        <w:spacing w:after="0" w:line="74" w:lineRule="exact"/>
        <w:rPr>
          <w:rFonts w:ascii="Arial" w:cs="Arial" w:eastAsia="Arial" w:hAnsi="Arial"/>
          <w:sz w:val="17"/>
          <w:szCs w:val="17"/>
          <w:color w:val="auto"/>
        </w:rPr>
      </w:pPr>
    </w:p>
    <w:p>
      <w:pPr>
        <w:ind w:left="1080" w:hanging="614"/>
        <w:spacing w:after="0"/>
        <w:tabs>
          <w:tab w:leader="none" w:pos="1080" w:val="left"/>
        </w:tabs>
        <w:numPr>
          <w:ilvl w:val="0"/>
          <w:numId w:val="90"/>
        </w:numPr>
        <w:rPr>
          <w:rFonts w:ascii="Arial" w:cs="Arial" w:eastAsia="Arial" w:hAnsi="Arial"/>
          <w:sz w:val="17"/>
          <w:szCs w:val="17"/>
          <w:color w:val="auto"/>
        </w:rPr>
      </w:pPr>
      <w:r>
        <w:rPr>
          <w:rFonts w:ascii="Arial" w:cs="Arial" w:eastAsia="Arial" w:hAnsi="Arial"/>
          <w:sz w:val="17"/>
          <w:szCs w:val="17"/>
          <w:color w:val="auto"/>
        </w:rPr>
        <w:t>Power of attorney dated February 24, 2017.</w:t>
      </w:r>
    </w:p>
    <w:p>
      <w:pPr>
        <w:spacing w:after="0" w:line="75" w:lineRule="exact"/>
        <w:rPr>
          <w:sz w:val="20"/>
          <w:szCs w:val="20"/>
          <w:color w:val="auto"/>
        </w:rPr>
      </w:pPr>
    </w:p>
    <w:p>
      <w:pPr>
        <w:ind w:left="320"/>
        <w:spacing w:after="0"/>
        <w:tabs>
          <w:tab w:leader="none" w:pos="1060" w:val="left"/>
        </w:tabs>
        <w:rPr>
          <w:sz w:val="20"/>
          <w:szCs w:val="20"/>
          <w:color w:val="auto"/>
        </w:rPr>
      </w:pPr>
      <w:r>
        <w:rPr>
          <w:rFonts w:ascii="Arial" w:cs="Arial" w:eastAsia="Arial" w:hAnsi="Arial"/>
          <w:sz w:val="17"/>
          <w:szCs w:val="17"/>
          <w:color w:val="auto"/>
        </w:rPr>
        <w:t>31.1</w:t>
      </w:r>
      <w:r>
        <w:rPr>
          <w:sz w:val="20"/>
          <w:szCs w:val="20"/>
          <w:color w:val="auto"/>
        </w:rPr>
        <w:tab/>
      </w:r>
      <w:r>
        <w:rPr>
          <w:rFonts w:ascii="Arial" w:cs="Arial" w:eastAsia="Arial" w:hAnsi="Arial"/>
          <w:sz w:val="17"/>
          <w:szCs w:val="17"/>
          <w:color w:val="auto"/>
        </w:rPr>
        <w:t>Rule 13a-14(a)/15d-14(a) Certification of the Chief Executive Officer.</w:t>
      </w:r>
    </w:p>
    <w:p>
      <w:pPr>
        <w:spacing w:after="0" w:line="75" w:lineRule="exact"/>
        <w:rPr>
          <w:sz w:val="20"/>
          <w:szCs w:val="20"/>
          <w:color w:val="auto"/>
        </w:rPr>
      </w:pPr>
    </w:p>
    <w:p>
      <w:pPr>
        <w:ind w:left="320"/>
        <w:spacing w:after="0"/>
        <w:tabs>
          <w:tab w:leader="none" w:pos="1060" w:val="left"/>
        </w:tabs>
        <w:rPr>
          <w:sz w:val="20"/>
          <w:szCs w:val="20"/>
          <w:color w:val="auto"/>
        </w:rPr>
      </w:pPr>
      <w:r>
        <w:rPr>
          <w:rFonts w:ascii="Arial" w:cs="Arial" w:eastAsia="Arial" w:hAnsi="Arial"/>
          <w:sz w:val="17"/>
          <w:szCs w:val="17"/>
          <w:color w:val="auto"/>
        </w:rPr>
        <w:t>31.2</w:t>
      </w:r>
      <w:r>
        <w:rPr>
          <w:sz w:val="20"/>
          <w:szCs w:val="20"/>
          <w:color w:val="auto"/>
        </w:rPr>
        <w:tab/>
      </w:r>
      <w:r>
        <w:rPr>
          <w:rFonts w:ascii="Arial" w:cs="Arial" w:eastAsia="Arial" w:hAnsi="Arial"/>
          <w:sz w:val="17"/>
          <w:szCs w:val="17"/>
          <w:color w:val="auto"/>
        </w:rPr>
        <w:t>Rule 13a-14(a)/15d-14(a) Certification of the Chief Financial Officer.</w:t>
      </w:r>
    </w:p>
    <w:p>
      <w:pPr>
        <w:spacing w:after="0" w:line="75" w:lineRule="exact"/>
        <w:rPr>
          <w:sz w:val="20"/>
          <w:szCs w:val="20"/>
          <w:color w:val="auto"/>
        </w:rPr>
      </w:pPr>
    </w:p>
    <w:p>
      <w:pPr>
        <w:ind w:left="460"/>
        <w:spacing w:after="0"/>
        <w:tabs>
          <w:tab w:leader="none" w:pos="1060" w:val="left"/>
        </w:tabs>
        <w:rPr>
          <w:sz w:val="20"/>
          <w:szCs w:val="20"/>
          <w:color w:val="auto"/>
        </w:rPr>
      </w:pPr>
      <w:r>
        <w:rPr>
          <w:rFonts w:ascii="Arial" w:cs="Arial" w:eastAsia="Arial" w:hAnsi="Arial"/>
          <w:sz w:val="17"/>
          <w:szCs w:val="17"/>
          <w:color w:val="auto"/>
        </w:rPr>
        <w:t>32</w:t>
      </w:r>
      <w:r>
        <w:rPr>
          <w:sz w:val="20"/>
          <w:szCs w:val="20"/>
          <w:color w:val="auto"/>
        </w:rPr>
        <w:tab/>
      </w:r>
      <w:r>
        <w:rPr>
          <w:rFonts w:ascii="Arial" w:cs="Arial" w:eastAsia="Arial" w:hAnsi="Arial"/>
          <w:sz w:val="17"/>
          <w:szCs w:val="17"/>
          <w:color w:val="auto"/>
        </w:rPr>
        <w:t>Section 1350 Certification of the Chief Executive Officer and the Chief Financial Officer.</w:t>
      </w:r>
    </w:p>
    <w:p>
      <w:pPr>
        <w:spacing w:after="0" w:line="75" w:lineRule="exact"/>
        <w:rPr>
          <w:sz w:val="20"/>
          <w:szCs w:val="20"/>
          <w:color w:val="auto"/>
        </w:rPr>
      </w:pPr>
    </w:p>
    <w:p>
      <w:pPr>
        <w:ind w:left="1080" w:right="80" w:hanging="709"/>
        <w:spacing w:after="0" w:line="235" w:lineRule="auto"/>
        <w:tabs>
          <w:tab w:leader="none" w:pos="1080" w:val="left"/>
        </w:tabs>
        <w:numPr>
          <w:ilvl w:val="0"/>
          <w:numId w:val="91"/>
        </w:numPr>
        <w:rPr>
          <w:rFonts w:ascii="Arial" w:cs="Arial" w:eastAsia="Arial" w:hAnsi="Arial"/>
          <w:sz w:val="17"/>
          <w:szCs w:val="17"/>
          <w:color w:val="auto"/>
        </w:rPr>
      </w:pPr>
      <w:r>
        <w:rPr>
          <w:rFonts w:ascii="Arial" w:cs="Arial" w:eastAsia="Arial" w:hAnsi="Arial"/>
          <w:sz w:val="17"/>
          <w:szCs w:val="17"/>
          <w:color w:val="auto"/>
        </w:rPr>
        <w:t>The following financial information from Graham Holdings Company Annual Report on Form 10-K for the year ended December 31, 2016, formatted in Extensible Business Reporting Language (XBRL): (i) Consolidated Statements of Operations for the years ended December 31, 2016, 2015 and 2014; (ii) Consolidated Statements of Comprehensive Income for the years ended December 31, 2016, 2015 and 2014; (iii) Consolidated Balance Sheets as of December 31, 2016 and 2015; (iv) Consolidated Statements of Cash Flows for the years ended December 31, 2016, 2015 and 2014; (v) Consolidated Statements of Changes in Common Shareholders’ Equity for the years ended December 31, 2016, 2015 and 2014; and (vi) Notes to Consolidated Financial Statements. Pursuant to Rule 406T of Regulation S-T, these interactive data files are deemed “furnished” and not “filed” or part of a registration statement or prospectus for purposes of Sections 11 or 12 of the Securities Act of 1933, are deemed “furnished” and not “filed” for purposes of Section 18 of the</w:t>
      </w:r>
    </w:p>
    <w:p>
      <w:pPr>
        <w:spacing w:after="0" w:line="3" w:lineRule="exact"/>
        <w:rPr>
          <w:sz w:val="20"/>
          <w:szCs w:val="20"/>
          <w:color w:val="auto"/>
        </w:rPr>
      </w:pPr>
    </w:p>
    <w:p>
      <w:pPr>
        <w:ind w:left="1080"/>
        <w:spacing w:after="0"/>
        <w:rPr>
          <w:sz w:val="20"/>
          <w:szCs w:val="20"/>
          <w:color w:val="auto"/>
        </w:rPr>
      </w:pPr>
      <w:r>
        <w:rPr>
          <w:rFonts w:ascii="Arial" w:cs="Arial" w:eastAsia="Arial" w:hAnsi="Arial"/>
          <w:sz w:val="17"/>
          <w:szCs w:val="17"/>
          <w:color w:val="auto"/>
        </w:rPr>
        <w:t>Securities Exchange Act of 1934, and otherwise are not subject to liability under these sections.</w:t>
      </w:r>
    </w:p>
    <w:p>
      <w:pPr>
        <w:spacing w:after="0" w:line="13" w:lineRule="exact"/>
        <w:rPr>
          <w:sz w:val="20"/>
          <w:szCs w:val="20"/>
          <w:color w:val="auto"/>
        </w:rPr>
      </w:pPr>
    </w:p>
    <w:p>
      <w:pPr>
        <w:spacing w:after="0"/>
        <w:rPr>
          <w:sz w:val="20"/>
          <w:szCs w:val="20"/>
          <w:color w:val="auto"/>
        </w:rPr>
      </w:pPr>
      <w:r>
        <w:rPr>
          <w:rFonts w:ascii="Arial" w:cs="Arial" w:eastAsia="Arial" w:hAnsi="Arial"/>
          <w:sz w:val="5"/>
          <w:szCs w:val="5"/>
          <w:color w:val="auto"/>
        </w:rPr>
        <w:t>___________________________________________</w:t>
      </w:r>
    </w:p>
    <w:p>
      <w:pPr>
        <w:spacing w:after="0" w:line="13" w:lineRule="exact"/>
        <w:rPr>
          <w:sz w:val="20"/>
          <w:szCs w:val="20"/>
          <w:color w:val="auto"/>
        </w:rPr>
      </w:pPr>
    </w:p>
    <w:p>
      <w:pPr>
        <w:spacing w:after="0"/>
        <w:rPr>
          <w:sz w:val="20"/>
          <w:szCs w:val="20"/>
          <w:color w:val="auto"/>
        </w:rPr>
      </w:pPr>
      <w:r>
        <w:rPr>
          <w:rFonts w:ascii="Arial" w:cs="Arial" w:eastAsia="Arial" w:hAnsi="Arial"/>
          <w:sz w:val="14"/>
          <w:szCs w:val="14"/>
          <w:color w:val="auto"/>
        </w:rPr>
        <w:t>*A management contract or compensatory plan or arrangement required to be included as an exhibit hereto pursuant to Item 15(b) of Form 10-K.</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420"/>
          </w:cols>
          <w:pgMar w:left="240" w:top="736" w:right="239" w:bottom="1440" w:gutter="0" w:footer="0" w:header="0"/>
        </w:sectPr>
      </w:pPr>
    </w:p>
    <w:bookmarkStart w:id="120" w:name="page121"/>
    <w:bookmarkEnd w:id="120"/>
    <w:p>
      <w:pPr>
        <w:jc w:val="right"/>
        <w:spacing w:after="0"/>
        <w:rPr>
          <w:sz w:val="20"/>
          <w:szCs w:val="20"/>
          <w:color w:val="auto"/>
        </w:rPr>
      </w:pPr>
      <w:r>
        <w:rPr>
          <w:rFonts w:ascii="Arial" w:cs="Arial" w:eastAsia="Arial" w:hAnsi="Arial"/>
          <w:sz w:val="18"/>
          <w:szCs w:val="18"/>
          <w:color w:val="auto"/>
        </w:rPr>
        <w:t>EXHIBIT 21</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000" w:type="dxa"/>
            <w:vAlign w:val="bottom"/>
            <w:vMerge w:val="restart"/>
          </w:tcPr>
          <w:p>
            <w:pPr>
              <w:ind w:left="20"/>
              <w:spacing w:after="0"/>
              <w:rPr>
                <w:sz w:val="20"/>
                <w:szCs w:val="20"/>
                <w:color w:val="auto"/>
              </w:rPr>
            </w:pPr>
            <w:r>
              <w:rPr>
                <w:rFonts w:ascii="Arial" w:cs="Arial" w:eastAsia="Arial" w:hAnsi="Arial"/>
                <w:sz w:val="14"/>
                <w:szCs w:val="14"/>
                <w:color w:val="auto"/>
              </w:rPr>
              <w:t>Name of Subsidiary</w:t>
            </w:r>
          </w:p>
        </w:tc>
        <w:tc>
          <w:tcPr>
            <w:tcW w:w="2640" w:type="dxa"/>
            <w:vAlign w:val="bottom"/>
          </w:tcPr>
          <w:p>
            <w:pPr>
              <w:ind w:left="720"/>
              <w:spacing w:after="0"/>
              <w:rPr>
                <w:sz w:val="20"/>
                <w:szCs w:val="20"/>
                <w:color w:val="auto"/>
              </w:rPr>
            </w:pPr>
            <w:r>
              <w:rPr>
                <w:rFonts w:ascii="Arial" w:cs="Arial" w:eastAsia="Arial" w:hAnsi="Arial"/>
                <w:sz w:val="14"/>
                <w:szCs w:val="14"/>
                <w:color w:val="auto"/>
              </w:rPr>
              <w:t>Jurisdiction of Incorporation</w:t>
            </w:r>
          </w:p>
        </w:tc>
        <w:tc>
          <w:tcPr>
            <w:tcW w:w="1460" w:type="dxa"/>
            <w:vAlign w:val="bottom"/>
          </w:tcPr>
          <w:p>
            <w:pPr>
              <w:jc w:val="right"/>
              <w:ind w:right="59"/>
              <w:spacing w:after="0"/>
              <w:rPr>
                <w:sz w:val="20"/>
                <w:szCs w:val="20"/>
                <w:color w:val="auto"/>
              </w:rPr>
            </w:pPr>
            <w:r>
              <w:rPr>
                <w:rFonts w:ascii="Arial" w:cs="Arial" w:eastAsia="Arial" w:hAnsi="Arial"/>
                <w:sz w:val="14"/>
                <w:szCs w:val="14"/>
                <w:color w:val="auto"/>
              </w:rPr>
              <w:t>% of Voting Equity</w:t>
            </w: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6000" w:type="dxa"/>
            <w:vAlign w:val="bottom"/>
            <w:vMerge w:val="continue"/>
          </w:tcPr>
          <w:p>
            <w:pPr>
              <w:spacing w:after="0"/>
              <w:rPr>
                <w:sz w:val="9"/>
                <w:szCs w:val="9"/>
                <w:color w:val="auto"/>
              </w:rPr>
            </w:pPr>
          </w:p>
        </w:tc>
        <w:tc>
          <w:tcPr>
            <w:tcW w:w="2640" w:type="dxa"/>
            <w:vAlign w:val="bottom"/>
            <w:vMerge w:val="restart"/>
          </w:tcPr>
          <w:p>
            <w:pPr>
              <w:ind w:left="1120"/>
              <w:spacing w:after="0"/>
              <w:rPr>
                <w:sz w:val="20"/>
                <w:szCs w:val="20"/>
                <w:color w:val="auto"/>
              </w:rPr>
            </w:pPr>
            <w:r>
              <w:rPr>
                <w:rFonts w:ascii="Arial" w:cs="Arial" w:eastAsia="Arial" w:hAnsi="Arial"/>
                <w:sz w:val="14"/>
                <w:szCs w:val="14"/>
                <w:color w:val="auto"/>
              </w:rPr>
              <w:t>or Organization</w:t>
            </w:r>
          </w:p>
        </w:tc>
        <w:tc>
          <w:tcPr>
            <w:tcW w:w="1460" w:type="dxa"/>
            <w:vAlign w:val="bottom"/>
            <w:vMerge w:val="restart"/>
          </w:tcPr>
          <w:p>
            <w:pPr>
              <w:jc w:val="right"/>
              <w:ind w:right="79"/>
              <w:spacing w:after="0"/>
              <w:rPr>
                <w:sz w:val="20"/>
                <w:szCs w:val="20"/>
                <w:color w:val="auto"/>
              </w:rPr>
            </w:pPr>
            <w:r>
              <w:rPr>
                <w:rFonts w:ascii="Arial" w:cs="Arial" w:eastAsia="Arial" w:hAnsi="Arial"/>
                <w:sz w:val="14"/>
                <w:szCs w:val="14"/>
                <w:color w:val="auto"/>
              </w:rPr>
              <w:t>Owned by Parent</w:t>
            </w:r>
          </w:p>
        </w:tc>
        <w:tc>
          <w:tcPr>
            <w:tcW w:w="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5"/>
        </w:trPr>
        <w:tc>
          <w:tcPr>
            <w:tcW w:w="6000" w:type="dxa"/>
            <w:vAlign w:val="bottom"/>
            <w:tcBorders>
              <w:bottom w:val="single" w:sz="8" w:color="auto"/>
            </w:tcBorders>
          </w:tcPr>
          <w:p>
            <w:pPr>
              <w:spacing w:after="0"/>
              <w:rPr>
                <w:sz w:val="7"/>
                <w:szCs w:val="7"/>
                <w:color w:val="auto"/>
              </w:rPr>
            </w:pPr>
          </w:p>
        </w:tc>
        <w:tc>
          <w:tcPr>
            <w:tcW w:w="2640" w:type="dxa"/>
            <w:vAlign w:val="bottom"/>
            <w:tcBorders>
              <w:bottom w:val="single" w:sz="8" w:color="auto"/>
            </w:tcBorders>
            <w:vMerge w:val="continue"/>
          </w:tcPr>
          <w:p>
            <w:pPr>
              <w:spacing w:after="0"/>
              <w:rPr>
                <w:sz w:val="7"/>
                <w:szCs w:val="7"/>
                <w:color w:val="auto"/>
              </w:rPr>
            </w:pPr>
          </w:p>
        </w:tc>
        <w:tc>
          <w:tcPr>
            <w:tcW w:w="1460" w:type="dxa"/>
            <w:vAlign w:val="bottom"/>
            <w:tcBorders>
              <w:bottom w:val="single" w:sz="8" w:color="auto"/>
            </w:tcBorders>
            <w:vMerge w:val="continue"/>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6000" w:type="dxa"/>
            <w:vAlign w:val="bottom"/>
          </w:tcPr>
          <w:p>
            <w:pPr>
              <w:ind w:left="20"/>
              <w:spacing w:after="0"/>
              <w:rPr>
                <w:sz w:val="20"/>
                <w:szCs w:val="20"/>
                <w:color w:val="auto"/>
              </w:rPr>
            </w:pPr>
            <w:r>
              <w:rPr>
                <w:rFonts w:ascii="Arial" w:cs="Arial" w:eastAsia="Arial" w:hAnsi="Arial"/>
                <w:sz w:val="16"/>
                <w:szCs w:val="16"/>
                <w:color w:val="auto"/>
              </w:rPr>
              <w:t>199 Sunbeam Realty, LLC</w:t>
            </w:r>
          </w:p>
        </w:tc>
        <w:tc>
          <w:tcPr>
            <w:tcW w:w="2640" w:type="dxa"/>
            <w:vAlign w:val="bottom"/>
          </w:tcPr>
          <w:p>
            <w:pPr>
              <w:ind w:left="680"/>
              <w:spacing w:after="0"/>
              <w:rPr>
                <w:sz w:val="20"/>
                <w:szCs w:val="20"/>
                <w:color w:val="auto"/>
              </w:rPr>
            </w:pPr>
            <w:r>
              <w:rPr>
                <w:rFonts w:ascii="Arial" w:cs="Arial" w:eastAsia="Arial" w:hAnsi="Arial"/>
                <w:sz w:val="16"/>
                <w:szCs w:val="16"/>
                <w:color w:val="auto"/>
              </w:rPr>
              <w:t>Delaware</w:t>
            </w:r>
          </w:p>
        </w:tc>
        <w:tc>
          <w:tcPr>
            <w:tcW w:w="1460" w:type="dxa"/>
            <w:vAlign w:val="bottom"/>
          </w:tcPr>
          <w:p>
            <w:pPr>
              <w:jc w:val="right"/>
              <w:spacing w:after="0"/>
              <w:rPr>
                <w:sz w:val="20"/>
                <w:szCs w:val="20"/>
                <w:color w:val="auto"/>
              </w:rPr>
            </w:pPr>
            <w:r>
              <w:rPr>
                <w:rFonts w:ascii="Arial" w:cs="Arial" w:eastAsia="Arial" w:hAnsi="Arial"/>
                <w:sz w:val="16"/>
                <w:szCs w:val="16"/>
                <w:color w:val="auto"/>
              </w:rPr>
              <w:t>100%</w:t>
            </w:r>
          </w:p>
        </w:tc>
        <w:tc>
          <w:tcPr>
            <w:tcW w:w="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6000" w:type="dxa"/>
            <w:vAlign w:val="bottom"/>
          </w:tcPr>
          <w:p>
            <w:pPr>
              <w:ind w:left="20"/>
              <w:spacing w:after="0"/>
              <w:rPr>
                <w:sz w:val="20"/>
                <w:szCs w:val="20"/>
                <w:color w:val="auto"/>
              </w:rPr>
            </w:pPr>
            <w:r>
              <w:rPr>
                <w:rFonts w:ascii="Arial" w:cs="Arial" w:eastAsia="Arial" w:hAnsi="Arial"/>
                <w:sz w:val="16"/>
                <w:szCs w:val="16"/>
                <w:color w:val="auto"/>
              </w:rPr>
              <w:t>Cybervista LLC</w:t>
            </w:r>
          </w:p>
        </w:tc>
        <w:tc>
          <w:tcPr>
            <w:tcW w:w="2640" w:type="dxa"/>
            <w:vAlign w:val="bottom"/>
          </w:tcPr>
          <w:p>
            <w:pPr>
              <w:ind w:left="680"/>
              <w:spacing w:after="0"/>
              <w:rPr>
                <w:sz w:val="20"/>
                <w:szCs w:val="20"/>
                <w:color w:val="auto"/>
              </w:rPr>
            </w:pPr>
            <w:r>
              <w:rPr>
                <w:rFonts w:ascii="Arial" w:cs="Arial" w:eastAsia="Arial" w:hAnsi="Arial"/>
                <w:sz w:val="16"/>
                <w:szCs w:val="16"/>
                <w:color w:val="auto"/>
              </w:rPr>
              <w:t>Delaware</w:t>
            </w:r>
          </w:p>
        </w:tc>
        <w:tc>
          <w:tcPr>
            <w:tcW w:w="1460" w:type="dxa"/>
            <w:vAlign w:val="bottom"/>
          </w:tcPr>
          <w:p>
            <w:pPr>
              <w:jc w:val="right"/>
              <w:spacing w:after="0"/>
              <w:rPr>
                <w:sz w:val="20"/>
                <w:szCs w:val="20"/>
                <w:color w:val="auto"/>
              </w:rPr>
            </w:pPr>
            <w:r>
              <w:rPr>
                <w:rFonts w:ascii="Arial" w:cs="Arial" w:eastAsia="Arial" w:hAnsi="Arial"/>
                <w:sz w:val="16"/>
                <w:szCs w:val="16"/>
                <w:color w:val="auto"/>
              </w:rPr>
              <w:t>100%</w:t>
            </w:r>
          </w:p>
        </w:tc>
        <w:tc>
          <w:tcPr>
            <w:tcW w:w="5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000" w:type="dxa"/>
            <w:vAlign w:val="bottom"/>
          </w:tcPr>
          <w:p>
            <w:pPr>
              <w:ind w:left="20"/>
              <w:spacing w:after="0"/>
              <w:rPr>
                <w:sz w:val="20"/>
                <w:szCs w:val="20"/>
                <w:color w:val="auto"/>
              </w:rPr>
            </w:pPr>
            <w:r>
              <w:rPr>
                <w:rFonts w:ascii="Arial" w:cs="Arial" w:eastAsia="Arial" w:hAnsi="Arial"/>
                <w:sz w:val="16"/>
                <w:szCs w:val="16"/>
                <w:color w:val="auto"/>
              </w:rPr>
              <w:t>Dekko Acquisition Parent, Inc.</w:t>
            </w:r>
          </w:p>
        </w:tc>
        <w:tc>
          <w:tcPr>
            <w:tcW w:w="2640" w:type="dxa"/>
            <w:vAlign w:val="bottom"/>
          </w:tcPr>
          <w:p>
            <w:pPr>
              <w:ind w:left="680"/>
              <w:spacing w:after="0"/>
              <w:rPr>
                <w:sz w:val="20"/>
                <w:szCs w:val="20"/>
                <w:color w:val="auto"/>
              </w:rPr>
            </w:pPr>
            <w:r>
              <w:rPr>
                <w:rFonts w:ascii="Arial" w:cs="Arial" w:eastAsia="Arial" w:hAnsi="Arial"/>
                <w:sz w:val="16"/>
                <w:szCs w:val="16"/>
                <w:color w:val="auto"/>
              </w:rPr>
              <w:t>Delaware</w:t>
            </w:r>
          </w:p>
        </w:tc>
        <w:tc>
          <w:tcPr>
            <w:tcW w:w="1460" w:type="dxa"/>
            <w:vAlign w:val="bottom"/>
          </w:tcPr>
          <w:p>
            <w:pPr>
              <w:jc w:val="right"/>
              <w:spacing w:after="0"/>
              <w:rPr>
                <w:sz w:val="20"/>
                <w:szCs w:val="20"/>
                <w:color w:val="auto"/>
              </w:rPr>
            </w:pPr>
            <w:r>
              <w:rPr>
                <w:rFonts w:ascii="Arial" w:cs="Arial" w:eastAsia="Arial" w:hAnsi="Arial"/>
                <w:sz w:val="16"/>
                <w:szCs w:val="16"/>
                <w:color w:val="auto"/>
              </w:rPr>
              <w:t>100%</w:t>
            </w:r>
          </w:p>
        </w:tc>
        <w:tc>
          <w:tcPr>
            <w:tcW w:w="5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000" w:type="dxa"/>
            <w:vAlign w:val="bottom"/>
          </w:tcPr>
          <w:p>
            <w:pPr>
              <w:ind w:left="240"/>
              <w:spacing w:after="0"/>
              <w:rPr>
                <w:sz w:val="20"/>
                <w:szCs w:val="20"/>
                <w:color w:val="auto"/>
              </w:rPr>
            </w:pPr>
            <w:r>
              <w:rPr>
                <w:rFonts w:ascii="Arial" w:cs="Arial" w:eastAsia="Arial" w:hAnsi="Arial"/>
                <w:sz w:val="16"/>
                <w:szCs w:val="16"/>
                <w:color w:val="auto"/>
              </w:rPr>
              <w:t>Group Dekko Holdings, Inc.</w:t>
            </w:r>
          </w:p>
        </w:tc>
        <w:tc>
          <w:tcPr>
            <w:tcW w:w="2640" w:type="dxa"/>
            <w:vAlign w:val="bottom"/>
          </w:tcPr>
          <w:p>
            <w:pPr>
              <w:ind w:left="680"/>
              <w:spacing w:after="0"/>
              <w:rPr>
                <w:sz w:val="20"/>
                <w:szCs w:val="20"/>
                <w:color w:val="auto"/>
              </w:rPr>
            </w:pPr>
            <w:r>
              <w:rPr>
                <w:rFonts w:ascii="Arial" w:cs="Arial" w:eastAsia="Arial" w:hAnsi="Arial"/>
                <w:sz w:val="16"/>
                <w:szCs w:val="16"/>
                <w:color w:val="auto"/>
              </w:rPr>
              <w:t>Delaware</w:t>
            </w:r>
          </w:p>
        </w:tc>
        <w:tc>
          <w:tcPr>
            <w:tcW w:w="1460" w:type="dxa"/>
            <w:vAlign w:val="bottom"/>
          </w:tcPr>
          <w:p>
            <w:pPr>
              <w:jc w:val="right"/>
              <w:spacing w:after="0"/>
              <w:rPr>
                <w:sz w:val="20"/>
                <w:szCs w:val="20"/>
                <w:color w:val="auto"/>
              </w:rPr>
            </w:pPr>
            <w:r>
              <w:rPr>
                <w:rFonts w:ascii="Arial" w:cs="Arial" w:eastAsia="Arial" w:hAnsi="Arial"/>
                <w:sz w:val="16"/>
                <w:szCs w:val="16"/>
                <w:color w:val="auto"/>
              </w:rPr>
              <w:t>100%</w:t>
            </w:r>
          </w:p>
        </w:tc>
        <w:tc>
          <w:tcPr>
            <w:tcW w:w="5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000" w:type="dxa"/>
            <w:vAlign w:val="bottom"/>
          </w:tcPr>
          <w:p>
            <w:pPr>
              <w:ind w:left="300"/>
              <w:spacing w:after="0"/>
              <w:rPr>
                <w:sz w:val="20"/>
                <w:szCs w:val="20"/>
                <w:color w:val="auto"/>
              </w:rPr>
            </w:pPr>
            <w:r>
              <w:rPr>
                <w:rFonts w:ascii="Arial" w:cs="Arial" w:eastAsia="Arial" w:hAnsi="Arial"/>
                <w:sz w:val="16"/>
                <w:szCs w:val="16"/>
                <w:color w:val="auto"/>
              </w:rPr>
              <w:t>Group Dekko, Inc.</w:t>
            </w:r>
          </w:p>
        </w:tc>
        <w:tc>
          <w:tcPr>
            <w:tcW w:w="2640" w:type="dxa"/>
            <w:vAlign w:val="bottom"/>
          </w:tcPr>
          <w:p>
            <w:pPr>
              <w:ind w:left="680"/>
              <w:spacing w:after="0"/>
              <w:rPr>
                <w:sz w:val="20"/>
                <w:szCs w:val="20"/>
                <w:color w:val="auto"/>
              </w:rPr>
            </w:pPr>
            <w:r>
              <w:rPr>
                <w:rFonts w:ascii="Arial" w:cs="Arial" w:eastAsia="Arial" w:hAnsi="Arial"/>
                <w:sz w:val="16"/>
                <w:szCs w:val="16"/>
                <w:color w:val="auto"/>
              </w:rPr>
              <w:t>Indiana</w:t>
            </w:r>
          </w:p>
        </w:tc>
        <w:tc>
          <w:tcPr>
            <w:tcW w:w="1460" w:type="dxa"/>
            <w:vAlign w:val="bottom"/>
          </w:tcPr>
          <w:p>
            <w:pPr>
              <w:jc w:val="right"/>
              <w:spacing w:after="0"/>
              <w:rPr>
                <w:sz w:val="20"/>
                <w:szCs w:val="20"/>
                <w:color w:val="auto"/>
              </w:rPr>
            </w:pPr>
            <w:r>
              <w:rPr>
                <w:rFonts w:ascii="Arial" w:cs="Arial" w:eastAsia="Arial" w:hAnsi="Arial"/>
                <w:sz w:val="16"/>
                <w:szCs w:val="16"/>
                <w:color w:val="auto"/>
              </w:rPr>
              <w:t>100%</w:t>
            </w:r>
          </w:p>
        </w:tc>
        <w:tc>
          <w:tcPr>
            <w:tcW w:w="5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000" w:type="dxa"/>
            <w:vAlign w:val="bottom"/>
          </w:tcPr>
          <w:p>
            <w:pPr>
              <w:ind w:left="480"/>
              <w:spacing w:after="0"/>
              <w:rPr>
                <w:sz w:val="20"/>
                <w:szCs w:val="20"/>
                <w:color w:val="auto"/>
              </w:rPr>
            </w:pPr>
            <w:r>
              <w:rPr>
                <w:rFonts w:ascii="Arial" w:cs="Arial" w:eastAsia="Arial" w:hAnsi="Arial"/>
                <w:sz w:val="16"/>
                <w:szCs w:val="16"/>
                <w:color w:val="auto"/>
              </w:rPr>
              <w:t>Premier Manufacturing Group, Inc. (d/b/a Electri-Cable Assemblies)</w:t>
            </w:r>
          </w:p>
        </w:tc>
        <w:tc>
          <w:tcPr>
            <w:tcW w:w="2640" w:type="dxa"/>
            <w:vAlign w:val="bottom"/>
          </w:tcPr>
          <w:p>
            <w:pPr>
              <w:ind w:left="680"/>
              <w:spacing w:after="0"/>
              <w:rPr>
                <w:sz w:val="20"/>
                <w:szCs w:val="20"/>
                <w:color w:val="auto"/>
              </w:rPr>
            </w:pPr>
            <w:r>
              <w:rPr>
                <w:rFonts w:ascii="Arial" w:cs="Arial" w:eastAsia="Arial" w:hAnsi="Arial"/>
                <w:sz w:val="16"/>
                <w:szCs w:val="16"/>
                <w:color w:val="auto"/>
              </w:rPr>
              <w:t>Connecticut</w:t>
            </w:r>
          </w:p>
        </w:tc>
        <w:tc>
          <w:tcPr>
            <w:tcW w:w="1460" w:type="dxa"/>
            <w:vAlign w:val="bottom"/>
          </w:tcPr>
          <w:p>
            <w:pPr>
              <w:jc w:val="right"/>
              <w:spacing w:after="0"/>
              <w:rPr>
                <w:sz w:val="20"/>
                <w:szCs w:val="20"/>
                <w:color w:val="auto"/>
              </w:rPr>
            </w:pPr>
            <w:r>
              <w:rPr>
                <w:rFonts w:ascii="Arial" w:cs="Arial" w:eastAsia="Arial" w:hAnsi="Arial"/>
                <w:sz w:val="16"/>
                <w:szCs w:val="16"/>
                <w:color w:val="auto"/>
              </w:rPr>
              <w:t>100%</w:t>
            </w:r>
          </w:p>
        </w:tc>
        <w:tc>
          <w:tcPr>
            <w:tcW w:w="5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000" w:type="dxa"/>
            <w:vAlign w:val="bottom"/>
          </w:tcPr>
          <w:p>
            <w:pPr>
              <w:ind w:left="480"/>
              <w:spacing w:after="0"/>
              <w:rPr>
                <w:sz w:val="20"/>
                <w:szCs w:val="20"/>
                <w:color w:val="auto"/>
              </w:rPr>
            </w:pPr>
            <w:r>
              <w:rPr>
                <w:rFonts w:ascii="Arial" w:cs="Arial" w:eastAsia="Arial" w:hAnsi="Arial"/>
                <w:sz w:val="16"/>
                <w:szCs w:val="16"/>
                <w:color w:val="auto"/>
              </w:rPr>
              <w:t>Dekko Global Enterprise LLC</w:t>
            </w:r>
          </w:p>
        </w:tc>
        <w:tc>
          <w:tcPr>
            <w:tcW w:w="2640" w:type="dxa"/>
            <w:vAlign w:val="bottom"/>
          </w:tcPr>
          <w:p>
            <w:pPr>
              <w:ind w:left="680"/>
              <w:spacing w:after="0"/>
              <w:rPr>
                <w:sz w:val="20"/>
                <w:szCs w:val="20"/>
                <w:color w:val="auto"/>
              </w:rPr>
            </w:pPr>
            <w:r>
              <w:rPr>
                <w:rFonts w:ascii="Arial" w:cs="Arial" w:eastAsia="Arial" w:hAnsi="Arial"/>
                <w:sz w:val="16"/>
                <w:szCs w:val="16"/>
                <w:color w:val="auto"/>
              </w:rPr>
              <w:t>Indiana</w:t>
            </w:r>
          </w:p>
        </w:tc>
        <w:tc>
          <w:tcPr>
            <w:tcW w:w="1460" w:type="dxa"/>
            <w:vAlign w:val="bottom"/>
          </w:tcPr>
          <w:p>
            <w:pPr>
              <w:jc w:val="right"/>
              <w:spacing w:after="0"/>
              <w:rPr>
                <w:sz w:val="20"/>
                <w:szCs w:val="20"/>
                <w:color w:val="auto"/>
              </w:rPr>
            </w:pPr>
            <w:r>
              <w:rPr>
                <w:rFonts w:ascii="Arial" w:cs="Arial" w:eastAsia="Arial" w:hAnsi="Arial"/>
                <w:sz w:val="16"/>
                <w:szCs w:val="16"/>
                <w:color w:val="auto"/>
              </w:rPr>
              <w:t>100%</w:t>
            </w:r>
          </w:p>
        </w:tc>
        <w:tc>
          <w:tcPr>
            <w:tcW w:w="5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000" w:type="dxa"/>
            <w:vAlign w:val="bottom"/>
          </w:tcPr>
          <w:p>
            <w:pPr>
              <w:ind w:left="660"/>
              <w:spacing w:after="0"/>
              <w:rPr>
                <w:sz w:val="20"/>
                <w:szCs w:val="20"/>
                <w:color w:val="auto"/>
              </w:rPr>
            </w:pPr>
            <w:r>
              <w:rPr>
                <w:rFonts w:ascii="Arial" w:cs="Arial" w:eastAsia="Arial" w:hAnsi="Arial"/>
                <w:sz w:val="16"/>
                <w:szCs w:val="16"/>
                <w:color w:val="auto"/>
              </w:rPr>
              <w:t>Grupo Dekko Mexico, S.A. de C.V.</w:t>
            </w:r>
          </w:p>
        </w:tc>
        <w:tc>
          <w:tcPr>
            <w:tcW w:w="2640" w:type="dxa"/>
            <w:vAlign w:val="bottom"/>
          </w:tcPr>
          <w:p>
            <w:pPr>
              <w:ind w:left="680"/>
              <w:spacing w:after="0"/>
              <w:rPr>
                <w:sz w:val="20"/>
                <w:szCs w:val="20"/>
                <w:color w:val="auto"/>
              </w:rPr>
            </w:pPr>
            <w:r>
              <w:rPr>
                <w:rFonts w:ascii="Arial" w:cs="Arial" w:eastAsia="Arial" w:hAnsi="Arial"/>
                <w:sz w:val="16"/>
                <w:szCs w:val="16"/>
                <w:color w:val="auto"/>
              </w:rPr>
              <w:t>Mexico</w:t>
            </w:r>
          </w:p>
        </w:tc>
        <w:tc>
          <w:tcPr>
            <w:tcW w:w="1460" w:type="dxa"/>
            <w:vAlign w:val="bottom"/>
          </w:tcPr>
          <w:p>
            <w:pPr>
              <w:jc w:val="right"/>
              <w:spacing w:after="0"/>
              <w:rPr>
                <w:sz w:val="20"/>
                <w:szCs w:val="20"/>
                <w:color w:val="auto"/>
              </w:rPr>
            </w:pPr>
            <w:r>
              <w:rPr>
                <w:rFonts w:ascii="Arial" w:cs="Arial" w:eastAsia="Arial" w:hAnsi="Arial"/>
                <w:sz w:val="16"/>
                <w:szCs w:val="16"/>
                <w:color w:val="auto"/>
              </w:rPr>
              <w:t>100%</w:t>
            </w:r>
          </w:p>
        </w:tc>
        <w:tc>
          <w:tcPr>
            <w:tcW w:w="540" w:type="dxa"/>
            <w:vAlign w:val="bottom"/>
          </w:tcPr>
          <w:p>
            <w:pPr>
              <w:ind w:left="40"/>
              <w:spacing w:after="0"/>
              <w:rPr>
                <w:sz w:val="20"/>
                <w:szCs w:val="20"/>
                <w:color w:val="auto"/>
              </w:rPr>
            </w:pPr>
            <w:r>
              <w:rPr>
                <w:rFonts w:ascii="Arial" w:cs="Arial" w:eastAsia="Arial" w:hAnsi="Arial"/>
                <w:sz w:val="16"/>
                <w:szCs w:val="16"/>
                <w:color w:val="auto"/>
              </w:rPr>
              <w:t>(a)</w:t>
            </w:r>
          </w:p>
        </w:tc>
        <w:tc>
          <w:tcPr>
            <w:tcW w:w="0" w:type="dxa"/>
            <w:vAlign w:val="bottom"/>
          </w:tcPr>
          <w:p>
            <w:pPr>
              <w:spacing w:after="0"/>
              <w:rPr>
                <w:sz w:val="1"/>
                <w:szCs w:val="1"/>
                <w:color w:val="auto"/>
              </w:rPr>
            </w:pPr>
          </w:p>
        </w:tc>
      </w:tr>
      <w:tr>
        <w:trPr>
          <w:trHeight w:val="270"/>
        </w:trPr>
        <w:tc>
          <w:tcPr>
            <w:tcW w:w="6000" w:type="dxa"/>
            <w:vAlign w:val="bottom"/>
          </w:tcPr>
          <w:p>
            <w:pPr>
              <w:ind w:left="20"/>
              <w:spacing w:after="0"/>
              <w:rPr>
                <w:sz w:val="20"/>
                <w:szCs w:val="20"/>
                <w:color w:val="auto"/>
              </w:rPr>
            </w:pPr>
            <w:r>
              <w:rPr>
                <w:rFonts w:ascii="Arial" w:cs="Arial" w:eastAsia="Arial" w:hAnsi="Arial"/>
                <w:sz w:val="16"/>
                <w:szCs w:val="16"/>
                <w:color w:val="auto"/>
              </w:rPr>
              <w:t>Forney Corporation</w:t>
            </w:r>
          </w:p>
        </w:tc>
        <w:tc>
          <w:tcPr>
            <w:tcW w:w="2640" w:type="dxa"/>
            <w:vAlign w:val="bottom"/>
          </w:tcPr>
          <w:p>
            <w:pPr>
              <w:ind w:left="680"/>
              <w:spacing w:after="0"/>
              <w:rPr>
                <w:sz w:val="20"/>
                <w:szCs w:val="20"/>
                <w:color w:val="auto"/>
              </w:rPr>
            </w:pPr>
            <w:r>
              <w:rPr>
                <w:rFonts w:ascii="Arial" w:cs="Arial" w:eastAsia="Arial" w:hAnsi="Arial"/>
                <w:sz w:val="16"/>
                <w:szCs w:val="16"/>
                <w:color w:val="auto"/>
              </w:rPr>
              <w:t>Delaware</w:t>
            </w:r>
          </w:p>
        </w:tc>
        <w:tc>
          <w:tcPr>
            <w:tcW w:w="1460" w:type="dxa"/>
            <w:vAlign w:val="bottom"/>
          </w:tcPr>
          <w:p>
            <w:pPr>
              <w:jc w:val="right"/>
              <w:spacing w:after="0"/>
              <w:rPr>
                <w:sz w:val="20"/>
                <w:szCs w:val="20"/>
                <w:color w:val="auto"/>
              </w:rPr>
            </w:pPr>
            <w:r>
              <w:rPr>
                <w:rFonts w:ascii="Arial" w:cs="Arial" w:eastAsia="Arial" w:hAnsi="Arial"/>
                <w:sz w:val="16"/>
                <w:szCs w:val="16"/>
                <w:color w:val="auto"/>
              </w:rPr>
              <w:t>100%</w:t>
            </w:r>
          </w:p>
        </w:tc>
        <w:tc>
          <w:tcPr>
            <w:tcW w:w="5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000" w:type="dxa"/>
            <w:vAlign w:val="bottom"/>
          </w:tcPr>
          <w:p>
            <w:pPr>
              <w:ind w:left="200"/>
              <w:spacing w:after="0"/>
              <w:rPr>
                <w:sz w:val="20"/>
                <w:szCs w:val="20"/>
                <w:color w:val="auto"/>
              </w:rPr>
            </w:pPr>
            <w:r>
              <w:rPr>
                <w:rFonts w:ascii="Arial" w:cs="Arial" w:eastAsia="Arial" w:hAnsi="Arial"/>
                <w:sz w:val="16"/>
                <w:szCs w:val="16"/>
                <w:color w:val="auto"/>
              </w:rPr>
              <w:t>Forney Maquila, LLC</w:t>
            </w:r>
          </w:p>
        </w:tc>
        <w:tc>
          <w:tcPr>
            <w:tcW w:w="2640" w:type="dxa"/>
            <w:vAlign w:val="bottom"/>
          </w:tcPr>
          <w:p>
            <w:pPr>
              <w:ind w:left="680"/>
              <w:spacing w:after="0"/>
              <w:rPr>
                <w:sz w:val="20"/>
                <w:szCs w:val="20"/>
                <w:color w:val="auto"/>
              </w:rPr>
            </w:pPr>
            <w:r>
              <w:rPr>
                <w:rFonts w:ascii="Arial" w:cs="Arial" w:eastAsia="Arial" w:hAnsi="Arial"/>
                <w:sz w:val="16"/>
                <w:szCs w:val="16"/>
                <w:color w:val="auto"/>
              </w:rPr>
              <w:t>Delaware</w:t>
            </w:r>
          </w:p>
        </w:tc>
        <w:tc>
          <w:tcPr>
            <w:tcW w:w="1460" w:type="dxa"/>
            <w:vAlign w:val="bottom"/>
          </w:tcPr>
          <w:p>
            <w:pPr>
              <w:jc w:val="right"/>
              <w:spacing w:after="0"/>
              <w:rPr>
                <w:sz w:val="20"/>
                <w:szCs w:val="20"/>
                <w:color w:val="auto"/>
              </w:rPr>
            </w:pPr>
            <w:r>
              <w:rPr>
                <w:rFonts w:ascii="Arial" w:cs="Arial" w:eastAsia="Arial" w:hAnsi="Arial"/>
                <w:sz w:val="16"/>
                <w:szCs w:val="16"/>
                <w:color w:val="auto"/>
              </w:rPr>
              <w:t>100%</w:t>
            </w:r>
          </w:p>
        </w:tc>
        <w:tc>
          <w:tcPr>
            <w:tcW w:w="5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000" w:type="dxa"/>
            <w:vAlign w:val="bottom"/>
          </w:tcPr>
          <w:p>
            <w:pPr>
              <w:ind w:left="340"/>
              <w:spacing w:after="0"/>
              <w:rPr>
                <w:sz w:val="20"/>
                <w:szCs w:val="20"/>
                <w:color w:val="auto"/>
              </w:rPr>
            </w:pPr>
            <w:r>
              <w:rPr>
                <w:rFonts w:ascii="Arial" w:cs="Arial" w:eastAsia="Arial" w:hAnsi="Arial"/>
                <w:sz w:val="16"/>
                <w:szCs w:val="16"/>
                <w:color w:val="auto"/>
              </w:rPr>
              <w:t>FMMX S. de R.L. de C.V.</w:t>
            </w:r>
          </w:p>
        </w:tc>
        <w:tc>
          <w:tcPr>
            <w:tcW w:w="2640" w:type="dxa"/>
            <w:vAlign w:val="bottom"/>
          </w:tcPr>
          <w:p>
            <w:pPr>
              <w:ind w:left="680"/>
              <w:spacing w:after="0"/>
              <w:rPr>
                <w:sz w:val="20"/>
                <w:szCs w:val="20"/>
                <w:color w:val="auto"/>
              </w:rPr>
            </w:pPr>
            <w:r>
              <w:rPr>
                <w:rFonts w:ascii="Arial" w:cs="Arial" w:eastAsia="Arial" w:hAnsi="Arial"/>
                <w:sz w:val="16"/>
                <w:szCs w:val="16"/>
                <w:color w:val="auto"/>
              </w:rPr>
              <w:t>Mexico</w:t>
            </w:r>
          </w:p>
        </w:tc>
        <w:tc>
          <w:tcPr>
            <w:tcW w:w="1460" w:type="dxa"/>
            <w:vAlign w:val="bottom"/>
          </w:tcPr>
          <w:p>
            <w:pPr>
              <w:jc w:val="right"/>
              <w:spacing w:after="0"/>
              <w:rPr>
                <w:sz w:val="20"/>
                <w:szCs w:val="20"/>
                <w:color w:val="auto"/>
              </w:rPr>
            </w:pPr>
            <w:r>
              <w:rPr>
                <w:rFonts w:ascii="Arial" w:cs="Arial" w:eastAsia="Arial" w:hAnsi="Arial"/>
                <w:sz w:val="16"/>
                <w:szCs w:val="16"/>
                <w:color w:val="auto"/>
              </w:rPr>
              <w:t>100%</w:t>
            </w:r>
          </w:p>
        </w:tc>
        <w:tc>
          <w:tcPr>
            <w:tcW w:w="540" w:type="dxa"/>
            <w:vAlign w:val="bottom"/>
          </w:tcPr>
          <w:p>
            <w:pPr>
              <w:ind w:left="40"/>
              <w:spacing w:after="0"/>
              <w:rPr>
                <w:sz w:val="20"/>
                <w:szCs w:val="20"/>
                <w:color w:val="auto"/>
              </w:rPr>
            </w:pPr>
            <w:r>
              <w:rPr>
                <w:rFonts w:ascii="Arial" w:cs="Arial" w:eastAsia="Arial" w:hAnsi="Arial"/>
                <w:sz w:val="16"/>
                <w:szCs w:val="16"/>
                <w:color w:val="auto"/>
              </w:rPr>
              <w:t>(b)</w:t>
            </w:r>
          </w:p>
        </w:tc>
        <w:tc>
          <w:tcPr>
            <w:tcW w:w="0" w:type="dxa"/>
            <w:vAlign w:val="bottom"/>
          </w:tcPr>
          <w:p>
            <w:pPr>
              <w:spacing w:after="0"/>
              <w:rPr>
                <w:sz w:val="1"/>
                <w:szCs w:val="1"/>
                <w:color w:val="auto"/>
              </w:rPr>
            </w:pPr>
          </w:p>
        </w:tc>
      </w:tr>
      <w:tr>
        <w:trPr>
          <w:trHeight w:val="270"/>
        </w:trPr>
        <w:tc>
          <w:tcPr>
            <w:tcW w:w="6000" w:type="dxa"/>
            <w:vAlign w:val="bottom"/>
          </w:tcPr>
          <w:p>
            <w:pPr>
              <w:ind w:left="560"/>
              <w:spacing w:after="0"/>
              <w:rPr>
                <w:sz w:val="20"/>
                <w:szCs w:val="20"/>
                <w:color w:val="auto"/>
              </w:rPr>
            </w:pPr>
            <w:r>
              <w:rPr>
                <w:rFonts w:ascii="Arial" w:cs="Arial" w:eastAsia="Arial" w:hAnsi="Arial"/>
                <w:sz w:val="16"/>
                <w:szCs w:val="16"/>
                <w:color w:val="auto"/>
              </w:rPr>
              <w:t>FSM S. de R.L. de C.V</w:t>
            </w:r>
          </w:p>
        </w:tc>
        <w:tc>
          <w:tcPr>
            <w:tcW w:w="2640" w:type="dxa"/>
            <w:vAlign w:val="bottom"/>
          </w:tcPr>
          <w:p>
            <w:pPr>
              <w:ind w:left="680"/>
              <w:spacing w:after="0"/>
              <w:rPr>
                <w:sz w:val="20"/>
                <w:szCs w:val="20"/>
                <w:color w:val="auto"/>
              </w:rPr>
            </w:pPr>
            <w:r>
              <w:rPr>
                <w:rFonts w:ascii="Arial" w:cs="Arial" w:eastAsia="Arial" w:hAnsi="Arial"/>
                <w:sz w:val="16"/>
                <w:szCs w:val="16"/>
                <w:color w:val="auto"/>
              </w:rPr>
              <w:t>Mexico</w:t>
            </w:r>
          </w:p>
        </w:tc>
        <w:tc>
          <w:tcPr>
            <w:tcW w:w="1460" w:type="dxa"/>
            <w:vAlign w:val="bottom"/>
          </w:tcPr>
          <w:p>
            <w:pPr>
              <w:jc w:val="right"/>
              <w:spacing w:after="0"/>
              <w:rPr>
                <w:sz w:val="20"/>
                <w:szCs w:val="20"/>
                <w:color w:val="auto"/>
              </w:rPr>
            </w:pPr>
            <w:r>
              <w:rPr>
                <w:rFonts w:ascii="Arial" w:cs="Arial" w:eastAsia="Arial" w:hAnsi="Arial"/>
                <w:sz w:val="16"/>
                <w:szCs w:val="16"/>
                <w:color w:val="auto"/>
              </w:rPr>
              <w:t>100%</w:t>
            </w:r>
          </w:p>
        </w:tc>
        <w:tc>
          <w:tcPr>
            <w:tcW w:w="540" w:type="dxa"/>
            <w:vAlign w:val="bottom"/>
          </w:tcPr>
          <w:p>
            <w:pPr>
              <w:ind w:left="40"/>
              <w:spacing w:after="0"/>
              <w:rPr>
                <w:sz w:val="20"/>
                <w:szCs w:val="20"/>
                <w:color w:val="auto"/>
              </w:rPr>
            </w:pPr>
            <w:r>
              <w:rPr>
                <w:rFonts w:ascii="Arial" w:cs="Arial" w:eastAsia="Arial" w:hAnsi="Arial"/>
                <w:sz w:val="16"/>
                <w:szCs w:val="16"/>
                <w:color w:val="auto"/>
              </w:rPr>
              <w:t>(c)</w:t>
            </w:r>
          </w:p>
        </w:tc>
        <w:tc>
          <w:tcPr>
            <w:tcW w:w="0" w:type="dxa"/>
            <w:vAlign w:val="bottom"/>
          </w:tcPr>
          <w:p>
            <w:pPr>
              <w:spacing w:after="0"/>
              <w:rPr>
                <w:sz w:val="1"/>
                <w:szCs w:val="1"/>
                <w:color w:val="auto"/>
              </w:rPr>
            </w:pPr>
          </w:p>
        </w:tc>
      </w:tr>
      <w:tr>
        <w:trPr>
          <w:trHeight w:val="270"/>
        </w:trPr>
        <w:tc>
          <w:tcPr>
            <w:tcW w:w="6000" w:type="dxa"/>
            <w:vAlign w:val="bottom"/>
          </w:tcPr>
          <w:p>
            <w:pPr>
              <w:ind w:left="20"/>
              <w:spacing w:after="0"/>
              <w:rPr>
                <w:sz w:val="20"/>
                <w:szCs w:val="20"/>
                <w:color w:val="auto"/>
              </w:rPr>
            </w:pPr>
            <w:r>
              <w:rPr>
                <w:rFonts w:ascii="Arial" w:cs="Arial" w:eastAsia="Arial" w:hAnsi="Arial"/>
                <w:sz w:val="16"/>
                <w:szCs w:val="16"/>
                <w:color w:val="auto"/>
              </w:rPr>
              <w:t>Graham Media Group, Inc.</w:t>
            </w:r>
          </w:p>
        </w:tc>
        <w:tc>
          <w:tcPr>
            <w:tcW w:w="2640" w:type="dxa"/>
            <w:vAlign w:val="bottom"/>
          </w:tcPr>
          <w:p>
            <w:pPr>
              <w:ind w:left="680"/>
              <w:spacing w:after="0"/>
              <w:rPr>
                <w:sz w:val="20"/>
                <w:szCs w:val="20"/>
                <w:color w:val="auto"/>
              </w:rPr>
            </w:pPr>
            <w:r>
              <w:rPr>
                <w:rFonts w:ascii="Arial" w:cs="Arial" w:eastAsia="Arial" w:hAnsi="Arial"/>
                <w:sz w:val="16"/>
                <w:szCs w:val="16"/>
                <w:color w:val="auto"/>
              </w:rPr>
              <w:t>Delaware</w:t>
            </w:r>
          </w:p>
        </w:tc>
        <w:tc>
          <w:tcPr>
            <w:tcW w:w="1460" w:type="dxa"/>
            <w:vAlign w:val="bottom"/>
          </w:tcPr>
          <w:p>
            <w:pPr>
              <w:jc w:val="right"/>
              <w:spacing w:after="0"/>
              <w:rPr>
                <w:sz w:val="20"/>
                <w:szCs w:val="20"/>
                <w:color w:val="auto"/>
              </w:rPr>
            </w:pPr>
            <w:r>
              <w:rPr>
                <w:rFonts w:ascii="Arial" w:cs="Arial" w:eastAsia="Arial" w:hAnsi="Arial"/>
                <w:sz w:val="16"/>
                <w:szCs w:val="16"/>
                <w:color w:val="auto"/>
              </w:rPr>
              <w:t>100%</w:t>
            </w:r>
          </w:p>
        </w:tc>
        <w:tc>
          <w:tcPr>
            <w:tcW w:w="5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000" w:type="dxa"/>
            <w:vAlign w:val="bottom"/>
          </w:tcPr>
          <w:p>
            <w:pPr>
              <w:ind w:left="240"/>
              <w:spacing w:after="0"/>
              <w:rPr>
                <w:sz w:val="20"/>
                <w:szCs w:val="20"/>
                <w:color w:val="auto"/>
              </w:rPr>
            </w:pPr>
            <w:r>
              <w:rPr>
                <w:rFonts w:ascii="Arial" w:cs="Arial" w:eastAsia="Arial" w:hAnsi="Arial"/>
                <w:sz w:val="16"/>
                <w:szCs w:val="16"/>
                <w:color w:val="auto"/>
              </w:rPr>
              <w:t>Graham Media Group, Florida, Inc.</w:t>
            </w:r>
          </w:p>
        </w:tc>
        <w:tc>
          <w:tcPr>
            <w:tcW w:w="2640" w:type="dxa"/>
            <w:vAlign w:val="bottom"/>
          </w:tcPr>
          <w:p>
            <w:pPr>
              <w:ind w:left="680"/>
              <w:spacing w:after="0"/>
              <w:rPr>
                <w:sz w:val="20"/>
                <w:szCs w:val="20"/>
                <w:color w:val="auto"/>
              </w:rPr>
            </w:pPr>
            <w:r>
              <w:rPr>
                <w:rFonts w:ascii="Arial" w:cs="Arial" w:eastAsia="Arial" w:hAnsi="Arial"/>
                <w:sz w:val="16"/>
                <w:szCs w:val="16"/>
                <w:color w:val="auto"/>
              </w:rPr>
              <w:t>Florida</w:t>
            </w:r>
          </w:p>
        </w:tc>
        <w:tc>
          <w:tcPr>
            <w:tcW w:w="1460" w:type="dxa"/>
            <w:vAlign w:val="bottom"/>
          </w:tcPr>
          <w:p>
            <w:pPr>
              <w:jc w:val="right"/>
              <w:spacing w:after="0"/>
              <w:rPr>
                <w:sz w:val="20"/>
                <w:szCs w:val="20"/>
                <w:color w:val="auto"/>
              </w:rPr>
            </w:pPr>
            <w:r>
              <w:rPr>
                <w:rFonts w:ascii="Arial" w:cs="Arial" w:eastAsia="Arial" w:hAnsi="Arial"/>
                <w:sz w:val="16"/>
                <w:szCs w:val="16"/>
                <w:color w:val="auto"/>
              </w:rPr>
              <w:t>100%</w:t>
            </w:r>
          </w:p>
        </w:tc>
        <w:tc>
          <w:tcPr>
            <w:tcW w:w="5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000" w:type="dxa"/>
            <w:vAlign w:val="bottom"/>
          </w:tcPr>
          <w:p>
            <w:pPr>
              <w:ind w:left="240"/>
              <w:spacing w:after="0"/>
              <w:rPr>
                <w:sz w:val="20"/>
                <w:szCs w:val="20"/>
                <w:color w:val="auto"/>
              </w:rPr>
            </w:pPr>
            <w:r>
              <w:rPr>
                <w:rFonts w:ascii="Arial" w:cs="Arial" w:eastAsia="Arial" w:hAnsi="Arial"/>
                <w:sz w:val="16"/>
                <w:szCs w:val="16"/>
                <w:color w:val="auto"/>
              </w:rPr>
              <w:t>Graham Media Group, Houston, Inc</w:t>
            </w:r>
          </w:p>
        </w:tc>
        <w:tc>
          <w:tcPr>
            <w:tcW w:w="2640" w:type="dxa"/>
            <w:vAlign w:val="bottom"/>
          </w:tcPr>
          <w:p>
            <w:pPr>
              <w:ind w:left="680"/>
              <w:spacing w:after="0"/>
              <w:rPr>
                <w:sz w:val="20"/>
                <w:szCs w:val="20"/>
                <w:color w:val="auto"/>
              </w:rPr>
            </w:pPr>
            <w:r>
              <w:rPr>
                <w:rFonts w:ascii="Arial" w:cs="Arial" w:eastAsia="Arial" w:hAnsi="Arial"/>
                <w:sz w:val="16"/>
                <w:szCs w:val="16"/>
                <w:color w:val="auto"/>
              </w:rPr>
              <w:t>Delaware</w:t>
            </w:r>
          </w:p>
        </w:tc>
        <w:tc>
          <w:tcPr>
            <w:tcW w:w="1460" w:type="dxa"/>
            <w:vAlign w:val="bottom"/>
          </w:tcPr>
          <w:p>
            <w:pPr>
              <w:jc w:val="right"/>
              <w:spacing w:after="0"/>
              <w:rPr>
                <w:sz w:val="20"/>
                <w:szCs w:val="20"/>
                <w:color w:val="auto"/>
              </w:rPr>
            </w:pPr>
            <w:r>
              <w:rPr>
                <w:rFonts w:ascii="Arial" w:cs="Arial" w:eastAsia="Arial" w:hAnsi="Arial"/>
                <w:sz w:val="16"/>
                <w:szCs w:val="16"/>
                <w:color w:val="auto"/>
              </w:rPr>
              <w:t>100%</w:t>
            </w:r>
          </w:p>
        </w:tc>
        <w:tc>
          <w:tcPr>
            <w:tcW w:w="5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000" w:type="dxa"/>
            <w:vAlign w:val="bottom"/>
          </w:tcPr>
          <w:p>
            <w:pPr>
              <w:ind w:left="240"/>
              <w:spacing w:after="0"/>
              <w:rPr>
                <w:sz w:val="20"/>
                <w:szCs w:val="20"/>
                <w:color w:val="auto"/>
              </w:rPr>
            </w:pPr>
            <w:r>
              <w:rPr>
                <w:rFonts w:ascii="Arial" w:cs="Arial" w:eastAsia="Arial" w:hAnsi="Arial"/>
                <w:sz w:val="16"/>
                <w:szCs w:val="16"/>
                <w:color w:val="auto"/>
              </w:rPr>
              <w:t>Graham Media Group, Michigan, Inc.</w:t>
            </w:r>
          </w:p>
        </w:tc>
        <w:tc>
          <w:tcPr>
            <w:tcW w:w="2640" w:type="dxa"/>
            <w:vAlign w:val="bottom"/>
          </w:tcPr>
          <w:p>
            <w:pPr>
              <w:ind w:left="680"/>
              <w:spacing w:after="0"/>
              <w:rPr>
                <w:sz w:val="20"/>
                <w:szCs w:val="20"/>
                <w:color w:val="auto"/>
              </w:rPr>
            </w:pPr>
            <w:r>
              <w:rPr>
                <w:rFonts w:ascii="Arial" w:cs="Arial" w:eastAsia="Arial" w:hAnsi="Arial"/>
                <w:sz w:val="16"/>
                <w:szCs w:val="16"/>
                <w:color w:val="auto"/>
              </w:rPr>
              <w:t>Delaware</w:t>
            </w:r>
          </w:p>
        </w:tc>
        <w:tc>
          <w:tcPr>
            <w:tcW w:w="1460" w:type="dxa"/>
            <w:vAlign w:val="bottom"/>
          </w:tcPr>
          <w:p>
            <w:pPr>
              <w:jc w:val="right"/>
              <w:spacing w:after="0"/>
              <w:rPr>
                <w:sz w:val="20"/>
                <w:szCs w:val="20"/>
                <w:color w:val="auto"/>
              </w:rPr>
            </w:pPr>
            <w:r>
              <w:rPr>
                <w:rFonts w:ascii="Arial" w:cs="Arial" w:eastAsia="Arial" w:hAnsi="Arial"/>
                <w:sz w:val="16"/>
                <w:szCs w:val="16"/>
                <w:color w:val="auto"/>
              </w:rPr>
              <w:t>100%</w:t>
            </w:r>
          </w:p>
        </w:tc>
        <w:tc>
          <w:tcPr>
            <w:tcW w:w="5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000" w:type="dxa"/>
            <w:vAlign w:val="bottom"/>
          </w:tcPr>
          <w:p>
            <w:pPr>
              <w:ind w:left="240"/>
              <w:spacing w:after="0"/>
              <w:rPr>
                <w:sz w:val="20"/>
                <w:szCs w:val="20"/>
                <w:color w:val="auto"/>
              </w:rPr>
            </w:pPr>
            <w:r>
              <w:rPr>
                <w:rFonts w:ascii="Arial" w:cs="Arial" w:eastAsia="Arial" w:hAnsi="Arial"/>
                <w:sz w:val="16"/>
                <w:szCs w:val="16"/>
                <w:color w:val="auto"/>
              </w:rPr>
              <w:t>Graham Media Group, Orlando, Inc.</w:t>
            </w:r>
          </w:p>
        </w:tc>
        <w:tc>
          <w:tcPr>
            <w:tcW w:w="2640" w:type="dxa"/>
            <w:vAlign w:val="bottom"/>
          </w:tcPr>
          <w:p>
            <w:pPr>
              <w:ind w:left="680"/>
              <w:spacing w:after="0"/>
              <w:rPr>
                <w:sz w:val="20"/>
                <w:szCs w:val="20"/>
                <w:color w:val="auto"/>
              </w:rPr>
            </w:pPr>
            <w:r>
              <w:rPr>
                <w:rFonts w:ascii="Arial" w:cs="Arial" w:eastAsia="Arial" w:hAnsi="Arial"/>
                <w:sz w:val="16"/>
                <w:szCs w:val="16"/>
                <w:color w:val="auto"/>
              </w:rPr>
              <w:t>Delaware</w:t>
            </w:r>
          </w:p>
        </w:tc>
        <w:tc>
          <w:tcPr>
            <w:tcW w:w="1460" w:type="dxa"/>
            <w:vAlign w:val="bottom"/>
          </w:tcPr>
          <w:p>
            <w:pPr>
              <w:jc w:val="right"/>
              <w:spacing w:after="0"/>
              <w:rPr>
                <w:sz w:val="20"/>
                <w:szCs w:val="20"/>
                <w:color w:val="auto"/>
              </w:rPr>
            </w:pPr>
            <w:r>
              <w:rPr>
                <w:rFonts w:ascii="Arial" w:cs="Arial" w:eastAsia="Arial" w:hAnsi="Arial"/>
                <w:sz w:val="16"/>
                <w:szCs w:val="16"/>
                <w:color w:val="auto"/>
              </w:rPr>
              <w:t>100%</w:t>
            </w:r>
          </w:p>
        </w:tc>
        <w:tc>
          <w:tcPr>
            <w:tcW w:w="5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000" w:type="dxa"/>
            <w:vAlign w:val="bottom"/>
          </w:tcPr>
          <w:p>
            <w:pPr>
              <w:ind w:left="240"/>
              <w:spacing w:after="0"/>
              <w:rPr>
                <w:sz w:val="20"/>
                <w:szCs w:val="20"/>
                <w:color w:val="auto"/>
              </w:rPr>
            </w:pPr>
            <w:r>
              <w:rPr>
                <w:rFonts w:ascii="Arial" w:cs="Arial" w:eastAsia="Arial" w:hAnsi="Arial"/>
                <w:sz w:val="16"/>
                <w:szCs w:val="16"/>
                <w:color w:val="auto"/>
              </w:rPr>
              <w:t>Graham Media Group, San Antonio, Inc.</w:t>
            </w:r>
          </w:p>
        </w:tc>
        <w:tc>
          <w:tcPr>
            <w:tcW w:w="2640" w:type="dxa"/>
            <w:vAlign w:val="bottom"/>
          </w:tcPr>
          <w:p>
            <w:pPr>
              <w:ind w:left="680"/>
              <w:spacing w:after="0"/>
              <w:rPr>
                <w:sz w:val="20"/>
                <w:szCs w:val="20"/>
                <w:color w:val="auto"/>
              </w:rPr>
            </w:pPr>
            <w:r>
              <w:rPr>
                <w:rFonts w:ascii="Arial" w:cs="Arial" w:eastAsia="Arial" w:hAnsi="Arial"/>
                <w:sz w:val="16"/>
                <w:szCs w:val="16"/>
                <w:color w:val="auto"/>
              </w:rPr>
              <w:t>Delaware</w:t>
            </w:r>
          </w:p>
        </w:tc>
        <w:tc>
          <w:tcPr>
            <w:tcW w:w="1460" w:type="dxa"/>
            <w:vAlign w:val="bottom"/>
          </w:tcPr>
          <w:p>
            <w:pPr>
              <w:jc w:val="right"/>
              <w:spacing w:after="0"/>
              <w:rPr>
                <w:sz w:val="20"/>
                <w:szCs w:val="20"/>
                <w:color w:val="auto"/>
              </w:rPr>
            </w:pPr>
            <w:r>
              <w:rPr>
                <w:rFonts w:ascii="Arial" w:cs="Arial" w:eastAsia="Arial" w:hAnsi="Arial"/>
                <w:sz w:val="16"/>
                <w:szCs w:val="16"/>
                <w:color w:val="auto"/>
              </w:rPr>
              <w:t>100%</w:t>
            </w:r>
          </w:p>
        </w:tc>
        <w:tc>
          <w:tcPr>
            <w:tcW w:w="5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000" w:type="dxa"/>
            <w:vAlign w:val="bottom"/>
          </w:tcPr>
          <w:p>
            <w:pPr>
              <w:ind w:left="240"/>
              <w:spacing w:after="0"/>
              <w:rPr>
                <w:sz w:val="20"/>
                <w:szCs w:val="20"/>
                <w:color w:val="auto"/>
              </w:rPr>
            </w:pPr>
            <w:r>
              <w:rPr>
                <w:rFonts w:ascii="Arial" w:cs="Arial" w:eastAsia="Arial" w:hAnsi="Arial"/>
                <w:sz w:val="16"/>
                <w:szCs w:val="16"/>
                <w:color w:val="auto"/>
              </w:rPr>
              <w:t>Graham Media Group, Virginia, LLC</w:t>
            </w:r>
          </w:p>
        </w:tc>
        <w:tc>
          <w:tcPr>
            <w:tcW w:w="2640" w:type="dxa"/>
            <w:vAlign w:val="bottom"/>
          </w:tcPr>
          <w:p>
            <w:pPr>
              <w:ind w:left="680"/>
              <w:spacing w:after="0"/>
              <w:rPr>
                <w:sz w:val="20"/>
                <w:szCs w:val="20"/>
                <w:color w:val="auto"/>
              </w:rPr>
            </w:pPr>
            <w:r>
              <w:rPr>
                <w:rFonts w:ascii="Arial" w:cs="Arial" w:eastAsia="Arial" w:hAnsi="Arial"/>
                <w:sz w:val="16"/>
                <w:szCs w:val="16"/>
                <w:color w:val="auto"/>
              </w:rPr>
              <w:t>Virginia</w:t>
            </w:r>
          </w:p>
        </w:tc>
        <w:tc>
          <w:tcPr>
            <w:tcW w:w="1460" w:type="dxa"/>
            <w:vAlign w:val="bottom"/>
          </w:tcPr>
          <w:p>
            <w:pPr>
              <w:jc w:val="right"/>
              <w:spacing w:after="0"/>
              <w:rPr>
                <w:sz w:val="20"/>
                <w:szCs w:val="20"/>
                <w:color w:val="auto"/>
              </w:rPr>
            </w:pPr>
            <w:r>
              <w:rPr>
                <w:rFonts w:ascii="Arial" w:cs="Arial" w:eastAsia="Arial" w:hAnsi="Arial"/>
                <w:sz w:val="16"/>
                <w:szCs w:val="16"/>
                <w:color w:val="auto"/>
              </w:rPr>
              <w:t>100%</w:t>
            </w:r>
          </w:p>
        </w:tc>
        <w:tc>
          <w:tcPr>
            <w:tcW w:w="5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000" w:type="dxa"/>
            <w:vAlign w:val="bottom"/>
          </w:tcPr>
          <w:p>
            <w:pPr>
              <w:ind w:left="240"/>
              <w:spacing w:after="0"/>
              <w:rPr>
                <w:sz w:val="20"/>
                <w:szCs w:val="20"/>
                <w:color w:val="auto"/>
              </w:rPr>
            </w:pPr>
            <w:r>
              <w:rPr>
                <w:rFonts w:ascii="Arial" w:cs="Arial" w:eastAsia="Arial" w:hAnsi="Arial"/>
                <w:sz w:val="16"/>
                <w:szCs w:val="16"/>
                <w:color w:val="auto"/>
              </w:rPr>
              <w:t>SocialNewsDesk</w:t>
            </w:r>
          </w:p>
        </w:tc>
        <w:tc>
          <w:tcPr>
            <w:tcW w:w="2640" w:type="dxa"/>
            <w:vAlign w:val="bottom"/>
          </w:tcPr>
          <w:p>
            <w:pPr>
              <w:ind w:left="680"/>
              <w:spacing w:after="0"/>
              <w:rPr>
                <w:sz w:val="20"/>
                <w:szCs w:val="20"/>
                <w:color w:val="auto"/>
              </w:rPr>
            </w:pPr>
            <w:r>
              <w:rPr>
                <w:rFonts w:ascii="Arial" w:cs="Arial" w:eastAsia="Arial" w:hAnsi="Arial"/>
                <w:sz w:val="16"/>
                <w:szCs w:val="16"/>
                <w:color w:val="auto"/>
              </w:rPr>
              <w:t>Florida</w:t>
            </w:r>
          </w:p>
        </w:tc>
        <w:tc>
          <w:tcPr>
            <w:tcW w:w="1460" w:type="dxa"/>
            <w:vAlign w:val="bottom"/>
          </w:tcPr>
          <w:p>
            <w:pPr>
              <w:jc w:val="right"/>
              <w:spacing w:after="0"/>
              <w:rPr>
                <w:sz w:val="20"/>
                <w:szCs w:val="20"/>
                <w:color w:val="auto"/>
              </w:rPr>
            </w:pPr>
            <w:r>
              <w:rPr>
                <w:rFonts w:ascii="Arial" w:cs="Arial" w:eastAsia="Arial" w:hAnsi="Arial"/>
                <w:sz w:val="16"/>
                <w:szCs w:val="16"/>
                <w:color w:val="auto"/>
              </w:rPr>
              <w:t>100%</w:t>
            </w:r>
          </w:p>
        </w:tc>
        <w:tc>
          <w:tcPr>
            <w:tcW w:w="5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000" w:type="dxa"/>
            <w:vAlign w:val="bottom"/>
          </w:tcPr>
          <w:p>
            <w:pPr>
              <w:ind w:left="20"/>
              <w:spacing w:after="0"/>
              <w:rPr>
                <w:sz w:val="20"/>
                <w:szCs w:val="20"/>
                <w:color w:val="auto"/>
              </w:rPr>
            </w:pPr>
            <w:r>
              <w:rPr>
                <w:rFonts w:ascii="Arial" w:cs="Arial" w:eastAsia="Arial" w:hAnsi="Arial"/>
                <w:sz w:val="16"/>
                <w:szCs w:val="16"/>
                <w:color w:val="auto"/>
              </w:rPr>
              <w:t>Joyce/Dayton Corporation</w:t>
            </w:r>
          </w:p>
        </w:tc>
        <w:tc>
          <w:tcPr>
            <w:tcW w:w="2640" w:type="dxa"/>
            <w:vAlign w:val="bottom"/>
          </w:tcPr>
          <w:p>
            <w:pPr>
              <w:ind w:left="680"/>
              <w:spacing w:after="0"/>
              <w:rPr>
                <w:sz w:val="20"/>
                <w:szCs w:val="20"/>
                <w:color w:val="auto"/>
              </w:rPr>
            </w:pPr>
            <w:r>
              <w:rPr>
                <w:rFonts w:ascii="Arial" w:cs="Arial" w:eastAsia="Arial" w:hAnsi="Arial"/>
                <w:sz w:val="16"/>
                <w:szCs w:val="16"/>
                <w:color w:val="auto"/>
              </w:rPr>
              <w:t>Ohio</w:t>
            </w:r>
          </w:p>
        </w:tc>
        <w:tc>
          <w:tcPr>
            <w:tcW w:w="1460" w:type="dxa"/>
            <w:vAlign w:val="bottom"/>
          </w:tcPr>
          <w:p>
            <w:pPr>
              <w:jc w:val="right"/>
              <w:spacing w:after="0"/>
              <w:rPr>
                <w:sz w:val="20"/>
                <w:szCs w:val="20"/>
                <w:color w:val="auto"/>
              </w:rPr>
            </w:pPr>
            <w:r>
              <w:rPr>
                <w:rFonts w:ascii="Arial" w:cs="Arial" w:eastAsia="Arial" w:hAnsi="Arial"/>
                <w:sz w:val="16"/>
                <w:szCs w:val="16"/>
                <w:color w:val="auto"/>
              </w:rPr>
              <w:t>100%</w:t>
            </w:r>
          </w:p>
        </w:tc>
        <w:tc>
          <w:tcPr>
            <w:tcW w:w="5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000" w:type="dxa"/>
            <w:vAlign w:val="bottom"/>
          </w:tcPr>
          <w:p>
            <w:pPr>
              <w:ind w:left="240"/>
              <w:spacing w:after="0"/>
              <w:rPr>
                <w:sz w:val="20"/>
                <w:szCs w:val="20"/>
                <w:color w:val="auto"/>
              </w:rPr>
            </w:pPr>
            <w:r>
              <w:rPr>
                <w:rFonts w:ascii="Arial" w:cs="Arial" w:eastAsia="Arial" w:hAnsi="Arial"/>
                <w:sz w:val="16"/>
                <w:szCs w:val="16"/>
                <w:color w:val="auto"/>
              </w:rPr>
              <w:t>EDrive Actuators, Inc.</w:t>
            </w:r>
          </w:p>
        </w:tc>
        <w:tc>
          <w:tcPr>
            <w:tcW w:w="2640" w:type="dxa"/>
            <w:vAlign w:val="bottom"/>
          </w:tcPr>
          <w:p>
            <w:pPr>
              <w:ind w:left="680"/>
              <w:spacing w:after="0"/>
              <w:rPr>
                <w:sz w:val="20"/>
                <w:szCs w:val="20"/>
                <w:color w:val="auto"/>
              </w:rPr>
            </w:pPr>
            <w:r>
              <w:rPr>
                <w:rFonts w:ascii="Arial" w:cs="Arial" w:eastAsia="Arial" w:hAnsi="Arial"/>
                <w:sz w:val="16"/>
                <w:szCs w:val="16"/>
                <w:color w:val="auto"/>
              </w:rPr>
              <w:t>Connecticut</w:t>
            </w:r>
          </w:p>
        </w:tc>
        <w:tc>
          <w:tcPr>
            <w:tcW w:w="1460" w:type="dxa"/>
            <w:vAlign w:val="bottom"/>
          </w:tcPr>
          <w:p>
            <w:pPr>
              <w:jc w:val="right"/>
              <w:spacing w:after="0"/>
              <w:rPr>
                <w:sz w:val="20"/>
                <w:szCs w:val="20"/>
                <w:color w:val="auto"/>
              </w:rPr>
            </w:pPr>
            <w:r>
              <w:rPr>
                <w:rFonts w:ascii="Arial" w:cs="Arial" w:eastAsia="Arial" w:hAnsi="Arial"/>
                <w:sz w:val="16"/>
                <w:szCs w:val="16"/>
                <w:color w:val="auto"/>
              </w:rPr>
              <w:t>100%</w:t>
            </w:r>
          </w:p>
        </w:tc>
        <w:tc>
          <w:tcPr>
            <w:tcW w:w="5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000" w:type="dxa"/>
            <w:vAlign w:val="bottom"/>
          </w:tcPr>
          <w:p>
            <w:pPr>
              <w:ind w:left="240"/>
              <w:spacing w:after="0"/>
              <w:rPr>
                <w:sz w:val="20"/>
                <w:szCs w:val="20"/>
                <w:color w:val="auto"/>
              </w:rPr>
            </w:pPr>
            <w:r>
              <w:rPr>
                <w:rFonts w:ascii="Arial" w:cs="Arial" w:eastAsia="Arial" w:hAnsi="Arial"/>
                <w:sz w:val="16"/>
                <w:szCs w:val="16"/>
                <w:color w:val="auto"/>
              </w:rPr>
              <w:t>Lowly Worm Holdings, Inc.</w:t>
            </w:r>
          </w:p>
        </w:tc>
        <w:tc>
          <w:tcPr>
            <w:tcW w:w="2640" w:type="dxa"/>
            <w:vAlign w:val="bottom"/>
          </w:tcPr>
          <w:p>
            <w:pPr>
              <w:ind w:left="680"/>
              <w:spacing w:after="0"/>
              <w:rPr>
                <w:sz w:val="20"/>
                <w:szCs w:val="20"/>
                <w:color w:val="auto"/>
              </w:rPr>
            </w:pPr>
            <w:r>
              <w:rPr>
                <w:rFonts w:ascii="Arial" w:cs="Arial" w:eastAsia="Arial" w:hAnsi="Arial"/>
                <w:sz w:val="16"/>
                <w:szCs w:val="16"/>
                <w:color w:val="auto"/>
              </w:rPr>
              <w:t>Delaware</w:t>
            </w:r>
          </w:p>
        </w:tc>
        <w:tc>
          <w:tcPr>
            <w:tcW w:w="1460" w:type="dxa"/>
            <w:vAlign w:val="bottom"/>
          </w:tcPr>
          <w:p>
            <w:pPr>
              <w:jc w:val="right"/>
              <w:spacing w:after="0"/>
              <w:rPr>
                <w:sz w:val="20"/>
                <w:szCs w:val="20"/>
                <w:color w:val="auto"/>
              </w:rPr>
            </w:pPr>
            <w:r>
              <w:rPr>
                <w:rFonts w:ascii="Arial" w:cs="Arial" w:eastAsia="Arial" w:hAnsi="Arial"/>
                <w:sz w:val="16"/>
                <w:szCs w:val="16"/>
                <w:color w:val="auto"/>
              </w:rPr>
              <w:t>100%</w:t>
            </w:r>
          </w:p>
        </w:tc>
        <w:tc>
          <w:tcPr>
            <w:tcW w:w="5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000" w:type="dxa"/>
            <w:vAlign w:val="bottom"/>
          </w:tcPr>
          <w:p>
            <w:pPr>
              <w:ind w:left="20"/>
              <w:spacing w:after="0"/>
              <w:rPr>
                <w:sz w:val="20"/>
                <w:szCs w:val="20"/>
                <w:color w:val="auto"/>
              </w:rPr>
            </w:pPr>
            <w:r>
              <w:rPr>
                <w:rFonts w:ascii="Arial" w:cs="Arial" w:eastAsia="Arial" w:hAnsi="Arial"/>
                <w:sz w:val="16"/>
                <w:szCs w:val="16"/>
                <w:color w:val="auto"/>
              </w:rPr>
              <w:t>Kaplan, Inc.</w:t>
            </w:r>
          </w:p>
        </w:tc>
        <w:tc>
          <w:tcPr>
            <w:tcW w:w="2640" w:type="dxa"/>
            <w:vAlign w:val="bottom"/>
          </w:tcPr>
          <w:p>
            <w:pPr>
              <w:ind w:left="680"/>
              <w:spacing w:after="0"/>
              <w:rPr>
                <w:sz w:val="20"/>
                <w:szCs w:val="20"/>
                <w:color w:val="auto"/>
              </w:rPr>
            </w:pPr>
            <w:r>
              <w:rPr>
                <w:rFonts w:ascii="Arial" w:cs="Arial" w:eastAsia="Arial" w:hAnsi="Arial"/>
                <w:sz w:val="16"/>
                <w:szCs w:val="16"/>
                <w:color w:val="auto"/>
              </w:rPr>
              <w:t>Delaware</w:t>
            </w:r>
          </w:p>
        </w:tc>
        <w:tc>
          <w:tcPr>
            <w:tcW w:w="1460" w:type="dxa"/>
            <w:vAlign w:val="bottom"/>
          </w:tcPr>
          <w:p>
            <w:pPr>
              <w:jc w:val="right"/>
              <w:spacing w:after="0"/>
              <w:rPr>
                <w:sz w:val="20"/>
                <w:szCs w:val="20"/>
                <w:color w:val="auto"/>
              </w:rPr>
            </w:pPr>
            <w:r>
              <w:rPr>
                <w:rFonts w:ascii="Arial" w:cs="Arial" w:eastAsia="Arial" w:hAnsi="Arial"/>
                <w:sz w:val="16"/>
                <w:szCs w:val="16"/>
                <w:color w:val="auto"/>
              </w:rPr>
              <w:t>99.44%</w:t>
            </w:r>
          </w:p>
        </w:tc>
        <w:tc>
          <w:tcPr>
            <w:tcW w:w="5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000" w:type="dxa"/>
            <w:vAlign w:val="bottom"/>
          </w:tcPr>
          <w:p>
            <w:pPr>
              <w:ind w:left="240"/>
              <w:spacing w:after="0"/>
              <w:rPr>
                <w:sz w:val="20"/>
                <w:szCs w:val="20"/>
                <w:color w:val="auto"/>
              </w:rPr>
            </w:pPr>
            <w:r>
              <w:rPr>
                <w:rFonts w:ascii="Arial" w:cs="Arial" w:eastAsia="Arial" w:hAnsi="Arial"/>
                <w:sz w:val="16"/>
                <w:szCs w:val="16"/>
                <w:color w:val="auto"/>
              </w:rPr>
              <w:t>Kaplan Netherlands B.V.</w:t>
            </w:r>
          </w:p>
        </w:tc>
        <w:tc>
          <w:tcPr>
            <w:tcW w:w="2640" w:type="dxa"/>
            <w:vAlign w:val="bottom"/>
          </w:tcPr>
          <w:p>
            <w:pPr>
              <w:ind w:left="680"/>
              <w:spacing w:after="0"/>
              <w:rPr>
                <w:sz w:val="20"/>
                <w:szCs w:val="20"/>
                <w:color w:val="auto"/>
              </w:rPr>
            </w:pPr>
            <w:r>
              <w:rPr>
                <w:rFonts w:ascii="Arial" w:cs="Arial" w:eastAsia="Arial" w:hAnsi="Arial"/>
                <w:sz w:val="16"/>
                <w:szCs w:val="16"/>
                <w:color w:val="auto"/>
              </w:rPr>
              <w:t>The Netherlands</w:t>
            </w:r>
          </w:p>
        </w:tc>
        <w:tc>
          <w:tcPr>
            <w:tcW w:w="1460" w:type="dxa"/>
            <w:vAlign w:val="bottom"/>
          </w:tcPr>
          <w:p>
            <w:pPr>
              <w:jc w:val="right"/>
              <w:spacing w:after="0"/>
              <w:rPr>
                <w:sz w:val="20"/>
                <w:szCs w:val="20"/>
                <w:color w:val="auto"/>
              </w:rPr>
            </w:pPr>
            <w:r>
              <w:rPr>
                <w:rFonts w:ascii="Arial" w:cs="Arial" w:eastAsia="Arial" w:hAnsi="Arial"/>
                <w:sz w:val="16"/>
                <w:szCs w:val="16"/>
                <w:color w:val="auto"/>
              </w:rPr>
              <w:t>100%</w:t>
            </w:r>
          </w:p>
        </w:tc>
        <w:tc>
          <w:tcPr>
            <w:tcW w:w="5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000" w:type="dxa"/>
            <w:vAlign w:val="bottom"/>
          </w:tcPr>
          <w:p>
            <w:pPr>
              <w:ind w:left="420"/>
              <w:spacing w:after="0"/>
              <w:rPr>
                <w:sz w:val="20"/>
                <w:szCs w:val="20"/>
                <w:color w:val="auto"/>
              </w:rPr>
            </w:pPr>
            <w:r>
              <w:rPr>
                <w:rFonts w:ascii="Arial" w:cs="Arial" w:eastAsia="Arial" w:hAnsi="Arial"/>
                <w:sz w:val="16"/>
                <w:szCs w:val="16"/>
                <w:color w:val="auto"/>
              </w:rPr>
              <w:t>Kaplan Holdings Limited</w:t>
            </w:r>
          </w:p>
        </w:tc>
        <w:tc>
          <w:tcPr>
            <w:tcW w:w="2640" w:type="dxa"/>
            <w:vAlign w:val="bottom"/>
          </w:tcPr>
          <w:p>
            <w:pPr>
              <w:ind w:left="680"/>
              <w:spacing w:after="0"/>
              <w:rPr>
                <w:sz w:val="20"/>
                <w:szCs w:val="20"/>
                <w:color w:val="auto"/>
              </w:rPr>
            </w:pPr>
            <w:r>
              <w:rPr>
                <w:rFonts w:ascii="Arial" w:cs="Arial" w:eastAsia="Arial" w:hAnsi="Arial"/>
                <w:sz w:val="16"/>
                <w:szCs w:val="16"/>
                <w:color w:val="auto"/>
              </w:rPr>
              <w:t>Hong Kong</w:t>
            </w:r>
          </w:p>
        </w:tc>
        <w:tc>
          <w:tcPr>
            <w:tcW w:w="1460" w:type="dxa"/>
            <w:vAlign w:val="bottom"/>
          </w:tcPr>
          <w:p>
            <w:pPr>
              <w:jc w:val="right"/>
              <w:spacing w:after="0"/>
              <w:rPr>
                <w:sz w:val="20"/>
                <w:szCs w:val="20"/>
                <w:color w:val="auto"/>
              </w:rPr>
            </w:pPr>
            <w:r>
              <w:rPr>
                <w:rFonts w:ascii="Arial" w:cs="Arial" w:eastAsia="Arial" w:hAnsi="Arial"/>
                <w:sz w:val="16"/>
                <w:szCs w:val="16"/>
                <w:color w:val="auto"/>
              </w:rPr>
              <w:t>100%</w:t>
            </w:r>
          </w:p>
        </w:tc>
        <w:tc>
          <w:tcPr>
            <w:tcW w:w="5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000" w:type="dxa"/>
            <w:vAlign w:val="bottom"/>
          </w:tcPr>
          <w:p>
            <w:pPr>
              <w:ind w:left="600"/>
              <w:spacing w:after="0"/>
              <w:rPr>
                <w:sz w:val="20"/>
                <w:szCs w:val="20"/>
                <w:color w:val="auto"/>
              </w:rPr>
            </w:pPr>
            <w:r>
              <w:rPr>
                <w:rFonts w:ascii="Arial" w:cs="Arial" w:eastAsia="Arial" w:hAnsi="Arial"/>
                <w:sz w:val="16"/>
                <w:szCs w:val="16"/>
                <w:color w:val="auto"/>
              </w:rPr>
              <w:t>Kaplan Citic Education Co. Limited</w:t>
            </w:r>
          </w:p>
        </w:tc>
        <w:tc>
          <w:tcPr>
            <w:tcW w:w="2640" w:type="dxa"/>
            <w:vAlign w:val="bottom"/>
          </w:tcPr>
          <w:p>
            <w:pPr>
              <w:ind w:left="680"/>
              <w:spacing w:after="0"/>
              <w:rPr>
                <w:sz w:val="20"/>
                <w:szCs w:val="20"/>
                <w:color w:val="auto"/>
              </w:rPr>
            </w:pPr>
            <w:r>
              <w:rPr>
                <w:rFonts w:ascii="Arial" w:cs="Arial" w:eastAsia="Arial" w:hAnsi="Arial"/>
                <w:sz w:val="16"/>
                <w:szCs w:val="16"/>
                <w:color w:val="auto"/>
              </w:rPr>
              <w:t>China (PR)</w:t>
            </w:r>
          </w:p>
        </w:tc>
        <w:tc>
          <w:tcPr>
            <w:tcW w:w="1460" w:type="dxa"/>
            <w:vAlign w:val="bottom"/>
          </w:tcPr>
          <w:p>
            <w:pPr>
              <w:jc w:val="right"/>
              <w:spacing w:after="0"/>
              <w:rPr>
                <w:sz w:val="20"/>
                <w:szCs w:val="20"/>
                <w:color w:val="auto"/>
              </w:rPr>
            </w:pPr>
            <w:r>
              <w:rPr>
                <w:rFonts w:ascii="Arial" w:cs="Arial" w:eastAsia="Arial" w:hAnsi="Arial"/>
                <w:sz w:val="16"/>
                <w:szCs w:val="16"/>
                <w:color w:val="auto"/>
              </w:rPr>
              <w:t>49%</w:t>
            </w:r>
          </w:p>
        </w:tc>
        <w:tc>
          <w:tcPr>
            <w:tcW w:w="5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000" w:type="dxa"/>
            <w:vAlign w:val="bottom"/>
          </w:tcPr>
          <w:p>
            <w:pPr>
              <w:ind w:left="600"/>
              <w:spacing w:after="0"/>
              <w:rPr>
                <w:sz w:val="20"/>
                <w:szCs w:val="20"/>
                <w:color w:val="auto"/>
              </w:rPr>
            </w:pPr>
            <w:r>
              <w:rPr>
                <w:rFonts w:ascii="Arial" w:cs="Arial" w:eastAsia="Arial" w:hAnsi="Arial"/>
                <w:sz w:val="16"/>
                <w:szCs w:val="16"/>
                <w:color w:val="auto"/>
              </w:rPr>
              <w:t>Kaplan Financial (HK) Limited</w:t>
            </w:r>
          </w:p>
        </w:tc>
        <w:tc>
          <w:tcPr>
            <w:tcW w:w="2640" w:type="dxa"/>
            <w:vAlign w:val="bottom"/>
          </w:tcPr>
          <w:p>
            <w:pPr>
              <w:ind w:left="680"/>
              <w:spacing w:after="0"/>
              <w:rPr>
                <w:sz w:val="20"/>
                <w:szCs w:val="20"/>
                <w:color w:val="auto"/>
              </w:rPr>
            </w:pPr>
            <w:r>
              <w:rPr>
                <w:rFonts w:ascii="Arial" w:cs="Arial" w:eastAsia="Arial" w:hAnsi="Arial"/>
                <w:sz w:val="16"/>
                <w:szCs w:val="16"/>
                <w:color w:val="auto"/>
              </w:rPr>
              <w:t>Hong Kong</w:t>
            </w:r>
          </w:p>
        </w:tc>
        <w:tc>
          <w:tcPr>
            <w:tcW w:w="1460" w:type="dxa"/>
            <w:vAlign w:val="bottom"/>
          </w:tcPr>
          <w:p>
            <w:pPr>
              <w:jc w:val="right"/>
              <w:spacing w:after="0"/>
              <w:rPr>
                <w:sz w:val="20"/>
                <w:szCs w:val="20"/>
                <w:color w:val="auto"/>
              </w:rPr>
            </w:pPr>
            <w:r>
              <w:rPr>
                <w:rFonts w:ascii="Arial" w:cs="Arial" w:eastAsia="Arial" w:hAnsi="Arial"/>
                <w:sz w:val="16"/>
                <w:szCs w:val="16"/>
                <w:color w:val="auto"/>
              </w:rPr>
              <w:t>100%</w:t>
            </w:r>
          </w:p>
        </w:tc>
        <w:tc>
          <w:tcPr>
            <w:tcW w:w="5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000" w:type="dxa"/>
            <w:vAlign w:val="bottom"/>
          </w:tcPr>
          <w:p>
            <w:pPr>
              <w:ind w:left="840"/>
              <w:spacing w:after="0"/>
              <w:rPr>
                <w:sz w:val="20"/>
                <w:szCs w:val="20"/>
                <w:color w:val="auto"/>
              </w:rPr>
            </w:pPr>
            <w:r>
              <w:rPr>
                <w:rFonts w:ascii="Arial" w:cs="Arial" w:eastAsia="Arial" w:hAnsi="Arial"/>
                <w:sz w:val="16"/>
                <w:szCs w:val="16"/>
                <w:color w:val="auto"/>
              </w:rPr>
              <w:t>Kaplan Language Training (HK) Limited</w:t>
            </w:r>
          </w:p>
        </w:tc>
        <w:tc>
          <w:tcPr>
            <w:tcW w:w="2640" w:type="dxa"/>
            <w:vAlign w:val="bottom"/>
          </w:tcPr>
          <w:p>
            <w:pPr>
              <w:ind w:left="680"/>
              <w:spacing w:after="0"/>
              <w:rPr>
                <w:sz w:val="20"/>
                <w:szCs w:val="20"/>
                <w:color w:val="auto"/>
              </w:rPr>
            </w:pPr>
            <w:r>
              <w:rPr>
                <w:rFonts w:ascii="Arial" w:cs="Arial" w:eastAsia="Arial" w:hAnsi="Arial"/>
                <w:sz w:val="16"/>
                <w:szCs w:val="16"/>
                <w:color w:val="auto"/>
              </w:rPr>
              <w:t>Hong Kong</w:t>
            </w:r>
          </w:p>
        </w:tc>
        <w:tc>
          <w:tcPr>
            <w:tcW w:w="1460" w:type="dxa"/>
            <w:vAlign w:val="bottom"/>
          </w:tcPr>
          <w:p>
            <w:pPr>
              <w:jc w:val="right"/>
              <w:spacing w:after="0"/>
              <w:rPr>
                <w:sz w:val="20"/>
                <w:szCs w:val="20"/>
                <w:color w:val="auto"/>
              </w:rPr>
            </w:pPr>
            <w:r>
              <w:rPr>
                <w:rFonts w:ascii="Arial" w:cs="Arial" w:eastAsia="Arial" w:hAnsi="Arial"/>
                <w:sz w:val="16"/>
                <w:szCs w:val="16"/>
                <w:color w:val="auto"/>
              </w:rPr>
              <w:t>100%</w:t>
            </w:r>
          </w:p>
        </w:tc>
        <w:tc>
          <w:tcPr>
            <w:tcW w:w="5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000" w:type="dxa"/>
            <w:vAlign w:val="bottom"/>
          </w:tcPr>
          <w:p>
            <w:pPr>
              <w:ind w:left="560"/>
              <w:spacing w:after="0"/>
              <w:rPr>
                <w:sz w:val="20"/>
                <w:szCs w:val="20"/>
                <w:color w:val="auto"/>
              </w:rPr>
            </w:pPr>
            <w:r>
              <w:rPr>
                <w:rFonts w:ascii="Arial" w:cs="Arial" w:eastAsia="Arial" w:hAnsi="Arial"/>
                <w:sz w:val="16"/>
                <w:szCs w:val="16"/>
                <w:color w:val="auto"/>
              </w:rPr>
              <w:t>Kaplan Institute Limited</w:t>
            </w:r>
          </w:p>
        </w:tc>
        <w:tc>
          <w:tcPr>
            <w:tcW w:w="2640" w:type="dxa"/>
            <w:vAlign w:val="bottom"/>
          </w:tcPr>
          <w:p>
            <w:pPr>
              <w:ind w:left="680"/>
              <w:spacing w:after="0"/>
              <w:rPr>
                <w:sz w:val="20"/>
                <w:szCs w:val="20"/>
                <w:color w:val="auto"/>
              </w:rPr>
            </w:pPr>
            <w:r>
              <w:rPr>
                <w:rFonts w:ascii="Arial" w:cs="Arial" w:eastAsia="Arial" w:hAnsi="Arial"/>
                <w:sz w:val="16"/>
                <w:szCs w:val="16"/>
                <w:color w:val="auto"/>
              </w:rPr>
              <w:t>Hong Kong</w:t>
            </w:r>
          </w:p>
        </w:tc>
        <w:tc>
          <w:tcPr>
            <w:tcW w:w="1460" w:type="dxa"/>
            <w:vAlign w:val="bottom"/>
          </w:tcPr>
          <w:p>
            <w:pPr>
              <w:jc w:val="right"/>
              <w:spacing w:after="0"/>
              <w:rPr>
                <w:sz w:val="20"/>
                <w:szCs w:val="20"/>
                <w:color w:val="auto"/>
              </w:rPr>
            </w:pPr>
            <w:r>
              <w:rPr>
                <w:rFonts w:ascii="Arial" w:cs="Arial" w:eastAsia="Arial" w:hAnsi="Arial"/>
                <w:sz w:val="16"/>
                <w:szCs w:val="16"/>
                <w:color w:val="auto"/>
              </w:rPr>
              <w:t>100%</w:t>
            </w:r>
          </w:p>
        </w:tc>
        <w:tc>
          <w:tcPr>
            <w:tcW w:w="5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000" w:type="dxa"/>
            <w:vAlign w:val="bottom"/>
          </w:tcPr>
          <w:p>
            <w:pPr>
              <w:ind w:left="560"/>
              <w:spacing w:after="0"/>
              <w:rPr>
                <w:sz w:val="20"/>
                <w:szCs w:val="20"/>
                <w:color w:val="auto"/>
              </w:rPr>
            </w:pPr>
            <w:r>
              <w:rPr>
                <w:rFonts w:ascii="Arial" w:cs="Arial" w:eastAsia="Arial" w:hAnsi="Arial"/>
                <w:sz w:val="16"/>
                <w:szCs w:val="16"/>
                <w:color w:val="auto"/>
              </w:rPr>
              <w:t>Shanghai Kaplan Education Investment Consulting Co. Ltd.</w:t>
            </w:r>
          </w:p>
        </w:tc>
        <w:tc>
          <w:tcPr>
            <w:tcW w:w="2640" w:type="dxa"/>
            <w:vAlign w:val="bottom"/>
          </w:tcPr>
          <w:p>
            <w:pPr>
              <w:ind w:left="680"/>
              <w:spacing w:after="0"/>
              <w:rPr>
                <w:sz w:val="20"/>
                <w:szCs w:val="20"/>
                <w:color w:val="auto"/>
              </w:rPr>
            </w:pPr>
            <w:r>
              <w:rPr>
                <w:rFonts w:ascii="Arial" w:cs="Arial" w:eastAsia="Arial" w:hAnsi="Arial"/>
                <w:sz w:val="16"/>
                <w:szCs w:val="16"/>
                <w:color w:val="auto"/>
              </w:rPr>
              <w:t>China (PR)</w:t>
            </w:r>
          </w:p>
        </w:tc>
        <w:tc>
          <w:tcPr>
            <w:tcW w:w="1460" w:type="dxa"/>
            <w:vAlign w:val="bottom"/>
          </w:tcPr>
          <w:p>
            <w:pPr>
              <w:jc w:val="right"/>
              <w:spacing w:after="0"/>
              <w:rPr>
                <w:sz w:val="20"/>
                <w:szCs w:val="20"/>
                <w:color w:val="auto"/>
              </w:rPr>
            </w:pPr>
            <w:r>
              <w:rPr>
                <w:rFonts w:ascii="Arial" w:cs="Arial" w:eastAsia="Arial" w:hAnsi="Arial"/>
                <w:sz w:val="16"/>
                <w:szCs w:val="16"/>
                <w:color w:val="auto"/>
              </w:rPr>
              <w:t>100%</w:t>
            </w:r>
          </w:p>
        </w:tc>
        <w:tc>
          <w:tcPr>
            <w:tcW w:w="5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000" w:type="dxa"/>
            <w:vAlign w:val="bottom"/>
          </w:tcPr>
          <w:p>
            <w:pPr>
              <w:ind w:left="300"/>
              <w:spacing w:after="0"/>
              <w:rPr>
                <w:sz w:val="20"/>
                <w:szCs w:val="20"/>
                <w:color w:val="auto"/>
              </w:rPr>
            </w:pPr>
            <w:r>
              <w:rPr>
                <w:rFonts w:ascii="Arial" w:cs="Arial" w:eastAsia="Arial" w:hAnsi="Arial"/>
                <w:sz w:val="16"/>
                <w:szCs w:val="16"/>
                <w:color w:val="auto"/>
              </w:rPr>
              <w:t>Kaplan Singapore Pte. Ltd.</w:t>
            </w:r>
          </w:p>
        </w:tc>
        <w:tc>
          <w:tcPr>
            <w:tcW w:w="2640" w:type="dxa"/>
            <w:vAlign w:val="bottom"/>
          </w:tcPr>
          <w:p>
            <w:pPr>
              <w:ind w:left="680"/>
              <w:spacing w:after="0"/>
              <w:rPr>
                <w:sz w:val="20"/>
                <w:szCs w:val="20"/>
                <w:color w:val="auto"/>
              </w:rPr>
            </w:pPr>
            <w:r>
              <w:rPr>
                <w:rFonts w:ascii="Arial" w:cs="Arial" w:eastAsia="Arial" w:hAnsi="Arial"/>
                <w:sz w:val="16"/>
                <w:szCs w:val="16"/>
                <w:color w:val="auto"/>
              </w:rPr>
              <w:t>Singapore</w:t>
            </w:r>
          </w:p>
        </w:tc>
        <w:tc>
          <w:tcPr>
            <w:tcW w:w="1460" w:type="dxa"/>
            <w:vAlign w:val="bottom"/>
          </w:tcPr>
          <w:p>
            <w:pPr>
              <w:jc w:val="right"/>
              <w:spacing w:after="0"/>
              <w:rPr>
                <w:sz w:val="20"/>
                <w:szCs w:val="20"/>
                <w:color w:val="auto"/>
              </w:rPr>
            </w:pPr>
            <w:r>
              <w:rPr>
                <w:rFonts w:ascii="Arial" w:cs="Arial" w:eastAsia="Arial" w:hAnsi="Arial"/>
                <w:sz w:val="16"/>
                <w:szCs w:val="16"/>
                <w:color w:val="auto"/>
              </w:rPr>
              <w:t>100%</w:t>
            </w:r>
          </w:p>
        </w:tc>
        <w:tc>
          <w:tcPr>
            <w:tcW w:w="5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000" w:type="dxa"/>
            <w:vAlign w:val="bottom"/>
          </w:tcPr>
          <w:p>
            <w:pPr>
              <w:ind w:left="560"/>
              <w:spacing w:after="0"/>
              <w:rPr>
                <w:sz w:val="20"/>
                <w:szCs w:val="20"/>
                <w:color w:val="auto"/>
              </w:rPr>
            </w:pPr>
            <w:r>
              <w:rPr>
                <w:rFonts w:ascii="Arial" w:cs="Arial" w:eastAsia="Arial" w:hAnsi="Arial"/>
                <w:sz w:val="16"/>
                <w:szCs w:val="16"/>
                <w:color w:val="auto"/>
              </w:rPr>
              <w:t>Kaplan Learning Institute Pte. Ltd</w:t>
            </w:r>
          </w:p>
        </w:tc>
        <w:tc>
          <w:tcPr>
            <w:tcW w:w="2640" w:type="dxa"/>
            <w:vAlign w:val="bottom"/>
          </w:tcPr>
          <w:p>
            <w:pPr>
              <w:ind w:left="680"/>
              <w:spacing w:after="0"/>
              <w:rPr>
                <w:sz w:val="20"/>
                <w:szCs w:val="20"/>
                <w:color w:val="auto"/>
              </w:rPr>
            </w:pPr>
            <w:r>
              <w:rPr>
                <w:rFonts w:ascii="Arial" w:cs="Arial" w:eastAsia="Arial" w:hAnsi="Arial"/>
                <w:sz w:val="16"/>
                <w:szCs w:val="16"/>
                <w:color w:val="auto"/>
              </w:rPr>
              <w:t>Singapore</w:t>
            </w:r>
          </w:p>
        </w:tc>
        <w:tc>
          <w:tcPr>
            <w:tcW w:w="1460" w:type="dxa"/>
            <w:vAlign w:val="bottom"/>
          </w:tcPr>
          <w:p>
            <w:pPr>
              <w:jc w:val="right"/>
              <w:spacing w:after="0"/>
              <w:rPr>
                <w:sz w:val="20"/>
                <w:szCs w:val="20"/>
                <w:color w:val="auto"/>
              </w:rPr>
            </w:pPr>
            <w:r>
              <w:rPr>
                <w:rFonts w:ascii="Arial" w:cs="Arial" w:eastAsia="Arial" w:hAnsi="Arial"/>
                <w:sz w:val="16"/>
                <w:szCs w:val="16"/>
                <w:color w:val="auto"/>
              </w:rPr>
              <w:t>100%</w:t>
            </w:r>
          </w:p>
        </w:tc>
        <w:tc>
          <w:tcPr>
            <w:tcW w:w="5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000" w:type="dxa"/>
            <w:vAlign w:val="bottom"/>
          </w:tcPr>
          <w:p>
            <w:pPr>
              <w:ind w:left="560"/>
              <w:spacing w:after="0"/>
              <w:rPr>
                <w:sz w:val="20"/>
                <w:szCs w:val="20"/>
                <w:color w:val="auto"/>
              </w:rPr>
            </w:pPr>
            <w:r>
              <w:rPr>
                <w:rFonts w:ascii="Arial" w:cs="Arial" w:eastAsia="Arial" w:hAnsi="Arial"/>
                <w:sz w:val="16"/>
                <w:szCs w:val="16"/>
                <w:color w:val="auto"/>
              </w:rPr>
              <w:t>Kaplan Higher Education Institute Pte. Ltd</w:t>
            </w:r>
          </w:p>
        </w:tc>
        <w:tc>
          <w:tcPr>
            <w:tcW w:w="2640" w:type="dxa"/>
            <w:vAlign w:val="bottom"/>
          </w:tcPr>
          <w:p>
            <w:pPr>
              <w:ind w:left="680"/>
              <w:spacing w:after="0"/>
              <w:rPr>
                <w:sz w:val="20"/>
                <w:szCs w:val="20"/>
                <w:color w:val="auto"/>
              </w:rPr>
            </w:pPr>
            <w:r>
              <w:rPr>
                <w:rFonts w:ascii="Arial" w:cs="Arial" w:eastAsia="Arial" w:hAnsi="Arial"/>
                <w:sz w:val="16"/>
                <w:szCs w:val="16"/>
                <w:color w:val="auto"/>
              </w:rPr>
              <w:t>Singapore</w:t>
            </w:r>
          </w:p>
        </w:tc>
        <w:tc>
          <w:tcPr>
            <w:tcW w:w="1460" w:type="dxa"/>
            <w:vAlign w:val="bottom"/>
          </w:tcPr>
          <w:p>
            <w:pPr>
              <w:jc w:val="right"/>
              <w:spacing w:after="0"/>
              <w:rPr>
                <w:sz w:val="20"/>
                <w:szCs w:val="20"/>
                <w:color w:val="auto"/>
              </w:rPr>
            </w:pPr>
            <w:r>
              <w:rPr>
                <w:rFonts w:ascii="Arial" w:cs="Arial" w:eastAsia="Arial" w:hAnsi="Arial"/>
                <w:sz w:val="16"/>
                <w:szCs w:val="16"/>
                <w:color w:val="auto"/>
              </w:rPr>
              <w:t>100%</w:t>
            </w:r>
          </w:p>
        </w:tc>
        <w:tc>
          <w:tcPr>
            <w:tcW w:w="5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000" w:type="dxa"/>
            <w:vAlign w:val="bottom"/>
          </w:tcPr>
          <w:p>
            <w:pPr>
              <w:ind w:left="560"/>
              <w:spacing w:after="0"/>
              <w:rPr>
                <w:sz w:val="20"/>
                <w:szCs w:val="20"/>
                <w:color w:val="auto"/>
              </w:rPr>
            </w:pPr>
            <w:r>
              <w:rPr>
                <w:rFonts w:ascii="Arial" w:cs="Arial" w:eastAsia="Arial" w:hAnsi="Arial"/>
                <w:sz w:val="16"/>
                <w:szCs w:val="16"/>
                <w:color w:val="auto"/>
              </w:rPr>
              <w:t>Kaplan Higher Education (HK) Limited</w:t>
            </w:r>
          </w:p>
        </w:tc>
        <w:tc>
          <w:tcPr>
            <w:tcW w:w="2640" w:type="dxa"/>
            <w:vAlign w:val="bottom"/>
          </w:tcPr>
          <w:p>
            <w:pPr>
              <w:ind w:left="680"/>
              <w:spacing w:after="0"/>
              <w:rPr>
                <w:sz w:val="20"/>
                <w:szCs w:val="20"/>
                <w:color w:val="auto"/>
              </w:rPr>
            </w:pPr>
            <w:r>
              <w:rPr>
                <w:rFonts w:ascii="Arial" w:cs="Arial" w:eastAsia="Arial" w:hAnsi="Arial"/>
                <w:sz w:val="16"/>
                <w:szCs w:val="16"/>
                <w:color w:val="auto"/>
              </w:rPr>
              <w:t>Hong Kong</w:t>
            </w:r>
          </w:p>
        </w:tc>
        <w:tc>
          <w:tcPr>
            <w:tcW w:w="1460" w:type="dxa"/>
            <w:vAlign w:val="bottom"/>
          </w:tcPr>
          <w:p>
            <w:pPr>
              <w:jc w:val="right"/>
              <w:spacing w:after="0"/>
              <w:rPr>
                <w:sz w:val="20"/>
                <w:szCs w:val="20"/>
                <w:color w:val="auto"/>
              </w:rPr>
            </w:pPr>
            <w:r>
              <w:rPr>
                <w:rFonts w:ascii="Arial" w:cs="Arial" w:eastAsia="Arial" w:hAnsi="Arial"/>
                <w:sz w:val="16"/>
                <w:szCs w:val="16"/>
                <w:color w:val="auto"/>
              </w:rPr>
              <w:t>100%</w:t>
            </w:r>
          </w:p>
        </w:tc>
        <w:tc>
          <w:tcPr>
            <w:tcW w:w="5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000" w:type="dxa"/>
            <w:vAlign w:val="bottom"/>
          </w:tcPr>
          <w:p>
            <w:pPr>
              <w:ind w:left="560"/>
              <w:spacing w:after="0"/>
              <w:rPr>
                <w:sz w:val="20"/>
                <w:szCs w:val="20"/>
                <w:color w:val="auto"/>
              </w:rPr>
            </w:pPr>
            <w:r>
              <w:rPr>
                <w:rFonts w:ascii="Arial" w:cs="Arial" w:eastAsia="Arial" w:hAnsi="Arial"/>
                <w:sz w:val="16"/>
                <w:szCs w:val="16"/>
                <w:color w:val="auto"/>
              </w:rPr>
              <w:t>Kaplan Higher Education Academy Pte. Ltd.</w:t>
            </w:r>
          </w:p>
        </w:tc>
        <w:tc>
          <w:tcPr>
            <w:tcW w:w="2640" w:type="dxa"/>
            <w:vAlign w:val="bottom"/>
          </w:tcPr>
          <w:p>
            <w:pPr>
              <w:ind w:left="680"/>
              <w:spacing w:after="0"/>
              <w:rPr>
                <w:sz w:val="20"/>
                <w:szCs w:val="20"/>
                <w:color w:val="auto"/>
              </w:rPr>
            </w:pPr>
            <w:r>
              <w:rPr>
                <w:rFonts w:ascii="Arial" w:cs="Arial" w:eastAsia="Arial" w:hAnsi="Arial"/>
                <w:sz w:val="16"/>
                <w:szCs w:val="16"/>
                <w:color w:val="auto"/>
              </w:rPr>
              <w:t>Singapore</w:t>
            </w:r>
          </w:p>
        </w:tc>
        <w:tc>
          <w:tcPr>
            <w:tcW w:w="1460" w:type="dxa"/>
            <w:vAlign w:val="bottom"/>
          </w:tcPr>
          <w:p>
            <w:pPr>
              <w:jc w:val="right"/>
              <w:spacing w:after="0"/>
              <w:rPr>
                <w:sz w:val="20"/>
                <w:szCs w:val="20"/>
                <w:color w:val="auto"/>
              </w:rPr>
            </w:pPr>
            <w:r>
              <w:rPr>
                <w:rFonts w:ascii="Arial" w:cs="Arial" w:eastAsia="Arial" w:hAnsi="Arial"/>
                <w:sz w:val="16"/>
                <w:szCs w:val="16"/>
                <w:color w:val="auto"/>
              </w:rPr>
              <w:t>100%</w:t>
            </w:r>
          </w:p>
        </w:tc>
        <w:tc>
          <w:tcPr>
            <w:tcW w:w="5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000" w:type="dxa"/>
            <w:vAlign w:val="bottom"/>
          </w:tcPr>
          <w:p>
            <w:pPr>
              <w:ind w:left="560"/>
              <w:spacing w:after="0"/>
              <w:rPr>
                <w:sz w:val="20"/>
                <w:szCs w:val="20"/>
                <w:color w:val="auto"/>
              </w:rPr>
            </w:pPr>
            <w:r>
              <w:rPr>
                <w:rFonts w:ascii="Arial" w:cs="Arial" w:eastAsia="Arial" w:hAnsi="Arial"/>
                <w:sz w:val="16"/>
                <w:szCs w:val="16"/>
                <w:color w:val="auto"/>
              </w:rPr>
              <w:t>Lotus Advertising Pte. Ltd</w:t>
            </w:r>
          </w:p>
        </w:tc>
        <w:tc>
          <w:tcPr>
            <w:tcW w:w="2640" w:type="dxa"/>
            <w:vAlign w:val="bottom"/>
          </w:tcPr>
          <w:p>
            <w:pPr>
              <w:ind w:left="680"/>
              <w:spacing w:after="0"/>
              <w:rPr>
                <w:sz w:val="20"/>
                <w:szCs w:val="20"/>
                <w:color w:val="auto"/>
              </w:rPr>
            </w:pPr>
            <w:r>
              <w:rPr>
                <w:rFonts w:ascii="Arial" w:cs="Arial" w:eastAsia="Arial" w:hAnsi="Arial"/>
                <w:sz w:val="16"/>
                <w:szCs w:val="16"/>
                <w:color w:val="auto"/>
              </w:rPr>
              <w:t>Singapore</w:t>
            </w:r>
          </w:p>
        </w:tc>
        <w:tc>
          <w:tcPr>
            <w:tcW w:w="1460" w:type="dxa"/>
            <w:vAlign w:val="bottom"/>
          </w:tcPr>
          <w:p>
            <w:pPr>
              <w:jc w:val="right"/>
              <w:spacing w:after="0"/>
              <w:rPr>
                <w:sz w:val="20"/>
                <w:szCs w:val="20"/>
                <w:color w:val="auto"/>
              </w:rPr>
            </w:pPr>
            <w:r>
              <w:rPr>
                <w:rFonts w:ascii="Arial" w:cs="Arial" w:eastAsia="Arial" w:hAnsi="Arial"/>
                <w:sz w:val="16"/>
                <w:szCs w:val="16"/>
                <w:color w:val="auto"/>
              </w:rPr>
              <w:t>100%</w:t>
            </w:r>
          </w:p>
        </w:tc>
        <w:tc>
          <w:tcPr>
            <w:tcW w:w="5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000" w:type="dxa"/>
            <w:vAlign w:val="bottom"/>
          </w:tcPr>
          <w:p>
            <w:pPr>
              <w:ind w:left="560"/>
              <w:spacing w:after="0"/>
              <w:rPr>
                <w:sz w:val="20"/>
                <w:szCs w:val="20"/>
                <w:color w:val="auto"/>
              </w:rPr>
            </w:pPr>
            <w:r>
              <w:rPr>
                <w:rFonts w:ascii="Arial" w:cs="Arial" w:eastAsia="Arial" w:hAnsi="Arial"/>
                <w:sz w:val="16"/>
                <w:szCs w:val="16"/>
                <w:color w:val="auto"/>
              </w:rPr>
              <w:t>Brightstar Investment and Education Joint Stock Company</w:t>
            </w:r>
          </w:p>
        </w:tc>
        <w:tc>
          <w:tcPr>
            <w:tcW w:w="2640" w:type="dxa"/>
            <w:vAlign w:val="bottom"/>
          </w:tcPr>
          <w:p>
            <w:pPr>
              <w:ind w:left="680"/>
              <w:spacing w:after="0"/>
              <w:rPr>
                <w:sz w:val="20"/>
                <w:szCs w:val="20"/>
                <w:color w:val="auto"/>
              </w:rPr>
            </w:pPr>
            <w:r>
              <w:rPr>
                <w:rFonts w:ascii="Arial" w:cs="Arial" w:eastAsia="Arial" w:hAnsi="Arial"/>
                <w:sz w:val="16"/>
                <w:szCs w:val="16"/>
                <w:color w:val="auto"/>
              </w:rPr>
              <w:t>Vietnam</w:t>
            </w:r>
          </w:p>
        </w:tc>
        <w:tc>
          <w:tcPr>
            <w:tcW w:w="1460" w:type="dxa"/>
            <w:vAlign w:val="bottom"/>
          </w:tcPr>
          <w:p>
            <w:pPr>
              <w:jc w:val="right"/>
              <w:spacing w:after="0"/>
              <w:rPr>
                <w:sz w:val="20"/>
                <w:szCs w:val="20"/>
                <w:color w:val="auto"/>
              </w:rPr>
            </w:pPr>
            <w:r>
              <w:rPr>
                <w:rFonts w:ascii="Arial" w:cs="Arial" w:eastAsia="Arial" w:hAnsi="Arial"/>
                <w:sz w:val="16"/>
                <w:szCs w:val="16"/>
                <w:color w:val="auto"/>
              </w:rPr>
              <w:t>49%</w:t>
            </w:r>
          </w:p>
        </w:tc>
        <w:tc>
          <w:tcPr>
            <w:tcW w:w="5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000" w:type="dxa"/>
            <w:vAlign w:val="bottom"/>
          </w:tcPr>
          <w:p>
            <w:pPr>
              <w:ind w:left="280"/>
              <w:spacing w:after="0"/>
              <w:rPr>
                <w:sz w:val="20"/>
                <w:szCs w:val="20"/>
                <w:color w:val="auto"/>
              </w:rPr>
            </w:pPr>
            <w:r>
              <w:rPr>
                <w:rFonts w:ascii="Arial" w:cs="Arial" w:eastAsia="Arial" w:hAnsi="Arial"/>
                <w:sz w:val="16"/>
                <w:szCs w:val="16"/>
                <w:color w:val="auto"/>
              </w:rPr>
              <w:t>The Financial Training (Shanghai) Co., Ltd.</w:t>
            </w:r>
          </w:p>
        </w:tc>
        <w:tc>
          <w:tcPr>
            <w:tcW w:w="2640" w:type="dxa"/>
            <w:vAlign w:val="bottom"/>
          </w:tcPr>
          <w:p>
            <w:pPr>
              <w:ind w:left="680"/>
              <w:spacing w:after="0"/>
              <w:rPr>
                <w:sz w:val="20"/>
                <w:szCs w:val="20"/>
                <w:color w:val="auto"/>
              </w:rPr>
            </w:pPr>
            <w:r>
              <w:rPr>
                <w:rFonts w:ascii="Arial" w:cs="Arial" w:eastAsia="Arial" w:hAnsi="Arial"/>
                <w:sz w:val="16"/>
                <w:szCs w:val="16"/>
                <w:color w:val="auto"/>
              </w:rPr>
              <w:t>China (PR)</w:t>
            </w:r>
          </w:p>
        </w:tc>
        <w:tc>
          <w:tcPr>
            <w:tcW w:w="1460" w:type="dxa"/>
            <w:vAlign w:val="bottom"/>
          </w:tcPr>
          <w:p>
            <w:pPr>
              <w:jc w:val="right"/>
              <w:spacing w:after="0"/>
              <w:rPr>
                <w:sz w:val="20"/>
                <w:szCs w:val="20"/>
                <w:color w:val="auto"/>
              </w:rPr>
            </w:pPr>
            <w:r>
              <w:rPr>
                <w:rFonts w:ascii="Arial" w:cs="Arial" w:eastAsia="Arial" w:hAnsi="Arial"/>
                <w:sz w:val="16"/>
                <w:szCs w:val="16"/>
                <w:color w:val="auto"/>
              </w:rPr>
              <w:t>100%</w:t>
            </w:r>
          </w:p>
        </w:tc>
        <w:tc>
          <w:tcPr>
            <w:tcW w:w="5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000" w:type="dxa"/>
            <w:vAlign w:val="bottom"/>
          </w:tcPr>
          <w:p>
            <w:pPr>
              <w:ind w:left="480"/>
              <w:spacing w:after="0"/>
              <w:rPr>
                <w:sz w:val="20"/>
                <w:szCs w:val="20"/>
                <w:color w:val="auto"/>
              </w:rPr>
            </w:pPr>
            <w:r>
              <w:rPr>
                <w:rFonts w:ascii="Arial" w:cs="Arial" w:eastAsia="Arial" w:hAnsi="Arial"/>
                <w:sz w:val="16"/>
                <w:szCs w:val="16"/>
                <w:color w:val="auto"/>
              </w:rPr>
              <w:t>Shanghai Kai Bo Education Investment Management Co. Limited</w:t>
            </w:r>
          </w:p>
        </w:tc>
        <w:tc>
          <w:tcPr>
            <w:tcW w:w="2640" w:type="dxa"/>
            <w:vAlign w:val="bottom"/>
          </w:tcPr>
          <w:p>
            <w:pPr>
              <w:ind w:left="680"/>
              <w:spacing w:after="0"/>
              <w:rPr>
                <w:sz w:val="20"/>
                <w:szCs w:val="20"/>
                <w:color w:val="auto"/>
              </w:rPr>
            </w:pPr>
            <w:r>
              <w:rPr>
                <w:rFonts w:ascii="Arial" w:cs="Arial" w:eastAsia="Arial" w:hAnsi="Arial"/>
                <w:sz w:val="16"/>
                <w:szCs w:val="16"/>
                <w:color w:val="auto"/>
              </w:rPr>
              <w:t>China (PR)</w:t>
            </w:r>
          </w:p>
        </w:tc>
        <w:tc>
          <w:tcPr>
            <w:tcW w:w="1460" w:type="dxa"/>
            <w:vAlign w:val="bottom"/>
          </w:tcPr>
          <w:p>
            <w:pPr>
              <w:jc w:val="right"/>
              <w:spacing w:after="0"/>
              <w:rPr>
                <w:sz w:val="20"/>
                <w:szCs w:val="20"/>
                <w:color w:val="auto"/>
              </w:rPr>
            </w:pPr>
            <w:r>
              <w:rPr>
                <w:rFonts w:ascii="Arial" w:cs="Arial" w:eastAsia="Arial" w:hAnsi="Arial"/>
                <w:sz w:val="16"/>
                <w:szCs w:val="16"/>
                <w:color w:val="auto"/>
              </w:rPr>
              <w:t>100%</w:t>
            </w:r>
          </w:p>
        </w:tc>
        <w:tc>
          <w:tcPr>
            <w:tcW w:w="540" w:type="dxa"/>
            <w:vAlign w:val="bottom"/>
          </w:tcPr>
          <w:p>
            <w:pPr>
              <w:ind w:left="40"/>
              <w:spacing w:after="0"/>
              <w:rPr>
                <w:sz w:val="20"/>
                <w:szCs w:val="20"/>
                <w:color w:val="auto"/>
              </w:rPr>
            </w:pPr>
            <w:r>
              <w:rPr>
                <w:rFonts w:ascii="Arial" w:cs="Arial" w:eastAsia="Arial" w:hAnsi="Arial"/>
                <w:sz w:val="16"/>
                <w:szCs w:val="16"/>
                <w:color w:val="auto"/>
              </w:rPr>
              <w:t>(d)</w:t>
            </w:r>
          </w:p>
        </w:tc>
        <w:tc>
          <w:tcPr>
            <w:tcW w:w="0" w:type="dxa"/>
            <w:vAlign w:val="bottom"/>
          </w:tcPr>
          <w:p>
            <w:pPr>
              <w:spacing w:after="0"/>
              <w:rPr>
                <w:sz w:val="1"/>
                <w:szCs w:val="1"/>
                <w:color w:val="auto"/>
              </w:rPr>
            </w:pPr>
          </w:p>
        </w:tc>
      </w:tr>
      <w:tr>
        <w:trPr>
          <w:trHeight w:val="270"/>
        </w:trPr>
        <w:tc>
          <w:tcPr>
            <w:tcW w:w="6000" w:type="dxa"/>
            <w:vAlign w:val="bottom"/>
          </w:tcPr>
          <w:p>
            <w:pPr>
              <w:ind w:left="740"/>
              <w:spacing w:after="0"/>
              <w:rPr>
                <w:sz w:val="20"/>
                <w:szCs w:val="20"/>
                <w:color w:val="auto"/>
              </w:rPr>
            </w:pPr>
            <w:r>
              <w:rPr>
                <w:rFonts w:ascii="Arial" w:cs="Arial" w:eastAsia="Arial" w:hAnsi="Arial"/>
                <w:sz w:val="16"/>
                <w:szCs w:val="16"/>
                <w:color w:val="auto"/>
              </w:rPr>
              <w:t>Shanghai Kai Chuang Educational Consulting Co. Ltd.</w:t>
            </w:r>
          </w:p>
        </w:tc>
        <w:tc>
          <w:tcPr>
            <w:tcW w:w="2640" w:type="dxa"/>
            <w:vAlign w:val="bottom"/>
          </w:tcPr>
          <w:p>
            <w:pPr>
              <w:ind w:left="680"/>
              <w:spacing w:after="0"/>
              <w:rPr>
                <w:sz w:val="20"/>
                <w:szCs w:val="20"/>
                <w:color w:val="auto"/>
              </w:rPr>
            </w:pPr>
            <w:r>
              <w:rPr>
                <w:rFonts w:ascii="Arial" w:cs="Arial" w:eastAsia="Arial" w:hAnsi="Arial"/>
                <w:sz w:val="16"/>
                <w:szCs w:val="16"/>
                <w:color w:val="auto"/>
              </w:rPr>
              <w:t>China (PR)</w:t>
            </w:r>
          </w:p>
        </w:tc>
        <w:tc>
          <w:tcPr>
            <w:tcW w:w="1460" w:type="dxa"/>
            <w:vAlign w:val="bottom"/>
          </w:tcPr>
          <w:p>
            <w:pPr>
              <w:jc w:val="right"/>
              <w:spacing w:after="0"/>
              <w:rPr>
                <w:sz w:val="20"/>
                <w:szCs w:val="20"/>
                <w:color w:val="auto"/>
              </w:rPr>
            </w:pPr>
            <w:r>
              <w:rPr>
                <w:rFonts w:ascii="Arial" w:cs="Arial" w:eastAsia="Arial" w:hAnsi="Arial"/>
                <w:sz w:val="16"/>
                <w:szCs w:val="16"/>
                <w:color w:val="auto"/>
              </w:rPr>
              <w:t>85%</w:t>
            </w:r>
          </w:p>
        </w:tc>
        <w:tc>
          <w:tcPr>
            <w:tcW w:w="5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000" w:type="dxa"/>
            <w:vAlign w:val="bottom"/>
          </w:tcPr>
          <w:p>
            <w:pPr>
              <w:ind w:left="960"/>
              <w:spacing w:after="0"/>
              <w:rPr>
                <w:sz w:val="20"/>
                <w:szCs w:val="20"/>
                <w:color w:val="auto"/>
              </w:rPr>
            </w:pPr>
            <w:r>
              <w:rPr>
                <w:rFonts w:ascii="Arial" w:cs="Arial" w:eastAsia="Arial" w:hAnsi="Arial"/>
                <w:sz w:val="16"/>
                <w:szCs w:val="16"/>
                <w:color w:val="auto"/>
              </w:rPr>
              <w:t>Shanghai Kai Bo School</w:t>
            </w:r>
          </w:p>
        </w:tc>
        <w:tc>
          <w:tcPr>
            <w:tcW w:w="2640" w:type="dxa"/>
            <w:vAlign w:val="bottom"/>
          </w:tcPr>
          <w:p>
            <w:pPr>
              <w:ind w:left="680"/>
              <w:spacing w:after="0"/>
              <w:rPr>
                <w:sz w:val="20"/>
                <w:szCs w:val="20"/>
                <w:color w:val="auto"/>
              </w:rPr>
            </w:pPr>
            <w:r>
              <w:rPr>
                <w:rFonts w:ascii="Arial" w:cs="Arial" w:eastAsia="Arial" w:hAnsi="Arial"/>
                <w:sz w:val="16"/>
                <w:szCs w:val="16"/>
                <w:color w:val="auto"/>
              </w:rPr>
              <w:t>China (PR)</w:t>
            </w:r>
          </w:p>
        </w:tc>
        <w:tc>
          <w:tcPr>
            <w:tcW w:w="1460" w:type="dxa"/>
            <w:vAlign w:val="bottom"/>
          </w:tcPr>
          <w:p>
            <w:pPr>
              <w:jc w:val="right"/>
              <w:spacing w:after="0"/>
              <w:rPr>
                <w:sz w:val="20"/>
                <w:szCs w:val="20"/>
                <w:color w:val="auto"/>
              </w:rPr>
            </w:pPr>
            <w:r>
              <w:rPr>
                <w:rFonts w:ascii="Arial" w:cs="Arial" w:eastAsia="Arial" w:hAnsi="Arial"/>
                <w:sz w:val="16"/>
                <w:szCs w:val="16"/>
                <w:color w:val="auto"/>
              </w:rPr>
              <w:t>100%</w:t>
            </w:r>
          </w:p>
        </w:tc>
        <w:tc>
          <w:tcPr>
            <w:tcW w:w="5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000" w:type="dxa"/>
            <w:vAlign w:val="bottom"/>
          </w:tcPr>
          <w:p>
            <w:pPr>
              <w:ind w:left="300"/>
              <w:spacing w:after="0"/>
              <w:rPr>
                <w:sz w:val="20"/>
                <w:szCs w:val="20"/>
                <w:color w:val="auto"/>
              </w:rPr>
            </w:pPr>
            <w:r>
              <w:rPr>
                <w:rFonts w:ascii="Arial" w:cs="Arial" w:eastAsia="Arial" w:hAnsi="Arial"/>
                <w:sz w:val="16"/>
                <w:szCs w:val="16"/>
                <w:color w:val="auto"/>
              </w:rPr>
              <w:t>Coxcourt Limited</w:t>
            </w:r>
          </w:p>
        </w:tc>
        <w:tc>
          <w:tcPr>
            <w:tcW w:w="2640" w:type="dxa"/>
            <w:vAlign w:val="bottom"/>
          </w:tcPr>
          <w:p>
            <w:pPr>
              <w:ind w:left="680"/>
              <w:spacing w:after="0"/>
              <w:rPr>
                <w:sz w:val="20"/>
                <w:szCs w:val="20"/>
                <w:color w:val="auto"/>
              </w:rPr>
            </w:pPr>
            <w:r>
              <w:rPr>
                <w:rFonts w:ascii="Arial" w:cs="Arial" w:eastAsia="Arial" w:hAnsi="Arial"/>
                <w:sz w:val="16"/>
                <w:szCs w:val="16"/>
                <w:color w:val="auto"/>
              </w:rPr>
              <w:t>Ireland</w:t>
            </w:r>
          </w:p>
        </w:tc>
        <w:tc>
          <w:tcPr>
            <w:tcW w:w="1460" w:type="dxa"/>
            <w:vAlign w:val="bottom"/>
          </w:tcPr>
          <w:p>
            <w:pPr>
              <w:jc w:val="right"/>
              <w:spacing w:after="0"/>
              <w:rPr>
                <w:sz w:val="20"/>
                <w:szCs w:val="20"/>
                <w:color w:val="auto"/>
              </w:rPr>
            </w:pPr>
            <w:r>
              <w:rPr>
                <w:rFonts w:ascii="Arial" w:cs="Arial" w:eastAsia="Arial" w:hAnsi="Arial"/>
                <w:sz w:val="16"/>
                <w:szCs w:val="16"/>
                <w:color w:val="auto"/>
              </w:rPr>
              <w:t>100%</w:t>
            </w:r>
          </w:p>
        </w:tc>
        <w:tc>
          <w:tcPr>
            <w:tcW w:w="5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000" w:type="dxa"/>
            <w:vAlign w:val="bottom"/>
          </w:tcPr>
          <w:p>
            <w:pPr>
              <w:ind w:left="500"/>
              <w:spacing w:after="0"/>
              <w:rPr>
                <w:sz w:val="20"/>
                <w:szCs w:val="20"/>
                <w:color w:val="auto"/>
              </w:rPr>
            </w:pPr>
            <w:r>
              <w:rPr>
                <w:rFonts w:ascii="Arial" w:cs="Arial" w:eastAsia="Arial" w:hAnsi="Arial"/>
                <w:sz w:val="16"/>
                <w:szCs w:val="16"/>
                <w:color w:val="auto"/>
              </w:rPr>
              <w:t>Accountancy &amp; Business College Holdings Limited</w:t>
            </w:r>
          </w:p>
        </w:tc>
        <w:tc>
          <w:tcPr>
            <w:tcW w:w="2640" w:type="dxa"/>
            <w:vAlign w:val="bottom"/>
          </w:tcPr>
          <w:p>
            <w:pPr>
              <w:ind w:left="680"/>
              <w:spacing w:after="0"/>
              <w:rPr>
                <w:sz w:val="20"/>
                <w:szCs w:val="20"/>
                <w:color w:val="auto"/>
              </w:rPr>
            </w:pPr>
            <w:r>
              <w:rPr>
                <w:rFonts w:ascii="Arial" w:cs="Arial" w:eastAsia="Arial" w:hAnsi="Arial"/>
                <w:sz w:val="16"/>
                <w:szCs w:val="16"/>
                <w:color w:val="auto"/>
              </w:rPr>
              <w:t>Ireland</w:t>
            </w:r>
          </w:p>
        </w:tc>
        <w:tc>
          <w:tcPr>
            <w:tcW w:w="1460" w:type="dxa"/>
            <w:vAlign w:val="bottom"/>
          </w:tcPr>
          <w:p>
            <w:pPr>
              <w:jc w:val="right"/>
              <w:spacing w:after="0"/>
              <w:rPr>
                <w:sz w:val="20"/>
                <w:szCs w:val="20"/>
                <w:color w:val="auto"/>
              </w:rPr>
            </w:pPr>
            <w:r>
              <w:rPr>
                <w:rFonts w:ascii="Arial" w:cs="Arial" w:eastAsia="Arial" w:hAnsi="Arial"/>
                <w:sz w:val="16"/>
                <w:szCs w:val="16"/>
                <w:i w:val="1"/>
                <w:iCs w:val="1"/>
                <w:color w:val="auto"/>
              </w:rPr>
              <w:t>100%</w:t>
            </w:r>
          </w:p>
        </w:tc>
        <w:tc>
          <w:tcPr>
            <w:tcW w:w="540" w:type="dxa"/>
            <w:vAlign w:val="bottom"/>
          </w:tcPr>
          <w:p>
            <w:pPr>
              <w:ind w:left="40"/>
              <w:spacing w:after="0"/>
              <w:rPr>
                <w:sz w:val="20"/>
                <w:szCs w:val="20"/>
                <w:color w:val="auto"/>
              </w:rPr>
            </w:pPr>
            <w:r>
              <w:rPr>
                <w:rFonts w:ascii="Arial" w:cs="Arial" w:eastAsia="Arial" w:hAnsi="Arial"/>
                <w:sz w:val="16"/>
                <w:szCs w:val="16"/>
                <w:color w:val="auto"/>
              </w:rPr>
              <w:t>(e)</w:t>
            </w:r>
          </w:p>
        </w:tc>
        <w:tc>
          <w:tcPr>
            <w:tcW w:w="0" w:type="dxa"/>
            <w:vAlign w:val="bottom"/>
          </w:tcPr>
          <w:p>
            <w:pPr>
              <w:spacing w:after="0"/>
              <w:rPr>
                <w:sz w:val="1"/>
                <w:szCs w:val="1"/>
                <w:color w:val="auto"/>
              </w:rPr>
            </w:pPr>
          </w:p>
        </w:tc>
      </w:tr>
      <w:tr>
        <w:trPr>
          <w:trHeight w:val="270"/>
        </w:trPr>
        <w:tc>
          <w:tcPr>
            <w:tcW w:w="6000" w:type="dxa"/>
            <w:vAlign w:val="bottom"/>
          </w:tcPr>
          <w:p>
            <w:pPr>
              <w:ind w:left="740"/>
              <w:spacing w:after="0"/>
              <w:rPr>
                <w:sz w:val="20"/>
                <w:szCs w:val="20"/>
                <w:color w:val="auto"/>
              </w:rPr>
            </w:pPr>
            <w:r>
              <w:rPr>
                <w:rFonts w:ascii="Arial" w:cs="Arial" w:eastAsia="Arial" w:hAnsi="Arial"/>
                <w:sz w:val="16"/>
                <w:szCs w:val="16"/>
                <w:color w:val="auto"/>
              </w:rPr>
              <w:t>Accountancy &amp; Business College (Ireland) Limited</w:t>
            </w:r>
          </w:p>
        </w:tc>
        <w:tc>
          <w:tcPr>
            <w:tcW w:w="2640" w:type="dxa"/>
            <w:vAlign w:val="bottom"/>
          </w:tcPr>
          <w:p>
            <w:pPr>
              <w:ind w:left="680"/>
              <w:spacing w:after="0"/>
              <w:rPr>
                <w:sz w:val="20"/>
                <w:szCs w:val="20"/>
                <w:color w:val="auto"/>
              </w:rPr>
            </w:pPr>
            <w:r>
              <w:rPr>
                <w:rFonts w:ascii="Arial" w:cs="Arial" w:eastAsia="Arial" w:hAnsi="Arial"/>
                <w:sz w:val="16"/>
                <w:szCs w:val="16"/>
                <w:color w:val="auto"/>
              </w:rPr>
              <w:t>Ireland</w:t>
            </w:r>
          </w:p>
        </w:tc>
        <w:tc>
          <w:tcPr>
            <w:tcW w:w="1460" w:type="dxa"/>
            <w:vAlign w:val="bottom"/>
          </w:tcPr>
          <w:p>
            <w:pPr>
              <w:jc w:val="right"/>
              <w:spacing w:after="0"/>
              <w:rPr>
                <w:sz w:val="20"/>
                <w:szCs w:val="20"/>
                <w:color w:val="auto"/>
              </w:rPr>
            </w:pPr>
            <w:r>
              <w:rPr>
                <w:rFonts w:ascii="Arial" w:cs="Arial" w:eastAsia="Arial" w:hAnsi="Arial"/>
                <w:sz w:val="16"/>
                <w:szCs w:val="16"/>
                <w:color w:val="auto"/>
              </w:rPr>
              <w:t>100%</w:t>
            </w:r>
          </w:p>
        </w:tc>
        <w:tc>
          <w:tcPr>
            <w:tcW w:w="5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000" w:type="dxa"/>
            <w:vAlign w:val="bottom"/>
          </w:tcPr>
          <w:p>
            <w:pPr>
              <w:ind w:left="960"/>
              <w:spacing w:after="0"/>
              <w:rPr>
                <w:sz w:val="20"/>
                <w:szCs w:val="20"/>
                <w:color w:val="auto"/>
              </w:rPr>
            </w:pPr>
            <w:r>
              <w:rPr>
                <w:rFonts w:ascii="Arial" w:cs="Arial" w:eastAsia="Arial" w:hAnsi="Arial"/>
                <w:sz w:val="16"/>
                <w:szCs w:val="16"/>
                <w:color w:val="auto"/>
              </w:rPr>
              <w:t>Methley Limited</w:t>
            </w:r>
          </w:p>
        </w:tc>
        <w:tc>
          <w:tcPr>
            <w:tcW w:w="2640" w:type="dxa"/>
            <w:vAlign w:val="bottom"/>
          </w:tcPr>
          <w:p>
            <w:pPr>
              <w:ind w:left="680"/>
              <w:spacing w:after="0"/>
              <w:rPr>
                <w:sz w:val="20"/>
                <w:szCs w:val="20"/>
                <w:color w:val="auto"/>
              </w:rPr>
            </w:pPr>
            <w:r>
              <w:rPr>
                <w:rFonts w:ascii="Arial" w:cs="Arial" w:eastAsia="Arial" w:hAnsi="Arial"/>
                <w:sz w:val="16"/>
                <w:szCs w:val="16"/>
                <w:color w:val="auto"/>
              </w:rPr>
              <w:t>Ireland</w:t>
            </w:r>
          </w:p>
        </w:tc>
        <w:tc>
          <w:tcPr>
            <w:tcW w:w="1460" w:type="dxa"/>
            <w:vAlign w:val="bottom"/>
          </w:tcPr>
          <w:p>
            <w:pPr>
              <w:jc w:val="right"/>
              <w:spacing w:after="0"/>
              <w:rPr>
                <w:sz w:val="20"/>
                <w:szCs w:val="20"/>
                <w:color w:val="auto"/>
              </w:rPr>
            </w:pPr>
            <w:r>
              <w:rPr>
                <w:rFonts w:ascii="Arial" w:cs="Arial" w:eastAsia="Arial" w:hAnsi="Arial"/>
                <w:sz w:val="16"/>
                <w:szCs w:val="16"/>
                <w:color w:val="auto"/>
              </w:rPr>
              <w:t>100%</w:t>
            </w:r>
          </w:p>
        </w:tc>
        <w:tc>
          <w:tcPr>
            <w:tcW w:w="5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000" w:type="dxa"/>
            <w:vAlign w:val="bottom"/>
          </w:tcPr>
          <w:p>
            <w:pPr>
              <w:ind w:left="1020"/>
              <w:spacing w:after="0"/>
              <w:rPr>
                <w:sz w:val="20"/>
                <w:szCs w:val="20"/>
                <w:color w:val="auto"/>
              </w:rPr>
            </w:pPr>
            <w:r>
              <w:rPr>
                <w:rFonts w:ascii="Arial" w:cs="Arial" w:eastAsia="Arial" w:hAnsi="Arial"/>
                <w:sz w:val="16"/>
                <w:szCs w:val="16"/>
                <w:color w:val="auto"/>
              </w:rPr>
              <w:t>Kitagarth Services Unlimited Company</w:t>
            </w:r>
          </w:p>
        </w:tc>
        <w:tc>
          <w:tcPr>
            <w:tcW w:w="2640" w:type="dxa"/>
            <w:vAlign w:val="bottom"/>
          </w:tcPr>
          <w:p>
            <w:pPr>
              <w:ind w:left="680"/>
              <w:spacing w:after="0"/>
              <w:rPr>
                <w:sz w:val="20"/>
                <w:szCs w:val="20"/>
                <w:color w:val="auto"/>
              </w:rPr>
            </w:pPr>
            <w:r>
              <w:rPr>
                <w:rFonts w:ascii="Arial" w:cs="Arial" w:eastAsia="Arial" w:hAnsi="Arial"/>
                <w:sz w:val="16"/>
                <w:szCs w:val="16"/>
                <w:color w:val="auto"/>
              </w:rPr>
              <w:t>Ireland</w:t>
            </w:r>
          </w:p>
        </w:tc>
        <w:tc>
          <w:tcPr>
            <w:tcW w:w="1460" w:type="dxa"/>
            <w:vAlign w:val="bottom"/>
          </w:tcPr>
          <w:p>
            <w:pPr>
              <w:jc w:val="right"/>
              <w:spacing w:after="0"/>
              <w:rPr>
                <w:sz w:val="20"/>
                <w:szCs w:val="20"/>
                <w:color w:val="auto"/>
              </w:rPr>
            </w:pPr>
            <w:r>
              <w:rPr>
                <w:rFonts w:ascii="Arial" w:cs="Arial" w:eastAsia="Arial" w:hAnsi="Arial"/>
                <w:sz w:val="16"/>
                <w:szCs w:val="16"/>
                <w:color w:val="auto"/>
              </w:rPr>
              <w:t>100%</w:t>
            </w:r>
          </w:p>
        </w:tc>
        <w:tc>
          <w:tcPr>
            <w:tcW w:w="5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000" w:type="dxa"/>
            <w:vAlign w:val="bottom"/>
          </w:tcPr>
          <w:p>
            <w:pPr>
              <w:ind w:left="480"/>
              <w:spacing w:after="0"/>
              <w:rPr>
                <w:sz w:val="20"/>
                <w:szCs w:val="20"/>
                <w:color w:val="auto"/>
              </w:rPr>
            </w:pPr>
            <w:r>
              <w:rPr>
                <w:rFonts w:ascii="Arial" w:cs="Arial" w:eastAsia="Arial" w:hAnsi="Arial"/>
                <w:sz w:val="16"/>
                <w:szCs w:val="16"/>
                <w:color w:val="auto"/>
              </w:rPr>
              <w:t>European Business School (Ireland) Limited</w:t>
            </w:r>
          </w:p>
        </w:tc>
        <w:tc>
          <w:tcPr>
            <w:tcW w:w="2640" w:type="dxa"/>
            <w:vAlign w:val="bottom"/>
          </w:tcPr>
          <w:p>
            <w:pPr>
              <w:ind w:left="680"/>
              <w:spacing w:after="0"/>
              <w:rPr>
                <w:sz w:val="20"/>
                <w:szCs w:val="20"/>
                <w:color w:val="auto"/>
              </w:rPr>
            </w:pPr>
            <w:r>
              <w:rPr>
                <w:rFonts w:ascii="Arial" w:cs="Arial" w:eastAsia="Arial" w:hAnsi="Arial"/>
                <w:sz w:val="16"/>
                <w:szCs w:val="16"/>
                <w:color w:val="auto"/>
              </w:rPr>
              <w:t>Ireland</w:t>
            </w:r>
          </w:p>
        </w:tc>
        <w:tc>
          <w:tcPr>
            <w:tcW w:w="1460" w:type="dxa"/>
            <w:vAlign w:val="bottom"/>
          </w:tcPr>
          <w:p>
            <w:pPr>
              <w:jc w:val="right"/>
              <w:spacing w:after="0"/>
              <w:rPr>
                <w:sz w:val="20"/>
                <w:szCs w:val="20"/>
                <w:color w:val="auto"/>
              </w:rPr>
            </w:pPr>
            <w:r>
              <w:rPr>
                <w:rFonts w:ascii="Arial" w:cs="Arial" w:eastAsia="Arial" w:hAnsi="Arial"/>
                <w:sz w:val="16"/>
                <w:szCs w:val="16"/>
                <w:color w:val="auto"/>
              </w:rPr>
              <w:t>100%</w:t>
            </w:r>
          </w:p>
        </w:tc>
        <w:tc>
          <w:tcPr>
            <w:tcW w:w="5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000" w:type="dxa"/>
            <w:vAlign w:val="bottom"/>
          </w:tcPr>
          <w:p>
            <w:pPr>
              <w:ind w:left="480"/>
              <w:spacing w:after="0"/>
              <w:rPr>
                <w:sz w:val="20"/>
                <w:szCs w:val="20"/>
                <w:color w:val="auto"/>
              </w:rPr>
            </w:pPr>
            <w:r>
              <w:rPr>
                <w:rFonts w:ascii="Arial" w:cs="Arial" w:eastAsia="Arial" w:hAnsi="Arial"/>
                <w:sz w:val="16"/>
                <w:szCs w:val="16"/>
                <w:color w:val="auto"/>
              </w:rPr>
              <w:t>LSB College Limited</w:t>
            </w:r>
          </w:p>
        </w:tc>
        <w:tc>
          <w:tcPr>
            <w:tcW w:w="2640" w:type="dxa"/>
            <w:vAlign w:val="bottom"/>
          </w:tcPr>
          <w:p>
            <w:pPr>
              <w:ind w:left="680"/>
              <w:spacing w:after="0"/>
              <w:rPr>
                <w:sz w:val="20"/>
                <w:szCs w:val="20"/>
                <w:color w:val="auto"/>
              </w:rPr>
            </w:pPr>
            <w:r>
              <w:rPr>
                <w:rFonts w:ascii="Arial" w:cs="Arial" w:eastAsia="Arial" w:hAnsi="Arial"/>
                <w:sz w:val="16"/>
                <w:szCs w:val="16"/>
                <w:color w:val="auto"/>
              </w:rPr>
              <w:t>Ireland</w:t>
            </w:r>
          </w:p>
        </w:tc>
        <w:tc>
          <w:tcPr>
            <w:tcW w:w="1460" w:type="dxa"/>
            <w:vAlign w:val="bottom"/>
          </w:tcPr>
          <w:p>
            <w:pPr>
              <w:jc w:val="right"/>
              <w:spacing w:after="0"/>
              <w:rPr>
                <w:sz w:val="20"/>
                <w:szCs w:val="20"/>
                <w:color w:val="auto"/>
              </w:rPr>
            </w:pPr>
            <w:r>
              <w:rPr>
                <w:rFonts w:ascii="Arial" w:cs="Arial" w:eastAsia="Arial" w:hAnsi="Arial"/>
                <w:sz w:val="16"/>
                <w:szCs w:val="16"/>
                <w:color w:val="auto"/>
              </w:rPr>
              <w:t>100%</w:t>
            </w:r>
          </w:p>
        </w:tc>
        <w:tc>
          <w:tcPr>
            <w:tcW w:w="5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000" w:type="dxa"/>
            <w:vAlign w:val="bottom"/>
          </w:tcPr>
          <w:p>
            <w:pPr>
              <w:ind w:left="460"/>
              <w:spacing w:after="0"/>
              <w:rPr>
                <w:sz w:val="20"/>
                <w:szCs w:val="20"/>
                <w:color w:val="auto"/>
              </w:rPr>
            </w:pPr>
            <w:r>
              <w:rPr>
                <w:rFonts w:ascii="Arial" w:cs="Arial" w:eastAsia="Arial" w:hAnsi="Arial"/>
                <w:sz w:val="16"/>
                <w:szCs w:val="16"/>
                <w:color w:val="auto"/>
              </w:rPr>
              <w:t>The Dublin Business School Limited</w:t>
            </w:r>
          </w:p>
        </w:tc>
        <w:tc>
          <w:tcPr>
            <w:tcW w:w="2640" w:type="dxa"/>
            <w:vAlign w:val="bottom"/>
          </w:tcPr>
          <w:p>
            <w:pPr>
              <w:ind w:left="680"/>
              <w:spacing w:after="0"/>
              <w:rPr>
                <w:sz w:val="20"/>
                <w:szCs w:val="20"/>
                <w:color w:val="auto"/>
              </w:rPr>
            </w:pPr>
            <w:r>
              <w:rPr>
                <w:rFonts w:ascii="Arial" w:cs="Arial" w:eastAsia="Arial" w:hAnsi="Arial"/>
                <w:sz w:val="16"/>
                <w:szCs w:val="16"/>
                <w:color w:val="auto"/>
              </w:rPr>
              <w:t>Ireland</w:t>
            </w:r>
          </w:p>
        </w:tc>
        <w:tc>
          <w:tcPr>
            <w:tcW w:w="1460" w:type="dxa"/>
            <w:vAlign w:val="bottom"/>
          </w:tcPr>
          <w:p>
            <w:pPr>
              <w:jc w:val="right"/>
              <w:spacing w:after="0"/>
              <w:rPr>
                <w:sz w:val="20"/>
                <w:szCs w:val="20"/>
                <w:color w:val="auto"/>
              </w:rPr>
            </w:pPr>
            <w:r>
              <w:rPr>
                <w:rFonts w:ascii="Arial" w:cs="Arial" w:eastAsia="Arial" w:hAnsi="Arial"/>
                <w:sz w:val="16"/>
                <w:szCs w:val="16"/>
                <w:color w:val="auto"/>
              </w:rPr>
              <w:t>100%</w:t>
            </w:r>
          </w:p>
        </w:tc>
        <w:tc>
          <w:tcPr>
            <w:tcW w:w="5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000" w:type="dxa"/>
            <w:vAlign w:val="bottom"/>
          </w:tcPr>
          <w:p>
            <w:pPr>
              <w:ind w:left="480"/>
              <w:spacing w:after="0"/>
              <w:rPr>
                <w:sz w:val="20"/>
                <w:szCs w:val="20"/>
                <w:color w:val="auto"/>
              </w:rPr>
            </w:pPr>
            <w:r>
              <w:rPr>
                <w:rFonts w:ascii="Arial" w:cs="Arial" w:eastAsia="Arial" w:hAnsi="Arial"/>
                <w:sz w:val="16"/>
                <w:szCs w:val="16"/>
                <w:color w:val="auto"/>
              </w:rPr>
              <w:t>DBS Educational Services Malaysia SDN.BHD.</w:t>
            </w:r>
          </w:p>
        </w:tc>
        <w:tc>
          <w:tcPr>
            <w:tcW w:w="2640" w:type="dxa"/>
            <w:vAlign w:val="bottom"/>
          </w:tcPr>
          <w:p>
            <w:pPr>
              <w:ind w:left="680"/>
              <w:spacing w:after="0"/>
              <w:rPr>
                <w:sz w:val="20"/>
                <w:szCs w:val="20"/>
                <w:color w:val="auto"/>
              </w:rPr>
            </w:pPr>
            <w:r>
              <w:rPr>
                <w:rFonts w:ascii="Arial" w:cs="Arial" w:eastAsia="Arial" w:hAnsi="Arial"/>
                <w:sz w:val="16"/>
                <w:szCs w:val="16"/>
                <w:color w:val="auto"/>
              </w:rPr>
              <w:t>Malaysia</w:t>
            </w:r>
          </w:p>
        </w:tc>
        <w:tc>
          <w:tcPr>
            <w:tcW w:w="1460" w:type="dxa"/>
            <w:vAlign w:val="bottom"/>
          </w:tcPr>
          <w:p>
            <w:pPr>
              <w:jc w:val="right"/>
              <w:spacing w:after="0"/>
              <w:rPr>
                <w:sz w:val="20"/>
                <w:szCs w:val="20"/>
                <w:color w:val="auto"/>
              </w:rPr>
            </w:pPr>
            <w:r>
              <w:rPr>
                <w:rFonts w:ascii="Arial" w:cs="Arial" w:eastAsia="Arial" w:hAnsi="Arial"/>
                <w:sz w:val="16"/>
                <w:szCs w:val="16"/>
                <w:color w:val="auto"/>
              </w:rPr>
              <w:t>100%</w:t>
            </w:r>
          </w:p>
        </w:tc>
        <w:tc>
          <w:tcPr>
            <w:tcW w:w="5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000" w:type="dxa"/>
            <w:vAlign w:val="bottom"/>
          </w:tcPr>
          <w:p>
            <w:pPr>
              <w:ind w:left="200"/>
              <w:spacing w:after="0"/>
              <w:rPr>
                <w:sz w:val="20"/>
                <w:szCs w:val="20"/>
                <w:color w:val="auto"/>
              </w:rPr>
            </w:pPr>
            <w:r>
              <w:rPr>
                <w:rFonts w:ascii="Arial" w:cs="Arial" w:eastAsia="Arial" w:hAnsi="Arial"/>
                <w:sz w:val="16"/>
                <w:szCs w:val="16"/>
                <w:color w:val="auto"/>
              </w:rPr>
              <w:t>AdviseStream, LLC</w:t>
            </w:r>
          </w:p>
        </w:tc>
        <w:tc>
          <w:tcPr>
            <w:tcW w:w="2640" w:type="dxa"/>
            <w:vAlign w:val="bottom"/>
          </w:tcPr>
          <w:p>
            <w:pPr>
              <w:ind w:left="680"/>
              <w:spacing w:after="0"/>
              <w:rPr>
                <w:sz w:val="20"/>
                <w:szCs w:val="20"/>
                <w:color w:val="auto"/>
              </w:rPr>
            </w:pPr>
            <w:r>
              <w:rPr>
                <w:rFonts w:ascii="Arial" w:cs="Arial" w:eastAsia="Arial" w:hAnsi="Arial"/>
                <w:sz w:val="16"/>
                <w:szCs w:val="16"/>
                <w:color w:val="auto"/>
              </w:rPr>
              <w:t>Delaware</w:t>
            </w:r>
          </w:p>
        </w:tc>
        <w:tc>
          <w:tcPr>
            <w:tcW w:w="1460" w:type="dxa"/>
            <w:vAlign w:val="bottom"/>
          </w:tcPr>
          <w:p>
            <w:pPr>
              <w:jc w:val="right"/>
              <w:spacing w:after="0"/>
              <w:rPr>
                <w:sz w:val="20"/>
                <w:szCs w:val="20"/>
                <w:color w:val="auto"/>
              </w:rPr>
            </w:pPr>
            <w:r>
              <w:rPr>
                <w:rFonts w:ascii="Arial" w:cs="Arial" w:eastAsia="Arial" w:hAnsi="Arial"/>
                <w:sz w:val="16"/>
                <w:szCs w:val="16"/>
                <w:color w:val="auto"/>
              </w:rPr>
              <w:t>100%</w:t>
            </w:r>
          </w:p>
        </w:tc>
        <w:tc>
          <w:tcPr>
            <w:tcW w:w="5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000" w:type="dxa"/>
            <w:vAlign w:val="bottom"/>
          </w:tcPr>
          <w:p>
            <w:pPr>
              <w:ind w:left="200"/>
              <w:spacing w:after="0"/>
              <w:rPr>
                <w:sz w:val="20"/>
                <w:szCs w:val="20"/>
                <w:color w:val="auto"/>
              </w:rPr>
            </w:pPr>
            <w:r>
              <w:rPr>
                <w:rFonts w:ascii="Arial" w:cs="Arial" w:eastAsia="Arial" w:hAnsi="Arial"/>
                <w:sz w:val="16"/>
                <w:szCs w:val="16"/>
                <w:color w:val="auto"/>
              </w:rPr>
              <w:t>Dev Bootcamp, Inc.</w:t>
            </w:r>
          </w:p>
        </w:tc>
        <w:tc>
          <w:tcPr>
            <w:tcW w:w="2640" w:type="dxa"/>
            <w:vAlign w:val="bottom"/>
          </w:tcPr>
          <w:p>
            <w:pPr>
              <w:ind w:left="680"/>
              <w:spacing w:after="0"/>
              <w:rPr>
                <w:sz w:val="20"/>
                <w:szCs w:val="20"/>
                <w:color w:val="auto"/>
              </w:rPr>
            </w:pPr>
            <w:r>
              <w:rPr>
                <w:rFonts w:ascii="Arial" w:cs="Arial" w:eastAsia="Arial" w:hAnsi="Arial"/>
                <w:sz w:val="16"/>
                <w:szCs w:val="16"/>
                <w:color w:val="auto"/>
              </w:rPr>
              <w:t>California</w:t>
            </w:r>
          </w:p>
        </w:tc>
        <w:tc>
          <w:tcPr>
            <w:tcW w:w="1460" w:type="dxa"/>
            <w:vAlign w:val="bottom"/>
          </w:tcPr>
          <w:p>
            <w:pPr>
              <w:jc w:val="right"/>
              <w:spacing w:after="0"/>
              <w:rPr>
                <w:sz w:val="20"/>
                <w:szCs w:val="20"/>
                <w:color w:val="auto"/>
              </w:rPr>
            </w:pPr>
            <w:r>
              <w:rPr>
                <w:rFonts w:ascii="Arial" w:cs="Arial" w:eastAsia="Arial" w:hAnsi="Arial"/>
                <w:sz w:val="16"/>
                <w:szCs w:val="16"/>
                <w:color w:val="auto"/>
              </w:rPr>
              <w:t>100%</w:t>
            </w:r>
          </w:p>
        </w:tc>
        <w:tc>
          <w:tcPr>
            <w:tcW w:w="5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640" w:top="576" w:right="239" w:bottom="429" w:gutter="0" w:footer="0" w:header="0"/>
        </w:sectPr>
      </w:pPr>
    </w:p>
    <w:bookmarkStart w:id="121" w:name="page122"/>
    <w:bookmarkEnd w:id="12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5520" w:type="dxa"/>
            <w:vAlign w:val="bottom"/>
          </w:tcPr>
          <w:p>
            <w:pPr>
              <w:jc w:val="center"/>
              <w:ind w:right="3179"/>
              <w:spacing w:after="0"/>
              <w:rPr>
                <w:sz w:val="20"/>
                <w:szCs w:val="20"/>
                <w:color w:val="auto"/>
              </w:rPr>
            </w:pPr>
            <w:r>
              <w:rPr>
                <w:rFonts w:ascii="Arial" w:cs="Arial" w:eastAsia="Arial" w:hAnsi="Arial"/>
                <w:sz w:val="16"/>
                <w:szCs w:val="16"/>
                <w:color w:val="auto"/>
              </w:rPr>
              <w:t>Graham Healthcare Group, Inc.</w:t>
            </w:r>
          </w:p>
        </w:tc>
        <w:tc>
          <w:tcPr>
            <w:tcW w:w="3060" w:type="dxa"/>
            <w:vAlign w:val="bottom"/>
          </w:tcPr>
          <w:p>
            <w:pPr>
              <w:ind w:left="960"/>
              <w:spacing w:after="0"/>
              <w:rPr>
                <w:sz w:val="20"/>
                <w:szCs w:val="20"/>
                <w:color w:val="auto"/>
              </w:rPr>
            </w:pPr>
            <w:r>
              <w:rPr>
                <w:rFonts w:ascii="Arial" w:cs="Arial" w:eastAsia="Arial" w:hAnsi="Arial"/>
                <w:sz w:val="16"/>
                <w:szCs w:val="16"/>
                <w:color w:val="auto"/>
              </w:rPr>
              <w:t>Delaware</w:t>
            </w:r>
          </w:p>
        </w:tc>
        <w:tc>
          <w:tcPr>
            <w:tcW w:w="1320" w:type="dxa"/>
            <w:vAlign w:val="bottom"/>
          </w:tcPr>
          <w:p>
            <w:pPr>
              <w:jc w:val="right"/>
              <w:spacing w:after="0"/>
              <w:rPr>
                <w:sz w:val="20"/>
                <w:szCs w:val="20"/>
                <w:color w:val="auto"/>
              </w:rPr>
            </w:pPr>
            <w:r>
              <w:rPr>
                <w:rFonts w:ascii="Arial" w:cs="Arial" w:eastAsia="Arial" w:hAnsi="Arial"/>
                <w:sz w:val="16"/>
                <w:szCs w:val="16"/>
                <w:color w:val="auto"/>
              </w:rPr>
              <w:t>90%</w:t>
            </w:r>
          </w:p>
        </w:tc>
        <w:tc>
          <w:tcPr>
            <w:tcW w:w="240" w:type="dxa"/>
            <w:vAlign w:val="bottom"/>
          </w:tcPr>
          <w:p>
            <w:pPr>
              <w:spacing w:after="0"/>
              <w:rPr>
                <w:sz w:val="19"/>
                <w:szCs w:val="19"/>
                <w:color w:val="auto"/>
              </w:rPr>
            </w:pPr>
          </w:p>
        </w:tc>
      </w:tr>
      <w:tr>
        <w:trPr>
          <w:trHeight w:val="270"/>
        </w:trPr>
        <w:tc>
          <w:tcPr>
            <w:tcW w:w="5520" w:type="dxa"/>
            <w:vAlign w:val="bottom"/>
          </w:tcPr>
          <w:p>
            <w:pPr>
              <w:ind w:left="280"/>
              <w:spacing w:after="0"/>
              <w:rPr>
                <w:sz w:val="20"/>
                <w:szCs w:val="20"/>
                <w:color w:val="auto"/>
              </w:rPr>
            </w:pPr>
            <w:r>
              <w:rPr>
                <w:rFonts w:ascii="Arial" w:cs="Arial" w:eastAsia="Arial" w:hAnsi="Arial"/>
                <w:sz w:val="16"/>
                <w:szCs w:val="16"/>
                <w:color w:val="auto"/>
              </w:rPr>
              <w:t>Celtic Healthcare, Inc.</w:t>
            </w:r>
          </w:p>
        </w:tc>
        <w:tc>
          <w:tcPr>
            <w:tcW w:w="3060" w:type="dxa"/>
            <w:vAlign w:val="bottom"/>
          </w:tcPr>
          <w:p>
            <w:pPr>
              <w:ind w:left="960"/>
              <w:spacing w:after="0"/>
              <w:rPr>
                <w:sz w:val="20"/>
                <w:szCs w:val="20"/>
                <w:color w:val="auto"/>
              </w:rPr>
            </w:pPr>
            <w:r>
              <w:rPr>
                <w:rFonts w:ascii="Arial" w:cs="Arial" w:eastAsia="Arial" w:hAnsi="Arial"/>
                <w:sz w:val="16"/>
                <w:szCs w:val="16"/>
                <w:color w:val="auto"/>
              </w:rPr>
              <w:t>Nevada</w:t>
            </w:r>
          </w:p>
        </w:tc>
        <w:tc>
          <w:tcPr>
            <w:tcW w:w="1320" w:type="dxa"/>
            <w:vAlign w:val="bottom"/>
          </w:tcPr>
          <w:p>
            <w:pPr>
              <w:jc w:val="right"/>
              <w:spacing w:after="0"/>
              <w:rPr>
                <w:sz w:val="20"/>
                <w:szCs w:val="20"/>
                <w:color w:val="auto"/>
              </w:rPr>
            </w:pPr>
            <w:r>
              <w:rPr>
                <w:rFonts w:ascii="Arial" w:cs="Arial" w:eastAsia="Arial" w:hAnsi="Arial"/>
                <w:sz w:val="16"/>
                <w:szCs w:val="16"/>
                <w:color w:val="auto"/>
              </w:rPr>
              <w:t>90%</w:t>
            </w:r>
          </w:p>
        </w:tc>
        <w:tc>
          <w:tcPr>
            <w:tcW w:w="240" w:type="dxa"/>
            <w:vAlign w:val="bottom"/>
          </w:tcPr>
          <w:p>
            <w:pPr>
              <w:spacing w:after="0"/>
              <w:rPr>
                <w:sz w:val="23"/>
                <w:szCs w:val="23"/>
                <w:color w:val="auto"/>
              </w:rPr>
            </w:pPr>
          </w:p>
        </w:tc>
      </w:tr>
      <w:tr>
        <w:trPr>
          <w:trHeight w:val="270"/>
        </w:trPr>
        <w:tc>
          <w:tcPr>
            <w:tcW w:w="5520" w:type="dxa"/>
            <w:vAlign w:val="bottom"/>
          </w:tcPr>
          <w:p>
            <w:pPr>
              <w:ind w:left="500"/>
              <w:spacing w:after="0"/>
              <w:rPr>
                <w:sz w:val="20"/>
                <w:szCs w:val="20"/>
                <w:color w:val="auto"/>
              </w:rPr>
            </w:pPr>
            <w:r>
              <w:rPr>
                <w:rFonts w:ascii="Arial" w:cs="Arial" w:eastAsia="Arial" w:hAnsi="Arial"/>
                <w:sz w:val="16"/>
                <w:szCs w:val="16"/>
                <w:color w:val="auto"/>
              </w:rPr>
              <w:t>Celtic Healthcare of Carlisle, Inc.</w:t>
            </w:r>
          </w:p>
        </w:tc>
        <w:tc>
          <w:tcPr>
            <w:tcW w:w="3060" w:type="dxa"/>
            <w:vAlign w:val="bottom"/>
          </w:tcPr>
          <w:p>
            <w:pPr>
              <w:ind w:left="960"/>
              <w:spacing w:after="0"/>
              <w:rPr>
                <w:sz w:val="20"/>
                <w:szCs w:val="20"/>
                <w:color w:val="auto"/>
              </w:rPr>
            </w:pPr>
            <w:r>
              <w:rPr>
                <w:rFonts w:ascii="Arial" w:cs="Arial" w:eastAsia="Arial" w:hAnsi="Arial"/>
                <w:sz w:val="16"/>
                <w:szCs w:val="16"/>
                <w:color w:val="auto"/>
              </w:rPr>
              <w:t>Pennsylvania</w:t>
            </w:r>
          </w:p>
        </w:tc>
        <w:tc>
          <w:tcPr>
            <w:tcW w:w="1320" w:type="dxa"/>
            <w:vAlign w:val="bottom"/>
          </w:tcPr>
          <w:p>
            <w:pPr>
              <w:jc w:val="right"/>
              <w:spacing w:after="0"/>
              <w:rPr>
                <w:sz w:val="20"/>
                <w:szCs w:val="20"/>
                <w:color w:val="auto"/>
              </w:rPr>
            </w:pPr>
            <w:r>
              <w:rPr>
                <w:rFonts w:ascii="Arial" w:cs="Arial" w:eastAsia="Arial" w:hAnsi="Arial"/>
                <w:sz w:val="16"/>
                <w:szCs w:val="16"/>
                <w:color w:val="auto"/>
              </w:rPr>
              <w:t>90%</w:t>
            </w:r>
          </w:p>
        </w:tc>
        <w:tc>
          <w:tcPr>
            <w:tcW w:w="240" w:type="dxa"/>
            <w:vAlign w:val="bottom"/>
          </w:tcPr>
          <w:p>
            <w:pPr>
              <w:spacing w:after="0"/>
              <w:rPr>
                <w:sz w:val="23"/>
                <w:szCs w:val="23"/>
                <w:color w:val="auto"/>
              </w:rPr>
            </w:pPr>
          </w:p>
        </w:tc>
      </w:tr>
      <w:tr>
        <w:trPr>
          <w:trHeight w:val="270"/>
        </w:trPr>
        <w:tc>
          <w:tcPr>
            <w:tcW w:w="5520" w:type="dxa"/>
            <w:vAlign w:val="bottom"/>
          </w:tcPr>
          <w:p>
            <w:pPr>
              <w:ind w:left="500"/>
              <w:spacing w:after="0"/>
              <w:rPr>
                <w:sz w:val="20"/>
                <w:szCs w:val="20"/>
                <w:color w:val="auto"/>
              </w:rPr>
            </w:pPr>
            <w:r>
              <w:rPr>
                <w:rFonts w:ascii="Arial" w:cs="Arial" w:eastAsia="Arial" w:hAnsi="Arial"/>
                <w:sz w:val="16"/>
                <w:szCs w:val="16"/>
                <w:color w:val="auto"/>
              </w:rPr>
              <w:t>Celtic Healthcare of E. MO, LLC</w:t>
            </w:r>
          </w:p>
        </w:tc>
        <w:tc>
          <w:tcPr>
            <w:tcW w:w="3060" w:type="dxa"/>
            <w:vAlign w:val="bottom"/>
          </w:tcPr>
          <w:p>
            <w:pPr>
              <w:ind w:left="960"/>
              <w:spacing w:after="0"/>
              <w:rPr>
                <w:sz w:val="20"/>
                <w:szCs w:val="20"/>
                <w:color w:val="auto"/>
              </w:rPr>
            </w:pPr>
            <w:r>
              <w:rPr>
                <w:rFonts w:ascii="Arial" w:cs="Arial" w:eastAsia="Arial" w:hAnsi="Arial"/>
                <w:sz w:val="16"/>
                <w:szCs w:val="16"/>
                <w:color w:val="auto"/>
              </w:rPr>
              <w:t>Pennsylvania</w:t>
            </w:r>
          </w:p>
        </w:tc>
        <w:tc>
          <w:tcPr>
            <w:tcW w:w="1320" w:type="dxa"/>
            <w:vAlign w:val="bottom"/>
          </w:tcPr>
          <w:p>
            <w:pPr>
              <w:jc w:val="right"/>
              <w:spacing w:after="0"/>
              <w:rPr>
                <w:sz w:val="20"/>
                <w:szCs w:val="20"/>
                <w:color w:val="auto"/>
              </w:rPr>
            </w:pPr>
            <w:r>
              <w:rPr>
                <w:rFonts w:ascii="Arial" w:cs="Arial" w:eastAsia="Arial" w:hAnsi="Arial"/>
                <w:sz w:val="16"/>
                <w:szCs w:val="16"/>
                <w:color w:val="auto"/>
              </w:rPr>
              <w:t>90%</w:t>
            </w:r>
          </w:p>
        </w:tc>
        <w:tc>
          <w:tcPr>
            <w:tcW w:w="240" w:type="dxa"/>
            <w:vAlign w:val="bottom"/>
          </w:tcPr>
          <w:p>
            <w:pPr>
              <w:spacing w:after="0"/>
              <w:rPr>
                <w:sz w:val="23"/>
                <w:szCs w:val="23"/>
                <w:color w:val="auto"/>
              </w:rPr>
            </w:pPr>
          </w:p>
        </w:tc>
      </w:tr>
      <w:tr>
        <w:trPr>
          <w:trHeight w:val="270"/>
        </w:trPr>
        <w:tc>
          <w:tcPr>
            <w:tcW w:w="5520" w:type="dxa"/>
            <w:vAlign w:val="bottom"/>
          </w:tcPr>
          <w:p>
            <w:pPr>
              <w:ind w:left="500"/>
              <w:spacing w:after="0"/>
              <w:rPr>
                <w:sz w:val="20"/>
                <w:szCs w:val="20"/>
                <w:color w:val="auto"/>
              </w:rPr>
            </w:pPr>
            <w:r>
              <w:rPr>
                <w:rFonts w:ascii="Arial" w:cs="Arial" w:eastAsia="Arial" w:hAnsi="Arial"/>
                <w:sz w:val="16"/>
                <w:szCs w:val="16"/>
                <w:color w:val="auto"/>
              </w:rPr>
              <w:t>Celtic Healthcare of S. IL, LLC</w:t>
            </w:r>
          </w:p>
        </w:tc>
        <w:tc>
          <w:tcPr>
            <w:tcW w:w="3060" w:type="dxa"/>
            <w:vAlign w:val="bottom"/>
          </w:tcPr>
          <w:p>
            <w:pPr>
              <w:ind w:left="960"/>
              <w:spacing w:after="0"/>
              <w:rPr>
                <w:sz w:val="20"/>
                <w:szCs w:val="20"/>
                <w:color w:val="auto"/>
              </w:rPr>
            </w:pPr>
            <w:r>
              <w:rPr>
                <w:rFonts w:ascii="Arial" w:cs="Arial" w:eastAsia="Arial" w:hAnsi="Arial"/>
                <w:sz w:val="16"/>
                <w:szCs w:val="16"/>
                <w:color w:val="auto"/>
              </w:rPr>
              <w:t>Pennsylvania</w:t>
            </w:r>
          </w:p>
        </w:tc>
        <w:tc>
          <w:tcPr>
            <w:tcW w:w="1320" w:type="dxa"/>
            <w:vAlign w:val="bottom"/>
          </w:tcPr>
          <w:p>
            <w:pPr>
              <w:jc w:val="right"/>
              <w:spacing w:after="0"/>
              <w:rPr>
                <w:sz w:val="20"/>
                <w:szCs w:val="20"/>
                <w:color w:val="auto"/>
              </w:rPr>
            </w:pPr>
            <w:r>
              <w:rPr>
                <w:rFonts w:ascii="Arial" w:cs="Arial" w:eastAsia="Arial" w:hAnsi="Arial"/>
                <w:sz w:val="16"/>
                <w:szCs w:val="16"/>
                <w:color w:val="auto"/>
              </w:rPr>
              <w:t>90%</w:t>
            </w:r>
          </w:p>
        </w:tc>
        <w:tc>
          <w:tcPr>
            <w:tcW w:w="240" w:type="dxa"/>
            <w:vAlign w:val="bottom"/>
          </w:tcPr>
          <w:p>
            <w:pPr>
              <w:spacing w:after="0"/>
              <w:rPr>
                <w:sz w:val="23"/>
                <w:szCs w:val="23"/>
                <w:color w:val="auto"/>
              </w:rPr>
            </w:pPr>
          </w:p>
        </w:tc>
      </w:tr>
      <w:tr>
        <w:trPr>
          <w:trHeight w:val="270"/>
        </w:trPr>
        <w:tc>
          <w:tcPr>
            <w:tcW w:w="5520" w:type="dxa"/>
            <w:vAlign w:val="bottom"/>
          </w:tcPr>
          <w:p>
            <w:pPr>
              <w:ind w:left="500"/>
              <w:spacing w:after="0"/>
              <w:rPr>
                <w:sz w:val="20"/>
                <w:szCs w:val="20"/>
                <w:color w:val="auto"/>
              </w:rPr>
            </w:pPr>
            <w:r>
              <w:rPr>
                <w:rFonts w:ascii="Arial" w:cs="Arial" w:eastAsia="Arial" w:hAnsi="Arial"/>
                <w:sz w:val="16"/>
                <w:szCs w:val="16"/>
                <w:color w:val="auto"/>
              </w:rPr>
              <w:t>Celtic Living Assistance Services, LLC</w:t>
            </w:r>
          </w:p>
        </w:tc>
        <w:tc>
          <w:tcPr>
            <w:tcW w:w="3060" w:type="dxa"/>
            <w:vAlign w:val="bottom"/>
          </w:tcPr>
          <w:p>
            <w:pPr>
              <w:ind w:left="960"/>
              <w:spacing w:after="0"/>
              <w:rPr>
                <w:sz w:val="20"/>
                <w:szCs w:val="20"/>
                <w:color w:val="auto"/>
              </w:rPr>
            </w:pPr>
            <w:r>
              <w:rPr>
                <w:rFonts w:ascii="Arial" w:cs="Arial" w:eastAsia="Arial" w:hAnsi="Arial"/>
                <w:sz w:val="16"/>
                <w:szCs w:val="16"/>
                <w:color w:val="auto"/>
              </w:rPr>
              <w:t>Pennsylvania</w:t>
            </w:r>
          </w:p>
        </w:tc>
        <w:tc>
          <w:tcPr>
            <w:tcW w:w="1320" w:type="dxa"/>
            <w:vAlign w:val="bottom"/>
          </w:tcPr>
          <w:p>
            <w:pPr>
              <w:jc w:val="right"/>
              <w:spacing w:after="0"/>
              <w:rPr>
                <w:sz w:val="20"/>
                <w:szCs w:val="20"/>
                <w:color w:val="auto"/>
              </w:rPr>
            </w:pPr>
            <w:r>
              <w:rPr>
                <w:rFonts w:ascii="Arial" w:cs="Arial" w:eastAsia="Arial" w:hAnsi="Arial"/>
                <w:sz w:val="16"/>
                <w:szCs w:val="16"/>
                <w:color w:val="auto"/>
              </w:rPr>
              <w:t>90%</w:t>
            </w:r>
          </w:p>
        </w:tc>
        <w:tc>
          <w:tcPr>
            <w:tcW w:w="240" w:type="dxa"/>
            <w:vAlign w:val="bottom"/>
          </w:tcPr>
          <w:p>
            <w:pPr>
              <w:spacing w:after="0"/>
              <w:rPr>
                <w:sz w:val="23"/>
                <w:szCs w:val="23"/>
                <w:color w:val="auto"/>
              </w:rPr>
            </w:pPr>
          </w:p>
        </w:tc>
      </w:tr>
      <w:tr>
        <w:trPr>
          <w:trHeight w:val="270"/>
        </w:trPr>
        <w:tc>
          <w:tcPr>
            <w:tcW w:w="5520" w:type="dxa"/>
            <w:vAlign w:val="bottom"/>
          </w:tcPr>
          <w:p>
            <w:pPr>
              <w:ind w:left="500"/>
              <w:spacing w:after="0"/>
              <w:rPr>
                <w:sz w:val="20"/>
                <w:szCs w:val="20"/>
                <w:color w:val="auto"/>
              </w:rPr>
            </w:pPr>
            <w:r>
              <w:rPr>
                <w:rFonts w:ascii="Arial" w:cs="Arial" w:eastAsia="Arial" w:hAnsi="Arial"/>
                <w:sz w:val="16"/>
                <w:szCs w:val="16"/>
                <w:color w:val="auto"/>
              </w:rPr>
              <w:t>Celtic Homecare, Inc.</w:t>
            </w:r>
          </w:p>
        </w:tc>
        <w:tc>
          <w:tcPr>
            <w:tcW w:w="3060" w:type="dxa"/>
            <w:vAlign w:val="bottom"/>
          </w:tcPr>
          <w:p>
            <w:pPr>
              <w:ind w:left="960"/>
              <w:spacing w:after="0"/>
              <w:rPr>
                <w:sz w:val="20"/>
                <w:szCs w:val="20"/>
                <w:color w:val="auto"/>
              </w:rPr>
            </w:pPr>
            <w:r>
              <w:rPr>
                <w:rFonts w:ascii="Arial" w:cs="Arial" w:eastAsia="Arial" w:hAnsi="Arial"/>
                <w:sz w:val="16"/>
                <w:szCs w:val="16"/>
                <w:color w:val="auto"/>
              </w:rPr>
              <w:t>Pennsylvania</w:t>
            </w:r>
          </w:p>
        </w:tc>
        <w:tc>
          <w:tcPr>
            <w:tcW w:w="1320" w:type="dxa"/>
            <w:vAlign w:val="bottom"/>
          </w:tcPr>
          <w:p>
            <w:pPr>
              <w:jc w:val="right"/>
              <w:spacing w:after="0"/>
              <w:rPr>
                <w:sz w:val="20"/>
                <w:szCs w:val="20"/>
                <w:color w:val="auto"/>
              </w:rPr>
            </w:pPr>
            <w:r>
              <w:rPr>
                <w:rFonts w:ascii="Arial" w:cs="Arial" w:eastAsia="Arial" w:hAnsi="Arial"/>
                <w:sz w:val="16"/>
                <w:szCs w:val="16"/>
                <w:color w:val="auto"/>
              </w:rPr>
              <w:t>90%</w:t>
            </w:r>
          </w:p>
        </w:tc>
        <w:tc>
          <w:tcPr>
            <w:tcW w:w="240" w:type="dxa"/>
            <w:vAlign w:val="bottom"/>
          </w:tcPr>
          <w:p>
            <w:pPr>
              <w:spacing w:after="0"/>
              <w:rPr>
                <w:sz w:val="23"/>
                <w:szCs w:val="23"/>
                <w:color w:val="auto"/>
              </w:rPr>
            </w:pPr>
          </w:p>
        </w:tc>
      </w:tr>
      <w:tr>
        <w:trPr>
          <w:trHeight w:val="270"/>
        </w:trPr>
        <w:tc>
          <w:tcPr>
            <w:tcW w:w="5520" w:type="dxa"/>
            <w:vAlign w:val="bottom"/>
          </w:tcPr>
          <w:p>
            <w:pPr>
              <w:ind w:left="500"/>
              <w:spacing w:after="0"/>
              <w:rPr>
                <w:sz w:val="20"/>
                <w:szCs w:val="20"/>
                <w:color w:val="auto"/>
              </w:rPr>
            </w:pPr>
            <w:r>
              <w:rPr>
                <w:rFonts w:ascii="Arial" w:cs="Arial" w:eastAsia="Arial" w:hAnsi="Arial"/>
                <w:sz w:val="16"/>
                <w:szCs w:val="16"/>
                <w:color w:val="auto"/>
              </w:rPr>
              <w:t>Celtic Support Services, Inc.</w:t>
            </w:r>
          </w:p>
        </w:tc>
        <w:tc>
          <w:tcPr>
            <w:tcW w:w="3060" w:type="dxa"/>
            <w:vAlign w:val="bottom"/>
          </w:tcPr>
          <w:p>
            <w:pPr>
              <w:ind w:left="960"/>
              <w:spacing w:after="0"/>
              <w:rPr>
                <w:sz w:val="20"/>
                <w:szCs w:val="20"/>
                <w:color w:val="auto"/>
              </w:rPr>
            </w:pPr>
            <w:r>
              <w:rPr>
                <w:rFonts w:ascii="Arial" w:cs="Arial" w:eastAsia="Arial" w:hAnsi="Arial"/>
                <w:sz w:val="16"/>
                <w:szCs w:val="16"/>
                <w:color w:val="auto"/>
              </w:rPr>
              <w:t>Pennsylvania</w:t>
            </w:r>
          </w:p>
        </w:tc>
        <w:tc>
          <w:tcPr>
            <w:tcW w:w="1320" w:type="dxa"/>
            <w:vAlign w:val="bottom"/>
          </w:tcPr>
          <w:p>
            <w:pPr>
              <w:jc w:val="right"/>
              <w:spacing w:after="0"/>
              <w:rPr>
                <w:sz w:val="20"/>
                <w:szCs w:val="20"/>
                <w:color w:val="auto"/>
              </w:rPr>
            </w:pPr>
            <w:r>
              <w:rPr>
                <w:rFonts w:ascii="Arial" w:cs="Arial" w:eastAsia="Arial" w:hAnsi="Arial"/>
                <w:sz w:val="16"/>
                <w:szCs w:val="16"/>
                <w:color w:val="auto"/>
              </w:rPr>
              <w:t>90%</w:t>
            </w:r>
          </w:p>
        </w:tc>
        <w:tc>
          <w:tcPr>
            <w:tcW w:w="240" w:type="dxa"/>
            <w:vAlign w:val="bottom"/>
          </w:tcPr>
          <w:p>
            <w:pPr>
              <w:spacing w:after="0"/>
              <w:rPr>
                <w:sz w:val="23"/>
                <w:szCs w:val="23"/>
                <w:color w:val="auto"/>
              </w:rPr>
            </w:pPr>
          </w:p>
        </w:tc>
      </w:tr>
      <w:tr>
        <w:trPr>
          <w:trHeight w:val="270"/>
        </w:trPr>
        <w:tc>
          <w:tcPr>
            <w:tcW w:w="5520" w:type="dxa"/>
            <w:vAlign w:val="bottom"/>
          </w:tcPr>
          <w:p>
            <w:pPr>
              <w:ind w:left="500"/>
              <w:spacing w:after="0"/>
              <w:rPr>
                <w:sz w:val="20"/>
                <w:szCs w:val="20"/>
                <w:color w:val="auto"/>
              </w:rPr>
            </w:pPr>
            <w:r>
              <w:rPr>
                <w:rFonts w:ascii="Arial" w:cs="Arial" w:eastAsia="Arial" w:hAnsi="Arial"/>
                <w:sz w:val="16"/>
                <w:szCs w:val="16"/>
                <w:color w:val="auto"/>
              </w:rPr>
              <w:t>Celtic Rehabilitation, Inc.</w:t>
            </w:r>
          </w:p>
        </w:tc>
        <w:tc>
          <w:tcPr>
            <w:tcW w:w="3060" w:type="dxa"/>
            <w:vAlign w:val="bottom"/>
          </w:tcPr>
          <w:p>
            <w:pPr>
              <w:ind w:left="960"/>
              <w:spacing w:after="0"/>
              <w:rPr>
                <w:sz w:val="20"/>
                <w:szCs w:val="20"/>
                <w:color w:val="auto"/>
              </w:rPr>
            </w:pPr>
            <w:r>
              <w:rPr>
                <w:rFonts w:ascii="Arial" w:cs="Arial" w:eastAsia="Arial" w:hAnsi="Arial"/>
                <w:sz w:val="16"/>
                <w:szCs w:val="16"/>
                <w:color w:val="auto"/>
              </w:rPr>
              <w:t>Pennsylvania</w:t>
            </w:r>
          </w:p>
        </w:tc>
        <w:tc>
          <w:tcPr>
            <w:tcW w:w="1320" w:type="dxa"/>
            <w:vAlign w:val="bottom"/>
          </w:tcPr>
          <w:p>
            <w:pPr>
              <w:jc w:val="right"/>
              <w:spacing w:after="0"/>
              <w:rPr>
                <w:sz w:val="20"/>
                <w:szCs w:val="20"/>
                <w:color w:val="auto"/>
              </w:rPr>
            </w:pPr>
            <w:r>
              <w:rPr>
                <w:rFonts w:ascii="Arial" w:cs="Arial" w:eastAsia="Arial" w:hAnsi="Arial"/>
                <w:sz w:val="16"/>
                <w:szCs w:val="16"/>
                <w:color w:val="auto"/>
              </w:rPr>
              <w:t>90%</w:t>
            </w:r>
          </w:p>
        </w:tc>
        <w:tc>
          <w:tcPr>
            <w:tcW w:w="240" w:type="dxa"/>
            <w:vAlign w:val="bottom"/>
          </w:tcPr>
          <w:p>
            <w:pPr>
              <w:spacing w:after="0"/>
              <w:rPr>
                <w:sz w:val="23"/>
                <w:szCs w:val="23"/>
                <w:color w:val="auto"/>
              </w:rPr>
            </w:pPr>
          </w:p>
        </w:tc>
      </w:tr>
      <w:tr>
        <w:trPr>
          <w:trHeight w:val="270"/>
        </w:trPr>
        <w:tc>
          <w:tcPr>
            <w:tcW w:w="5520" w:type="dxa"/>
            <w:vAlign w:val="bottom"/>
          </w:tcPr>
          <w:p>
            <w:pPr>
              <w:ind w:left="500"/>
              <w:spacing w:after="0"/>
              <w:rPr>
                <w:sz w:val="20"/>
                <w:szCs w:val="20"/>
                <w:color w:val="auto"/>
              </w:rPr>
            </w:pPr>
            <w:r>
              <w:rPr>
                <w:rFonts w:ascii="Arial" w:cs="Arial" w:eastAsia="Arial" w:hAnsi="Arial"/>
                <w:sz w:val="16"/>
                <w:szCs w:val="16"/>
                <w:color w:val="auto"/>
              </w:rPr>
              <w:t>Celtic Healthcare of NC PA, LLC</w:t>
            </w:r>
          </w:p>
        </w:tc>
        <w:tc>
          <w:tcPr>
            <w:tcW w:w="3060" w:type="dxa"/>
            <w:vAlign w:val="bottom"/>
          </w:tcPr>
          <w:p>
            <w:pPr>
              <w:ind w:left="960"/>
              <w:spacing w:after="0"/>
              <w:rPr>
                <w:sz w:val="20"/>
                <w:szCs w:val="20"/>
                <w:color w:val="auto"/>
              </w:rPr>
            </w:pPr>
            <w:r>
              <w:rPr>
                <w:rFonts w:ascii="Arial" w:cs="Arial" w:eastAsia="Arial" w:hAnsi="Arial"/>
                <w:sz w:val="16"/>
                <w:szCs w:val="16"/>
                <w:color w:val="auto"/>
              </w:rPr>
              <w:t>Pennsylvania</w:t>
            </w:r>
          </w:p>
        </w:tc>
        <w:tc>
          <w:tcPr>
            <w:tcW w:w="1320" w:type="dxa"/>
            <w:vAlign w:val="bottom"/>
          </w:tcPr>
          <w:p>
            <w:pPr>
              <w:jc w:val="right"/>
              <w:spacing w:after="0"/>
              <w:rPr>
                <w:sz w:val="20"/>
                <w:szCs w:val="20"/>
                <w:color w:val="auto"/>
              </w:rPr>
            </w:pPr>
            <w:r>
              <w:rPr>
                <w:rFonts w:ascii="Arial" w:cs="Arial" w:eastAsia="Arial" w:hAnsi="Arial"/>
                <w:sz w:val="16"/>
                <w:szCs w:val="16"/>
                <w:color w:val="auto"/>
              </w:rPr>
              <w:t>90%</w:t>
            </w:r>
          </w:p>
        </w:tc>
        <w:tc>
          <w:tcPr>
            <w:tcW w:w="240" w:type="dxa"/>
            <w:vAlign w:val="bottom"/>
          </w:tcPr>
          <w:p>
            <w:pPr>
              <w:spacing w:after="0"/>
              <w:rPr>
                <w:sz w:val="23"/>
                <w:szCs w:val="23"/>
                <w:color w:val="auto"/>
              </w:rPr>
            </w:pPr>
          </w:p>
        </w:tc>
      </w:tr>
      <w:tr>
        <w:trPr>
          <w:trHeight w:val="270"/>
        </w:trPr>
        <w:tc>
          <w:tcPr>
            <w:tcW w:w="5520" w:type="dxa"/>
            <w:vAlign w:val="bottom"/>
          </w:tcPr>
          <w:p>
            <w:pPr>
              <w:ind w:left="500"/>
              <w:spacing w:after="0"/>
              <w:rPr>
                <w:sz w:val="20"/>
                <w:szCs w:val="20"/>
                <w:color w:val="auto"/>
              </w:rPr>
            </w:pPr>
            <w:r>
              <w:rPr>
                <w:rFonts w:ascii="Arial" w:cs="Arial" w:eastAsia="Arial" w:hAnsi="Arial"/>
                <w:sz w:val="16"/>
                <w:szCs w:val="16"/>
                <w:color w:val="auto"/>
              </w:rPr>
              <w:t>Celtic Healthcare of NE PA, Inc.</w:t>
            </w:r>
          </w:p>
        </w:tc>
        <w:tc>
          <w:tcPr>
            <w:tcW w:w="3060" w:type="dxa"/>
            <w:vAlign w:val="bottom"/>
          </w:tcPr>
          <w:p>
            <w:pPr>
              <w:ind w:left="960"/>
              <w:spacing w:after="0"/>
              <w:rPr>
                <w:sz w:val="20"/>
                <w:szCs w:val="20"/>
                <w:color w:val="auto"/>
              </w:rPr>
            </w:pPr>
            <w:r>
              <w:rPr>
                <w:rFonts w:ascii="Arial" w:cs="Arial" w:eastAsia="Arial" w:hAnsi="Arial"/>
                <w:sz w:val="16"/>
                <w:szCs w:val="16"/>
                <w:color w:val="auto"/>
              </w:rPr>
              <w:t>Pennsylvania</w:t>
            </w:r>
          </w:p>
        </w:tc>
        <w:tc>
          <w:tcPr>
            <w:tcW w:w="1320" w:type="dxa"/>
            <w:vAlign w:val="bottom"/>
          </w:tcPr>
          <w:p>
            <w:pPr>
              <w:jc w:val="right"/>
              <w:spacing w:after="0"/>
              <w:rPr>
                <w:sz w:val="20"/>
                <w:szCs w:val="20"/>
                <w:color w:val="auto"/>
              </w:rPr>
            </w:pPr>
            <w:r>
              <w:rPr>
                <w:rFonts w:ascii="Arial" w:cs="Arial" w:eastAsia="Arial" w:hAnsi="Arial"/>
                <w:sz w:val="16"/>
                <w:szCs w:val="16"/>
                <w:color w:val="auto"/>
              </w:rPr>
              <w:t>90%</w:t>
            </w:r>
          </w:p>
        </w:tc>
        <w:tc>
          <w:tcPr>
            <w:tcW w:w="240" w:type="dxa"/>
            <w:vAlign w:val="bottom"/>
          </w:tcPr>
          <w:p>
            <w:pPr>
              <w:spacing w:after="0"/>
              <w:rPr>
                <w:sz w:val="23"/>
                <w:szCs w:val="23"/>
                <w:color w:val="auto"/>
              </w:rPr>
            </w:pPr>
          </w:p>
        </w:tc>
      </w:tr>
      <w:tr>
        <w:trPr>
          <w:trHeight w:val="270"/>
        </w:trPr>
        <w:tc>
          <w:tcPr>
            <w:tcW w:w="5520" w:type="dxa"/>
            <w:vAlign w:val="bottom"/>
          </w:tcPr>
          <w:p>
            <w:pPr>
              <w:ind w:left="500"/>
              <w:spacing w:after="0"/>
              <w:rPr>
                <w:sz w:val="20"/>
                <w:szCs w:val="20"/>
                <w:color w:val="auto"/>
              </w:rPr>
            </w:pPr>
            <w:r>
              <w:rPr>
                <w:rFonts w:ascii="Arial" w:cs="Arial" w:eastAsia="Arial" w:hAnsi="Arial"/>
                <w:sz w:val="16"/>
                <w:szCs w:val="16"/>
                <w:color w:val="auto"/>
              </w:rPr>
              <w:t>Celtic Geriatric Care Management, Inc.</w:t>
            </w:r>
          </w:p>
        </w:tc>
        <w:tc>
          <w:tcPr>
            <w:tcW w:w="3060" w:type="dxa"/>
            <w:vAlign w:val="bottom"/>
          </w:tcPr>
          <w:p>
            <w:pPr>
              <w:ind w:left="960"/>
              <w:spacing w:after="0"/>
              <w:rPr>
                <w:sz w:val="20"/>
                <w:szCs w:val="20"/>
                <w:color w:val="auto"/>
              </w:rPr>
            </w:pPr>
            <w:r>
              <w:rPr>
                <w:rFonts w:ascii="Arial" w:cs="Arial" w:eastAsia="Arial" w:hAnsi="Arial"/>
                <w:sz w:val="16"/>
                <w:szCs w:val="16"/>
                <w:color w:val="auto"/>
              </w:rPr>
              <w:t>Pennsylvania</w:t>
            </w:r>
          </w:p>
        </w:tc>
        <w:tc>
          <w:tcPr>
            <w:tcW w:w="1320" w:type="dxa"/>
            <w:vAlign w:val="bottom"/>
          </w:tcPr>
          <w:p>
            <w:pPr>
              <w:jc w:val="right"/>
              <w:spacing w:after="0"/>
              <w:rPr>
                <w:sz w:val="20"/>
                <w:szCs w:val="20"/>
                <w:color w:val="auto"/>
              </w:rPr>
            </w:pPr>
            <w:r>
              <w:rPr>
                <w:rFonts w:ascii="Arial" w:cs="Arial" w:eastAsia="Arial" w:hAnsi="Arial"/>
                <w:sz w:val="16"/>
                <w:szCs w:val="16"/>
                <w:color w:val="auto"/>
              </w:rPr>
              <w:t>90%</w:t>
            </w:r>
          </w:p>
        </w:tc>
        <w:tc>
          <w:tcPr>
            <w:tcW w:w="240" w:type="dxa"/>
            <w:vAlign w:val="bottom"/>
          </w:tcPr>
          <w:p>
            <w:pPr>
              <w:spacing w:after="0"/>
              <w:rPr>
                <w:sz w:val="23"/>
                <w:szCs w:val="23"/>
                <w:color w:val="auto"/>
              </w:rPr>
            </w:pPr>
          </w:p>
        </w:tc>
      </w:tr>
      <w:tr>
        <w:trPr>
          <w:trHeight w:val="270"/>
        </w:trPr>
        <w:tc>
          <w:tcPr>
            <w:tcW w:w="5520" w:type="dxa"/>
            <w:vAlign w:val="bottom"/>
          </w:tcPr>
          <w:p>
            <w:pPr>
              <w:ind w:left="500"/>
              <w:spacing w:after="0"/>
              <w:rPr>
                <w:sz w:val="20"/>
                <w:szCs w:val="20"/>
                <w:color w:val="auto"/>
              </w:rPr>
            </w:pPr>
            <w:r>
              <w:rPr>
                <w:rFonts w:ascii="Arial" w:cs="Arial" w:eastAsia="Arial" w:hAnsi="Arial"/>
                <w:sz w:val="16"/>
                <w:szCs w:val="16"/>
                <w:color w:val="auto"/>
              </w:rPr>
              <w:t>Celtic Hospice &amp; Palliative Care Services of Carlisle, Inc.</w:t>
            </w:r>
          </w:p>
        </w:tc>
        <w:tc>
          <w:tcPr>
            <w:tcW w:w="3060" w:type="dxa"/>
            <w:vAlign w:val="bottom"/>
          </w:tcPr>
          <w:p>
            <w:pPr>
              <w:ind w:left="960"/>
              <w:spacing w:after="0"/>
              <w:rPr>
                <w:sz w:val="20"/>
                <w:szCs w:val="20"/>
                <w:color w:val="auto"/>
              </w:rPr>
            </w:pPr>
            <w:r>
              <w:rPr>
                <w:rFonts w:ascii="Arial" w:cs="Arial" w:eastAsia="Arial" w:hAnsi="Arial"/>
                <w:sz w:val="16"/>
                <w:szCs w:val="16"/>
                <w:color w:val="auto"/>
              </w:rPr>
              <w:t>Pennsylvania</w:t>
            </w:r>
          </w:p>
        </w:tc>
        <w:tc>
          <w:tcPr>
            <w:tcW w:w="1320" w:type="dxa"/>
            <w:vAlign w:val="bottom"/>
          </w:tcPr>
          <w:p>
            <w:pPr>
              <w:jc w:val="right"/>
              <w:spacing w:after="0"/>
              <w:rPr>
                <w:sz w:val="20"/>
                <w:szCs w:val="20"/>
                <w:color w:val="auto"/>
              </w:rPr>
            </w:pPr>
            <w:r>
              <w:rPr>
                <w:rFonts w:ascii="Arial" w:cs="Arial" w:eastAsia="Arial" w:hAnsi="Arial"/>
                <w:sz w:val="16"/>
                <w:szCs w:val="16"/>
                <w:color w:val="auto"/>
              </w:rPr>
              <w:t>90%</w:t>
            </w:r>
          </w:p>
        </w:tc>
        <w:tc>
          <w:tcPr>
            <w:tcW w:w="240" w:type="dxa"/>
            <w:vAlign w:val="bottom"/>
          </w:tcPr>
          <w:p>
            <w:pPr>
              <w:spacing w:after="0"/>
              <w:rPr>
                <w:sz w:val="23"/>
                <w:szCs w:val="23"/>
                <w:color w:val="auto"/>
              </w:rPr>
            </w:pPr>
          </w:p>
        </w:tc>
      </w:tr>
      <w:tr>
        <w:trPr>
          <w:trHeight w:val="270"/>
        </w:trPr>
        <w:tc>
          <w:tcPr>
            <w:tcW w:w="5520" w:type="dxa"/>
            <w:vAlign w:val="bottom"/>
          </w:tcPr>
          <w:p>
            <w:pPr>
              <w:ind w:left="500"/>
              <w:spacing w:after="0"/>
              <w:rPr>
                <w:sz w:val="20"/>
                <w:szCs w:val="20"/>
                <w:color w:val="auto"/>
              </w:rPr>
            </w:pPr>
            <w:r>
              <w:rPr>
                <w:rFonts w:ascii="Arial" w:cs="Arial" w:eastAsia="Arial" w:hAnsi="Arial"/>
                <w:sz w:val="16"/>
                <w:szCs w:val="16"/>
                <w:color w:val="auto"/>
              </w:rPr>
              <w:t>Celtic Hospice &amp; Palliative Care Services of E. MO, LLC</w:t>
            </w:r>
          </w:p>
        </w:tc>
        <w:tc>
          <w:tcPr>
            <w:tcW w:w="3060" w:type="dxa"/>
            <w:vAlign w:val="bottom"/>
          </w:tcPr>
          <w:p>
            <w:pPr>
              <w:ind w:left="960"/>
              <w:spacing w:after="0"/>
              <w:rPr>
                <w:sz w:val="20"/>
                <w:szCs w:val="20"/>
                <w:color w:val="auto"/>
              </w:rPr>
            </w:pPr>
            <w:r>
              <w:rPr>
                <w:rFonts w:ascii="Arial" w:cs="Arial" w:eastAsia="Arial" w:hAnsi="Arial"/>
                <w:sz w:val="16"/>
                <w:szCs w:val="16"/>
                <w:color w:val="auto"/>
              </w:rPr>
              <w:t>Pennsylvania</w:t>
            </w:r>
          </w:p>
        </w:tc>
        <w:tc>
          <w:tcPr>
            <w:tcW w:w="1320" w:type="dxa"/>
            <w:vAlign w:val="bottom"/>
          </w:tcPr>
          <w:p>
            <w:pPr>
              <w:jc w:val="right"/>
              <w:spacing w:after="0"/>
              <w:rPr>
                <w:sz w:val="20"/>
                <w:szCs w:val="20"/>
                <w:color w:val="auto"/>
              </w:rPr>
            </w:pPr>
            <w:r>
              <w:rPr>
                <w:rFonts w:ascii="Arial" w:cs="Arial" w:eastAsia="Arial" w:hAnsi="Arial"/>
                <w:sz w:val="16"/>
                <w:szCs w:val="16"/>
                <w:color w:val="auto"/>
              </w:rPr>
              <w:t>90%</w:t>
            </w:r>
          </w:p>
        </w:tc>
        <w:tc>
          <w:tcPr>
            <w:tcW w:w="240" w:type="dxa"/>
            <w:vAlign w:val="bottom"/>
          </w:tcPr>
          <w:p>
            <w:pPr>
              <w:spacing w:after="0"/>
              <w:rPr>
                <w:sz w:val="23"/>
                <w:szCs w:val="23"/>
                <w:color w:val="auto"/>
              </w:rPr>
            </w:pPr>
          </w:p>
        </w:tc>
      </w:tr>
      <w:tr>
        <w:trPr>
          <w:trHeight w:val="270"/>
        </w:trPr>
        <w:tc>
          <w:tcPr>
            <w:tcW w:w="5520" w:type="dxa"/>
            <w:vAlign w:val="bottom"/>
          </w:tcPr>
          <w:p>
            <w:pPr>
              <w:ind w:left="500"/>
              <w:spacing w:after="0"/>
              <w:rPr>
                <w:sz w:val="20"/>
                <w:szCs w:val="20"/>
                <w:color w:val="auto"/>
              </w:rPr>
            </w:pPr>
            <w:r>
              <w:rPr>
                <w:rFonts w:ascii="Arial" w:cs="Arial" w:eastAsia="Arial" w:hAnsi="Arial"/>
                <w:sz w:val="16"/>
                <w:szCs w:val="16"/>
                <w:color w:val="auto"/>
              </w:rPr>
              <w:t>Celtic Hospice &amp; Palliative Care Services of NC PA, LLC</w:t>
            </w:r>
          </w:p>
        </w:tc>
        <w:tc>
          <w:tcPr>
            <w:tcW w:w="3060" w:type="dxa"/>
            <w:vAlign w:val="bottom"/>
          </w:tcPr>
          <w:p>
            <w:pPr>
              <w:ind w:left="960"/>
              <w:spacing w:after="0"/>
              <w:rPr>
                <w:sz w:val="20"/>
                <w:szCs w:val="20"/>
                <w:color w:val="auto"/>
              </w:rPr>
            </w:pPr>
            <w:r>
              <w:rPr>
                <w:rFonts w:ascii="Arial" w:cs="Arial" w:eastAsia="Arial" w:hAnsi="Arial"/>
                <w:sz w:val="16"/>
                <w:szCs w:val="16"/>
                <w:color w:val="auto"/>
              </w:rPr>
              <w:t>Pennsylvania</w:t>
            </w:r>
          </w:p>
        </w:tc>
        <w:tc>
          <w:tcPr>
            <w:tcW w:w="1320" w:type="dxa"/>
            <w:vAlign w:val="bottom"/>
          </w:tcPr>
          <w:p>
            <w:pPr>
              <w:jc w:val="right"/>
              <w:spacing w:after="0"/>
              <w:rPr>
                <w:sz w:val="20"/>
                <w:szCs w:val="20"/>
                <w:color w:val="auto"/>
              </w:rPr>
            </w:pPr>
            <w:r>
              <w:rPr>
                <w:rFonts w:ascii="Arial" w:cs="Arial" w:eastAsia="Arial" w:hAnsi="Arial"/>
                <w:sz w:val="16"/>
                <w:szCs w:val="16"/>
                <w:color w:val="auto"/>
              </w:rPr>
              <w:t>90%</w:t>
            </w:r>
          </w:p>
        </w:tc>
        <w:tc>
          <w:tcPr>
            <w:tcW w:w="240" w:type="dxa"/>
            <w:vAlign w:val="bottom"/>
          </w:tcPr>
          <w:p>
            <w:pPr>
              <w:spacing w:after="0"/>
              <w:rPr>
                <w:sz w:val="23"/>
                <w:szCs w:val="23"/>
                <w:color w:val="auto"/>
              </w:rPr>
            </w:pPr>
          </w:p>
        </w:tc>
      </w:tr>
      <w:tr>
        <w:trPr>
          <w:trHeight w:val="270"/>
        </w:trPr>
        <w:tc>
          <w:tcPr>
            <w:tcW w:w="5520" w:type="dxa"/>
            <w:vAlign w:val="bottom"/>
          </w:tcPr>
          <w:p>
            <w:pPr>
              <w:ind w:left="500"/>
              <w:spacing w:after="0"/>
              <w:rPr>
                <w:sz w:val="20"/>
                <w:szCs w:val="20"/>
                <w:color w:val="auto"/>
              </w:rPr>
            </w:pPr>
            <w:r>
              <w:rPr>
                <w:rFonts w:ascii="Arial" w:cs="Arial" w:eastAsia="Arial" w:hAnsi="Arial"/>
                <w:sz w:val="16"/>
                <w:szCs w:val="16"/>
                <w:color w:val="auto"/>
              </w:rPr>
              <w:t>Celtic Hospice &amp; Palliative Care Services of S. IL, LLC</w:t>
            </w:r>
          </w:p>
        </w:tc>
        <w:tc>
          <w:tcPr>
            <w:tcW w:w="3060" w:type="dxa"/>
            <w:vAlign w:val="bottom"/>
          </w:tcPr>
          <w:p>
            <w:pPr>
              <w:ind w:left="960"/>
              <w:spacing w:after="0"/>
              <w:rPr>
                <w:sz w:val="20"/>
                <w:szCs w:val="20"/>
                <w:color w:val="auto"/>
              </w:rPr>
            </w:pPr>
            <w:r>
              <w:rPr>
                <w:rFonts w:ascii="Arial" w:cs="Arial" w:eastAsia="Arial" w:hAnsi="Arial"/>
                <w:sz w:val="16"/>
                <w:szCs w:val="16"/>
                <w:color w:val="auto"/>
              </w:rPr>
              <w:t>Pennsylvania</w:t>
            </w:r>
          </w:p>
        </w:tc>
        <w:tc>
          <w:tcPr>
            <w:tcW w:w="1320" w:type="dxa"/>
            <w:vAlign w:val="bottom"/>
          </w:tcPr>
          <w:p>
            <w:pPr>
              <w:jc w:val="right"/>
              <w:spacing w:after="0"/>
              <w:rPr>
                <w:sz w:val="20"/>
                <w:szCs w:val="20"/>
                <w:color w:val="auto"/>
              </w:rPr>
            </w:pPr>
            <w:r>
              <w:rPr>
                <w:rFonts w:ascii="Arial" w:cs="Arial" w:eastAsia="Arial" w:hAnsi="Arial"/>
                <w:sz w:val="16"/>
                <w:szCs w:val="16"/>
                <w:color w:val="auto"/>
              </w:rPr>
              <w:t>90%</w:t>
            </w:r>
          </w:p>
        </w:tc>
        <w:tc>
          <w:tcPr>
            <w:tcW w:w="240" w:type="dxa"/>
            <w:vAlign w:val="bottom"/>
          </w:tcPr>
          <w:p>
            <w:pPr>
              <w:spacing w:after="0"/>
              <w:rPr>
                <w:sz w:val="23"/>
                <w:szCs w:val="23"/>
                <w:color w:val="auto"/>
              </w:rPr>
            </w:pPr>
          </w:p>
        </w:tc>
      </w:tr>
      <w:tr>
        <w:trPr>
          <w:trHeight w:val="270"/>
        </w:trPr>
        <w:tc>
          <w:tcPr>
            <w:tcW w:w="5520" w:type="dxa"/>
            <w:vAlign w:val="bottom"/>
          </w:tcPr>
          <w:p>
            <w:pPr>
              <w:ind w:left="500"/>
              <w:spacing w:after="0"/>
              <w:rPr>
                <w:sz w:val="20"/>
                <w:szCs w:val="20"/>
                <w:color w:val="auto"/>
              </w:rPr>
            </w:pPr>
            <w:r>
              <w:rPr>
                <w:rFonts w:ascii="Arial" w:cs="Arial" w:eastAsia="Arial" w:hAnsi="Arial"/>
                <w:sz w:val="16"/>
                <w:szCs w:val="16"/>
                <w:color w:val="auto"/>
              </w:rPr>
              <w:t>Celtic Healthcare of NE Ohio, Inc.</w:t>
            </w:r>
          </w:p>
        </w:tc>
        <w:tc>
          <w:tcPr>
            <w:tcW w:w="3060" w:type="dxa"/>
            <w:vAlign w:val="bottom"/>
          </w:tcPr>
          <w:p>
            <w:pPr>
              <w:ind w:left="960"/>
              <w:spacing w:after="0"/>
              <w:rPr>
                <w:sz w:val="20"/>
                <w:szCs w:val="20"/>
                <w:color w:val="auto"/>
              </w:rPr>
            </w:pPr>
            <w:r>
              <w:rPr>
                <w:rFonts w:ascii="Arial" w:cs="Arial" w:eastAsia="Arial" w:hAnsi="Arial"/>
                <w:sz w:val="16"/>
                <w:szCs w:val="16"/>
                <w:color w:val="auto"/>
              </w:rPr>
              <w:t>Ohio</w:t>
            </w:r>
          </w:p>
        </w:tc>
        <w:tc>
          <w:tcPr>
            <w:tcW w:w="1320" w:type="dxa"/>
            <w:vAlign w:val="bottom"/>
          </w:tcPr>
          <w:p>
            <w:pPr>
              <w:jc w:val="right"/>
              <w:spacing w:after="0"/>
              <w:rPr>
                <w:sz w:val="20"/>
                <w:szCs w:val="20"/>
                <w:color w:val="auto"/>
              </w:rPr>
            </w:pPr>
            <w:r>
              <w:rPr>
                <w:rFonts w:ascii="Arial" w:cs="Arial" w:eastAsia="Arial" w:hAnsi="Arial"/>
                <w:sz w:val="16"/>
                <w:szCs w:val="16"/>
                <w:color w:val="auto"/>
              </w:rPr>
              <w:t>90%</w:t>
            </w:r>
          </w:p>
        </w:tc>
        <w:tc>
          <w:tcPr>
            <w:tcW w:w="240" w:type="dxa"/>
            <w:vAlign w:val="bottom"/>
          </w:tcPr>
          <w:p>
            <w:pPr>
              <w:spacing w:after="0"/>
              <w:rPr>
                <w:sz w:val="23"/>
                <w:szCs w:val="23"/>
                <w:color w:val="auto"/>
              </w:rPr>
            </w:pPr>
          </w:p>
        </w:tc>
      </w:tr>
      <w:tr>
        <w:trPr>
          <w:trHeight w:val="270"/>
        </w:trPr>
        <w:tc>
          <w:tcPr>
            <w:tcW w:w="5520" w:type="dxa"/>
            <w:vAlign w:val="bottom"/>
          </w:tcPr>
          <w:p>
            <w:pPr>
              <w:ind w:left="500"/>
              <w:spacing w:after="0"/>
              <w:rPr>
                <w:sz w:val="20"/>
                <w:szCs w:val="20"/>
                <w:color w:val="auto"/>
              </w:rPr>
            </w:pPr>
            <w:r>
              <w:rPr>
                <w:rFonts w:ascii="Arial" w:cs="Arial" w:eastAsia="Arial" w:hAnsi="Arial"/>
                <w:sz w:val="16"/>
                <w:szCs w:val="16"/>
                <w:color w:val="auto"/>
              </w:rPr>
              <w:t>Celtic Community Services of NE Ohio, Inc.</w:t>
            </w:r>
          </w:p>
        </w:tc>
        <w:tc>
          <w:tcPr>
            <w:tcW w:w="3060" w:type="dxa"/>
            <w:vAlign w:val="bottom"/>
          </w:tcPr>
          <w:p>
            <w:pPr>
              <w:ind w:left="960"/>
              <w:spacing w:after="0"/>
              <w:rPr>
                <w:sz w:val="20"/>
                <w:szCs w:val="20"/>
                <w:color w:val="auto"/>
              </w:rPr>
            </w:pPr>
            <w:r>
              <w:rPr>
                <w:rFonts w:ascii="Arial" w:cs="Arial" w:eastAsia="Arial" w:hAnsi="Arial"/>
                <w:sz w:val="16"/>
                <w:szCs w:val="16"/>
                <w:color w:val="auto"/>
              </w:rPr>
              <w:t>Ohio</w:t>
            </w:r>
          </w:p>
        </w:tc>
        <w:tc>
          <w:tcPr>
            <w:tcW w:w="1320" w:type="dxa"/>
            <w:vAlign w:val="bottom"/>
          </w:tcPr>
          <w:p>
            <w:pPr>
              <w:jc w:val="right"/>
              <w:spacing w:after="0"/>
              <w:rPr>
                <w:sz w:val="20"/>
                <w:szCs w:val="20"/>
                <w:color w:val="auto"/>
              </w:rPr>
            </w:pPr>
            <w:r>
              <w:rPr>
                <w:rFonts w:ascii="Arial" w:cs="Arial" w:eastAsia="Arial" w:hAnsi="Arial"/>
                <w:sz w:val="16"/>
                <w:szCs w:val="16"/>
                <w:color w:val="auto"/>
              </w:rPr>
              <w:t>90%</w:t>
            </w:r>
          </w:p>
        </w:tc>
        <w:tc>
          <w:tcPr>
            <w:tcW w:w="240" w:type="dxa"/>
            <w:vAlign w:val="bottom"/>
          </w:tcPr>
          <w:p>
            <w:pPr>
              <w:spacing w:after="0"/>
              <w:rPr>
                <w:sz w:val="23"/>
                <w:szCs w:val="23"/>
                <w:color w:val="auto"/>
              </w:rPr>
            </w:pPr>
          </w:p>
        </w:tc>
      </w:tr>
      <w:tr>
        <w:trPr>
          <w:trHeight w:val="270"/>
        </w:trPr>
        <w:tc>
          <w:tcPr>
            <w:tcW w:w="5520" w:type="dxa"/>
            <w:vAlign w:val="bottom"/>
          </w:tcPr>
          <w:p>
            <w:pPr>
              <w:ind w:left="500"/>
              <w:spacing w:after="0"/>
              <w:rPr>
                <w:sz w:val="20"/>
                <w:szCs w:val="20"/>
                <w:color w:val="auto"/>
              </w:rPr>
            </w:pPr>
            <w:r>
              <w:rPr>
                <w:rFonts w:ascii="Arial" w:cs="Arial" w:eastAsia="Arial" w:hAnsi="Arial"/>
                <w:sz w:val="16"/>
                <w:szCs w:val="16"/>
                <w:color w:val="auto"/>
              </w:rPr>
              <w:t>Celtic Healthcare of Maryland, Inc.</w:t>
            </w:r>
          </w:p>
        </w:tc>
        <w:tc>
          <w:tcPr>
            <w:tcW w:w="3060" w:type="dxa"/>
            <w:vAlign w:val="bottom"/>
          </w:tcPr>
          <w:p>
            <w:pPr>
              <w:ind w:left="960"/>
              <w:spacing w:after="0"/>
              <w:rPr>
                <w:sz w:val="20"/>
                <w:szCs w:val="20"/>
                <w:color w:val="auto"/>
              </w:rPr>
            </w:pPr>
            <w:r>
              <w:rPr>
                <w:rFonts w:ascii="Arial" w:cs="Arial" w:eastAsia="Arial" w:hAnsi="Arial"/>
                <w:sz w:val="16"/>
                <w:szCs w:val="16"/>
                <w:color w:val="auto"/>
              </w:rPr>
              <w:t>Maryland</w:t>
            </w:r>
          </w:p>
        </w:tc>
        <w:tc>
          <w:tcPr>
            <w:tcW w:w="1320" w:type="dxa"/>
            <w:vAlign w:val="bottom"/>
          </w:tcPr>
          <w:p>
            <w:pPr>
              <w:jc w:val="right"/>
              <w:spacing w:after="0"/>
              <w:rPr>
                <w:sz w:val="20"/>
                <w:szCs w:val="20"/>
                <w:color w:val="auto"/>
              </w:rPr>
            </w:pPr>
            <w:r>
              <w:rPr>
                <w:rFonts w:ascii="Arial" w:cs="Arial" w:eastAsia="Arial" w:hAnsi="Arial"/>
                <w:sz w:val="16"/>
                <w:szCs w:val="16"/>
                <w:color w:val="auto"/>
              </w:rPr>
              <w:t>90%</w:t>
            </w:r>
          </w:p>
        </w:tc>
        <w:tc>
          <w:tcPr>
            <w:tcW w:w="240" w:type="dxa"/>
            <w:vAlign w:val="bottom"/>
          </w:tcPr>
          <w:p>
            <w:pPr>
              <w:spacing w:after="0"/>
              <w:rPr>
                <w:sz w:val="23"/>
                <w:szCs w:val="23"/>
                <w:color w:val="auto"/>
              </w:rPr>
            </w:pPr>
          </w:p>
        </w:tc>
      </w:tr>
      <w:tr>
        <w:trPr>
          <w:trHeight w:val="270"/>
        </w:trPr>
        <w:tc>
          <w:tcPr>
            <w:tcW w:w="5520" w:type="dxa"/>
            <w:vAlign w:val="bottom"/>
          </w:tcPr>
          <w:p>
            <w:pPr>
              <w:ind w:left="500"/>
              <w:spacing w:after="0"/>
              <w:rPr>
                <w:sz w:val="20"/>
                <w:szCs w:val="20"/>
                <w:color w:val="auto"/>
              </w:rPr>
            </w:pPr>
            <w:r>
              <w:rPr>
                <w:rFonts w:ascii="Arial" w:cs="Arial" w:eastAsia="Arial" w:hAnsi="Arial"/>
                <w:sz w:val="16"/>
                <w:szCs w:val="16"/>
                <w:color w:val="auto"/>
              </w:rPr>
              <w:t>Celtic Private Care of IL &amp; MO, LLC</w:t>
            </w:r>
          </w:p>
        </w:tc>
        <w:tc>
          <w:tcPr>
            <w:tcW w:w="3060" w:type="dxa"/>
            <w:vAlign w:val="bottom"/>
          </w:tcPr>
          <w:p>
            <w:pPr>
              <w:ind w:left="960"/>
              <w:spacing w:after="0"/>
              <w:rPr>
                <w:sz w:val="20"/>
                <w:szCs w:val="20"/>
                <w:color w:val="auto"/>
              </w:rPr>
            </w:pPr>
            <w:r>
              <w:rPr>
                <w:rFonts w:ascii="Arial" w:cs="Arial" w:eastAsia="Arial" w:hAnsi="Arial"/>
                <w:sz w:val="16"/>
                <w:szCs w:val="16"/>
                <w:color w:val="auto"/>
              </w:rPr>
              <w:t>Pennsylvania</w:t>
            </w:r>
          </w:p>
        </w:tc>
        <w:tc>
          <w:tcPr>
            <w:tcW w:w="1320" w:type="dxa"/>
            <w:vAlign w:val="bottom"/>
          </w:tcPr>
          <w:p>
            <w:pPr>
              <w:jc w:val="right"/>
              <w:spacing w:after="0"/>
              <w:rPr>
                <w:sz w:val="20"/>
                <w:szCs w:val="20"/>
                <w:color w:val="auto"/>
              </w:rPr>
            </w:pPr>
            <w:r>
              <w:rPr>
                <w:rFonts w:ascii="Arial" w:cs="Arial" w:eastAsia="Arial" w:hAnsi="Arial"/>
                <w:sz w:val="16"/>
                <w:szCs w:val="16"/>
                <w:color w:val="auto"/>
              </w:rPr>
              <w:t>90%</w:t>
            </w:r>
          </w:p>
        </w:tc>
        <w:tc>
          <w:tcPr>
            <w:tcW w:w="240" w:type="dxa"/>
            <w:vAlign w:val="bottom"/>
          </w:tcPr>
          <w:p>
            <w:pPr>
              <w:spacing w:after="0"/>
              <w:rPr>
                <w:sz w:val="23"/>
                <w:szCs w:val="23"/>
                <w:color w:val="auto"/>
              </w:rPr>
            </w:pPr>
          </w:p>
        </w:tc>
      </w:tr>
      <w:tr>
        <w:trPr>
          <w:trHeight w:val="270"/>
        </w:trPr>
        <w:tc>
          <w:tcPr>
            <w:tcW w:w="5520" w:type="dxa"/>
            <w:vAlign w:val="bottom"/>
          </w:tcPr>
          <w:p>
            <w:pPr>
              <w:ind w:left="500"/>
              <w:spacing w:after="0"/>
              <w:rPr>
                <w:sz w:val="20"/>
                <w:szCs w:val="20"/>
                <w:color w:val="auto"/>
              </w:rPr>
            </w:pPr>
            <w:r>
              <w:rPr>
                <w:rFonts w:ascii="Arial" w:cs="Arial" w:eastAsia="Arial" w:hAnsi="Arial"/>
                <w:sz w:val="16"/>
                <w:szCs w:val="16"/>
                <w:color w:val="auto"/>
              </w:rPr>
              <w:t>Home Health Utilization Management, LLC</w:t>
            </w:r>
          </w:p>
        </w:tc>
        <w:tc>
          <w:tcPr>
            <w:tcW w:w="3060" w:type="dxa"/>
            <w:vAlign w:val="bottom"/>
          </w:tcPr>
          <w:p>
            <w:pPr>
              <w:ind w:left="960"/>
              <w:spacing w:after="0"/>
              <w:rPr>
                <w:sz w:val="20"/>
                <w:szCs w:val="20"/>
                <w:color w:val="auto"/>
              </w:rPr>
            </w:pPr>
            <w:r>
              <w:rPr>
                <w:rFonts w:ascii="Arial" w:cs="Arial" w:eastAsia="Arial" w:hAnsi="Arial"/>
                <w:sz w:val="16"/>
                <w:szCs w:val="16"/>
                <w:color w:val="auto"/>
              </w:rPr>
              <w:t>Pennsylvania</w:t>
            </w:r>
          </w:p>
        </w:tc>
        <w:tc>
          <w:tcPr>
            <w:tcW w:w="1320" w:type="dxa"/>
            <w:vAlign w:val="bottom"/>
          </w:tcPr>
          <w:p>
            <w:pPr>
              <w:jc w:val="right"/>
              <w:spacing w:after="0"/>
              <w:rPr>
                <w:sz w:val="20"/>
                <w:szCs w:val="20"/>
                <w:color w:val="auto"/>
              </w:rPr>
            </w:pPr>
            <w:r>
              <w:rPr>
                <w:rFonts w:ascii="Arial" w:cs="Arial" w:eastAsia="Arial" w:hAnsi="Arial"/>
                <w:sz w:val="16"/>
                <w:szCs w:val="16"/>
                <w:color w:val="auto"/>
              </w:rPr>
              <w:t>90%</w:t>
            </w:r>
          </w:p>
        </w:tc>
        <w:tc>
          <w:tcPr>
            <w:tcW w:w="240" w:type="dxa"/>
            <w:vAlign w:val="bottom"/>
          </w:tcPr>
          <w:p>
            <w:pPr>
              <w:spacing w:after="0"/>
              <w:rPr>
                <w:sz w:val="23"/>
                <w:szCs w:val="23"/>
                <w:color w:val="auto"/>
              </w:rPr>
            </w:pPr>
          </w:p>
        </w:tc>
      </w:tr>
      <w:tr>
        <w:trPr>
          <w:trHeight w:val="270"/>
        </w:trPr>
        <w:tc>
          <w:tcPr>
            <w:tcW w:w="5520" w:type="dxa"/>
            <w:vAlign w:val="bottom"/>
          </w:tcPr>
          <w:p>
            <w:pPr>
              <w:ind w:left="500"/>
              <w:spacing w:after="0"/>
              <w:rPr>
                <w:sz w:val="20"/>
                <w:szCs w:val="20"/>
                <w:color w:val="auto"/>
              </w:rPr>
            </w:pPr>
            <w:r>
              <w:rPr>
                <w:rFonts w:ascii="Arial" w:cs="Arial" w:eastAsia="Arial" w:hAnsi="Arial"/>
                <w:sz w:val="16"/>
                <w:szCs w:val="16"/>
                <w:color w:val="auto"/>
              </w:rPr>
              <w:t>Celtic Healthcare Technology Solutions, LLC</w:t>
            </w:r>
          </w:p>
        </w:tc>
        <w:tc>
          <w:tcPr>
            <w:tcW w:w="3060" w:type="dxa"/>
            <w:vAlign w:val="bottom"/>
          </w:tcPr>
          <w:p>
            <w:pPr>
              <w:ind w:left="960"/>
              <w:spacing w:after="0"/>
              <w:rPr>
                <w:sz w:val="20"/>
                <w:szCs w:val="20"/>
                <w:color w:val="auto"/>
              </w:rPr>
            </w:pPr>
            <w:r>
              <w:rPr>
                <w:rFonts w:ascii="Arial" w:cs="Arial" w:eastAsia="Arial" w:hAnsi="Arial"/>
                <w:sz w:val="16"/>
                <w:szCs w:val="16"/>
                <w:color w:val="auto"/>
              </w:rPr>
              <w:t>Pennsylvania</w:t>
            </w:r>
          </w:p>
        </w:tc>
        <w:tc>
          <w:tcPr>
            <w:tcW w:w="1320" w:type="dxa"/>
            <w:vAlign w:val="bottom"/>
          </w:tcPr>
          <w:p>
            <w:pPr>
              <w:jc w:val="right"/>
              <w:spacing w:after="0"/>
              <w:rPr>
                <w:sz w:val="20"/>
                <w:szCs w:val="20"/>
                <w:color w:val="auto"/>
              </w:rPr>
            </w:pPr>
            <w:r>
              <w:rPr>
                <w:rFonts w:ascii="Arial" w:cs="Arial" w:eastAsia="Arial" w:hAnsi="Arial"/>
                <w:sz w:val="16"/>
                <w:szCs w:val="16"/>
                <w:color w:val="auto"/>
              </w:rPr>
              <w:t>90%</w:t>
            </w:r>
          </w:p>
        </w:tc>
        <w:tc>
          <w:tcPr>
            <w:tcW w:w="240" w:type="dxa"/>
            <w:vAlign w:val="bottom"/>
          </w:tcPr>
          <w:p>
            <w:pPr>
              <w:spacing w:after="0"/>
              <w:rPr>
                <w:sz w:val="23"/>
                <w:szCs w:val="23"/>
                <w:color w:val="auto"/>
              </w:rPr>
            </w:pPr>
          </w:p>
        </w:tc>
      </w:tr>
      <w:tr>
        <w:trPr>
          <w:trHeight w:val="270"/>
        </w:trPr>
        <w:tc>
          <w:tcPr>
            <w:tcW w:w="5520" w:type="dxa"/>
            <w:vAlign w:val="bottom"/>
          </w:tcPr>
          <w:p>
            <w:pPr>
              <w:ind w:left="280"/>
              <w:spacing w:after="0"/>
              <w:rPr>
                <w:sz w:val="20"/>
                <w:szCs w:val="20"/>
                <w:color w:val="auto"/>
              </w:rPr>
            </w:pPr>
            <w:r>
              <w:rPr>
                <w:rFonts w:ascii="Arial" w:cs="Arial" w:eastAsia="Arial" w:hAnsi="Arial"/>
                <w:sz w:val="16"/>
                <w:szCs w:val="16"/>
                <w:color w:val="auto"/>
              </w:rPr>
              <w:t>Residential Healthcare Group, Inc.</w:t>
            </w:r>
          </w:p>
        </w:tc>
        <w:tc>
          <w:tcPr>
            <w:tcW w:w="3060" w:type="dxa"/>
            <w:vAlign w:val="bottom"/>
          </w:tcPr>
          <w:p>
            <w:pPr>
              <w:ind w:left="960"/>
              <w:spacing w:after="0"/>
              <w:rPr>
                <w:sz w:val="20"/>
                <w:szCs w:val="20"/>
                <w:color w:val="auto"/>
              </w:rPr>
            </w:pPr>
            <w:r>
              <w:rPr>
                <w:rFonts w:ascii="Arial" w:cs="Arial" w:eastAsia="Arial" w:hAnsi="Arial"/>
                <w:sz w:val="16"/>
                <w:szCs w:val="16"/>
                <w:color w:val="auto"/>
              </w:rPr>
              <w:t>Delaware</w:t>
            </w:r>
          </w:p>
        </w:tc>
        <w:tc>
          <w:tcPr>
            <w:tcW w:w="1320" w:type="dxa"/>
            <w:vAlign w:val="bottom"/>
          </w:tcPr>
          <w:p>
            <w:pPr>
              <w:jc w:val="right"/>
              <w:spacing w:after="0"/>
              <w:rPr>
                <w:sz w:val="20"/>
                <w:szCs w:val="20"/>
                <w:color w:val="auto"/>
              </w:rPr>
            </w:pPr>
            <w:r>
              <w:rPr>
                <w:rFonts w:ascii="Arial" w:cs="Arial" w:eastAsia="Arial" w:hAnsi="Arial"/>
                <w:sz w:val="16"/>
                <w:szCs w:val="16"/>
                <w:color w:val="auto"/>
              </w:rPr>
              <w:t>90%</w:t>
            </w:r>
          </w:p>
        </w:tc>
        <w:tc>
          <w:tcPr>
            <w:tcW w:w="240" w:type="dxa"/>
            <w:vAlign w:val="bottom"/>
          </w:tcPr>
          <w:p>
            <w:pPr>
              <w:spacing w:after="0"/>
              <w:rPr>
                <w:sz w:val="23"/>
                <w:szCs w:val="23"/>
                <w:color w:val="auto"/>
              </w:rPr>
            </w:pPr>
          </w:p>
        </w:tc>
      </w:tr>
      <w:tr>
        <w:trPr>
          <w:trHeight w:val="270"/>
        </w:trPr>
        <w:tc>
          <w:tcPr>
            <w:tcW w:w="5520" w:type="dxa"/>
            <w:vAlign w:val="bottom"/>
          </w:tcPr>
          <w:p>
            <w:pPr>
              <w:jc w:val="center"/>
              <w:ind w:right="3199"/>
              <w:spacing w:after="0"/>
              <w:rPr>
                <w:sz w:val="20"/>
                <w:szCs w:val="20"/>
                <w:color w:val="auto"/>
              </w:rPr>
            </w:pPr>
            <w:r>
              <w:rPr>
                <w:rFonts w:ascii="Arial" w:cs="Arial" w:eastAsia="Arial" w:hAnsi="Arial"/>
                <w:sz w:val="16"/>
                <w:szCs w:val="16"/>
                <w:color w:val="auto"/>
              </w:rPr>
              <w:t>RHH Holdings Co.</w:t>
            </w:r>
          </w:p>
        </w:tc>
        <w:tc>
          <w:tcPr>
            <w:tcW w:w="3060" w:type="dxa"/>
            <w:vAlign w:val="bottom"/>
          </w:tcPr>
          <w:p>
            <w:pPr>
              <w:ind w:left="960"/>
              <w:spacing w:after="0"/>
              <w:rPr>
                <w:sz w:val="20"/>
                <w:szCs w:val="20"/>
                <w:color w:val="auto"/>
              </w:rPr>
            </w:pPr>
            <w:r>
              <w:rPr>
                <w:rFonts w:ascii="Arial" w:cs="Arial" w:eastAsia="Arial" w:hAnsi="Arial"/>
                <w:sz w:val="16"/>
                <w:szCs w:val="16"/>
                <w:color w:val="auto"/>
              </w:rPr>
              <w:t>Michigan</w:t>
            </w:r>
          </w:p>
        </w:tc>
        <w:tc>
          <w:tcPr>
            <w:tcW w:w="1320" w:type="dxa"/>
            <w:vAlign w:val="bottom"/>
          </w:tcPr>
          <w:p>
            <w:pPr>
              <w:jc w:val="right"/>
              <w:spacing w:after="0"/>
              <w:rPr>
                <w:sz w:val="20"/>
                <w:szCs w:val="20"/>
                <w:color w:val="auto"/>
              </w:rPr>
            </w:pPr>
            <w:r>
              <w:rPr>
                <w:rFonts w:ascii="Arial" w:cs="Arial" w:eastAsia="Arial" w:hAnsi="Arial"/>
                <w:sz w:val="16"/>
                <w:szCs w:val="16"/>
                <w:color w:val="auto"/>
              </w:rPr>
              <w:t>90%</w:t>
            </w:r>
          </w:p>
        </w:tc>
        <w:tc>
          <w:tcPr>
            <w:tcW w:w="240" w:type="dxa"/>
            <w:vAlign w:val="bottom"/>
          </w:tcPr>
          <w:p>
            <w:pPr>
              <w:spacing w:after="0"/>
              <w:rPr>
                <w:sz w:val="23"/>
                <w:szCs w:val="23"/>
                <w:color w:val="auto"/>
              </w:rPr>
            </w:pPr>
          </w:p>
        </w:tc>
      </w:tr>
      <w:tr>
        <w:trPr>
          <w:trHeight w:val="270"/>
        </w:trPr>
        <w:tc>
          <w:tcPr>
            <w:tcW w:w="5520" w:type="dxa"/>
            <w:vAlign w:val="bottom"/>
          </w:tcPr>
          <w:p>
            <w:pPr>
              <w:ind w:left="580"/>
              <w:spacing w:after="0"/>
              <w:rPr>
                <w:sz w:val="20"/>
                <w:szCs w:val="20"/>
                <w:color w:val="auto"/>
              </w:rPr>
            </w:pPr>
            <w:r>
              <w:rPr>
                <w:rFonts w:ascii="Arial" w:cs="Arial" w:eastAsia="Arial" w:hAnsi="Arial"/>
                <w:sz w:val="16"/>
                <w:szCs w:val="16"/>
                <w:color w:val="auto"/>
              </w:rPr>
              <w:t>Residential Home Health, LLC</w:t>
            </w:r>
          </w:p>
        </w:tc>
        <w:tc>
          <w:tcPr>
            <w:tcW w:w="3060" w:type="dxa"/>
            <w:vAlign w:val="bottom"/>
          </w:tcPr>
          <w:p>
            <w:pPr>
              <w:ind w:left="960"/>
              <w:spacing w:after="0"/>
              <w:rPr>
                <w:sz w:val="20"/>
                <w:szCs w:val="20"/>
                <w:color w:val="auto"/>
              </w:rPr>
            </w:pPr>
            <w:r>
              <w:rPr>
                <w:rFonts w:ascii="Arial" w:cs="Arial" w:eastAsia="Arial" w:hAnsi="Arial"/>
                <w:sz w:val="16"/>
                <w:szCs w:val="16"/>
                <w:color w:val="auto"/>
              </w:rPr>
              <w:t>Michigan</w:t>
            </w:r>
          </w:p>
        </w:tc>
        <w:tc>
          <w:tcPr>
            <w:tcW w:w="1320" w:type="dxa"/>
            <w:vAlign w:val="bottom"/>
          </w:tcPr>
          <w:p>
            <w:pPr>
              <w:jc w:val="right"/>
              <w:spacing w:after="0"/>
              <w:rPr>
                <w:sz w:val="20"/>
                <w:szCs w:val="20"/>
                <w:color w:val="auto"/>
              </w:rPr>
            </w:pPr>
            <w:r>
              <w:rPr>
                <w:rFonts w:ascii="Arial" w:cs="Arial" w:eastAsia="Arial" w:hAnsi="Arial"/>
                <w:sz w:val="16"/>
                <w:szCs w:val="16"/>
                <w:color w:val="auto"/>
              </w:rPr>
              <w:t>90%</w:t>
            </w:r>
          </w:p>
        </w:tc>
        <w:tc>
          <w:tcPr>
            <w:tcW w:w="240" w:type="dxa"/>
            <w:vAlign w:val="bottom"/>
          </w:tcPr>
          <w:p>
            <w:pPr>
              <w:spacing w:after="0"/>
              <w:rPr>
                <w:sz w:val="23"/>
                <w:szCs w:val="23"/>
                <w:color w:val="auto"/>
              </w:rPr>
            </w:pPr>
          </w:p>
        </w:tc>
      </w:tr>
      <w:tr>
        <w:trPr>
          <w:trHeight w:val="270"/>
        </w:trPr>
        <w:tc>
          <w:tcPr>
            <w:tcW w:w="5520" w:type="dxa"/>
            <w:vAlign w:val="bottom"/>
          </w:tcPr>
          <w:p>
            <w:pPr>
              <w:ind w:left="580"/>
              <w:spacing w:after="0"/>
              <w:rPr>
                <w:sz w:val="20"/>
                <w:szCs w:val="20"/>
                <w:color w:val="auto"/>
              </w:rPr>
            </w:pPr>
            <w:r>
              <w:rPr>
                <w:rFonts w:ascii="Arial" w:cs="Arial" w:eastAsia="Arial" w:hAnsi="Arial"/>
                <w:sz w:val="16"/>
                <w:szCs w:val="16"/>
                <w:color w:val="auto"/>
              </w:rPr>
              <w:t>Care Transition Specialists, LLP</w:t>
            </w:r>
          </w:p>
        </w:tc>
        <w:tc>
          <w:tcPr>
            <w:tcW w:w="3060" w:type="dxa"/>
            <w:vAlign w:val="bottom"/>
          </w:tcPr>
          <w:p>
            <w:pPr>
              <w:ind w:left="960"/>
              <w:spacing w:after="0"/>
              <w:rPr>
                <w:sz w:val="20"/>
                <w:szCs w:val="20"/>
                <w:color w:val="auto"/>
              </w:rPr>
            </w:pPr>
            <w:r>
              <w:rPr>
                <w:rFonts w:ascii="Arial" w:cs="Arial" w:eastAsia="Arial" w:hAnsi="Arial"/>
                <w:sz w:val="16"/>
                <w:szCs w:val="16"/>
                <w:color w:val="auto"/>
              </w:rPr>
              <w:t>Michigan</w:t>
            </w:r>
          </w:p>
        </w:tc>
        <w:tc>
          <w:tcPr>
            <w:tcW w:w="1320" w:type="dxa"/>
            <w:vAlign w:val="bottom"/>
          </w:tcPr>
          <w:p>
            <w:pPr>
              <w:jc w:val="right"/>
              <w:spacing w:after="0"/>
              <w:rPr>
                <w:sz w:val="20"/>
                <w:szCs w:val="20"/>
                <w:color w:val="auto"/>
              </w:rPr>
            </w:pPr>
            <w:r>
              <w:rPr>
                <w:rFonts w:ascii="Arial" w:cs="Arial" w:eastAsia="Arial" w:hAnsi="Arial"/>
                <w:sz w:val="16"/>
                <w:szCs w:val="16"/>
                <w:color w:val="auto"/>
              </w:rPr>
              <w:t>90%</w:t>
            </w:r>
          </w:p>
        </w:tc>
        <w:tc>
          <w:tcPr>
            <w:tcW w:w="240" w:type="dxa"/>
            <w:vAlign w:val="bottom"/>
          </w:tcPr>
          <w:p>
            <w:pPr>
              <w:spacing w:after="0"/>
              <w:rPr>
                <w:sz w:val="23"/>
                <w:szCs w:val="23"/>
                <w:color w:val="auto"/>
              </w:rPr>
            </w:pPr>
          </w:p>
        </w:tc>
      </w:tr>
      <w:tr>
        <w:trPr>
          <w:trHeight w:val="270"/>
        </w:trPr>
        <w:tc>
          <w:tcPr>
            <w:tcW w:w="5520" w:type="dxa"/>
            <w:vAlign w:val="bottom"/>
          </w:tcPr>
          <w:p>
            <w:pPr>
              <w:ind w:left="460"/>
              <w:spacing w:after="0"/>
              <w:rPr>
                <w:sz w:val="20"/>
                <w:szCs w:val="20"/>
                <w:color w:val="auto"/>
              </w:rPr>
            </w:pPr>
            <w:r>
              <w:rPr>
                <w:rFonts w:ascii="Arial" w:cs="Arial" w:eastAsia="Arial" w:hAnsi="Arial"/>
                <w:sz w:val="16"/>
                <w:szCs w:val="16"/>
                <w:color w:val="auto"/>
              </w:rPr>
              <w:t>Residential Hospice, LLC</w:t>
            </w:r>
          </w:p>
        </w:tc>
        <w:tc>
          <w:tcPr>
            <w:tcW w:w="3060" w:type="dxa"/>
            <w:vAlign w:val="bottom"/>
          </w:tcPr>
          <w:p>
            <w:pPr>
              <w:ind w:left="960"/>
              <w:spacing w:after="0"/>
              <w:rPr>
                <w:sz w:val="20"/>
                <w:szCs w:val="20"/>
                <w:color w:val="auto"/>
              </w:rPr>
            </w:pPr>
            <w:r>
              <w:rPr>
                <w:rFonts w:ascii="Arial" w:cs="Arial" w:eastAsia="Arial" w:hAnsi="Arial"/>
                <w:sz w:val="16"/>
                <w:szCs w:val="16"/>
                <w:color w:val="auto"/>
              </w:rPr>
              <w:t>Michigan</w:t>
            </w:r>
          </w:p>
        </w:tc>
        <w:tc>
          <w:tcPr>
            <w:tcW w:w="1320" w:type="dxa"/>
            <w:vAlign w:val="bottom"/>
          </w:tcPr>
          <w:p>
            <w:pPr>
              <w:jc w:val="right"/>
              <w:spacing w:after="0"/>
              <w:rPr>
                <w:sz w:val="20"/>
                <w:szCs w:val="20"/>
                <w:color w:val="auto"/>
              </w:rPr>
            </w:pPr>
            <w:r>
              <w:rPr>
                <w:rFonts w:ascii="Arial" w:cs="Arial" w:eastAsia="Arial" w:hAnsi="Arial"/>
                <w:sz w:val="16"/>
                <w:szCs w:val="16"/>
                <w:color w:val="auto"/>
              </w:rPr>
              <w:t>90%</w:t>
            </w:r>
          </w:p>
        </w:tc>
        <w:tc>
          <w:tcPr>
            <w:tcW w:w="240" w:type="dxa"/>
            <w:vAlign w:val="bottom"/>
          </w:tcPr>
          <w:p>
            <w:pPr>
              <w:spacing w:after="0"/>
              <w:rPr>
                <w:sz w:val="23"/>
                <w:szCs w:val="23"/>
                <w:color w:val="auto"/>
              </w:rPr>
            </w:pPr>
          </w:p>
        </w:tc>
      </w:tr>
      <w:tr>
        <w:trPr>
          <w:trHeight w:val="270"/>
        </w:trPr>
        <w:tc>
          <w:tcPr>
            <w:tcW w:w="5520" w:type="dxa"/>
            <w:vAlign w:val="bottom"/>
          </w:tcPr>
          <w:p>
            <w:pPr>
              <w:ind w:left="580"/>
              <w:spacing w:after="0"/>
              <w:rPr>
                <w:sz w:val="20"/>
                <w:szCs w:val="20"/>
                <w:color w:val="auto"/>
              </w:rPr>
            </w:pPr>
            <w:r>
              <w:rPr>
                <w:rFonts w:ascii="Arial" w:cs="Arial" w:eastAsia="Arial" w:hAnsi="Arial"/>
                <w:sz w:val="16"/>
                <w:szCs w:val="16"/>
                <w:color w:val="auto"/>
              </w:rPr>
              <w:t>RHM-KCINO, LLC</w:t>
            </w:r>
          </w:p>
        </w:tc>
        <w:tc>
          <w:tcPr>
            <w:tcW w:w="3060" w:type="dxa"/>
            <w:vAlign w:val="bottom"/>
          </w:tcPr>
          <w:p>
            <w:pPr>
              <w:ind w:left="960"/>
              <w:spacing w:after="0"/>
              <w:rPr>
                <w:sz w:val="20"/>
                <w:szCs w:val="20"/>
                <w:color w:val="auto"/>
              </w:rPr>
            </w:pPr>
            <w:r>
              <w:rPr>
                <w:rFonts w:ascii="Arial" w:cs="Arial" w:eastAsia="Arial" w:hAnsi="Arial"/>
                <w:sz w:val="16"/>
                <w:szCs w:val="16"/>
                <w:color w:val="auto"/>
              </w:rPr>
              <w:t>Michigan</w:t>
            </w:r>
          </w:p>
        </w:tc>
        <w:tc>
          <w:tcPr>
            <w:tcW w:w="1320" w:type="dxa"/>
            <w:vAlign w:val="bottom"/>
          </w:tcPr>
          <w:p>
            <w:pPr>
              <w:jc w:val="right"/>
              <w:spacing w:after="0"/>
              <w:rPr>
                <w:sz w:val="20"/>
                <w:szCs w:val="20"/>
                <w:color w:val="auto"/>
              </w:rPr>
            </w:pPr>
            <w:r>
              <w:rPr>
                <w:rFonts w:ascii="Arial" w:cs="Arial" w:eastAsia="Arial" w:hAnsi="Arial"/>
                <w:sz w:val="16"/>
                <w:szCs w:val="16"/>
                <w:color w:val="auto"/>
              </w:rPr>
              <w:t>90%</w:t>
            </w:r>
          </w:p>
        </w:tc>
        <w:tc>
          <w:tcPr>
            <w:tcW w:w="240" w:type="dxa"/>
            <w:vAlign w:val="bottom"/>
          </w:tcPr>
          <w:p>
            <w:pPr>
              <w:spacing w:after="0"/>
              <w:rPr>
                <w:sz w:val="23"/>
                <w:szCs w:val="23"/>
                <w:color w:val="auto"/>
              </w:rPr>
            </w:pPr>
          </w:p>
        </w:tc>
      </w:tr>
      <w:tr>
        <w:trPr>
          <w:trHeight w:val="270"/>
        </w:trPr>
        <w:tc>
          <w:tcPr>
            <w:tcW w:w="5520" w:type="dxa"/>
            <w:vAlign w:val="bottom"/>
          </w:tcPr>
          <w:p>
            <w:pPr>
              <w:ind w:left="400"/>
              <w:spacing w:after="0"/>
              <w:rPr>
                <w:sz w:val="20"/>
                <w:szCs w:val="20"/>
                <w:color w:val="auto"/>
              </w:rPr>
            </w:pPr>
            <w:r>
              <w:rPr>
                <w:rFonts w:ascii="Arial" w:cs="Arial" w:eastAsia="Arial" w:hAnsi="Arial"/>
                <w:sz w:val="16"/>
                <w:szCs w:val="16"/>
                <w:color w:val="auto"/>
              </w:rPr>
              <w:t>RHH Ventures Illinois, LLC</w:t>
            </w:r>
          </w:p>
        </w:tc>
        <w:tc>
          <w:tcPr>
            <w:tcW w:w="3060" w:type="dxa"/>
            <w:vAlign w:val="bottom"/>
          </w:tcPr>
          <w:p>
            <w:pPr>
              <w:ind w:left="960"/>
              <w:spacing w:after="0"/>
              <w:rPr>
                <w:sz w:val="20"/>
                <w:szCs w:val="20"/>
                <w:color w:val="auto"/>
              </w:rPr>
            </w:pPr>
            <w:r>
              <w:rPr>
                <w:rFonts w:ascii="Arial" w:cs="Arial" w:eastAsia="Arial" w:hAnsi="Arial"/>
                <w:sz w:val="16"/>
                <w:szCs w:val="16"/>
                <w:color w:val="auto"/>
              </w:rPr>
              <w:t>Illinois</w:t>
            </w:r>
          </w:p>
        </w:tc>
        <w:tc>
          <w:tcPr>
            <w:tcW w:w="1320" w:type="dxa"/>
            <w:vAlign w:val="bottom"/>
          </w:tcPr>
          <w:p>
            <w:pPr>
              <w:jc w:val="right"/>
              <w:spacing w:after="0"/>
              <w:rPr>
                <w:sz w:val="20"/>
                <w:szCs w:val="20"/>
                <w:color w:val="auto"/>
              </w:rPr>
            </w:pPr>
            <w:r>
              <w:rPr>
                <w:rFonts w:ascii="Arial" w:cs="Arial" w:eastAsia="Arial" w:hAnsi="Arial"/>
                <w:sz w:val="16"/>
                <w:szCs w:val="16"/>
                <w:color w:val="auto"/>
              </w:rPr>
              <w:t>90%</w:t>
            </w:r>
          </w:p>
        </w:tc>
        <w:tc>
          <w:tcPr>
            <w:tcW w:w="240" w:type="dxa"/>
            <w:vAlign w:val="bottom"/>
          </w:tcPr>
          <w:p>
            <w:pPr>
              <w:spacing w:after="0"/>
              <w:rPr>
                <w:sz w:val="23"/>
                <w:szCs w:val="23"/>
                <w:color w:val="auto"/>
              </w:rPr>
            </w:pPr>
          </w:p>
        </w:tc>
      </w:tr>
      <w:tr>
        <w:trPr>
          <w:trHeight w:val="270"/>
        </w:trPr>
        <w:tc>
          <w:tcPr>
            <w:tcW w:w="5520" w:type="dxa"/>
            <w:vAlign w:val="bottom"/>
          </w:tcPr>
          <w:p>
            <w:pPr>
              <w:ind w:left="100"/>
              <w:spacing w:after="0"/>
              <w:rPr>
                <w:sz w:val="20"/>
                <w:szCs w:val="20"/>
                <w:color w:val="auto"/>
              </w:rPr>
            </w:pPr>
            <w:r>
              <w:rPr>
                <w:rFonts w:ascii="Arial" w:cs="Arial" w:eastAsia="Arial" w:hAnsi="Arial"/>
                <w:sz w:val="16"/>
                <w:szCs w:val="16"/>
                <w:color w:val="auto"/>
              </w:rPr>
              <w:t>Graham Holdings Retired Employee Payroll Master, LLC</w:t>
            </w:r>
          </w:p>
        </w:tc>
        <w:tc>
          <w:tcPr>
            <w:tcW w:w="3060" w:type="dxa"/>
            <w:vAlign w:val="bottom"/>
          </w:tcPr>
          <w:p>
            <w:pPr>
              <w:ind w:left="960"/>
              <w:spacing w:after="0"/>
              <w:rPr>
                <w:sz w:val="20"/>
                <w:szCs w:val="20"/>
                <w:color w:val="auto"/>
              </w:rPr>
            </w:pPr>
            <w:r>
              <w:rPr>
                <w:rFonts w:ascii="Arial" w:cs="Arial" w:eastAsia="Arial" w:hAnsi="Arial"/>
                <w:sz w:val="16"/>
                <w:szCs w:val="16"/>
                <w:color w:val="auto"/>
              </w:rPr>
              <w:t>Delaware</w:t>
            </w:r>
          </w:p>
        </w:tc>
        <w:tc>
          <w:tcPr>
            <w:tcW w:w="1320" w:type="dxa"/>
            <w:vAlign w:val="bottom"/>
          </w:tcPr>
          <w:p>
            <w:pPr>
              <w:jc w:val="right"/>
              <w:spacing w:after="0"/>
              <w:rPr>
                <w:sz w:val="20"/>
                <w:szCs w:val="20"/>
                <w:color w:val="auto"/>
              </w:rPr>
            </w:pPr>
            <w:r>
              <w:rPr>
                <w:rFonts w:ascii="Arial" w:cs="Arial" w:eastAsia="Arial" w:hAnsi="Arial"/>
                <w:sz w:val="16"/>
                <w:szCs w:val="16"/>
                <w:color w:val="auto"/>
              </w:rPr>
              <w:t>100%</w:t>
            </w:r>
          </w:p>
        </w:tc>
        <w:tc>
          <w:tcPr>
            <w:tcW w:w="240" w:type="dxa"/>
            <w:vAlign w:val="bottom"/>
          </w:tcPr>
          <w:p>
            <w:pPr>
              <w:spacing w:after="0"/>
              <w:rPr>
                <w:sz w:val="23"/>
                <w:szCs w:val="23"/>
                <w:color w:val="auto"/>
              </w:rPr>
            </w:pPr>
          </w:p>
        </w:tc>
      </w:tr>
      <w:tr>
        <w:trPr>
          <w:trHeight w:val="270"/>
        </w:trPr>
        <w:tc>
          <w:tcPr>
            <w:tcW w:w="5520" w:type="dxa"/>
            <w:vAlign w:val="bottom"/>
          </w:tcPr>
          <w:p>
            <w:pPr>
              <w:ind w:left="140"/>
              <w:spacing w:after="0"/>
              <w:rPr>
                <w:sz w:val="20"/>
                <w:szCs w:val="20"/>
                <w:color w:val="auto"/>
              </w:rPr>
            </w:pPr>
            <w:r>
              <w:rPr>
                <w:rFonts w:ascii="Arial" w:cs="Arial" w:eastAsia="Arial" w:hAnsi="Arial"/>
                <w:sz w:val="16"/>
                <w:szCs w:val="16"/>
                <w:color w:val="auto"/>
              </w:rPr>
              <w:t>Kaplan International, LLC</w:t>
            </w:r>
          </w:p>
        </w:tc>
        <w:tc>
          <w:tcPr>
            <w:tcW w:w="3060" w:type="dxa"/>
            <w:vAlign w:val="bottom"/>
          </w:tcPr>
          <w:p>
            <w:pPr>
              <w:ind w:left="960"/>
              <w:spacing w:after="0"/>
              <w:rPr>
                <w:sz w:val="20"/>
                <w:szCs w:val="20"/>
                <w:color w:val="auto"/>
              </w:rPr>
            </w:pPr>
            <w:r>
              <w:rPr>
                <w:rFonts w:ascii="Arial" w:cs="Arial" w:eastAsia="Arial" w:hAnsi="Arial"/>
                <w:sz w:val="16"/>
                <w:szCs w:val="16"/>
                <w:color w:val="auto"/>
              </w:rPr>
              <w:t>Delaware</w:t>
            </w:r>
          </w:p>
        </w:tc>
        <w:tc>
          <w:tcPr>
            <w:tcW w:w="1320" w:type="dxa"/>
            <w:vAlign w:val="bottom"/>
          </w:tcPr>
          <w:p>
            <w:pPr>
              <w:jc w:val="right"/>
              <w:spacing w:after="0"/>
              <w:rPr>
                <w:sz w:val="20"/>
                <w:szCs w:val="20"/>
                <w:color w:val="auto"/>
              </w:rPr>
            </w:pPr>
            <w:r>
              <w:rPr>
                <w:rFonts w:ascii="Arial" w:cs="Arial" w:eastAsia="Arial" w:hAnsi="Arial"/>
                <w:sz w:val="16"/>
                <w:szCs w:val="16"/>
                <w:color w:val="auto"/>
              </w:rPr>
              <w:t>100%</w:t>
            </w:r>
          </w:p>
        </w:tc>
        <w:tc>
          <w:tcPr>
            <w:tcW w:w="240" w:type="dxa"/>
            <w:vAlign w:val="bottom"/>
          </w:tcPr>
          <w:p>
            <w:pPr>
              <w:spacing w:after="0"/>
              <w:rPr>
                <w:sz w:val="23"/>
                <w:szCs w:val="23"/>
                <w:color w:val="auto"/>
              </w:rPr>
            </w:pPr>
          </w:p>
        </w:tc>
      </w:tr>
      <w:tr>
        <w:trPr>
          <w:trHeight w:val="270"/>
        </w:trPr>
        <w:tc>
          <w:tcPr>
            <w:tcW w:w="5520" w:type="dxa"/>
            <w:vAlign w:val="bottom"/>
          </w:tcPr>
          <w:p>
            <w:pPr>
              <w:ind w:left="140"/>
              <w:spacing w:after="0"/>
              <w:rPr>
                <w:sz w:val="20"/>
                <w:szCs w:val="20"/>
                <w:color w:val="auto"/>
              </w:rPr>
            </w:pPr>
            <w:r>
              <w:rPr>
                <w:rFonts w:ascii="Arial" w:cs="Arial" w:eastAsia="Arial" w:hAnsi="Arial"/>
                <w:sz w:val="16"/>
                <w:szCs w:val="16"/>
                <w:color w:val="auto"/>
              </w:rPr>
              <w:t>Kaplan Test Prep and Admissions Limited</w:t>
            </w:r>
          </w:p>
        </w:tc>
        <w:tc>
          <w:tcPr>
            <w:tcW w:w="3060" w:type="dxa"/>
            <w:vAlign w:val="bottom"/>
          </w:tcPr>
          <w:p>
            <w:pPr>
              <w:ind w:left="960"/>
              <w:spacing w:after="0"/>
              <w:rPr>
                <w:sz w:val="20"/>
                <w:szCs w:val="20"/>
                <w:color w:val="auto"/>
              </w:rPr>
            </w:pPr>
            <w:r>
              <w:rPr>
                <w:rFonts w:ascii="Arial" w:cs="Arial" w:eastAsia="Arial" w:hAnsi="Arial"/>
                <w:sz w:val="16"/>
                <w:szCs w:val="16"/>
                <w:color w:val="auto"/>
              </w:rPr>
              <w:t>England &amp; Wales</w:t>
            </w:r>
          </w:p>
        </w:tc>
        <w:tc>
          <w:tcPr>
            <w:tcW w:w="1320" w:type="dxa"/>
            <w:vAlign w:val="bottom"/>
          </w:tcPr>
          <w:p>
            <w:pPr>
              <w:jc w:val="right"/>
              <w:spacing w:after="0"/>
              <w:rPr>
                <w:sz w:val="20"/>
                <w:szCs w:val="20"/>
                <w:color w:val="auto"/>
              </w:rPr>
            </w:pPr>
            <w:r>
              <w:rPr>
                <w:rFonts w:ascii="Arial" w:cs="Arial" w:eastAsia="Arial" w:hAnsi="Arial"/>
                <w:sz w:val="16"/>
                <w:szCs w:val="16"/>
                <w:color w:val="auto"/>
              </w:rPr>
              <w:t>100%</w:t>
            </w:r>
          </w:p>
        </w:tc>
        <w:tc>
          <w:tcPr>
            <w:tcW w:w="240" w:type="dxa"/>
            <w:vAlign w:val="bottom"/>
          </w:tcPr>
          <w:p>
            <w:pPr>
              <w:spacing w:after="0"/>
              <w:rPr>
                <w:sz w:val="23"/>
                <w:szCs w:val="23"/>
                <w:color w:val="auto"/>
              </w:rPr>
            </w:pPr>
          </w:p>
        </w:tc>
      </w:tr>
      <w:tr>
        <w:trPr>
          <w:trHeight w:val="270"/>
        </w:trPr>
        <w:tc>
          <w:tcPr>
            <w:tcW w:w="5520" w:type="dxa"/>
            <w:vAlign w:val="bottom"/>
          </w:tcPr>
          <w:p>
            <w:pPr>
              <w:ind w:left="140"/>
              <w:spacing w:after="0"/>
              <w:rPr>
                <w:sz w:val="20"/>
                <w:szCs w:val="20"/>
                <w:color w:val="auto"/>
              </w:rPr>
            </w:pPr>
            <w:r>
              <w:rPr>
                <w:rFonts w:ascii="Arial" w:cs="Arial" w:eastAsia="Arial" w:hAnsi="Arial"/>
                <w:sz w:val="16"/>
                <w:szCs w:val="16"/>
                <w:color w:val="auto"/>
              </w:rPr>
              <w:t>Kaplan (Canada) Ltd.</w:t>
            </w:r>
          </w:p>
        </w:tc>
        <w:tc>
          <w:tcPr>
            <w:tcW w:w="3060" w:type="dxa"/>
            <w:vAlign w:val="bottom"/>
          </w:tcPr>
          <w:p>
            <w:pPr>
              <w:ind w:left="960"/>
              <w:spacing w:after="0"/>
              <w:rPr>
                <w:sz w:val="20"/>
                <w:szCs w:val="20"/>
                <w:color w:val="auto"/>
              </w:rPr>
            </w:pPr>
            <w:r>
              <w:rPr>
                <w:rFonts w:ascii="Arial" w:cs="Arial" w:eastAsia="Arial" w:hAnsi="Arial"/>
                <w:sz w:val="16"/>
                <w:szCs w:val="16"/>
                <w:color w:val="auto"/>
              </w:rPr>
              <w:t>Ontario</w:t>
            </w:r>
          </w:p>
        </w:tc>
        <w:tc>
          <w:tcPr>
            <w:tcW w:w="1320" w:type="dxa"/>
            <w:vAlign w:val="bottom"/>
          </w:tcPr>
          <w:p>
            <w:pPr>
              <w:jc w:val="right"/>
              <w:spacing w:after="0"/>
              <w:rPr>
                <w:sz w:val="20"/>
                <w:szCs w:val="20"/>
                <w:color w:val="auto"/>
              </w:rPr>
            </w:pPr>
            <w:r>
              <w:rPr>
                <w:rFonts w:ascii="Arial" w:cs="Arial" w:eastAsia="Arial" w:hAnsi="Arial"/>
                <w:sz w:val="16"/>
                <w:szCs w:val="16"/>
                <w:color w:val="auto"/>
              </w:rPr>
              <w:t>100%</w:t>
            </w:r>
          </w:p>
        </w:tc>
        <w:tc>
          <w:tcPr>
            <w:tcW w:w="240" w:type="dxa"/>
            <w:vAlign w:val="bottom"/>
          </w:tcPr>
          <w:p>
            <w:pPr>
              <w:spacing w:after="0"/>
              <w:rPr>
                <w:sz w:val="23"/>
                <w:szCs w:val="23"/>
                <w:color w:val="auto"/>
              </w:rPr>
            </w:pPr>
          </w:p>
        </w:tc>
      </w:tr>
      <w:tr>
        <w:trPr>
          <w:trHeight w:val="270"/>
        </w:trPr>
        <w:tc>
          <w:tcPr>
            <w:tcW w:w="5520" w:type="dxa"/>
            <w:vAlign w:val="bottom"/>
          </w:tcPr>
          <w:p>
            <w:pPr>
              <w:ind w:left="360"/>
              <w:spacing w:after="0"/>
              <w:rPr>
                <w:sz w:val="20"/>
                <w:szCs w:val="20"/>
                <w:color w:val="auto"/>
              </w:rPr>
            </w:pPr>
            <w:r>
              <w:rPr>
                <w:rFonts w:ascii="Arial" w:cs="Arial" w:eastAsia="Arial" w:hAnsi="Arial"/>
                <w:sz w:val="16"/>
                <w:szCs w:val="16"/>
                <w:color w:val="auto"/>
              </w:rPr>
              <w:t>U.S. CPA ExamPrep, Inc.</w:t>
            </w:r>
          </w:p>
        </w:tc>
        <w:tc>
          <w:tcPr>
            <w:tcW w:w="3060" w:type="dxa"/>
            <w:vAlign w:val="bottom"/>
          </w:tcPr>
          <w:p>
            <w:pPr>
              <w:ind w:left="960"/>
              <w:spacing w:after="0"/>
              <w:rPr>
                <w:sz w:val="20"/>
                <w:szCs w:val="20"/>
                <w:color w:val="auto"/>
              </w:rPr>
            </w:pPr>
            <w:r>
              <w:rPr>
                <w:rFonts w:ascii="Arial" w:cs="Arial" w:eastAsia="Arial" w:hAnsi="Arial"/>
                <w:sz w:val="16"/>
                <w:szCs w:val="16"/>
                <w:color w:val="auto"/>
              </w:rPr>
              <w:t>Ontario</w:t>
            </w:r>
          </w:p>
        </w:tc>
        <w:tc>
          <w:tcPr>
            <w:tcW w:w="1320" w:type="dxa"/>
            <w:vAlign w:val="bottom"/>
          </w:tcPr>
          <w:p>
            <w:pPr>
              <w:jc w:val="right"/>
              <w:spacing w:after="0"/>
              <w:rPr>
                <w:sz w:val="20"/>
                <w:szCs w:val="20"/>
                <w:color w:val="auto"/>
              </w:rPr>
            </w:pPr>
            <w:r>
              <w:rPr>
                <w:rFonts w:ascii="Arial" w:cs="Arial" w:eastAsia="Arial" w:hAnsi="Arial"/>
                <w:sz w:val="16"/>
                <w:szCs w:val="16"/>
                <w:color w:val="auto"/>
              </w:rPr>
              <w:t>100%</w:t>
            </w:r>
          </w:p>
        </w:tc>
        <w:tc>
          <w:tcPr>
            <w:tcW w:w="240" w:type="dxa"/>
            <w:vAlign w:val="bottom"/>
          </w:tcPr>
          <w:p>
            <w:pPr>
              <w:spacing w:after="0"/>
              <w:rPr>
                <w:sz w:val="23"/>
                <w:szCs w:val="23"/>
                <w:color w:val="auto"/>
              </w:rPr>
            </w:pPr>
          </w:p>
        </w:tc>
      </w:tr>
      <w:tr>
        <w:trPr>
          <w:trHeight w:val="270"/>
        </w:trPr>
        <w:tc>
          <w:tcPr>
            <w:tcW w:w="5520" w:type="dxa"/>
            <w:vAlign w:val="bottom"/>
          </w:tcPr>
          <w:p>
            <w:pPr>
              <w:ind w:left="140"/>
              <w:spacing w:after="0"/>
              <w:rPr>
                <w:sz w:val="20"/>
                <w:szCs w:val="20"/>
                <w:color w:val="auto"/>
              </w:rPr>
            </w:pPr>
            <w:r>
              <w:rPr>
                <w:rFonts w:ascii="Arial" w:cs="Arial" w:eastAsia="Arial" w:hAnsi="Arial"/>
                <w:sz w:val="16"/>
                <w:szCs w:val="16"/>
                <w:color w:val="auto"/>
              </w:rPr>
              <w:t>Kaplan Educational Services de Mexico, S. de R.L. de C.V.</w:t>
            </w:r>
          </w:p>
        </w:tc>
        <w:tc>
          <w:tcPr>
            <w:tcW w:w="3060" w:type="dxa"/>
            <w:vAlign w:val="bottom"/>
          </w:tcPr>
          <w:p>
            <w:pPr>
              <w:ind w:left="960"/>
              <w:spacing w:after="0"/>
              <w:rPr>
                <w:sz w:val="20"/>
                <w:szCs w:val="20"/>
                <w:color w:val="auto"/>
              </w:rPr>
            </w:pPr>
            <w:r>
              <w:rPr>
                <w:rFonts w:ascii="Arial" w:cs="Arial" w:eastAsia="Arial" w:hAnsi="Arial"/>
                <w:sz w:val="16"/>
                <w:szCs w:val="16"/>
                <w:color w:val="auto"/>
              </w:rPr>
              <w:t>Mexico</w:t>
            </w:r>
          </w:p>
        </w:tc>
        <w:tc>
          <w:tcPr>
            <w:tcW w:w="1320" w:type="dxa"/>
            <w:vAlign w:val="bottom"/>
          </w:tcPr>
          <w:p>
            <w:pPr>
              <w:jc w:val="right"/>
              <w:spacing w:after="0"/>
              <w:rPr>
                <w:sz w:val="20"/>
                <w:szCs w:val="20"/>
                <w:color w:val="auto"/>
              </w:rPr>
            </w:pPr>
            <w:r>
              <w:rPr>
                <w:rFonts w:ascii="Arial" w:cs="Arial" w:eastAsia="Arial" w:hAnsi="Arial"/>
                <w:sz w:val="16"/>
                <w:szCs w:val="16"/>
                <w:color w:val="auto"/>
              </w:rPr>
              <w:t>100%</w:t>
            </w:r>
          </w:p>
        </w:tc>
        <w:tc>
          <w:tcPr>
            <w:tcW w:w="240" w:type="dxa"/>
            <w:vAlign w:val="bottom"/>
          </w:tcPr>
          <w:p>
            <w:pPr>
              <w:ind w:left="40"/>
              <w:spacing w:after="0"/>
              <w:rPr>
                <w:sz w:val="20"/>
                <w:szCs w:val="20"/>
                <w:color w:val="auto"/>
              </w:rPr>
            </w:pPr>
            <w:r>
              <w:rPr>
                <w:rFonts w:ascii="Arial" w:cs="Arial" w:eastAsia="Arial" w:hAnsi="Arial"/>
                <w:sz w:val="16"/>
                <w:szCs w:val="16"/>
                <w:color w:val="auto"/>
              </w:rPr>
              <w:t>(f)</w:t>
            </w:r>
          </w:p>
        </w:tc>
      </w:tr>
      <w:tr>
        <w:trPr>
          <w:trHeight w:val="270"/>
        </w:trPr>
        <w:tc>
          <w:tcPr>
            <w:tcW w:w="5520" w:type="dxa"/>
            <w:vAlign w:val="bottom"/>
          </w:tcPr>
          <w:p>
            <w:pPr>
              <w:ind w:left="140"/>
              <w:spacing w:after="0"/>
              <w:rPr>
                <w:sz w:val="20"/>
                <w:szCs w:val="20"/>
                <w:color w:val="auto"/>
              </w:rPr>
            </w:pPr>
            <w:r>
              <w:rPr>
                <w:rFonts w:ascii="Arial" w:cs="Arial" w:eastAsia="Arial" w:hAnsi="Arial"/>
                <w:sz w:val="16"/>
                <w:szCs w:val="16"/>
                <w:color w:val="auto"/>
              </w:rPr>
              <w:t>Education HR Services Mexico, S. de R.L. de C.V.</w:t>
            </w:r>
          </w:p>
        </w:tc>
        <w:tc>
          <w:tcPr>
            <w:tcW w:w="3060" w:type="dxa"/>
            <w:vAlign w:val="bottom"/>
          </w:tcPr>
          <w:p>
            <w:pPr>
              <w:ind w:left="960"/>
              <w:spacing w:after="0"/>
              <w:rPr>
                <w:sz w:val="20"/>
                <w:szCs w:val="20"/>
                <w:color w:val="auto"/>
              </w:rPr>
            </w:pPr>
            <w:r>
              <w:rPr>
                <w:rFonts w:ascii="Arial" w:cs="Arial" w:eastAsia="Arial" w:hAnsi="Arial"/>
                <w:sz w:val="16"/>
                <w:szCs w:val="16"/>
                <w:color w:val="auto"/>
              </w:rPr>
              <w:t>Mexico</w:t>
            </w:r>
          </w:p>
        </w:tc>
        <w:tc>
          <w:tcPr>
            <w:tcW w:w="1320" w:type="dxa"/>
            <w:vAlign w:val="bottom"/>
          </w:tcPr>
          <w:p>
            <w:pPr>
              <w:jc w:val="right"/>
              <w:spacing w:after="0"/>
              <w:rPr>
                <w:sz w:val="20"/>
                <w:szCs w:val="20"/>
                <w:color w:val="auto"/>
              </w:rPr>
            </w:pPr>
            <w:r>
              <w:rPr>
                <w:rFonts w:ascii="Arial" w:cs="Arial" w:eastAsia="Arial" w:hAnsi="Arial"/>
                <w:sz w:val="16"/>
                <w:szCs w:val="16"/>
                <w:color w:val="auto"/>
              </w:rPr>
              <w:t>100%</w:t>
            </w:r>
          </w:p>
        </w:tc>
        <w:tc>
          <w:tcPr>
            <w:tcW w:w="240" w:type="dxa"/>
            <w:vAlign w:val="bottom"/>
          </w:tcPr>
          <w:p>
            <w:pPr>
              <w:ind w:left="40"/>
              <w:spacing w:after="0"/>
              <w:rPr>
                <w:sz w:val="20"/>
                <w:szCs w:val="20"/>
                <w:color w:val="auto"/>
              </w:rPr>
            </w:pPr>
            <w:r>
              <w:rPr>
                <w:rFonts w:ascii="Arial" w:cs="Arial" w:eastAsia="Arial" w:hAnsi="Arial"/>
                <w:sz w:val="16"/>
                <w:szCs w:val="16"/>
                <w:color w:val="auto"/>
              </w:rPr>
              <w:t>(f)</w:t>
            </w:r>
          </w:p>
        </w:tc>
      </w:tr>
      <w:tr>
        <w:trPr>
          <w:trHeight w:val="270"/>
        </w:trPr>
        <w:tc>
          <w:tcPr>
            <w:tcW w:w="5520" w:type="dxa"/>
            <w:vAlign w:val="bottom"/>
          </w:tcPr>
          <w:p>
            <w:pPr>
              <w:ind w:left="140"/>
              <w:spacing w:after="0"/>
              <w:rPr>
                <w:sz w:val="20"/>
                <w:szCs w:val="20"/>
                <w:color w:val="auto"/>
              </w:rPr>
            </w:pPr>
            <w:r>
              <w:rPr>
                <w:rFonts w:ascii="Arial" w:cs="Arial" w:eastAsia="Arial" w:hAnsi="Arial"/>
                <w:sz w:val="16"/>
                <w:szCs w:val="16"/>
                <w:color w:val="auto"/>
              </w:rPr>
              <w:t>Kaplan English Colleges Pty Limited</w:t>
            </w:r>
          </w:p>
        </w:tc>
        <w:tc>
          <w:tcPr>
            <w:tcW w:w="3060" w:type="dxa"/>
            <w:vAlign w:val="bottom"/>
          </w:tcPr>
          <w:p>
            <w:pPr>
              <w:ind w:left="960"/>
              <w:spacing w:after="0"/>
              <w:rPr>
                <w:sz w:val="20"/>
                <w:szCs w:val="20"/>
                <w:color w:val="auto"/>
              </w:rPr>
            </w:pPr>
            <w:r>
              <w:rPr>
                <w:rFonts w:ascii="Arial" w:cs="Arial" w:eastAsia="Arial" w:hAnsi="Arial"/>
                <w:sz w:val="16"/>
                <w:szCs w:val="16"/>
                <w:color w:val="auto"/>
              </w:rPr>
              <w:t>Australia</w:t>
            </w:r>
          </w:p>
        </w:tc>
        <w:tc>
          <w:tcPr>
            <w:tcW w:w="1320" w:type="dxa"/>
            <w:vAlign w:val="bottom"/>
          </w:tcPr>
          <w:p>
            <w:pPr>
              <w:jc w:val="right"/>
              <w:spacing w:after="0"/>
              <w:rPr>
                <w:sz w:val="20"/>
                <w:szCs w:val="20"/>
                <w:color w:val="auto"/>
              </w:rPr>
            </w:pPr>
            <w:r>
              <w:rPr>
                <w:rFonts w:ascii="Arial" w:cs="Arial" w:eastAsia="Arial" w:hAnsi="Arial"/>
                <w:sz w:val="16"/>
                <w:szCs w:val="16"/>
                <w:color w:val="auto"/>
              </w:rPr>
              <w:t>100%</w:t>
            </w:r>
          </w:p>
        </w:tc>
        <w:tc>
          <w:tcPr>
            <w:tcW w:w="240" w:type="dxa"/>
            <w:vAlign w:val="bottom"/>
          </w:tcPr>
          <w:p>
            <w:pPr>
              <w:spacing w:after="0"/>
              <w:rPr>
                <w:sz w:val="23"/>
                <w:szCs w:val="23"/>
                <w:color w:val="auto"/>
              </w:rPr>
            </w:pPr>
          </w:p>
        </w:tc>
      </w:tr>
      <w:tr>
        <w:trPr>
          <w:trHeight w:val="270"/>
        </w:trPr>
        <w:tc>
          <w:tcPr>
            <w:tcW w:w="5520" w:type="dxa"/>
            <w:vAlign w:val="bottom"/>
          </w:tcPr>
          <w:p>
            <w:pPr>
              <w:ind w:left="400"/>
              <w:spacing w:after="0"/>
              <w:rPr>
                <w:sz w:val="20"/>
                <w:szCs w:val="20"/>
                <w:color w:val="auto"/>
              </w:rPr>
            </w:pPr>
            <w:r>
              <w:rPr>
                <w:rFonts w:ascii="Arial" w:cs="Arial" w:eastAsia="Arial" w:hAnsi="Arial"/>
                <w:sz w:val="16"/>
                <w:szCs w:val="16"/>
                <w:color w:val="auto"/>
              </w:rPr>
              <w:t>Kaplan International (Cairns) Pty Limited</w:t>
            </w:r>
          </w:p>
        </w:tc>
        <w:tc>
          <w:tcPr>
            <w:tcW w:w="3060" w:type="dxa"/>
            <w:vAlign w:val="bottom"/>
          </w:tcPr>
          <w:p>
            <w:pPr>
              <w:ind w:left="960"/>
              <w:spacing w:after="0"/>
              <w:rPr>
                <w:sz w:val="20"/>
                <w:szCs w:val="20"/>
                <w:color w:val="auto"/>
              </w:rPr>
            </w:pPr>
            <w:r>
              <w:rPr>
                <w:rFonts w:ascii="Arial" w:cs="Arial" w:eastAsia="Arial" w:hAnsi="Arial"/>
                <w:sz w:val="16"/>
                <w:szCs w:val="16"/>
                <w:color w:val="auto"/>
              </w:rPr>
              <w:t>Australia</w:t>
            </w:r>
          </w:p>
        </w:tc>
        <w:tc>
          <w:tcPr>
            <w:tcW w:w="1320" w:type="dxa"/>
            <w:vAlign w:val="bottom"/>
          </w:tcPr>
          <w:p>
            <w:pPr>
              <w:jc w:val="right"/>
              <w:spacing w:after="0"/>
              <w:rPr>
                <w:sz w:val="20"/>
                <w:szCs w:val="20"/>
                <w:color w:val="auto"/>
              </w:rPr>
            </w:pPr>
            <w:r>
              <w:rPr>
                <w:rFonts w:ascii="Arial" w:cs="Arial" w:eastAsia="Arial" w:hAnsi="Arial"/>
                <w:sz w:val="16"/>
                <w:szCs w:val="16"/>
                <w:color w:val="auto"/>
              </w:rPr>
              <w:t>100%</w:t>
            </w:r>
          </w:p>
        </w:tc>
        <w:tc>
          <w:tcPr>
            <w:tcW w:w="240" w:type="dxa"/>
            <w:vAlign w:val="bottom"/>
          </w:tcPr>
          <w:p>
            <w:pPr>
              <w:spacing w:after="0"/>
              <w:rPr>
                <w:sz w:val="23"/>
                <w:szCs w:val="23"/>
                <w:color w:val="auto"/>
              </w:rPr>
            </w:pPr>
          </w:p>
        </w:tc>
      </w:tr>
      <w:tr>
        <w:trPr>
          <w:trHeight w:val="270"/>
        </w:trPr>
        <w:tc>
          <w:tcPr>
            <w:tcW w:w="5520" w:type="dxa"/>
            <w:vAlign w:val="bottom"/>
          </w:tcPr>
          <w:p>
            <w:pPr>
              <w:ind w:left="400"/>
              <w:spacing w:after="0"/>
              <w:rPr>
                <w:sz w:val="20"/>
                <w:szCs w:val="20"/>
                <w:color w:val="auto"/>
              </w:rPr>
            </w:pPr>
            <w:r>
              <w:rPr>
                <w:rFonts w:ascii="Arial" w:cs="Arial" w:eastAsia="Arial" w:hAnsi="Arial"/>
                <w:sz w:val="16"/>
                <w:szCs w:val="16"/>
                <w:color w:val="auto"/>
              </w:rPr>
              <w:t>Kaplan International (Brisbane) Pty Limited</w:t>
            </w:r>
          </w:p>
        </w:tc>
        <w:tc>
          <w:tcPr>
            <w:tcW w:w="3060" w:type="dxa"/>
            <w:vAlign w:val="bottom"/>
          </w:tcPr>
          <w:p>
            <w:pPr>
              <w:ind w:left="960"/>
              <w:spacing w:after="0"/>
              <w:rPr>
                <w:sz w:val="20"/>
                <w:szCs w:val="20"/>
                <w:color w:val="auto"/>
              </w:rPr>
            </w:pPr>
            <w:r>
              <w:rPr>
                <w:rFonts w:ascii="Arial" w:cs="Arial" w:eastAsia="Arial" w:hAnsi="Arial"/>
                <w:sz w:val="16"/>
                <w:szCs w:val="16"/>
                <w:color w:val="auto"/>
              </w:rPr>
              <w:t>Australia</w:t>
            </w:r>
          </w:p>
        </w:tc>
        <w:tc>
          <w:tcPr>
            <w:tcW w:w="1320" w:type="dxa"/>
            <w:vAlign w:val="bottom"/>
          </w:tcPr>
          <w:p>
            <w:pPr>
              <w:jc w:val="right"/>
              <w:spacing w:after="0"/>
              <w:rPr>
                <w:sz w:val="20"/>
                <w:szCs w:val="20"/>
                <w:color w:val="auto"/>
              </w:rPr>
            </w:pPr>
            <w:r>
              <w:rPr>
                <w:rFonts w:ascii="Arial" w:cs="Arial" w:eastAsia="Arial" w:hAnsi="Arial"/>
                <w:sz w:val="16"/>
                <w:szCs w:val="16"/>
                <w:color w:val="auto"/>
              </w:rPr>
              <w:t>100%</w:t>
            </w:r>
          </w:p>
        </w:tc>
        <w:tc>
          <w:tcPr>
            <w:tcW w:w="240" w:type="dxa"/>
            <w:vAlign w:val="bottom"/>
          </w:tcPr>
          <w:p>
            <w:pPr>
              <w:spacing w:after="0"/>
              <w:rPr>
                <w:sz w:val="23"/>
                <w:szCs w:val="23"/>
                <w:color w:val="auto"/>
              </w:rPr>
            </w:pPr>
          </w:p>
        </w:tc>
      </w:tr>
      <w:tr>
        <w:trPr>
          <w:trHeight w:val="270"/>
        </w:trPr>
        <w:tc>
          <w:tcPr>
            <w:tcW w:w="5520" w:type="dxa"/>
            <w:vAlign w:val="bottom"/>
          </w:tcPr>
          <w:p>
            <w:pPr>
              <w:ind w:left="140"/>
              <w:spacing w:after="0"/>
              <w:rPr>
                <w:sz w:val="20"/>
                <w:szCs w:val="20"/>
                <w:color w:val="auto"/>
              </w:rPr>
            </w:pPr>
            <w:r>
              <w:rPr>
                <w:rFonts w:ascii="Arial" w:cs="Arial" w:eastAsia="Arial" w:hAnsi="Arial"/>
                <w:sz w:val="16"/>
                <w:szCs w:val="16"/>
                <w:color w:val="auto"/>
              </w:rPr>
              <w:t>Kaplan Higher Education, LLC</w:t>
            </w:r>
          </w:p>
        </w:tc>
        <w:tc>
          <w:tcPr>
            <w:tcW w:w="3060" w:type="dxa"/>
            <w:vAlign w:val="bottom"/>
          </w:tcPr>
          <w:p>
            <w:pPr>
              <w:ind w:left="960"/>
              <w:spacing w:after="0"/>
              <w:rPr>
                <w:sz w:val="20"/>
                <w:szCs w:val="20"/>
                <w:color w:val="auto"/>
              </w:rPr>
            </w:pPr>
            <w:r>
              <w:rPr>
                <w:rFonts w:ascii="Arial" w:cs="Arial" w:eastAsia="Arial" w:hAnsi="Arial"/>
                <w:sz w:val="16"/>
                <w:szCs w:val="16"/>
                <w:color w:val="auto"/>
              </w:rPr>
              <w:t>Delaware</w:t>
            </w:r>
          </w:p>
        </w:tc>
        <w:tc>
          <w:tcPr>
            <w:tcW w:w="1320" w:type="dxa"/>
            <w:vAlign w:val="bottom"/>
          </w:tcPr>
          <w:p>
            <w:pPr>
              <w:jc w:val="right"/>
              <w:spacing w:after="0"/>
              <w:rPr>
                <w:sz w:val="20"/>
                <w:szCs w:val="20"/>
                <w:color w:val="auto"/>
              </w:rPr>
            </w:pPr>
            <w:r>
              <w:rPr>
                <w:rFonts w:ascii="Arial" w:cs="Arial" w:eastAsia="Arial" w:hAnsi="Arial"/>
                <w:sz w:val="16"/>
                <w:szCs w:val="16"/>
                <w:color w:val="auto"/>
              </w:rPr>
              <w:t>100%</w:t>
            </w:r>
          </w:p>
        </w:tc>
        <w:tc>
          <w:tcPr>
            <w:tcW w:w="240" w:type="dxa"/>
            <w:vAlign w:val="bottom"/>
          </w:tcPr>
          <w:p>
            <w:pPr>
              <w:spacing w:after="0"/>
              <w:rPr>
                <w:sz w:val="23"/>
                <w:szCs w:val="23"/>
                <w:color w:val="auto"/>
              </w:rPr>
            </w:pPr>
          </w:p>
        </w:tc>
      </w:tr>
      <w:tr>
        <w:trPr>
          <w:trHeight w:val="270"/>
        </w:trPr>
        <w:tc>
          <w:tcPr>
            <w:tcW w:w="5520" w:type="dxa"/>
            <w:vAlign w:val="bottom"/>
          </w:tcPr>
          <w:p>
            <w:pPr>
              <w:ind w:left="360"/>
              <w:spacing w:after="0"/>
              <w:rPr>
                <w:sz w:val="20"/>
                <w:szCs w:val="20"/>
                <w:color w:val="auto"/>
              </w:rPr>
            </w:pPr>
            <w:r>
              <w:rPr>
                <w:rFonts w:ascii="Arial" w:cs="Arial" w:eastAsia="Arial" w:hAnsi="Arial"/>
                <w:sz w:val="16"/>
                <w:szCs w:val="16"/>
                <w:color w:val="auto"/>
              </w:rPr>
              <w:t>Texas Educational Ventures, LP</w:t>
            </w:r>
          </w:p>
        </w:tc>
        <w:tc>
          <w:tcPr>
            <w:tcW w:w="3060" w:type="dxa"/>
            <w:vAlign w:val="bottom"/>
          </w:tcPr>
          <w:p>
            <w:pPr>
              <w:ind w:left="960"/>
              <w:spacing w:after="0"/>
              <w:rPr>
                <w:sz w:val="20"/>
                <w:szCs w:val="20"/>
                <w:color w:val="auto"/>
              </w:rPr>
            </w:pPr>
            <w:r>
              <w:rPr>
                <w:rFonts w:ascii="Arial" w:cs="Arial" w:eastAsia="Arial" w:hAnsi="Arial"/>
                <w:sz w:val="16"/>
                <w:szCs w:val="16"/>
                <w:color w:val="auto"/>
              </w:rPr>
              <w:t>Texas</w:t>
            </w:r>
          </w:p>
        </w:tc>
        <w:tc>
          <w:tcPr>
            <w:tcW w:w="1320" w:type="dxa"/>
            <w:vAlign w:val="bottom"/>
          </w:tcPr>
          <w:p>
            <w:pPr>
              <w:jc w:val="right"/>
              <w:spacing w:after="0"/>
              <w:rPr>
                <w:sz w:val="20"/>
                <w:szCs w:val="20"/>
                <w:color w:val="auto"/>
              </w:rPr>
            </w:pPr>
            <w:r>
              <w:rPr>
                <w:rFonts w:ascii="Arial" w:cs="Arial" w:eastAsia="Arial" w:hAnsi="Arial"/>
                <w:sz w:val="16"/>
                <w:szCs w:val="16"/>
                <w:color w:val="auto"/>
              </w:rPr>
              <w:t>100%</w:t>
            </w:r>
          </w:p>
        </w:tc>
        <w:tc>
          <w:tcPr>
            <w:tcW w:w="240" w:type="dxa"/>
            <w:vAlign w:val="bottom"/>
          </w:tcPr>
          <w:p>
            <w:pPr>
              <w:ind w:left="40"/>
              <w:spacing w:after="0"/>
              <w:rPr>
                <w:sz w:val="20"/>
                <w:szCs w:val="20"/>
                <w:color w:val="auto"/>
              </w:rPr>
            </w:pPr>
            <w:r>
              <w:rPr>
                <w:rFonts w:ascii="Arial" w:cs="Arial" w:eastAsia="Arial" w:hAnsi="Arial"/>
                <w:sz w:val="16"/>
                <w:szCs w:val="16"/>
                <w:color w:val="auto"/>
                <w:w w:val="91"/>
              </w:rPr>
              <w:t>(g)</w:t>
            </w:r>
          </w:p>
        </w:tc>
      </w:tr>
      <w:tr>
        <w:trPr>
          <w:trHeight w:val="270"/>
        </w:trPr>
        <w:tc>
          <w:tcPr>
            <w:tcW w:w="5520" w:type="dxa"/>
            <w:vAlign w:val="bottom"/>
          </w:tcPr>
          <w:p>
            <w:pPr>
              <w:ind w:left="400"/>
              <w:spacing w:after="0"/>
              <w:rPr>
                <w:sz w:val="20"/>
                <w:szCs w:val="20"/>
                <w:color w:val="auto"/>
              </w:rPr>
            </w:pPr>
            <w:r>
              <w:rPr>
                <w:rFonts w:ascii="Arial" w:cs="Arial" w:eastAsia="Arial" w:hAnsi="Arial"/>
                <w:sz w:val="16"/>
                <w:szCs w:val="16"/>
                <w:color w:val="auto"/>
              </w:rPr>
              <w:t>Iowa College Acquisition, LLC</w:t>
            </w:r>
          </w:p>
        </w:tc>
        <w:tc>
          <w:tcPr>
            <w:tcW w:w="3060" w:type="dxa"/>
            <w:vAlign w:val="bottom"/>
          </w:tcPr>
          <w:p>
            <w:pPr>
              <w:ind w:left="960"/>
              <w:spacing w:after="0"/>
              <w:rPr>
                <w:sz w:val="20"/>
                <w:szCs w:val="20"/>
                <w:color w:val="auto"/>
              </w:rPr>
            </w:pPr>
            <w:r>
              <w:rPr>
                <w:rFonts w:ascii="Arial" w:cs="Arial" w:eastAsia="Arial" w:hAnsi="Arial"/>
                <w:sz w:val="16"/>
                <w:szCs w:val="16"/>
                <w:color w:val="auto"/>
              </w:rPr>
              <w:t>Delaware</w:t>
            </w:r>
          </w:p>
        </w:tc>
        <w:tc>
          <w:tcPr>
            <w:tcW w:w="1320" w:type="dxa"/>
            <w:vAlign w:val="bottom"/>
          </w:tcPr>
          <w:p>
            <w:pPr>
              <w:jc w:val="right"/>
              <w:spacing w:after="0"/>
              <w:rPr>
                <w:sz w:val="20"/>
                <w:szCs w:val="20"/>
                <w:color w:val="auto"/>
              </w:rPr>
            </w:pPr>
            <w:r>
              <w:rPr>
                <w:rFonts w:ascii="Arial" w:cs="Arial" w:eastAsia="Arial" w:hAnsi="Arial"/>
                <w:sz w:val="16"/>
                <w:szCs w:val="16"/>
                <w:color w:val="auto"/>
              </w:rPr>
              <w:t>100%</w:t>
            </w:r>
          </w:p>
        </w:tc>
        <w:tc>
          <w:tcPr>
            <w:tcW w:w="240" w:type="dxa"/>
            <w:vAlign w:val="bottom"/>
          </w:tcPr>
          <w:p>
            <w:pPr>
              <w:spacing w:after="0"/>
              <w:rPr>
                <w:sz w:val="23"/>
                <w:szCs w:val="23"/>
                <w:color w:val="auto"/>
              </w:rPr>
            </w:pPr>
          </w:p>
        </w:tc>
      </w:tr>
      <w:tr>
        <w:trPr>
          <w:trHeight w:val="270"/>
        </w:trPr>
        <w:tc>
          <w:tcPr>
            <w:tcW w:w="5520" w:type="dxa"/>
            <w:vAlign w:val="bottom"/>
          </w:tcPr>
          <w:p>
            <w:pPr>
              <w:ind w:left="580"/>
              <w:spacing w:after="0"/>
              <w:rPr>
                <w:sz w:val="20"/>
                <w:szCs w:val="20"/>
                <w:color w:val="auto"/>
              </w:rPr>
            </w:pPr>
            <w:r>
              <w:rPr>
                <w:rFonts w:ascii="Arial" w:cs="Arial" w:eastAsia="Arial" w:hAnsi="Arial"/>
                <w:sz w:val="16"/>
                <w:szCs w:val="16"/>
                <w:color w:val="auto"/>
              </w:rPr>
              <w:t>DF Institute, LLC</w:t>
            </w:r>
          </w:p>
        </w:tc>
        <w:tc>
          <w:tcPr>
            <w:tcW w:w="3060" w:type="dxa"/>
            <w:vAlign w:val="bottom"/>
          </w:tcPr>
          <w:p>
            <w:pPr>
              <w:ind w:left="960"/>
              <w:spacing w:after="0"/>
              <w:rPr>
                <w:sz w:val="20"/>
                <w:szCs w:val="20"/>
                <w:color w:val="auto"/>
              </w:rPr>
            </w:pPr>
            <w:r>
              <w:rPr>
                <w:rFonts w:ascii="Arial" w:cs="Arial" w:eastAsia="Arial" w:hAnsi="Arial"/>
                <w:sz w:val="16"/>
                <w:szCs w:val="16"/>
                <w:color w:val="auto"/>
              </w:rPr>
              <w:t>Illinois</w:t>
            </w:r>
          </w:p>
        </w:tc>
        <w:tc>
          <w:tcPr>
            <w:tcW w:w="1320" w:type="dxa"/>
            <w:vAlign w:val="bottom"/>
          </w:tcPr>
          <w:p>
            <w:pPr>
              <w:jc w:val="right"/>
              <w:spacing w:after="0"/>
              <w:rPr>
                <w:sz w:val="20"/>
                <w:szCs w:val="20"/>
                <w:color w:val="auto"/>
              </w:rPr>
            </w:pPr>
            <w:r>
              <w:rPr>
                <w:rFonts w:ascii="Arial" w:cs="Arial" w:eastAsia="Arial" w:hAnsi="Arial"/>
                <w:sz w:val="16"/>
                <w:szCs w:val="16"/>
                <w:color w:val="auto"/>
              </w:rPr>
              <w:t>100%</w:t>
            </w:r>
          </w:p>
        </w:tc>
        <w:tc>
          <w:tcPr>
            <w:tcW w:w="240" w:type="dxa"/>
            <w:vAlign w:val="bottom"/>
          </w:tcPr>
          <w:p>
            <w:pPr>
              <w:spacing w:after="0"/>
              <w:rPr>
                <w:sz w:val="23"/>
                <w:szCs w:val="23"/>
                <w:color w:val="auto"/>
              </w:rPr>
            </w:pPr>
          </w:p>
        </w:tc>
      </w:tr>
      <w:tr>
        <w:trPr>
          <w:trHeight w:val="270"/>
        </w:trPr>
        <w:tc>
          <w:tcPr>
            <w:tcW w:w="5520" w:type="dxa"/>
            <w:vAlign w:val="bottom"/>
          </w:tcPr>
          <w:p>
            <w:pPr>
              <w:ind w:left="580"/>
              <w:spacing w:after="0"/>
              <w:rPr>
                <w:sz w:val="20"/>
                <w:szCs w:val="20"/>
                <w:color w:val="auto"/>
              </w:rPr>
            </w:pPr>
            <w:r>
              <w:rPr>
                <w:rFonts w:ascii="Arial" w:cs="Arial" w:eastAsia="Arial" w:hAnsi="Arial"/>
                <w:sz w:val="16"/>
                <w:szCs w:val="16"/>
                <w:color w:val="auto"/>
              </w:rPr>
              <w:t>SmartPros, Ltd.</w:t>
            </w:r>
          </w:p>
        </w:tc>
        <w:tc>
          <w:tcPr>
            <w:tcW w:w="3060" w:type="dxa"/>
            <w:vAlign w:val="bottom"/>
          </w:tcPr>
          <w:p>
            <w:pPr>
              <w:ind w:left="960"/>
              <w:spacing w:after="0"/>
              <w:rPr>
                <w:sz w:val="20"/>
                <w:szCs w:val="20"/>
                <w:color w:val="auto"/>
              </w:rPr>
            </w:pPr>
            <w:r>
              <w:rPr>
                <w:rFonts w:ascii="Arial" w:cs="Arial" w:eastAsia="Arial" w:hAnsi="Arial"/>
                <w:sz w:val="16"/>
                <w:szCs w:val="16"/>
                <w:color w:val="auto"/>
              </w:rPr>
              <w:t>Delaware</w:t>
            </w:r>
          </w:p>
        </w:tc>
        <w:tc>
          <w:tcPr>
            <w:tcW w:w="1320" w:type="dxa"/>
            <w:vAlign w:val="bottom"/>
          </w:tcPr>
          <w:p>
            <w:pPr>
              <w:jc w:val="right"/>
              <w:spacing w:after="0"/>
              <w:rPr>
                <w:sz w:val="20"/>
                <w:szCs w:val="20"/>
                <w:color w:val="auto"/>
              </w:rPr>
            </w:pPr>
            <w:r>
              <w:rPr>
                <w:rFonts w:ascii="Arial" w:cs="Arial" w:eastAsia="Arial" w:hAnsi="Arial"/>
                <w:sz w:val="16"/>
                <w:szCs w:val="16"/>
                <w:color w:val="auto"/>
              </w:rPr>
              <w:t>100%</w:t>
            </w:r>
          </w:p>
        </w:tc>
        <w:tc>
          <w:tcPr>
            <w:tcW w:w="240" w:type="dxa"/>
            <w:vAlign w:val="bottom"/>
          </w:tcPr>
          <w:p>
            <w:pPr>
              <w:spacing w:after="0"/>
              <w:rPr>
                <w:sz w:val="23"/>
                <w:szCs w:val="23"/>
                <w:color w:val="auto"/>
              </w:rPr>
            </w:pPr>
          </w:p>
        </w:tc>
      </w:tr>
      <w:tr>
        <w:trPr>
          <w:trHeight w:val="270"/>
        </w:trPr>
        <w:tc>
          <w:tcPr>
            <w:tcW w:w="5520" w:type="dxa"/>
            <w:vAlign w:val="bottom"/>
          </w:tcPr>
          <w:p>
            <w:pPr>
              <w:ind w:left="580"/>
              <w:spacing w:after="0"/>
              <w:rPr>
                <w:sz w:val="20"/>
                <w:szCs w:val="20"/>
                <w:color w:val="auto"/>
              </w:rPr>
            </w:pPr>
            <w:r>
              <w:rPr>
                <w:rFonts w:ascii="Arial" w:cs="Arial" w:eastAsia="Arial" w:hAnsi="Arial"/>
                <w:sz w:val="16"/>
                <w:szCs w:val="16"/>
                <w:color w:val="auto"/>
              </w:rPr>
              <w:t>Loscalzo Associates, Ltd.</w:t>
            </w:r>
          </w:p>
        </w:tc>
        <w:tc>
          <w:tcPr>
            <w:tcW w:w="3060" w:type="dxa"/>
            <w:vAlign w:val="bottom"/>
          </w:tcPr>
          <w:p>
            <w:pPr>
              <w:ind w:left="960"/>
              <w:spacing w:after="0"/>
              <w:rPr>
                <w:sz w:val="20"/>
                <w:szCs w:val="20"/>
                <w:color w:val="auto"/>
              </w:rPr>
            </w:pPr>
            <w:r>
              <w:rPr>
                <w:rFonts w:ascii="Arial" w:cs="Arial" w:eastAsia="Arial" w:hAnsi="Arial"/>
                <w:sz w:val="16"/>
                <w:szCs w:val="16"/>
                <w:color w:val="auto"/>
              </w:rPr>
              <w:t>New Jersey</w:t>
            </w:r>
          </w:p>
        </w:tc>
        <w:tc>
          <w:tcPr>
            <w:tcW w:w="1320" w:type="dxa"/>
            <w:vAlign w:val="bottom"/>
          </w:tcPr>
          <w:p>
            <w:pPr>
              <w:jc w:val="right"/>
              <w:spacing w:after="0"/>
              <w:rPr>
                <w:sz w:val="20"/>
                <w:szCs w:val="20"/>
                <w:color w:val="auto"/>
              </w:rPr>
            </w:pPr>
            <w:r>
              <w:rPr>
                <w:rFonts w:ascii="Arial" w:cs="Arial" w:eastAsia="Arial" w:hAnsi="Arial"/>
                <w:sz w:val="16"/>
                <w:szCs w:val="16"/>
                <w:color w:val="auto"/>
              </w:rPr>
              <w:t>100%</w:t>
            </w:r>
          </w:p>
        </w:tc>
        <w:tc>
          <w:tcPr>
            <w:tcW w:w="240" w:type="dxa"/>
            <w:vAlign w:val="bottom"/>
          </w:tcPr>
          <w:p>
            <w:pPr>
              <w:spacing w:after="0"/>
              <w:rPr>
                <w:sz w:val="23"/>
                <w:szCs w:val="23"/>
                <w:color w:val="auto"/>
              </w:rPr>
            </w:pPr>
          </w:p>
        </w:tc>
      </w:tr>
      <w:tr>
        <w:trPr>
          <w:trHeight w:val="270"/>
        </w:trPr>
        <w:tc>
          <w:tcPr>
            <w:tcW w:w="5520" w:type="dxa"/>
            <w:vAlign w:val="bottom"/>
          </w:tcPr>
          <w:p>
            <w:pPr>
              <w:ind w:left="580"/>
              <w:spacing w:after="0"/>
              <w:rPr>
                <w:sz w:val="20"/>
                <w:szCs w:val="20"/>
                <w:color w:val="auto"/>
              </w:rPr>
            </w:pPr>
            <w:r>
              <w:rPr>
                <w:rFonts w:ascii="Arial" w:cs="Arial" w:eastAsia="Arial" w:hAnsi="Arial"/>
                <w:sz w:val="16"/>
                <w:szCs w:val="16"/>
                <w:color w:val="auto"/>
              </w:rPr>
              <w:t>SMM, Ltd</w:t>
            </w:r>
          </w:p>
        </w:tc>
        <w:tc>
          <w:tcPr>
            <w:tcW w:w="3060" w:type="dxa"/>
            <w:vAlign w:val="bottom"/>
          </w:tcPr>
          <w:p>
            <w:pPr>
              <w:ind w:left="960"/>
              <w:spacing w:after="0"/>
              <w:rPr>
                <w:sz w:val="20"/>
                <w:szCs w:val="20"/>
                <w:color w:val="auto"/>
              </w:rPr>
            </w:pPr>
            <w:r>
              <w:rPr>
                <w:rFonts w:ascii="Arial" w:cs="Arial" w:eastAsia="Arial" w:hAnsi="Arial"/>
                <w:sz w:val="16"/>
                <w:szCs w:val="16"/>
                <w:color w:val="auto"/>
              </w:rPr>
              <w:t>New Jersey</w:t>
            </w:r>
          </w:p>
        </w:tc>
        <w:tc>
          <w:tcPr>
            <w:tcW w:w="1320" w:type="dxa"/>
            <w:vAlign w:val="bottom"/>
          </w:tcPr>
          <w:p>
            <w:pPr>
              <w:jc w:val="right"/>
              <w:spacing w:after="0"/>
              <w:rPr>
                <w:sz w:val="20"/>
                <w:szCs w:val="20"/>
                <w:color w:val="auto"/>
              </w:rPr>
            </w:pPr>
            <w:r>
              <w:rPr>
                <w:rFonts w:ascii="Arial" w:cs="Arial" w:eastAsia="Arial" w:hAnsi="Arial"/>
                <w:sz w:val="16"/>
                <w:szCs w:val="16"/>
                <w:color w:val="auto"/>
              </w:rPr>
              <w:t>100%</w:t>
            </w:r>
          </w:p>
        </w:tc>
        <w:tc>
          <w:tcPr>
            <w:tcW w:w="240" w:type="dxa"/>
            <w:vAlign w:val="bottom"/>
          </w:tcPr>
          <w:p>
            <w:pPr>
              <w:spacing w:after="0"/>
              <w:rPr>
                <w:sz w:val="23"/>
                <w:szCs w:val="23"/>
                <w:color w:val="auto"/>
              </w:rPr>
            </w:pPr>
          </w:p>
        </w:tc>
      </w:tr>
      <w:tr>
        <w:trPr>
          <w:trHeight w:val="270"/>
        </w:trPr>
        <w:tc>
          <w:tcPr>
            <w:tcW w:w="5520" w:type="dxa"/>
            <w:vAlign w:val="bottom"/>
          </w:tcPr>
          <w:p>
            <w:pPr>
              <w:ind w:left="40"/>
              <w:spacing w:after="0"/>
              <w:rPr>
                <w:sz w:val="20"/>
                <w:szCs w:val="20"/>
                <w:color w:val="auto"/>
              </w:rPr>
            </w:pPr>
            <w:r>
              <w:rPr>
                <w:rFonts w:ascii="Arial" w:cs="Arial" w:eastAsia="Arial" w:hAnsi="Arial"/>
                <w:sz w:val="16"/>
                <w:szCs w:val="16"/>
                <w:color w:val="auto"/>
              </w:rPr>
              <w:t>Insight Schools, Inc.</w:t>
            </w:r>
          </w:p>
        </w:tc>
        <w:tc>
          <w:tcPr>
            <w:tcW w:w="3060" w:type="dxa"/>
            <w:vAlign w:val="bottom"/>
          </w:tcPr>
          <w:p>
            <w:pPr>
              <w:ind w:left="960"/>
              <w:spacing w:after="0"/>
              <w:rPr>
                <w:sz w:val="20"/>
                <w:szCs w:val="20"/>
                <w:color w:val="auto"/>
              </w:rPr>
            </w:pPr>
            <w:r>
              <w:rPr>
                <w:rFonts w:ascii="Arial" w:cs="Arial" w:eastAsia="Arial" w:hAnsi="Arial"/>
                <w:sz w:val="16"/>
                <w:szCs w:val="16"/>
                <w:color w:val="auto"/>
              </w:rPr>
              <w:t>Oregon</w:t>
            </w:r>
          </w:p>
        </w:tc>
        <w:tc>
          <w:tcPr>
            <w:tcW w:w="1320" w:type="dxa"/>
            <w:vAlign w:val="bottom"/>
          </w:tcPr>
          <w:p>
            <w:pPr>
              <w:jc w:val="right"/>
              <w:spacing w:after="0"/>
              <w:rPr>
                <w:sz w:val="20"/>
                <w:szCs w:val="20"/>
                <w:color w:val="auto"/>
              </w:rPr>
            </w:pPr>
            <w:r>
              <w:rPr>
                <w:rFonts w:ascii="Arial" w:cs="Arial" w:eastAsia="Arial" w:hAnsi="Arial"/>
                <w:sz w:val="16"/>
                <w:szCs w:val="16"/>
                <w:color w:val="auto"/>
              </w:rPr>
              <w:t>100%</w:t>
            </w:r>
          </w:p>
        </w:tc>
        <w:tc>
          <w:tcPr>
            <w:tcW w:w="240" w:type="dxa"/>
            <w:vAlign w:val="bottom"/>
          </w:tcPr>
          <w:p>
            <w:pPr>
              <w:spacing w:after="0"/>
              <w:rPr>
                <w:sz w:val="23"/>
                <w:szCs w:val="23"/>
                <w:color w:val="auto"/>
              </w:rPr>
            </w:pPr>
          </w:p>
        </w:tc>
      </w:tr>
      <w:tr>
        <w:trPr>
          <w:trHeight w:val="270"/>
        </w:trPr>
        <w:tc>
          <w:tcPr>
            <w:tcW w:w="5520" w:type="dxa"/>
            <w:vAlign w:val="bottom"/>
          </w:tcPr>
          <w:p>
            <w:pPr>
              <w:ind w:left="40"/>
              <w:spacing w:after="0"/>
              <w:rPr>
                <w:sz w:val="20"/>
                <w:szCs w:val="20"/>
                <w:color w:val="auto"/>
              </w:rPr>
            </w:pPr>
            <w:r>
              <w:rPr>
                <w:rFonts w:ascii="Arial" w:cs="Arial" w:eastAsia="Arial" w:hAnsi="Arial"/>
                <w:sz w:val="16"/>
                <w:szCs w:val="16"/>
                <w:color w:val="auto"/>
              </w:rPr>
              <w:t>Kaplan University PTY LTD</w:t>
            </w:r>
          </w:p>
        </w:tc>
        <w:tc>
          <w:tcPr>
            <w:tcW w:w="3060" w:type="dxa"/>
            <w:vAlign w:val="bottom"/>
          </w:tcPr>
          <w:p>
            <w:pPr>
              <w:ind w:left="960"/>
              <w:spacing w:after="0"/>
              <w:rPr>
                <w:sz w:val="20"/>
                <w:szCs w:val="20"/>
                <w:color w:val="auto"/>
              </w:rPr>
            </w:pPr>
            <w:r>
              <w:rPr>
                <w:rFonts w:ascii="Arial" w:cs="Arial" w:eastAsia="Arial" w:hAnsi="Arial"/>
                <w:sz w:val="16"/>
                <w:szCs w:val="16"/>
                <w:color w:val="auto"/>
              </w:rPr>
              <w:t>Australia</w:t>
            </w:r>
          </w:p>
        </w:tc>
        <w:tc>
          <w:tcPr>
            <w:tcW w:w="1320" w:type="dxa"/>
            <w:vAlign w:val="bottom"/>
          </w:tcPr>
          <w:p>
            <w:pPr>
              <w:jc w:val="right"/>
              <w:spacing w:after="0"/>
              <w:rPr>
                <w:sz w:val="20"/>
                <w:szCs w:val="20"/>
                <w:color w:val="auto"/>
              </w:rPr>
            </w:pPr>
            <w:r>
              <w:rPr>
                <w:rFonts w:ascii="Arial" w:cs="Arial" w:eastAsia="Arial" w:hAnsi="Arial"/>
                <w:sz w:val="16"/>
                <w:szCs w:val="16"/>
                <w:color w:val="auto"/>
              </w:rPr>
              <w:t>100%</w:t>
            </w:r>
          </w:p>
        </w:tc>
        <w:tc>
          <w:tcPr>
            <w:tcW w:w="240" w:type="dxa"/>
            <w:vAlign w:val="bottom"/>
          </w:tcPr>
          <w:p>
            <w:pPr>
              <w:spacing w:after="0"/>
              <w:rPr>
                <w:sz w:val="23"/>
                <w:szCs w:val="23"/>
                <w:color w:val="auto"/>
              </w:rPr>
            </w:pPr>
          </w:p>
        </w:tc>
      </w:tr>
      <w:tr>
        <w:trPr>
          <w:trHeight w:val="270"/>
        </w:trPr>
        <w:tc>
          <w:tcPr>
            <w:tcW w:w="5520" w:type="dxa"/>
            <w:vAlign w:val="bottom"/>
          </w:tcPr>
          <w:p>
            <w:pPr>
              <w:ind w:left="100"/>
              <w:spacing w:after="0"/>
              <w:rPr>
                <w:sz w:val="20"/>
                <w:szCs w:val="20"/>
                <w:color w:val="auto"/>
              </w:rPr>
            </w:pPr>
            <w:r>
              <w:rPr>
                <w:rFonts w:ascii="Arial" w:cs="Arial" w:eastAsia="Arial" w:hAnsi="Arial"/>
                <w:sz w:val="16"/>
                <w:szCs w:val="16"/>
                <w:color w:val="auto"/>
              </w:rPr>
              <w:t>New Hampshire Acquisition Corp.</w:t>
            </w:r>
          </w:p>
        </w:tc>
        <w:tc>
          <w:tcPr>
            <w:tcW w:w="3060" w:type="dxa"/>
            <w:vAlign w:val="bottom"/>
          </w:tcPr>
          <w:p>
            <w:pPr>
              <w:ind w:left="960"/>
              <w:spacing w:after="0"/>
              <w:rPr>
                <w:sz w:val="20"/>
                <w:szCs w:val="20"/>
                <w:color w:val="auto"/>
              </w:rPr>
            </w:pPr>
            <w:r>
              <w:rPr>
                <w:rFonts w:ascii="Arial" w:cs="Arial" w:eastAsia="Arial" w:hAnsi="Arial"/>
                <w:sz w:val="16"/>
                <w:szCs w:val="16"/>
                <w:color w:val="auto"/>
              </w:rPr>
              <w:t>Delaware</w:t>
            </w:r>
          </w:p>
        </w:tc>
        <w:tc>
          <w:tcPr>
            <w:tcW w:w="1320" w:type="dxa"/>
            <w:vAlign w:val="bottom"/>
          </w:tcPr>
          <w:p>
            <w:pPr>
              <w:jc w:val="right"/>
              <w:spacing w:after="0"/>
              <w:rPr>
                <w:sz w:val="20"/>
                <w:szCs w:val="20"/>
                <w:color w:val="auto"/>
              </w:rPr>
            </w:pPr>
            <w:r>
              <w:rPr>
                <w:rFonts w:ascii="Arial" w:cs="Arial" w:eastAsia="Arial" w:hAnsi="Arial"/>
                <w:sz w:val="16"/>
                <w:szCs w:val="16"/>
                <w:color w:val="auto"/>
              </w:rPr>
              <w:t>100%</w:t>
            </w:r>
          </w:p>
        </w:tc>
        <w:tc>
          <w:tcPr>
            <w:tcW w:w="240" w:type="dxa"/>
            <w:vAlign w:val="bottom"/>
          </w:tcPr>
          <w:p>
            <w:pPr>
              <w:spacing w:after="0"/>
              <w:rPr>
                <w:sz w:val="23"/>
                <w:szCs w:val="23"/>
                <w:color w:val="auto"/>
              </w:rPr>
            </w:pPr>
          </w:p>
        </w:tc>
      </w:tr>
      <w:tr>
        <w:trPr>
          <w:trHeight w:val="270"/>
        </w:trPr>
        <w:tc>
          <w:tcPr>
            <w:tcW w:w="5520" w:type="dxa"/>
            <w:vAlign w:val="bottom"/>
          </w:tcPr>
          <w:p>
            <w:pPr>
              <w:ind w:left="500"/>
              <w:spacing w:after="0"/>
              <w:rPr>
                <w:sz w:val="20"/>
                <w:szCs w:val="20"/>
                <w:color w:val="auto"/>
              </w:rPr>
            </w:pPr>
            <w:r>
              <w:rPr>
                <w:rFonts w:ascii="Arial" w:cs="Arial" w:eastAsia="Arial" w:hAnsi="Arial"/>
                <w:sz w:val="16"/>
                <w:szCs w:val="16"/>
                <w:color w:val="auto"/>
              </w:rPr>
              <w:t>Hesser, Inc.</w:t>
            </w:r>
          </w:p>
        </w:tc>
        <w:tc>
          <w:tcPr>
            <w:tcW w:w="3060" w:type="dxa"/>
            <w:vAlign w:val="bottom"/>
          </w:tcPr>
          <w:p>
            <w:pPr>
              <w:ind w:left="960"/>
              <w:spacing w:after="0"/>
              <w:rPr>
                <w:sz w:val="20"/>
                <w:szCs w:val="20"/>
                <w:color w:val="auto"/>
              </w:rPr>
            </w:pPr>
            <w:r>
              <w:rPr>
                <w:rFonts w:ascii="Arial" w:cs="Arial" w:eastAsia="Arial" w:hAnsi="Arial"/>
                <w:sz w:val="16"/>
                <w:szCs w:val="16"/>
                <w:color w:val="auto"/>
              </w:rPr>
              <w:t>New Hampshire</w:t>
            </w:r>
          </w:p>
        </w:tc>
        <w:tc>
          <w:tcPr>
            <w:tcW w:w="1320" w:type="dxa"/>
            <w:vAlign w:val="bottom"/>
          </w:tcPr>
          <w:p>
            <w:pPr>
              <w:jc w:val="right"/>
              <w:spacing w:after="0"/>
              <w:rPr>
                <w:sz w:val="20"/>
                <w:szCs w:val="20"/>
                <w:color w:val="auto"/>
              </w:rPr>
            </w:pPr>
            <w:r>
              <w:rPr>
                <w:rFonts w:ascii="Arial" w:cs="Arial" w:eastAsia="Arial" w:hAnsi="Arial"/>
                <w:sz w:val="16"/>
                <w:szCs w:val="16"/>
                <w:color w:val="auto"/>
              </w:rPr>
              <w:t>100%</w:t>
            </w:r>
          </w:p>
        </w:tc>
        <w:tc>
          <w:tcPr>
            <w:tcW w:w="240" w:type="dxa"/>
            <w:vAlign w:val="bottom"/>
          </w:tcPr>
          <w:p>
            <w:pPr>
              <w:spacing w:after="0"/>
              <w:rPr>
                <w:sz w:val="23"/>
                <w:szCs w:val="23"/>
                <w:color w:val="auto"/>
              </w:rPr>
            </w:pPr>
          </w:p>
        </w:tc>
      </w:tr>
      <w:tr>
        <w:trPr>
          <w:trHeight w:val="270"/>
        </w:trPr>
        <w:tc>
          <w:tcPr>
            <w:tcW w:w="5520" w:type="dxa"/>
            <w:vAlign w:val="bottom"/>
          </w:tcPr>
          <w:p>
            <w:pPr>
              <w:ind w:left="140"/>
              <w:spacing w:after="0"/>
              <w:rPr>
                <w:sz w:val="20"/>
                <w:szCs w:val="20"/>
                <w:color w:val="auto"/>
              </w:rPr>
            </w:pPr>
            <w:r>
              <w:rPr>
                <w:rFonts w:ascii="Arial" w:cs="Arial" w:eastAsia="Arial" w:hAnsi="Arial"/>
                <w:sz w:val="16"/>
                <w:szCs w:val="16"/>
                <w:color w:val="auto"/>
              </w:rPr>
              <w:t>KV EdTech Partners LLC</w:t>
            </w:r>
          </w:p>
        </w:tc>
        <w:tc>
          <w:tcPr>
            <w:tcW w:w="3060" w:type="dxa"/>
            <w:vAlign w:val="bottom"/>
          </w:tcPr>
          <w:p>
            <w:pPr>
              <w:ind w:left="960"/>
              <w:spacing w:after="0"/>
              <w:rPr>
                <w:sz w:val="20"/>
                <w:szCs w:val="20"/>
                <w:color w:val="auto"/>
              </w:rPr>
            </w:pPr>
            <w:r>
              <w:rPr>
                <w:rFonts w:ascii="Arial" w:cs="Arial" w:eastAsia="Arial" w:hAnsi="Arial"/>
                <w:sz w:val="16"/>
                <w:szCs w:val="16"/>
                <w:color w:val="auto"/>
              </w:rPr>
              <w:t>Delaware</w:t>
            </w:r>
          </w:p>
        </w:tc>
        <w:tc>
          <w:tcPr>
            <w:tcW w:w="1320" w:type="dxa"/>
            <w:vAlign w:val="bottom"/>
          </w:tcPr>
          <w:p>
            <w:pPr>
              <w:jc w:val="right"/>
              <w:spacing w:after="0"/>
              <w:rPr>
                <w:sz w:val="20"/>
                <w:szCs w:val="20"/>
                <w:color w:val="auto"/>
              </w:rPr>
            </w:pPr>
            <w:r>
              <w:rPr>
                <w:rFonts w:ascii="Arial" w:cs="Arial" w:eastAsia="Arial" w:hAnsi="Arial"/>
                <w:sz w:val="16"/>
                <w:szCs w:val="16"/>
                <w:color w:val="auto"/>
              </w:rPr>
              <w:t>100%</w:t>
            </w:r>
          </w:p>
        </w:tc>
        <w:tc>
          <w:tcPr>
            <w:tcW w:w="240" w:type="dxa"/>
            <w:vAlign w:val="bottom"/>
          </w:tcPr>
          <w:p>
            <w:pPr>
              <w:spacing w:after="0"/>
              <w:rPr>
                <w:sz w:val="23"/>
                <w:szCs w:val="23"/>
                <w:color w:val="auto"/>
              </w:rPr>
            </w:pPr>
          </w:p>
        </w:tc>
      </w:tr>
      <w:tr>
        <w:trPr>
          <w:trHeight w:val="270"/>
        </w:trPr>
        <w:tc>
          <w:tcPr>
            <w:tcW w:w="5520" w:type="dxa"/>
            <w:vAlign w:val="bottom"/>
          </w:tcPr>
          <w:p>
            <w:pPr>
              <w:ind w:left="140"/>
              <w:spacing w:after="0"/>
              <w:rPr>
                <w:sz w:val="20"/>
                <w:szCs w:val="20"/>
                <w:color w:val="auto"/>
              </w:rPr>
            </w:pPr>
            <w:r>
              <w:rPr>
                <w:rFonts w:ascii="Arial" w:cs="Arial" w:eastAsia="Arial" w:hAnsi="Arial"/>
                <w:sz w:val="16"/>
                <w:szCs w:val="16"/>
                <w:color w:val="auto"/>
              </w:rPr>
              <w:t>Kaplan Mexico Holdings, LLC</w:t>
            </w:r>
          </w:p>
        </w:tc>
        <w:tc>
          <w:tcPr>
            <w:tcW w:w="3060" w:type="dxa"/>
            <w:vAlign w:val="bottom"/>
          </w:tcPr>
          <w:p>
            <w:pPr>
              <w:ind w:left="960"/>
              <w:spacing w:after="0"/>
              <w:rPr>
                <w:sz w:val="20"/>
                <w:szCs w:val="20"/>
                <w:color w:val="auto"/>
              </w:rPr>
            </w:pPr>
            <w:r>
              <w:rPr>
                <w:rFonts w:ascii="Arial" w:cs="Arial" w:eastAsia="Arial" w:hAnsi="Arial"/>
                <w:sz w:val="16"/>
                <w:szCs w:val="16"/>
                <w:color w:val="auto"/>
              </w:rPr>
              <w:t>Delaware</w:t>
            </w:r>
          </w:p>
        </w:tc>
        <w:tc>
          <w:tcPr>
            <w:tcW w:w="1320" w:type="dxa"/>
            <w:vAlign w:val="bottom"/>
          </w:tcPr>
          <w:p>
            <w:pPr>
              <w:jc w:val="right"/>
              <w:spacing w:after="0"/>
              <w:rPr>
                <w:sz w:val="20"/>
                <w:szCs w:val="20"/>
                <w:color w:val="auto"/>
              </w:rPr>
            </w:pPr>
            <w:r>
              <w:rPr>
                <w:rFonts w:ascii="Arial" w:cs="Arial" w:eastAsia="Arial" w:hAnsi="Arial"/>
                <w:sz w:val="16"/>
                <w:szCs w:val="16"/>
                <w:color w:val="auto"/>
              </w:rPr>
              <w:t>100%</w:t>
            </w:r>
          </w:p>
        </w:tc>
        <w:tc>
          <w:tcPr>
            <w:tcW w:w="240" w:type="dxa"/>
            <w:vAlign w:val="bottom"/>
          </w:tcPr>
          <w:p>
            <w:pPr>
              <w:spacing w:after="0"/>
              <w:rPr>
                <w:sz w:val="23"/>
                <w:szCs w:val="23"/>
                <w:color w:val="auto"/>
              </w:rPr>
            </w:pPr>
          </w:p>
        </w:tc>
      </w:tr>
      <w:tr>
        <w:trPr>
          <w:trHeight w:val="270"/>
        </w:trPr>
        <w:tc>
          <w:tcPr>
            <w:tcW w:w="5520" w:type="dxa"/>
            <w:vAlign w:val="bottom"/>
          </w:tcPr>
          <w:p>
            <w:pPr>
              <w:ind w:left="320"/>
              <w:spacing w:after="0"/>
              <w:rPr>
                <w:sz w:val="20"/>
                <w:szCs w:val="20"/>
                <w:color w:val="auto"/>
              </w:rPr>
            </w:pPr>
            <w:r>
              <w:rPr>
                <w:rFonts w:ascii="Arial" w:cs="Arial" w:eastAsia="Arial" w:hAnsi="Arial"/>
                <w:sz w:val="16"/>
                <w:szCs w:val="16"/>
                <w:color w:val="auto"/>
              </w:rPr>
              <w:t>Kaplan (India) Private Limited</w:t>
            </w:r>
          </w:p>
        </w:tc>
        <w:tc>
          <w:tcPr>
            <w:tcW w:w="3060" w:type="dxa"/>
            <w:vAlign w:val="bottom"/>
          </w:tcPr>
          <w:p>
            <w:pPr>
              <w:ind w:left="960"/>
              <w:spacing w:after="0"/>
              <w:rPr>
                <w:sz w:val="20"/>
                <w:szCs w:val="20"/>
                <w:color w:val="auto"/>
              </w:rPr>
            </w:pPr>
            <w:r>
              <w:rPr>
                <w:rFonts w:ascii="Arial" w:cs="Arial" w:eastAsia="Arial" w:hAnsi="Arial"/>
                <w:sz w:val="16"/>
                <w:szCs w:val="16"/>
                <w:color w:val="auto"/>
              </w:rPr>
              <w:t>India</w:t>
            </w:r>
          </w:p>
        </w:tc>
        <w:tc>
          <w:tcPr>
            <w:tcW w:w="1320" w:type="dxa"/>
            <w:vAlign w:val="bottom"/>
          </w:tcPr>
          <w:p>
            <w:pPr>
              <w:jc w:val="right"/>
              <w:spacing w:after="0"/>
              <w:rPr>
                <w:sz w:val="20"/>
                <w:szCs w:val="20"/>
                <w:color w:val="auto"/>
              </w:rPr>
            </w:pPr>
            <w:r>
              <w:rPr>
                <w:rFonts w:ascii="Arial" w:cs="Arial" w:eastAsia="Arial" w:hAnsi="Arial"/>
                <w:sz w:val="16"/>
                <w:szCs w:val="16"/>
                <w:color w:val="auto"/>
              </w:rPr>
              <w:t>100%</w:t>
            </w:r>
          </w:p>
        </w:tc>
        <w:tc>
          <w:tcPr>
            <w:tcW w:w="240" w:type="dxa"/>
            <w:vAlign w:val="bottom"/>
          </w:tcPr>
          <w:p>
            <w:pPr>
              <w:ind w:left="40"/>
              <w:spacing w:after="0"/>
              <w:rPr>
                <w:sz w:val="20"/>
                <w:szCs w:val="20"/>
                <w:color w:val="auto"/>
              </w:rPr>
            </w:pPr>
            <w:r>
              <w:rPr>
                <w:rFonts w:ascii="Arial" w:cs="Arial" w:eastAsia="Arial" w:hAnsi="Arial"/>
                <w:sz w:val="16"/>
                <w:szCs w:val="16"/>
                <w:color w:val="auto"/>
                <w:w w:val="91"/>
              </w:rPr>
              <w:t>(h)</w:t>
            </w:r>
          </w:p>
        </w:tc>
      </w:tr>
      <w:tr>
        <w:trPr>
          <w:trHeight w:val="270"/>
        </w:trPr>
        <w:tc>
          <w:tcPr>
            <w:tcW w:w="5520" w:type="dxa"/>
            <w:vAlign w:val="bottom"/>
          </w:tcPr>
          <w:p>
            <w:pPr>
              <w:ind w:left="140"/>
              <w:spacing w:after="0"/>
              <w:rPr>
                <w:sz w:val="20"/>
                <w:szCs w:val="20"/>
                <w:color w:val="auto"/>
              </w:rPr>
            </w:pPr>
            <w:r>
              <w:rPr>
                <w:rFonts w:ascii="Arial" w:cs="Arial" w:eastAsia="Arial" w:hAnsi="Arial"/>
                <w:sz w:val="16"/>
                <w:szCs w:val="16"/>
                <w:color w:val="auto"/>
              </w:rPr>
              <w:t>Kaplan (PR) Inc.</w:t>
            </w:r>
          </w:p>
        </w:tc>
        <w:tc>
          <w:tcPr>
            <w:tcW w:w="3060" w:type="dxa"/>
            <w:vAlign w:val="bottom"/>
          </w:tcPr>
          <w:p>
            <w:pPr>
              <w:ind w:left="960"/>
              <w:spacing w:after="0"/>
              <w:rPr>
                <w:sz w:val="20"/>
                <w:szCs w:val="20"/>
                <w:color w:val="auto"/>
              </w:rPr>
            </w:pPr>
            <w:r>
              <w:rPr>
                <w:rFonts w:ascii="Arial" w:cs="Arial" w:eastAsia="Arial" w:hAnsi="Arial"/>
                <w:sz w:val="16"/>
                <w:szCs w:val="16"/>
                <w:color w:val="auto"/>
              </w:rPr>
              <w:t>Puerto Rico</w:t>
            </w:r>
          </w:p>
        </w:tc>
        <w:tc>
          <w:tcPr>
            <w:tcW w:w="1320" w:type="dxa"/>
            <w:vAlign w:val="bottom"/>
          </w:tcPr>
          <w:p>
            <w:pPr>
              <w:jc w:val="right"/>
              <w:spacing w:after="0"/>
              <w:rPr>
                <w:sz w:val="20"/>
                <w:szCs w:val="20"/>
                <w:color w:val="auto"/>
              </w:rPr>
            </w:pPr>
            <w:r>
              <w:rPr>
                <w:rFonts w:ascii="Arial" w:cs="Arial" w:eastAsia="Arial" w:hAnsi="Arial"/>
                <w:sz w:val="16"/>
                <w:szCs w:val="16"/>
                <w:color w:val="auto"/>
              </w:rPr>
              <w:t>100%</w:t>
            </w:r>
          </w:p>
        </w:tc>
        <w:tc>
          <w:tcPr>
            <w:tcW w:w="240" w:type="dxa"/>
            <w:vAlign w:val="bottom"/>
          </w:tcPr>
          <w:p>
            <w:pPr>
              <w:spacing w:after="0"/>
              <w:rPr>
                <w:sz w:val="23"/>
                <w:szCs w:val="23"/>
                <w:color w:val="auto"/>
              </w:rPr>
            </w:pPr>
          </w:p>
        </w:tc>
      </w:tr>
      <w:tr>
        <w:trPr>
          <w:trHeight w:val="270"/>
        </w:trPr>
        <w:tc>
          <w:tcPr>
            <w:tcW w:w="5520" w:type="dxa"/>
            <w:vAlign w:val="bottom"/>
          </w:tcPr>
          <w:p>
            <w:pPr>
              <w:ind w:left="140"/>
              <w:spacing w:after="0"/>
              <w:rPr>
                <w:sz w:val="20"/>
                <w:szCs w:val="20"/>
                <w:color w:val="auto"/>
              </w:rPr>
            </w:pPr>
            <w:r>
              <w:rPr>
                <w:rFonts w:ascii="Arial" w:cs="Arial" w:eastAsia="Arial" w:hAnsi="Arial"/>
                <w:sz w:val="16"/>
                <w:szCs w:val="16"/>
                <w:color w:val="auto"/>
              </w:rPr>
              <w:t>MG Prep, Inc.</w:t>
            </w:r>
          </w:p>
        </w:tc>
        <w:tc>
          <w:tcPr>
            <w:tcW w:w="3060" w:type="dxa"/>
            <w:vAlign w:val="bottom"/>
          </w:tcPr>
          <w:p>
            <w:pPr>
              <w:ind w:left="960"/>
              <w:spacing w:after="0"/>
              <w:rPr>
                <w:sz w:val="20"/>
                <w:szCs w:val="20"/>
                <w:color w:val="auto"/>
              </w:rPr>
            </w:pPr>
            <w:r>
              <w:rPr>
                <w:rFonts w:ascii="Arial" w:cs="Arial" w:eastAsia="Arial" w:hAnsi="Arial"/>
                <w:sz w:val="16"/>
                <w:szCs w:val="16"/>
                <w:color w:val="auto"/>
              </w:rPr>
              <w:t>New York</w:t>
            </w:r>
          </w:p>
        </w:tc>
        <w:tc>
          <w:tcPr>
            <w:tcW w:w="1320" w:type="dxa"/>
            <w:vAlign w:val="bottom"/>
          </w:tcPr>
          <w:p>
            <w:pPr>
              <w:jc w:val="right"/>
              <w:spacing w:after="0"/>
              <w:rPr>
                <w:sz w:val="20"/>
                <w:szCs w:val="20"/>
                <w:color w:val="auto"/>
              </w:rPr>
            </w:pPr>
            <w:r>
              <w:rPr>
                <w:rFonts w:ascii="Arial" w:cs="Arial" w:eastAsia="Arial" w:hAnsi="Arial"/>
                <w:sz w:val="16"/>
                <w:szCs w:val="16"/>
                <w:color w:val="auto"/>
              </w:rPr>
              <w:t>100%</w:t>
            </w:r>
          </w:p>
        </w:tc>
        <w:tc>
          <w:tcPr>
            <w:tcW w:w="240" w:type="dxa"/>
            <w:vAlign w:val="bottom"/>
          </w:tcPr>
          <w:p>
            <w:pPr>
              <w:spacing w:after="0"/>
              <w:rPr>
                <w:sz w:val="23"/>
                <w:szCs w:val="23"/>
                <w:color w:val="auto"/>
              </w:rPr>
            </w:pPr>
          </w:p>
        </w:tc>
      </w:tr>
      <w:tr>
        <w:trPr>
          <w:trHeight w:val="270"/>
        </w:trPr>
        <w:tc>
          <w:tcPr>
            <w:tcW w:w="5520" w:type="dxa"/>
            <w:vAlign w:val="bottom"/>
          </w:tcPr>
          <w:p>
            <w:pPr>
              <w:jc w:val="center"/>
              <w:ind w:right="3159"/>
              <w:spacing w:after="0"/>
              <w:rPr>
                <w:sz w:val="20"/>
                <w:szCs w:val="20"/>
                <w:color w:val="auto"/>
              </w:rPr>
            </w:pPr>
            <w:r>
              <w:rPr>
                <w:rFonts w:ascii="Arial" w:cs="Arial" w:eastAsia="Arial" w:hAnsi="Arial"/>
                <w:sz w:val="16"/>
                <w:szCs w:val="16"/>
                <w:color w:val="auto"/>
              </w:rPr>
              <w:t>Manhattan GMAT Limited</w:t>
            </w:r>
          </w:p>
        </w:tc>
        <w:tc>
          <w:tcPr>
            <w:tcW w:w="3060" w:type="dxa"/>
            <w:vAlign w:val="bottom"/>
          </w:tcPr>
          <w:p>
            <w:pPr>
              <w:ind w:left="960"/>
              <w:spacing w:after="0"/>
              <w:rPr>
                <w:sz w:val="20"/>
                <w:szCs w:val="20"/>
                <w:color w:val="auto"/>
              </w:rPr>
            </w:pPr>
            <w:r>
              <w:rPr>
                <w:rFonts w:ascii="Arial" w:cs="Arial" w:eastAsia="Arial" w:hAnsi="Arial"/>
                <w:sz w:val="16"/>
                <w:szCs w:val="16"/>
                <w:color w:val="auto"/>
              </w:rPr>
              <w:t>England &amp; Wales</w:t>
            </w:r>
          </w:p>
        </w:tc>
        <w:tc>
          <w:tcPr>
            <w:tcW w:w="1320" w:type="dxa"/>
            <w:vAlign w:val="bottom"/>
          </w:tcPr>
          <w:p>
            <w:pPr>
              <w:jc w:val="right"/>
              <w:spacing w:after="0"/>
              <w:rPr>
                <w:sz w:val="20"/>
                <w:szCs w:val="20"/>
                <w:color w:val="auto"/>
              </w:rPr>
            </w:pPr>
            <w:r>
              <w:rPr>
                <w:rFonts w:ascii="Arial" w:cs="Arial" w:eastAsia="Arial" w:hAnsi="Arial"/>
                <w:sz w:val="16"/>
                <w:szCs w:val="16"/>
                <w:color w:val="auto"/>
              </w:rPr>
              <w:t>100%</w:t>
            </w:r>
          </w:p>
        </w:tc>
        <w:tc>
          <w:tcPr>
            <w:tcW w:w="240" w:type="dxa"/>
            <w:vAlign w:val="bottom"/>
          </w:tcPr>
          <w:p>
            <w:pPr>
              <w:spacing w:after="0"/>
              <w:rPr>
                <w:sz w:val="23"/>
                <w:szCs w:val="23"/>
                <w:color w:val="auto"/>
              </w:rPr>
            </w:pPr>
          </w:p>
        </w:tc>
      </w:tr>
      <w:tr>
        <w:trPr>
          <w:trHeight w:val="284"/>
        </w:trPr>
        <w:tc>
          <w:tcPr>
            <w:tcW w:w="5520" w:type="dxa"/>
            <w:vAlign w:val="bottom"/>
          </w:tcPr>
          <w:p>
            <w:pPr>
              <w:ind w:left="140"/>
              <w:spacing w:after="0"/>
              <w:rPr>
                <w:sz w:val="20"/>
                <w:szCs w:val="20"/>
                <w:color w:val="auto"/>
              </w:rPr>
            </w:pPr>
            <w:r>
              <w:rPr>
                <w:rFonts w:ascii="Arial" w:cs="Arial" w:eastAsia="Arial" w:hAnsi="Arial"/>
                <w:sz w:val="16"/>
                <w:szCs w:val="16"/>
                <w:color w:val="auto"/>
              </w:rPr>
              <w:t>Kaplan K12 Learning Services, LLC</w:t>
            </w:r>
          </w:p>
        </w:tc>
        <w:tc>
          <w:tcPr>
            <w:tcW w:w="3060" w:type="dxa"/>
            <w:vAlign w:val="bottom"/>
          </w:tcPr>
          <w:p>
            <w:pPr>
              <w:ind w:left="960"/>
              <w:spacing w:after="0"/>
              <w:rPr>
                <w:sz w:val="20"/>
                <w:szCs w:val="20"/>
                <w:color w:val="auto"/>
              </w:rPr>
            </w:pPr>
            <w:r>
              <w:rPr>
                <w:rFonts w:ascii="Arial" w:cs="Arial" w:eastAsia="Arial" w:hAnsi="Arial"/>
                <w:sz w:val="16"/>
                <w:szCs w:val="16"/>
                <w:color w:val="auto"/>
              </w:rPr>
              <w:t>Delaware</w:t>
            </w:r>
          </w:p>
        </w:tc>
        <w:tc>
          <w:tcPr>
            <w:tcW w:w="1320" w:type="dxa"/>
            <w:vAlign w:val="bottom"/>
          </w:tcPr>
          <w:p>
            <w:pPr>
              <w:jc w:val="right"/>
              <w:spacing w:after="0"/>
              <w:rPr>
                <w:sz w:val="20"/>
                <w:szCs w:val="20"/>
                <w:color w:val="auto"/>
              </w:rPr>
            </w:pPr>
            <w:r>
              <w:rPr>
                <w:rFonts w:ascii="Arial" w:cs="Arial" w:eastAsia="Arial" w:hAnsi="Arial"/>
                <w:sz w:val="16"/>
                <w:szCs w:val="16"/>
                <w:color w:val="auto"/>
              </w:rPr>
              <w:t>100%</w:t>
            </w:r>
          </w:p>
        </w:tc>
        <w:tc>
          <w:tcPr>
            <w:tcW w:w="240" w:type="dxa"/>
            <w:vAlign w:val="bottom"/>
          </w:tcPr>
          <w:p>
            <w:pPr>
              <w:spacing w:after="0"/>
              <w:rPr>
                <w:sz w:val="24"/>
                <w:szCs w:val="24"/>
                <w:color w:val="auto"/>
              </w:rPr>
            </w:pPr>
          </w:p>
        </w:tc>
      </w:tr>
      <w:tr>
        <w:trPr>
          <w:trHeight w:val="270"/>
        </w:trPr>
        <w:tc>
          <w:tcPr>
            <w:tcW w:w="5520" w:type="dxa"/>
            <w:vAlign w:val="bottom"/>
          </w:tcPr>
          <w:p>
            <w:pPr>
              <w:ind w:left="140"/>
              <w:spacing w:after="0"/>
              <w:rPr>
                <w:sz w:val="20"/>
                <w:szCs w:val="20"/>
                <w:color w:val="auto"/>
              </w:rPr>
            </w:pPr>
            <w:r>
              <w:rPr>
                <w:rFonts w:ascii="Arial" w:cs="Arial" w:eastAsia="Arial" w:hAnsi="Arial"/>
                <w:sz w:val="16"/>
                <w:szCs w:val="16"/>
                <w:color w:val="auto"/>
              </w:rPr>
              <w:t>Kaplan Test Prep International, LLC</w:t>
            </w:r>
          </w:p>
        </w:tc>
        <w:tc>
          <w:tcPr>
            <w:tcW w:w="3060" w:type="dxa"/>
            <w:vAlign w:val="bottom"/>
          </w:tcPr>
          <w:p>
            <w:pPr>
              <w:ind w:left="960"/>
              <w:spacing w:after="0"/>
              <w:rPr>
                <w:sz w:val="20"/>
                <w:szCs w:val="20"/>
                <w:color w:val="auto"/>
              </w:rPr>
            </w:pPr>
            <w:r>
              <w:rPr>
                <w:rFonts w:ascii="Arial" w:cs="Arial" w:eastAsia="Arial" w:hAnsi="Arial"/>
                <w:sz w:val="16"/>
                <w:szCs w:val="16"/>
                <w:color w:val="auto"/>
              </w:rPr>
              <w:t>California</w:t>
            </w:r>
          </w:p>
        </w:tc>
        <w:tc>
          <w:tcPr>
            <w:tcW w:w="1320" w:type="dxa"/>
            <w:vAlign w:val="bottom"/>
          </w:tcPr>
          <w:p>
            <w:pPr>
              <w:jc w:val="right"/>
              <w:spacing w:after="0"/>
              <w:rPr>
                <w:sz w:val="20"/>
                <w:szCs w:val="20"/>
                <w:color w:val="auto"/>
              </w:rPr>
            </w:pPr>
            <w:r>
              <w:rPr>
                <w:rFonts w:ascii="Arial" w:cs="Arial" w:eastAsia="Arial" w:hAnsi="Arial"/>
                <w:sz w:val="16"/>
                <w:szCs w:val="16"/>
                <w:color w:val="auto"/>
              </w:rPr>
              <w:t>100%</w:t>
            </w:r>
          </w:p>
        </w:tc>
        <w:tc>
          <w:tcPr>
            <w:tcW w:w="240" w:type="dxa"/>
            <w:vAlign w:val="bottom"/>
          </w:tcPr>
          <w:p>
            <w:pPr>
              <w:spacing w:after="0"/>
              <w:rPr>
                <w:sz w:val="23"/>
                <w:szCs w:val="23"/>
                <w:color w:val="auto"/>
              </w:rPr>
            </w:pPr>
          </w:p>
        </w:tc>
      </w:tr>
    </w:tbl>
    <w:p>
      <w:pPr>
        <w:sectPr>
          <w:pgSz w:w="11900" w:h="16838" w:orient="portrait"/>
          <w:cols w:equalWidth="0" w:num="1">
            <w:col w:w="10140"/>
          </w:cols>
          <w:pgMar w:left="840" w:top="756" w:right="919" w:bottom="0" w:gutter="0" w:footer="0" w:header="0"/>
        </w:sectPr>
      </w:pPr>
    </w:p>
    <w:bookmarkStart w:id="122" w:name="page123"/>
    <w:bookmarkEnd w:id="122"/>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23" w:name="page124"/>
    <w:bookmarkEnd w:id="123"/>
    <w:p>
      <w:pPr>
        <w:spacing w:after="0"/>
        <w:tabs>
          <w:tab w:leader="none" w:pos="6320" w:val="left"/>
        </w:tabs>
        <w:rPr>
          <w:sz w:val="20"/>
          <w:szCs w:val="20"/>
          <w:color w:val="auto"/>
        </w:rPr>
      </w:pPr>
      <w:r>
        <w:rPr>
          <w:rFonts w:ascii="Arial" w:cs="Arial" w:eastAsia="Arial" w:hAnsi="Arial"/>
          <w:sz w:val="16"/>
          <w:szCs w:val="16"/>
          <w:color w:val="auto"/>
        </w:rPr>
        <w:t>Kaplan International North America, LLC</w:t>
      </w:r>
      <w:r>
        <w:rPr>
          <w:sz w:val="20"/>
          <w:szCs w:val="20"/>
          <w:color w:val="auto"/>
        </w:rPr>
        <w:tab/>
      </w:r>
      <w:r>
        <w:rPr>
          <w:rFonts w:ascii="Arial" w:cs="Arial" w:eastAsia="Arial" w:hAnsi="Arial"/>
          <w:sz w:val="16"/>
          <w:szCs w:val="16"/>
          <w:color w:val="auto"/>
        </w:rPr>
        <w:t>California</w:t>
      </w:r>
    </w:p>
    <w:p>
      <w:pPr>
        <w:spacing w:after="0" w:line="86" w:lineRule="exact"/>
        <w:rPr>
          <w:sz w:val="20"/>
          <w:szCs w:val="20"/>
          <w:color w:val="auto"/>
        </w:rPr>
      </w:pPr>
    </w:p>
    <w:p>
      <w:pPr>
        <w:spacing w:after="0"/>
        <w:tabs>
          <w:tab w:leader="none" w:pos="6320" w:val="left"/>
        </w:tabs>
        <w:rPr>
          <w:sz w:val="20"/>
          <w:szCs w:val="20"/>
          <w:color w:val="auto"/>
        </w:rPr>
      </w:pPr>
      <w:r>
        <w:rPr>
          <w:rFonts w:ascii="Arial" w:cs="Arial" w:eastAsia="Arial" w:hAnsi="Arial"/>
          <w:sz w:val="16"/>
          <w:szCs w:val="16"/>
          <w:color w:val="auto"/>
        </w:rPr>
        <w:t>Kaplan International English (Thailand), Co. Ltd.</w:t>
      </w:r>
      <w:r>
        <w:rPr>
          <w:sz w:val="20"/>
          <w:szCs w:val="20"/>
          <w:color w:val="auto"/>
        </w:rPr>
        <w:tab/>
      </w:r>
      <w:r>
        <w:rPr>
          <w:rFonts w:ascii="Arial" w:cs="Arial" w:eastAsia="Arial" w:hAnsi="Arial"/>
          <w:sz w:val="16"/>
          <w:szCs w:val="16"/>
          <w:color w:val="auto"/>
        </w:rPr>
        <w:t>Thailand</w:t>
      </w:r>
    </w:p>
    <w:p>
      <w:pPr>
        <w:spacing w:after="0" w:line="86" w:lineRule="exact"/>
        <w:rPr>
          <w:sz w:val="20"/>
          <w:szCs w:val="20"/>
          <w:color w:val="auto"/>
        </w:rPr>
      </w:pPr>
    </w:p>
    <w:p>
      <w:pPr>
        <w:spacing w:after="0"/>
        <w:tabs>
          <w:tab w:leader="none" w:pos="6320" w:val="left"/>
        </w:tabs>
        <w:rPr>
          <w:sz w:val="20"/>
          <w:szCs w:val="20"/>
          <w:color w:val="auto"/>
        </w:rPr>
      </w:pPr>
      <w:r>
        <w:rPr>
          <w:rFonts w:ascii="Arial" w:cs="Arial" w:eastAsia="Arial" w:hAnsi="Arial"/>
          <w:sz w:val="16"/>
          <w:szCs w:val="16"/>
          <w:color w:val="auto"/>
        </w:rPr>
        <w:t>Hands On Consulting Limited</w:t>
      </w:r>
      <w:r>
        <w:rPr>
          <w:sz w:val="20"/>
          <w:szCs w:val="20"/>
          <w:color w:val="auto"/>
        </w:rPr>
        <w:tab/>
      </w:r>
      <w:r>
        <w:rPr>
          <w:rFonts w:ascii="Arial" w:cs="Arial" w:eastAsia="Arial" w:hAnsi="Arial"/>
          <w:sz w:val="15"/>
          <w:szCs w:val="15"/>
          <w:color w:val="auto"/>
        </w:rPr>
        <w:t>Hong Kong</w:t>
      </w:r>
    </w:p>
    <w:p>
      <w:pPr>
        <w:spacing w:after="0" w:line="73" w:lineRule="exact"/>
        <w:rPr>
          <w:sz w:val="20"/>
          <w:szCs w:val="20"/>
          <w:color w:val="auto"/>
        </w:rPr>
      </w:pPr>
    </w:p>
    <w:p>
      <w:pPr>
        <w:spacing w:after="0"/>
        <w:tabs>
          <w:tab w:leader="none" w:pos="6320" w:val="left"/>
        </w:tabs>
        <w:rPr>
          <w:sz w:val="20"/>
          <w:szCs w:val="20"/>
          <w:color w:val="auto"/>
        </w:rPr>
      </w:pPr>
      <w:r>
        <w:rPr>
          <w:rFonts w:ascii="Arial" w:cs="Arial" w:eastAsia="Arial" w:hAnsi="Arial"/>
          <w:sz w:val="16"/>
          <w:szCs w:val="16"/>
          <w:color w:val="auto"/>
        </w:rPr>
        <w:t>Hands On Education Consultants Co., Ltd.</w:t>
      </w:r>
      <w:r>
        <w:rPr>
          <w:sz w:val="20"/>
          <w:szCs w:val="20"/>
          <w:color w:val="auto"/>
        </w:rPr>
        <w:tab/>
      </w:r>
      <w:r>
        <w:rPr>
          <w:rFonts w:ascii="Arial" w:cs="Arial" w:eastAsia="Arial" w:hAnsi="Arial"/>
          <w:sz w:val="16"/>
          <w:szCs w:val="16"/>
          <w:color w:val="auto"/>
        </w:rPr>
        <w:t>Thailand</w:t>
      </w:r>
    </w:p>
    <w:p>
      <w:pPr>
        <w:spacing w:after="0" w:line="86" w:lineRule="exact"/>
        <w:rPr>
          <w:sz w:val="20"/>
          <w:szCs w:val="20"/>
          <w:color w:val="auto"/>
        </w:rPr>
      </w:pPr>
    </w:p>
    <w:p>
      <w:pPr>
        <w:ind w:left="40"/>
        <w:spacing w:after="0"/>
        <w:tabs>
          <w:tab w:leader="none" w:pos="6320" w:val="left"/>
        </w:tabs>
        <w:rPr>
          <w:sz w:val="20"/>
          <w:szCs w:val="20"/>
          <w:color w:val="auto"/>
        </w:rPr>
      </w:pPr>
      <w:r>
        <w:rPr>
          <w:rFonts w:ascii="Arial" w:cs="Arial" w:eastAsia="Arial" w:hAnsi="Arial"/>
          <w:sz w:val="16"/>
          <w:szCs w:val="16"/>
          <w:color w:val="auto"/>
        </w:rPr>
        <w:t>Kaplan U.K. Limited</w:t>
      </w:r>
      <w:r>
        <w:rPr>
          <w:sz w:val="20"/>
          <w:szCs w:val="20"/>
          <w:color w:val="auto"/>
        </w:rPr>
        <w:tab/>
      </w:r>
      <w:r>
        <w:rPr>
          <w:rFonts w:ascii="Arial" w:cs="Arial" w:eastAsia="Arial" w:hAnsi="Arial"/>
          <w:sz w:val="16"/>
          <w:szCs w:val="16"/>
          <w:color w:val="auto"/>
        </w:rPr>
        <w:t>England &amp; Wales</w:t>
      </w:r>
    </w:p>
    <w:p>
      <w:pPr>
        <w:spacing w:after="0" w:line="86" w:lineRule="exact"/>
        <w:rPr>
          <w:sz w:val="20"/>
          <w:szCs w:val="20"/>
          <w:color w:val="auto"/>
        </w:rPr>
      </w:pPr>
    </w:p>
    <w:p>
      <w:pPr>
        <w:ind w:left="260"/>
        <w:spacing w:after="0"/>
        <w:tabs>
          <w:tab w:leader="none" w:pos="6320" w:val="left"/>
        </w:tabs>
        <w:rPr>
          <w:sz w:val="20"/>
          <w:szCs w:val="20"/>
          <w:color w:val="auto"/>
        </w:rPr>
      </w:pPr>
      <w:r>
        <w:rPr>
          <w:rFonts w:ascii="Arial" w:cs="Arial" w:eastAsia="Arial" w:hAnsi="Arial"/>
          <w:sz w:val="16"/>
          <w:szCs w:val="16"/>
          <w:color w:val="auto"/>
        </w:rPr>
        <w:t>Aspect Education Limited</w:t>
      </w:r>
      <w:r>
        <w:rPr>
          <w:sz w:val="20"/>
          <w:szCs w:val="20"/>
          <w:color w:val="auto"/>
        </w:rPr>
        <w:tab/>
      </w:r>
      <w:r>
        <w:rPr>
          <w:rFonts w:ascii="Arial" w:cs="Arial" w:eastAsia="Arial" w:hAnsi="Arial"/>
          <w:sz w:val="16"/>
          <w:szCs w:val="16"/>
          <w:color w:val="auto"/>
        </w:rPr>
        <w:t>England &amp; Wales</w:t>
      </w:r>
    </w:p>
    <w:p>
      <w:pPr>
        <w:spacing w:after="0" w:line="86" w:lineRule="exact"/>
        <w:rPr>
          <w:sz w:val="20"/>
          <w:szCs w:val="20"/>
          <w:color w:val="auto"/>
        </w:rPr>
      </w:pPr>
    </w:p>
    <w:p>
      <w:pPr>
        <w:ind w:left="40"/>
        <w:spacing w:after="0"/>
        <w:tabs>
          <w:tab w:leader="none" w:pos="6320" w:val="left"/>
        </w:tabs>
        <w:rPr>
          <w:sz w:val="20"/>
          <w:szCs w:val="20"/>
          <w:color w:val="auto"/>
        </w:rPr>
      </w:pPr>
      <w:r>
        <w:rPr>
          <w:rFonts w:ascii="Arial" w:cs="Arial" w:eastAsia="Arial" w:hAnsi="Arial"/>
          <w:sz w:val="16"/>
          <w:szCs w:val="16"/>
          <w:color w:val="auto"/>
        </w:rPr>
        <w:t>ILA Education (NZ) Limited</w:t>
      </w:r>
      <w:r>
        <w:rPr>
          <w:sz w:val="20"/>
          <w:szCs w:val="20"/>
          <w:color w:val="auto"/>
        </w:rPr>
        <w:tab/>
      </w:r>
      <w:r>
        <w:rPr>
          <w:rFonts w:ascii="Arial" w:cs="Arial" w:eastAsia="Arial" w:hAnsi="Arial"/>
          <w:sz w:val="16"/>
          <w:szCs w:val="16"/>
          <w:color w:val="auto"/>
        </w:rPr>
        <w:t>New Zealand</w:t>
      </w:r>
    </w:p>
    <w:p>
      <w:pPr>
        <w:spacing w:after="0" w:line="86" w:lineRule="exact"/>
        <w:rPr>
          <w:sz w:val="20"/>
          <w:szCs w:val="20"/>
          <w:color w:val="auto"/>
        </w:rPr>
      </w:pPr>
    </w:p>
    <w:p>
      <w:pPr>
        <w:ind w:left="260"/>
        <w:spacing w:after="0"/>
        <w:tabs>
          <w:tab w:leader="none" w:pos="6320" w:val="left"/>
        </w:tabs>
        <w:rPr>
          <w:sz w:val="20"/>
          <w:szCs w:val="20"/>
          <w:color w:val="auto"/>
        </w:rPr>
      </w:pPr>
      <w:r>
        <w:rPr>
          <w:rFonts w:ascii="Arial" w:cs="Arial" w:eastAsia="Arial" w:hAnsi="Arial"/>
          <w:sz w:val="16"/>
          <w:szCs w:val="16"/>
          <w:color w:val="auto"/>
        </w:rPr>
        <w:t>Kaplan International (NZ) Limited</w:t>
      </w:r>
      <w:r>
        <w:rPr>
          <w:sz w:val="20"/>
          <w:szCs w:val="20"/>
          <w:color w:val="auto"/>
        </w:rPr>
        <w:tab/>
      </w:r>
      <w:r>
        <w:rPr>
          <w:rFonts w:ascii="Arial" w:cs="Arial" w:eastAsia="Arial" w:hAnsi="Arial"/>
          <w:sz w:val="16"/>
          <w:szCs w:val="16"/>
          <w:color w:val="auto"/>
        </w:rPr>
        <w:t>New Zealand</w:t>
      </w:r>
    </w:p>
    <w:p>
      <w:pPr>
        <w:spacing w:after="0" w:line="86" w:lineRule="exact"/>
        <w:rPr>
          <w:sz w:val="20"/>
          <w:szCs w:val="20"/>
          <w:color w:val="auto"/>
        </w:rPr>
      </w:pPr>
    </w:p>
    <w:p>
      <w:pPr>
        <w:ind w:left="40"/>
        <w:spacing w:after="0"/>
        <w:tabs>
          <w:tab w:leader="none" w:pos="6320" w:val="left"/>
        </w:tabs>
        <w:rPr>
          <w:sz w:val="20"/>
          <w:szCs w:val="20"/>
          <w:color w:val="auto"/>
        </w:rPr>
      </w:pPr>
      <w:r>
        <w:rPr>
          <w:rFonts w:ascii="Arial" w:cs="Arial" w:eastAsia="Arial" w:hAnsi="Arial"/>
          <w:sz w:val="16"/>
          <w:szCs w:val="16"/>
          <w:color w:val="auto"/>
        </w:rPr>
        <w:t>Kaplan International English (Australia) Pty Limited</w:t>
      </w:r>
      <w:r>
        <w:rPr>
          <w:sz w:val="20"/>
          <w:szCs w:val="20"/>
          <w:color w:val="auto"/>
        </w:rPr>
        <w:tab/>
      </w:r>
      <w:r>
        <w:rPr>
          <w:rFonts w:ascii="Arial" w:cs="Arial" w:eastAsia="Arial" w:hAnsi="Arial"/>
          <w:sz w:val="15"/>
          <w:szCs w:val="15"/>
          <w:color w:val="auto"/>
        </w:rPr>
        <w:t>Australia</w:t>
      </w:r>
    </w:p>
    <w:p>
      <w:pPr>
        <w:spacing w:after="0" w:line="86" w:lineRule="exact"/>
        <w:rPr>
          <w:sz w:val="20"/>
          <w:szCs w:val="20"/>
          <w:color w:val="auto"/>
        </w:rPr>
      </w:pPr>
    </w:p>
    <w:p>
      <w:pPr>
        <w:ind w:left="220"/>
        <w:spacing w:after="0"/>
        <w:tabs>
          <w:tab w:leader="none" w:pos="6320" w:val="left"/>
        </w:tabs>
        <w:rPr>
          <w:sz w:val="20"/>
          <w:szCs w:val="20"/>
          <w:color w:val="auto"/>
        </w:rPr>
      </w:pPr>
      <w:r>
        <w:rPr>
          <w:rFonts w:ascii="Arial" w:cs="Arial" w:eastAsia="Arial" w:hAnsi="Arial"/>
          <w:sz w:val="16"/>
          <w:szCs w:val="16"/>
          <w:color w:val="auto"/>
        </w:rPr>
        <w:t>Aspect ILA Sydney Pty Limited</w:t>
      </w:r>
      <w:r>
        <w:rPr>
          <w:sz w:val="20"/>
          <w:szCs w:val="20"/>
          <w:color w:val="auto"/>
        </w:rPr>
        <w:tab/>
      </w:r>
      <w:r>
        <w:rPr>
          <w:rFonts w:ascii="Arial" w:cs="Arial" w:eastAsia="Arial" w:hAnsi="Arial"/>
          <w:sz w:val="15"/>
          <w:szCs w:val="15"/>
          <w:color w:val="auto"/>
        </w:rPr>
        <w:t>Australia</w:t>
      </w:r>
    </w:p>
    <w:p>
      <w:pPr>
        <w:spacing w:after="0" w:line="86" w:lineRule="exact"/>
        <w:rPr>
          <w:sz w:val="20"/>
          <w:szCs w:val="20"/>
          <w:color w:val="auto"/>
        </w:rPr>
      </w:pPr>
    </w:p>
    <w:p>
      <w:pPr>
        <w:ind w:left="40"/>
        <w:spacing w:after="0"/>
        <w:tabs>
          <w:tab w:leader="none" w:pos="6320" w:val="left"/>
        </w:tabs>
        <w:rPr>
          <w:sz w:val="20"/>
          <w:szCs w:val="20"/>
          <w:color w:val="auto"/>
        </w:rPr>
      </w:pPr>
      <w:r>
        <w:rPr>
          <w:rFonts w:ascii="Arial" w:cs="Arial" w:eastAsia="Arial" w:hAnsi="Arial"/>
          <w:sz w:val="16"/>
          <w:szCs w:val="16"/>
          <w:color w:val="auto"/>
        </w:rPr>
        <w:t>Kaplan International (Perth) Pty Limited</w:t>
      </w:r>
      <w:r>
        <w:rPr>
          <w:sz w:val="20"/>
          <w:szCs w:val="20"/>
          <w:color w:val="auto"/>
        </w:rPr>
        <w:tab/>
      </w:r>
      <w:r>
        <w:rPr>
          <w:rFonts w:ascii="Arial" w:cs="Arial" w:eastAsia="Arial" w:hAnsi="Arial"/>
          <w:sz w:val="15"/>
          <w:szCs w:val="15"/>
          <w:color w:val="auto"/>
        </w:rPr>
        <w:t>Australia</w:t>
      </w:r>
    </w:p>
    <w:p>
      <w:pPr>
        <w:spacing w:after="0" w:line="86" w:lineRule="exact"/>
        <w:rPr>
          <w:sz w:val="20"/>
          <w:szCs w:val="20"/>
          <w:color w:val="auto"/>
        </w:rPr>
      </w:pPr>
    </w:p>
    <w:p>
      <w:pPr>
        <w:ind w:left="220"/>
        <w:spacing w:after="0"/>
        <w:tabs>
          <w:tab w:leader="none" w:pos="6320" w:val="left"/>
        </w:tabs>
        <w:rPr>
          <w:sz w:val="20"/>
          <w:szCs w:val="20"/>
          <w:color w:val="auto"/>
        </w:rPr>
      </w:pPr>
      <w:r>
        <w:rPr>
          <w:rFonts w:ascii="Arial" w:cs="Arial" w:eastAsia="Arial" w:hAnsi="Arial"/>
          <w:sz w:val="16"/>
          <w:szCs w:val="16"/>
          <w:color w:val="auto"/>
        </w:rPr>
        <w:t>Kaplan Japan K.K.</w:t>
      </w:r>
      <w:r>
        <w:rPr>
          <w:sz w:val="20"/>
          <w:szCs w:val="20"/>
          <w:color w:val="auto"/>
        </w:rPr>
        <w:tab/>
      </w:r>
      <w:r>
        <w:rPr>
          <w:rFonts w:ascii="Arial" w:cs="Arial" w:eastAsia="Arial" w:hAnsi="Arial"/>
          <w:sz w:val="16"/>
          <w:szCs w:val="16"/>
          <w:color w:val="auto"/>
        </w:rPr>
        <w:t>Japan</w:t>
      </w:r>
    </w:p>
    <w:p>
      <w:pPr>
        <w:spacing w:after="0" w:line="86" w:lineRule="exact"/>
        <w:rPr>
          <w:sz w:val="20"/>
          <w:szCs w:val="20"/>
          <w:color w:val="auto"/>
        </w:rPr>
      </w:pPr>
    </w:p>
    <w:p>
      <w:pPr>
        <w:ind w:left="220"/>
        <w:spacing w:after="0"/>
        <w:tabs>
          <w:tab w:leader="none" w:pos="6320" w:val="left"/>
        </w:tabs>
        <w:rPr>
          <w:sz w:val="20"/>
          <w:szCs w:val="20"/>
          <w:color w:val="auto"/>
        </w:rPr>
      </w:pPr>
      <w:r>
        <w:rPr>
          <w:rFonts w:ascii="Arial" w:cs="Arial" w:eastAsia="Arial" w:hAnsi="Arial"/>
          <w:sz w:val="16"/>
          <w:szCs w:val="16"/>
          <w:color w:val="auto"/>
        </w:rPr>
        <w:t>BEO Limited</w:t>
      </w:r>
      <w:r>
        <w:rPr>
          <w:sz w:val="20"/>
          <w:szCs w:val="20"/>
          <w:color w:val="auto"/>
        </w:rPr>
        <w:tab/>
      </w:r>
      <w:r>
        <w:rPr>
          <w:rFonts w:ascii="Arial" w:cs="Arial" w:eastAsia="Arial" w:hAnsi="Arial"/>
          <w:sz w:val="15"/>
          <w:szCs w:val="15"/>
          <w:color w:val="auto"/>
        </w:rPr>
        <w:t>Hong Kong</w:t>
      </w:r>
    </w:p>
    <w:p>
      <w:pPr>
        <w:spacing w:after="0" w:line="86" w:lineRule="exact"/>
        <w:rPr>
          <w:sz w:val="20"/>
          <w:szCs w:val="20"/>
          <w:color w:val="auto"/>
        </w:rPr>
      </w:pPr>
    </w:p>
    <w:p>
      <w:pPr>
        <w:ind w:left="220"/>
        <w:spacing w:after="0"/>
        <w:tabs>
          <w:tab w:leader="none" w:pos="6320" w:val="left"/>
        </w:tabs>
        <w:rPr>
          <w:sz w:val="20"/>
          <w:szCs w:val="20"/>
          <w:color w:val="auto"/>
        </w:rPr>
      </w:pPr>
      <w:r>
        <w:rPr>
          <w:rFonts w:ascii="Arial" w:cs="Arial" w:eastAsia="Arial" w:hAnsi="Arial"/>
          <w:sz w:val="16"/>
          <w:szCs w:val="16"/>
          <w:color w:val="auto"/>
        </w:rPr>
        <w:t>BEO KK</w:t>
      </w:r>
      <w:r>
        <w:rPr>
          <w:sz w:val="20"/>
          <w:szCs w:val="20"/>
          <w:color w:val="auto"/>
        </w:rPr>
        <w:tab/>
      </w:r>
      <w:r>
        <w:rPr>
          <w:rFonts w:ascii="Arial" w:cs="Arial" w:eastAsia="Arial" w:hAnsi="Arial"/>
          <w:sz w:val="16"/>
          <w:szCs w:val="16"/>
          <w:color w:val="auto"/>
        </w:rPr>
        <w:t>Japan</w:t>
      </w:r>
    </w:p>
    <w:p>
      <w:pPr>
        <w:spacing w:after="0" w:line="86" w:lineRule="exact"/>
        <w:rPr>
          <w:sz w:val="20"/>
          <w:szCs w:val="20"/>
          <w:color w:val="auto"/>
        </w:rPr>
      </w:pPr>
    </w:p>
    <w:p>
      <w:pPr>
        <w:ind w:left="220"/>
        <w:spacing w:after="0"/>
        <w:tabs>
          <w:tab w:leader="none" w:pos="6320" w:val="left"/>
        </w:tabs>
        <w:rPr>
          <w:sz w:val="20"/>
          <w:szCs w:val="20"/>
          <w:color w:val="auto"/>
        </w:rPr>
      </w:pPr>
      <w:r>
        <w:rPr>
          <w:rFonts w:ascii="Arial" w:cs="Arial" w:eastAsia="Arial" w:hAnsi="Arial"/>
          <w:sz w:val="16"/>
          <w:szCs w:val="16"/>
          <w:color w:val="auto"/>
        </w:rPr>
        <w:t>Aspect (Beijing) Education Information Consulting Co. Ltd.</w:t>
      </w:r>
      <w:r>
        <w:rPr>
          <w:sz w:val="20"/>
          <w:szCs w:val="20"/>
          <w:color w:val="auto"/>
        </w:rPr>
        <w:tab/>
      </w:r>
      <w:r>
        <w:rPr>
          <w:rFonts w:ascii="Arial" w:cs="Arial" w:eastAsia="Arial" w:hAnsi="Arial"/>
          <w:sz w:val="16"/>
          <w:szCs w:val="16"/>
          <w:color w:val="auto"/>
        </w:rPr>
        <w:t>China (PR)</w:t>
      </w:r>
    </w:p>
    <w:p>
      <w:pPr>
        <w:spacing w:after="0" w:line="86" w:lineRule="exact"/>
        <w:rPr>
          <w:sz w:val="20"/>
          <w:szCs w:val="20"/>
          <w:color w:val="auto"/>
        </w:rPr>
      </w:pPr>
    </w:p>
    <w:p>
      <w:pPr>
        <w:ind w:left="220"/>
        <w:spacing w:after="0"/>
        <w:tabs>
          <w:tab w:leader="none" w:pos="6320" w:val="left"/>
        </w:tabs>
        <w:rPr>
          <w:sz w:val="20"/>
          <w:szCs w:val="20"/>
          <w:color w:val="auto"/>
        </w:rPr>
      </w:pPr>
      <w:r>
        <w:rPr>
          <w:rFonts w:ascii="Arial" w:cs="Arial" w:eastAsia="Arial" w:hAnsi="Arial"/>
          <w:sz w:val="16"/>
          <w:szCs w:val="16"/>
          <w:color w:val="auto"/>
        </w:rPr>
        <w:t>Pacific Language Institute, Inc.</w:t>
      </w:r>
      <w:r>
        <w:rPr>
          <w:sz w:val="20"/>
          <w:szCs w:val="20"/>
          <w:color w:val="auto"/>
        </w:rPr>
        <w:tab/>
      </w:r>
      <w:r>
        <w:rPr>
          <w:rFonts w:ascii="Arial" w:cs="Arial" w:eastAsia="Arial" w:hAnsi="Arial"/>
          <w:sz w:val="16"/>
          <w:szCs w:val="16"/>
          <w:color w:val="auto"/>
        </w:rPr>
        <w:t>British Columbia</w:t>
      </w:r>
    </w:p>
    <w:p>
      <w:pPr>
        <w:spacing w:after="0" w:line="86" w:lineRule="exact"/>
        <w:rPr>
          <w:sz w:val="20"/>
          <w:szCs w:val="20"/>
          <w:color w:val="auto"/>
        </w:rPr>
      </w:pPr>
    </w:p>
    <w:p>
      <w:pPr>
        <w:ind w:left="220"/>
        <w:spacing w:after="0"/>
        <w:tabs>
          <w:tab w:leader="none" w:pos="6320" w:val="left"/>
        </w:tabs>
        <w:rPr>
          <w:sz w:val="20"/>
          <w:szCs w:val="20"/>
          <w:color w:val="auto"/>
        </w:rPr>
      </w:pPr>
      <w:r>
        <w:rPr>
          <w:rFonts w:ascii="Arial" w:cs="Arial" w:eastAsia="Arial" w:hAnsi="Arial"/>
          <w:sz w:val="16"/>
          <w:szCs w:val="16"/>
          <w:color w:val="auto"/>
        </w:rPr>
        <w:t>Aspect Education UK Limited</w:t>
      </w:r>
      <w:r>
        <w:rPr>
          <w:sz w:val="20"/>
          <w:szCs w:val="20"/>
          <w:color w:val="auto"/>
        </w:rPr>
        <w:tab/>
      </w:r>
      <w:r>
        <w:rPr>
          <w:rFonts w:ascii="Arial" w:cs="Arial" w:eastAsia="Arial" w:hAnsi="Arial"/>
          <w:sz w:val="16"/>
          <w:szCs w:val="16"/>
          <w:color w:val="auto"/>
        </w:rPr>
        <w:t>England &amp; Wales</w:t>
      </w:r>
    </w:p>
    <w:p>
      <w:pPr>
        <w:spacing w:after="0" w:line="86" w:lineRule="exact"/>
        <w:rPr>
          <w:sz w:val="20"/>
          <w:szCs w:val="20"/>
          <w:color w:val="auto"/>
        </w:rPr>
      </w:pPr>
    </w:p>
    <w:p>
      <w:pPr>
        <w:ind w:left="220"/>
        <w:spacing w:after="0"/>
        <w:tabs>
          <w:tab w:leader="none" w:pos="6320" w:val="left"/>
        </w:tabs>
        <w:rPr>
          <w:sz w:val="20"/>
          <w:szCs w:val="20"/>
          <w:color w:val="auto"/>
        </w:rPr>
      </w:pPr>
      <w:r>
        <w:rPr>
          <w:rFonts w:ascii="Arial" w:cs="Arial" w:eastAsia="Arial" w:hAnsi="Arial"/>
          <w:sz w:val="16"/>
          <w:szCs w:val="16"/>
          <w:color w:val="auto"/>
        </w:rPr>
        <w:t>Aspect Educational Services Limited</w:t>
      </w:r>
      <w:r>
        <w:rPr>
          <w:sz w:val="20"/>
          <w:szCs w:val="20"/>
          <w:color w:val="auto"/>
        </w:rPr>
        <w:tab/>
      </w:r>
      <w:r>
        <w:rPr>
          <w:rFonts w:ascii="Arial" w:cs="Arial" w:eastAsia="Arial" w:hAnsi="Arial"/>
          <w:sz w:val="16"/>
          <w:szCs w:val="16"/>
          <w:color w:val="auto"/>
        </w:rPr>
        <w:t>England &amp; Wales</w:t>
      </w:r>
    </w:p>
    <w:p>
      <w:pPr>
        <w:spacing w:after="0" w:line="86" w:lineRule="exact"/>
        <w:rPr>
          <w:sz w:val="20"/>
          <w:szCs w:val="20"/>
          <w:color w:val="auto"/>
        </w:rPr>
      </w:pPr>
    </w:p>
    <w:p>
      <w:pPr>
        <w:ind w:left="220"/>
        <w:spacing w:after="0"/>
        <w:tabs>
          <w:tab w:leader="none" w:pos="6320" w:val="left"/>
        </w:tabs>
        <w:rPr>
          <w:sz w:val="20"/>
          <w:szCs w:val="20"/>
          <w:color w:val="auto"/>
        </w:rPr>
      </w:pPr>
      <w:r>
        <w:rPr>
          <w:rFonts w:ascii="Arial" w:cs="Arial" w:eastAsia="Arial" w:hAnsi="Arial"/>
          <w:sz w:val="16"/>
          <w:szCs w:val="16"/>
          <w:color w:val="auto"/>
        </w:rPr>
        <w:t>Aspect International Language Academies Limited</w:t>
      </w:r>
      <w:r>
        <w:rPr>
          <w:sz w:val="20"/>
          <w:szCs w:val="20"/>
          <w:color w:val="auto"/>
        </w:rPr>
        <w:tab/>
      </w:r>
      <w:r>
        <w:rPr>
          <w:rFonts w:ascii="Arial" w:cs="Arial" w:eastAsia="Arial" w:hAnsi="Arial"/>
          <w:sz w:val="16"/>
          <w:szCs w:val="16"/>
          <w:color w:val="auto"/>
        </w:rPr>
        <w:t>England &amp; Wales</w:t>
      </w:r>
    </w:p>
    <w:p>
      <w:pPr>
        <w:spacing w:after="0" w:line="86" w:lineRule="exact"/>
        <w:rPr>
          <w:sz w:val="20"/>
          <w:szCs w:val="20"/>
          <w:color w:val="auto"/>
        </w:rPr>
      </w:pPr>
    </w:p>
    <w:p>
      <w:pPr>
        <w:ind w:left="520"/>
        <w:spacing w:after="0"/>
        <w:tabs>
          <w:tab w:leader="none" w:pos="6320" w:val="left"/>
        </w:tabs>
        <w:rPr>
          <w:sz w:val="20"/>
          <w:szCs w:val="20"/>
          <w:color w:val="auto"/>
        </w:rPr>
      </w:pPr>
      <w:r>
        <w:rPr>
          <w:rFonts w:ascii="Arial" w:cs="Arial" w:eastAsia="Arial" w:hAnsi="Arial"/>
          <w:sz w:val="16"/>
          <w:szCs w:val="16"/>
          <w:color w:val="auto"/>
        </w:rPr>
        <w:t>Anglo World Travel SA</w:t>
      </w:r>
      <w:r>
        <w:rPr>
          <w:sz w:val="20"/>
          <w:szCs w:val="20"/>
          <w:color w:val="auto"/>
        </w:rPr>
        <w:tab/>
      </w:r>
      <w:r>
        <w:rPr>
          <w:rFonts w:ascii="Arial" w:cs="Arial" w:eastAsia="Arial" w:hAnsi="Arial"/>
          <w:sz w:val="16"/>
          <w:szCs w:val="16"/>
          <w:color w:val="auto"/>
        </w:rPr>
        <w:t>England &amp; Wales</w:t>
      </w:r>
    </w:p>
    <w:p>
      <w:pPr>
        <w:spacing w:after="0" w:line="86" w:lineRule="exact"/>
        <w:rPr>
          <w:sz w:val="20"/>
          <w:szCs w:val="20"/>
          <w:color w:val="auto"/>
        </w:rPr>
      </w:pPr>
    </w:p>
    <w:p>
      <w:pPr>
        <w:jc w:val="right"/>
        <w:ind w:right="880"/>
        <w:spacing w:after="0"/>
        <w:tabs>
          <w:tab w:leader="none" w:pos="2100" w:val="left"/>
        </w:tabs>
        <w:rPr>
          <w:sz w:val="20"/>
          <w:szCs w:val="20"/>
          <w:color w:val="auto"/>
        </w:rPr>
      </w:pPr>
      <w:r>
        <w:rPr>
          <w:rFonts w:ascii="Arial" w:cs="Arial" w:eastAsia="Arial" w:hAnsi="Arial"/>
          <w:sz w:val="16"/>
          <w:szCs w:val="16"/>
          <w:color w:val="auto"/>
        </w:rPr>
        <w:t>Anglo-World Group Ltd.</w:t>
      </w:r>
      <w:r>
        <w:rPr>
          <w:sz w:val="20"/>
          <w:szCs w:val="20"/>
          <w:color w:val="auto"/>
        </w:rPr>
        <w:tab/>
      </w:r>
      <w:r>
        <w:rPr>
          <w:rFonts w:ascii="Arial" w:cs="Arial" w:eastAsia="Arial" w:hAnsi="Arial"/>
          <w:sz w:val="16"/>
          <w:szCs w:val="16"/>
          <w:color w:val="auto"/>
        </w:rPr>
        <w:t>England &amp; Wales</w:t>
      </w:r>
    </w:p>
    <w:p>
      <w:pPr>
        <w:spacing w:after="0" w:line="86" w:lineRule="exact"/>
        <w:rPr>
          <w:sz w:val="20"/>
          <w:szCs w:val="20"/>
          <w:color w:val="auto"/>
        </w:rPr>
      </w:pPr>
    </w:p>
    <w:p>
      <w:pPr>
        <w:jc w:val="right"/>
        <w:ind w:right="880"/>
        <w:spacing w:after="0"/>
        <w:tabs>
          <w:tab w:leader="none" w:pos="2100" w:val="left"/>
        </w:tabs>
        <w:rPr>
          <w:sz w:val="20"/>
          <w:szCs w:val="20"/>
          <w:color w:val="auto"/>
        </w:rPr>
      </w:pPr>
      <w:r>
        <w:rPr>
          <w:rFonts w:ascii="Arial" w:cs="Arial" w:eastAsia="Arial" w:hAnsi="Arial"/>
          <w:sz w:val="16"/>
          <w:szCs w:val="16"/>
          <w:color w:val="auto"/>
        </w:rPr>
        <w:t>Anglo-World Education Ltd.</w:t>
      </w:r>
      <w:r>
        <w:rPr>
          <w:sz w:val="20"/>
          <w:szCs w:val="20"/>
          <w:color w:val="auto"/>
        </w:rPr>
        <w:tab/>
      </w:r>
      <w:r>
        <w:rPr>
          <w:rFonts w:ascii="Arial" w:cs="Arial" w:eastAsia="Arial" w:hAnsi="Arial"/>
          <w:sz w:val="16"/>
          <w:szCs w:val="16"/>
          <w:color w:val="auto"/>
        </w:rPr>
        <w:t>England &amp; Wales</w:t>
      </w:r>
    </w:p>
    <w:p>
      <w:pPr>
        <w:spacing w:after="0" w:line="86" w:lineRule="exact"/>
        <w:rPr>
          <w:sz w:val="20"/>
          <w:szCs w:val="20"/>
          <w:color w:val="auto"/>
        </w:rPr>
      </w:pPr>
    </w:p>
    <w:p>
      <w:pPr>
        <w:ind w:left="220"/>
        <w:spacing w:after="0"/>
        <w:tabs>
          <w:tab w:leader="none" w:pos="6320" w:val="left"/>
        </w:tabs>
        <w:rPr>
          <w:sz w:val="20"/>
          <w:szCs w:val="20"/>
          <w:color w:val="auto"/>
        </w:rPr>
      </w:pPr>
      <w:r>
        <w:rPr>
          <w:rFonts w:ascii="Arial" w:cs="Arial" w:eastAsia="Arial" w:hAnsi="Arial"/>
          <w:sz w:val="16"/>
          <w:szCs w:val="16"/>
          <w:color w:val="auto"/>
        </w:rPr>
        <w:t>Aspect International Language Scholarship Schools Limited</w:t>
      </w:r>
      <w:r>
        <w:rPr>
          <w:sz w:val="20"/>
          <w:szCs w:val="20"/>
          <w:color w:val="auto"/>
        </w:rPr>
        <w:tab/>
      </w:r>
      <w:r>
        <w:rPr>
          <w:rFonts w:ascii="Arial" w:cs="Arial" w:eastAsia="Arial" w:hAnsi="Arial"/>
          <w:sz w:val="16"/>
          <w:szCs w:val="16"/>
          <w:color w:val="auto"/>
        </w:rPr>
        <w:t>Ireland</w:t>
      </w:r>
    </w:p>
    <w:p>
      <w:pPr>
        <w:spacing w:after="0" w:line="86" w:lineRule="exact"/>
        <w:rPr>
          <w:sz w:val="20"/>
          <w:szCs w:val="20"/>
          <w:color w:val="auto"/>
        </w:rPr>
      </w:pPr>
    </w:p>
    <w:p>
      <w:pPr>
        <w:ind w:left="220"/>
        <w:spacing w:after="0"/>
        <w:tabs>
          <w:tab w:leader="none" w:pos="6320" w:val="left"/>
        </w:tabs>
        <w:rPr>
          <w:sz w:val="20"/>
          <w:szCs w:val="20"/>
          <w:color w:val="auto"/>
        </w:rPr>
      </w:pPr>
      <w:r>
        <w:rPr>
          <w:rFonts w:ascii="Arial" w:cs="Arial" w:eastAsia="Arial" w:hAnsi="Arial"/>
          <w:sz w:val="16"/>
          <w:szCs w:val="16"/>
          <w:color w:val="auto"/>
        </w:rPr>
        <w:t>Aspect InternationaleSprachschule GmbH</w:t>
      </w:r>
      <w:r>
        <w:rPr>
          <w:sz w:val="20"/>
          <w:szCs w:val="20"/>
          <w:color w:val="auto"/>
        </w:rPr>
        <w:tab/>
      </w:r>
      <w:r>
        <w:rPr>
          <w:rFonts w:ascii="Arial" w:cs="Arial" w:eastAsia="Arial" w:hAnsi="Arial"/>
          <w:sz w:val="16"/>
          <w:szCs w:val="16"/>
          <w:color w:val="auto"/>
        </w:rPr>
        <w:t>Germany</w:t>
      </w:r>
    </w:p>
    <w:p>
      <w:pPr>
        <w:spacing w:after="0" w:line="86" w:lineRule="exact"/>
        <w:rPr>
          <w:sz w:val="20"/>
          <w:szCs w:val="20"/>
          <w:color w:val="auto"/>
        </w:rPr>
      </w:pPr>
    </w:p>
    <w:p>
      <w:pPr>
        <w:ind w:left="220"/>
        <w:spacing w:after="0"/>
        <w:tabs>
          <w:tab w:leader="none" w:pos="6320" w:val="left"/>
        </w:tabs>
        <w:rPr>
          <w:sz w:val="20"/>
          <w:szCs w:val="20"/>
          <w:color w:val="auto"/>
        </w:rPr>
      </w:pPr>
      <w:r>
        <w:rPr>
          <w:rFonts w:ascii="Arial" w:cs="Arial" w:eastAsia="Arial" w:hAnsi="Arial"/>
          <w:sz w:val="16"/>
          <w:szCs w:val="16"/>
          <w:color w:val="auto"/>
        </w:rPr>
        <w:t>Aspect Language Schools Limitada</w:t>
      </w:r>
      <w:r>
        <w:rPr>
          <w:sz w:val="20"/>
          <w:szCs w:val="20"/>
          <w:color w:val="auto"/>
        </w:rPr>
        <w:tab/>
      </w:r>
      <w:r>
        <w:rPr>
          <w:rFonts w:ascii="Arial" w:cs="Arial" w:eastAsia="Arial" w:hAnsi="Arial"/>
          <w:sz w:val="16"/>
          <w:szCs w:val="16"/>
          <w:color w:val="auto"/>
        </w:rPr>
        <w:t>Columbia</w:t>
      </w:r>
    </w:p>
    <w:p>
      <w:pPr>
        <w:spacing w:after="0" w:line="86" w:lineRule="exact"/>
        <w:rPr>
          <w:sz w:val="20"/>
          <w:szCs w:val="20"/>
          <w:color w:val="auto"/>
        </w:rPr>
      </w:pPr>
    </w:p>
    <w:p>
      <w:pPr>
        <w:ind w:left="220"/>
        <w:spacing w:after="0"/>
        <w:tabs>
          <w:tab w:leader="none" w:pos="6320" w:val="left"/>
        </w:tabs>
        <w:rPr>
          <w:sz w:val="20"/>
          <w:szCs w:val="20"/>
          <w:color w:val="auto"/>
        </w:rPr>
      </w:pPr>
      <w:r>
        <w:rPr>
          <w:rFonts w:ascii="Arial" w:cs="Arial" w:eastAsia="Arial" w:hAnsi="Arial"/>
          <w:sz w:val="16"/>
          <w:szCs w:val="16"/>
          <w:color w:val="auto"/>
        </w:rPr>
        <w:t>Aspect Language Schools Limited</w:t>
      </w:r>
      <w:r>
        <w:rPr>
          <w:sz w:val="20"/>
          <w:szCs w:val="20"/>
          <w:color w:val="auto"/>
        </w:rPr>
        <w:tab/>
      </w:r>
      <w:r>
        <w:rPr>
          <w:rFonts w:ascii="Arial" w:cs="Arial" w:eastAsia="Arial" w:hAnsi="Arial"/>
          <w:sz w:val="16"/>
          <w:szCs w:val="16"/>
          <w:color w:val="auto"/>
        </w:rPr>
        <w:t>Switzerland</w:t>
      </w:r>
    </w:p>
    <w:p>
      <w:pPr>
        <w:spacing w:after="0" w:line="86" w:lineRule="exact"/>
        <w:rPr>
          <w:sz w:val="20"/>
          <w:szCs w:val="20"/>
          <w:color w:val="auto"/>
        </w:rPr>
      </w:pPr>
    </w:p>
    <w:p>
      <w:pPr>
        <w:ind w:left="220"/>
        <w:spacing w:after="0"/>
        <w:tabs>
          <w:tab w:leader="none" w:pos="6320" w:val="left"/>
        </w:tabs>
        <w:rPr>
          <w:sz w:val="20"/>
          <w:szCs w:val="20"/>
          <w:color w:val="auto"/>
        </w:rPr>
      </w:pPr>
      <w:r>
        <w:rPr>
          <w:rFonts w:ascii="Arial" w:cs="Arial" w:eastAsia="Arial" w:hAnsi="Arial"/>
          <w:sz w:val="16"/>
          <w:szCs w:val="16"/>
          <w:color w:val="auto"/>
        </w:rPr>
        <w:t>Aspect S.A.R.L. France</w:t>
      </w:r>
      <w:r>
        <w:rPr>
          <w:sz w:val="20"/>
          <w:szCs w:val="20"/>
          <w:color w:val="auto"/>
        </w:rPr>
        <w:tab/>
      </w:r>
      <w:r>
        <w:rPr>
          <w:rFonts w:ascii="Arial" w:cs="Arial" w:eastAsia="Arial" w:hAnsi="Arial"/>
          <w:sz w:val="16"/>
          <w:szCs w:val="16"/>
          <w:color w:val="auto"/>
        </w:rPr>
        <w:t>France</w:t>
      </w:r>
    </w:p>
    <w:p>
      <w:pPr>
        <w:spacing w:after="0" w:line="86" w:lineRule="exact"/>
        <w:rPr>
          <w:sz w:val="20"/>
          <w:szCs w:val="20"/>
          <w:color w:val="auto"/>
        </w:rPr>
      </w:pPr>
    </w:p>
    <w:p>
      <w:pPr>
        <w:ind w:left="220"/>
        <w:spacing w:after="0"/>
        <w:tabs>
          <w:tab w:leader="none" w:pos="6320" w:val="left"/>
        </w:tabs>
        <w:rPr>
          <w:sz w:val="20"/>
          <w:szCs w:val="20"/>
          <w:color w:val="auto"/>
        </w:rPr>
      </w:pPr>
      <w:r>
        <w:rPr>
          <w:rFonts w:ascii="Arial" w:cs="Arial" w:eastAsia="Arial" w:hAnsi="Arial"/>
          <w:sz w:val="16"/>
          <w:szCs w:val="16"/>
          <w:color w:val="auto"/>
        </w:rPr>
        <w:t>Aspect Education (Hong Kong) Limited</w:t>
      </w:r>
      <w:r>
        <w:rPr>
          <w:sz w:val="20"/>
          <w:szCs w:val="20"/>
          <w:color w:val="auto"/>
        </w:rPr>
        <w:tab/>
      </w:r>
      <w:r>
        <w:rPr>
          <w:rFonts w:ascii="Arial" w:cs="Arial" w:eastAsia="Arial" w:hAnsi="Arial"/>
          <w:sz w:val="15"/>
          <w:szCs w:val="15"/>
          <w:color w:val="auto"/>
        </w:rPr>
        <w:t>Hong Kong</w:t>
      </w:r>
    </w:p>
    <w:p>
      <w:pPr>
        <w:spacing w:after="0" w:line="86" w:lineRule="exact"/>
        <w:rPr>
          <w:sz w:val="20"/>
          <w:szCs w:val="20"/>
          <w:color w:val="auto"/>
        </w:rPr>
      </w:pPr>
    </w:p>
    <w:p>
      <w:pPr>
        <w:ind w:left="220"/>
        <w:spacing w:after="0"/>
        <w:tabs>
          <w:tab w:leader="none" w:pos="6320" w:val="left"/>
        </w:tabs>
        <w:rPr>
          <w:sz w:val="20"/>
          <w:szCs w:val="20"/>
          <w:color w:val="auto"/>
        </w:rPr>
      </w:pPr>
      <w:r>
        <w:rPr>
          <w:rFonts w:ascii="Arial" w:cs="Arial" w:eastAsia="Arial" w:hAnsi="Arial"/>
          <w:sz w:val="16"/>
          <w:szCs w:val="16"/>
          <w:color w:val="auto"/>
        </w:rPr>
        <w:t>Kaplan International Colleges, C.A.</w:t>
      </w:r>
      <w:r>
        <w:rPr>
          <w:sz w:val="20"/>
          <w:szCs w:val="20"/>
          <w:color w:val="auto"/>
        </w:rPr>
        <w:tab/>
      </w:r>
      <w:r>
        <w:rPr>
          <w:rFonts w:ascii="Arial" w:cs="Arial" w:eastAsia="Arial" w:hAnsi="Arial"/>
          <w:sz w:val="16"/>
          <w:szCs w:val="16"/>
          <w:color w:val="auto"/>
        </w:rPr>
        <w:t>Venezuela</w:t>
      </w:r>
    </w:p>
    <w:p>
      <w:pPr>
        <w:spacing w:after="0" w:line="86" w:lineRule="exact"/>
        <w:rPr>
          <w:sz w:val="20"/>
          <w:szCs w:val="20"/>
          <w:color w:val="auto"/>
        </w:rPr>
      </w:pPr>
    </w:p>
    <w:p>
      <w:pPr>
        <w:ind w:left="220"/>
        <w:spacing w:after="0"/>
        <w:tabs>
          <w:tab w:leader="none" w:pos="6320" w:val="left"/>
        </w:tabs>
        <w:rPr>
          <w:sz w:val="20"/>
          <w:szCs w:val="20"/>
          <w:color w:val="auto"/>
        </w:rPr>
      </w:pPr>
      <w:r>
        <w:rPr>
          <w:rFonts w:ascii="Arial" w:cs="Arial" w:eastAsia="Arial" w:hAnsi="Arial"/>
          <w:sz w:val="16"/>
          <w:szCs w:val="16"/>
          <w:color w:val="auto"/>
        </w:rPr>
        <w:t>Kaplan International Operations Mexico, S.A. de C.V.</w:t>
      </w:r>
      <w:r>
        <w:rPr>
          <w:sz w:val="20"/>
          <w:szCs w:val="20"/>
          <w:color w:val="auto"/>
        </w:rPr>
        <w:tab/>
      </w:r>
      <w:r>
        <w:rPr>
          <w:rFonts w:ascii="Arial" w:cs="Arial" w:eastAsia="Arial" w:hAnsi="Arial"/>
          <w:sz w:val="16"/>
          <w:szCs w:val="16"/>
          <w:color w:val="auto"/>
        </w:rPr>
        <w:t>Mexico</w:t>
      </w:r>
    </w:p>
    <w:p>
      <w:pPr>
        <w:spacing w:after="0" w:line="86" w:lineRule="exact"/>
        <w:rPr>
          <w:sz w:val="20"/>
          <w:szCs w:val="20"/>
          <w:color w:val="auto"/>
        </w:rPr>
      </w:pPr>
    </w:p>
    <w:p>
      <w:pPr>
        <w:ind w:left="220"/>
        <w:spacing w:after="0"/>
        <w:tabs>
          <w:tab w:leader="none" w:pos="6320" w:val="left"/>
        </w:tabs>
        <w:rPr>
          <w:sz w:val="20"/>
          <w:szCs w:val="20"/>
          <w:color w:val="auto"/>
        </w:rPr>
      </w:pPr>
      <w:r>
        <w:rPr>
          <w:rFonts w:ascii="Arial" w:cs="Arial" w:eastAsia="Arial" w:hAnsi="Arial"/>
          <w:sz w:val="16"/>
          <w:szCs w:val="16"/>
          <w:color w:val="auto"/>
        </w:rPr>
        <w:t>KI HR Services Mexico, S.A. de C.V.</w:t>
      </w:r>
      <w:r>
        <w:rPr>
          <w:sz w:val="20"/>
          <w:szCs w:val="20"/>
          <w:color w:val="auto"/>
        </w:rPr>
        <w:tab/>
      </w:r>
      <w:r>
        <w:rPr>
          <w:rFonts w:ascii="Arial" w:cs="Arial" w:eastAsia="Arial" w:hAnsi="Arial"/>
          <w:sz w:val="16"/>
          <w:szCs w:val="16"/>
          <w:color w:val="auto"/>
        </w:rPr>
        <w:t>Mexico</w:t>
      </w:r>
    </w:p>
    <w:p>
      <w:pPr>
        <w:spacing w:after="0" w:line="86" w:lineRule="exact"/>
        <w:rPr>
          <w:sz w:val="20"/>
          <w:szCs w:val="20"/>
          <w:color w:val="auto"/>
        </w:rPr>
      </w:pPr>
    </w:p>
    <w:p>
      <w:pPr>
        <w:ind w:left="220"/>
        <w:spacing w:after="0"/>
        <w:tabs>
          <w:tab w:leader="none" w:pos="6320" w:val="left"/>
        </w:tabs>
        <w:rPr>
          <w:sz w:val="20"/>
          <w:szCs w:val="20"/>
          <w:color w:val="auto"/>
        </w:rPr>
      </w:pPr>
      <w:r>
        <w:rPr>
          <w:rFonts w:ascii="Arial" w:cs="Arial" w:eastAsia="Arial" w:hAnsi="Arial"/>
          <w:sz w:val="16"/>
          <w:szCs w:val="16"/>
          <w:color w:val="auto"/>
        </w:rPr>
        <w:t>Pro Linguis AG in Liquidation</w:t>
      </w:r>
      <w:r>
        <w:rPr>
          <w:sz w:val="20"/>
          <w:szCs w:val="20"/>
          <w:color w:val="auto"/>
        </w:rPr>
        <w:tab/>
      </w:r>
      <w:r>
        <w:rPr>
          <w:rFonts w:ascii="Arial" w:cs="Arial" w:eastAsia="Arial" w:hAnsi="Arial"/>
          <w:sz w:val="16"/>
          <w:szCs w:val="16"/>
          <w:color w:val="auto"/>
        </w:rPr>
        <w:t>Switzerland</w:t>
      </w:r>
    </w:p>
    <w:p>
      <w:pPr>
        <w:spacing w:after="0" w:line="86" w:lineRule="exact"/>
        <w:rPr>
          <w:sz w:val="20"/>
          <w:szCs w:val="20"/>
          <w:color w:val="auto"/>
        </w:rPr>
      </w:pPr>
    </w:p>
    <w:p>
      <w:pPr>
        <w:ind w:left="220"/>
        <w:spacing w:after="0"/>
        <w:tabs>
          <w:tab w:leader="none" w:pos="6320" w:val="left"/>
        </w:tabs>
        <w:rPr>
          <w:sz w:val="20"/>
          <w:szCs w:val="20"/>
          <w:color w:val="auto"/>
        </w:rPr>
      </w:pPr>
      <w:r>
        <w:rPr>
          <w:rFonts w:ascii="Arial" w:cs="Arial" w:eastAsia="Arial" w:hAnsi="Arial"/>
          <w:sz w:val="16"/>
          <w:szCs w:val="16"/>
          <w:color w:val="auto"/>
        </w:rPr>
        <w:t>West of England Language Services Limited</w:t>
      </w:r>
      <w:r>
        <w:rPr>
          <w:sz w:val="20"/>
          <w:szCs w:val="20"/>
          <w:color w:val="auto"/>
        </w:rPr>
        <w:tab/>
      </w:r>
      <w:r>
        <w:rPr>
          <w:rFonts w:ascii="Arial" w:cs="Arial" w:eastAsia="Arial" w:hAnsi="Arial"/>
          <w:sz w:val="16"/>
          <w:szCs w:val="16"/>
          <w:color w:val="auto"/>
        </w:rPr>
        <w:t>England &amp; Wales</w:t>
      </w:r>
    </w:p>
    <w:p>
      <w:pPr>
        <w:spacing w:after="0" w:line="86" w:lineRule="exact"/>
        <w:rPr>
          <w:sz w:val="20"/>
          <w:szCs w:val="20"/>
          <w:color w:val="auto"/>
        </w:rPr>
      </w:pPr>
    </w:p>
    <w:p>
      <w:pPr>
        <w:jc w:val="right"/>
        <w:ind w:right="880"/>
        <w:spacing w:after="0"/>
        <w:tabs>
          <w:tab w:leader="none" w:pos="2100" w:val="left"/>
        </w:tabs>
        <w:rPr>
          <w:sz w:val="20"/>
          <w:szCs w:val="20"/>
          <w:color w:val="auto"/>
        </w:rPr>
      </w:pPr>
      <w:r>
        <w:rPr>
          <w:rFonts w:ascii="Arial" w:cs="Arial" w:eastAsia="Arial" w:hAnsi="Arial"/>
          <w:sz w:val="16"/>
          <w:szCs w:val="16"/>
          <w:color w:val="auto"/>
        </w:rPr>
        <w:t>The Salisbury School of English Limited</w:t>
      </w:r>
      <w:r>
        <w:rPr>
          <w:sz w:val="20"/>
          <w:szCs w:val="20"/>
          <w:color w:val="auto"/>
        </w:rPr>
        <w:tab/>
      </w:r>
      <w:r>
        <w:rPr>
          <w:rFonts w:ascii="Arial" w:cs="Arial" w:eastAsia="Arial" w:hAnsi="Arial"/>
          <w:sz w:val="16"/>
          <w:szCs w:val="16"/>
          <w:color w:val="auto"/>
        </w:rPr>
        <w:t>England &amp; Wales</w:t>
      </w:r>
    </w:p>
    <w:p>
      <w:pPr>
        <w:spacing w:after="0" w:line="86" w:lineRule="exact"/>
        <w:rPr>
          <w:sz w:val="20"/>
          <w:szCs w:val="20"/>
          <w:color w:val="auto"/>
        </w:rPr>
      </w:pPr>
    </w:p>
    <w:p>
      <w:pPr>
        <w:ind w:left="800"/>
        <w:spacing w:after="0"/>
        <w:tabs>
          <w:tab w:leader="none" w:pos="6320" w:val="left"/>
        </w:tabs>
        <w:rPr>
          <w:sz w:val="20"/>
          <w:szCs w:val="20"/>
          <w:color w:val="auto"/>
        </w:rPr>
      </w:pPr>
      <w:r>
        <w:rPr>
          <w:rFonts w:ascii="Arial" w:cs="Arial" w:eastAsia="Arial" w:hAnsi="Arial"/>
          <w:sz w:val="16"/>
          <w:szCs w:val="16"/>
          <w:color w:val="auto"/>
        </w:rPr>
        <w:t>Kaplan International (Manly) Pty Limited</w:t>
      </w:r>
      <w:r>
        <w:rPr>
          <w:sz w:val="20"/>
          <w:szCs w:val="20"/>
          <w:color w:val="auto"/>
        </w:rPr>
        <w:tab/>
      </w:r>
      <w:r>
        <w:rPr>
          <w:rFonts w:ascii="Arial" w:cs="Arial" w:eastAsia="Arial" w:hAnsi="Arial"/>
          <w:sz w:val="15"/>
          <w:szCs w:val="15"/>
          <w:color w:val="auto"/>
        </w:rPr>
        <w:t>Australia</w:t>
      </w:r>
    </w:p>
    <w:p>
      <w:pPr>
        <w:spacing w:after="0" w:line="86" w:lineRule="exact"/>
        <w:rPr>
          <w:sz w:val="20"/>
          <w:szCs w:val="20"/>
          <w:color w:val="auto"/>
        </w:rPr>
      </w:pPr>
    </w:p>
    <w:p>
      <w:pPr>
        <w:ind w:left="220"/>
        <w:spacing w:after="0"/>
        <w:tabs>
          <w:tab w:leader="none" w:pos="6320" w:val="left"/>
        </w:tabs>
        <w:rPr>
          <w:sz w:val="20"/>
          <w:szCs w:val="20"/>
          <w:color w:val="auto"/>
        </w:rPr>
      </w:pPr>
      <w:r>
        <w:rPr>
          <w:rFonts w:ascii="Arial" w:cs="Arial" w:eastAsia="Arial" w:hAnsi="Arial"/>
          <w:sz w:val="16"/>
          <w:szCs w:val="16"/>
          <w:color w:val="auto"/>
        </w:rPr>
        <w:t>Kaplan International Holdings Limited</w:t>
      </w:r>
      <w:r>
        <w:rPr>
          <w:sz w:val="20"/>
          <w:szCs w:val="20"/>
          <w:color w:val="auto"/>
        </w:rPr>
        <w:tab/>
      </w:r>
      <w:r>
        <w:rPr>
          <w:rFonts w:ascii="Arial" w:cs="Arial" w:eastAsia="Arial" w:hAnsi="Arial"/>
          <w:sz w:val="16"/>
          <w:szCs w:val="16"/>
          <w:color w:val="auto"/>
        </w:rPr>
        <w:t>England &amp; Wales</w:t>
      </w:r>
    </w:p>
    <w:p>
      <w:pPr>
        <w:spacing w:after="0" w:line="86" w:lineRule="exact"/>
        <w:rPr>
          <w:sz w:val="20"/>
          <w:szCs w:val="20"/>
          <w:color w:val="auto"/>
        </w:rPr>
      </w:pPr>
    </w:p>
    <w:p>
      <w:pPr>
        <w:ind w:left="620"/>
        <w:spacing w:after="0"/>
        <w:tabs>
          <w:tab w:leader="none" w:pos="6320" w:val="left"/>
        </w:tabs>
        <w:rPr>
          <w:sz w:val="20"/>
          <w:szCs w:val="20"/>
          <w:color w:val="auto"/>
        </w:rPr>
      </w:pPr>
      <w:r>
        <w:rPr>
          <w:rFonts w:ascii="Arial" w:cs="Arial" w:eastAsia="Arial" w:hAnsi="Arial"/>
          <w:sz w:val="16"/>
          <w:szCs w:val="16"/>
          <w:color w:val="auto"/>
        </w:rPr>
        <w:t>Kaplan Higher Education Limited</w:t>
      </w:r>
      <w:r>
        <w:rPr>
          <w:sz w:val="20"/>
          <w:szCs w:val="20"/>
          <w:color w:val="auto"/>
        </w:rPr>
        <w:tab/>
      </w:r>
      <w:r>
        <w:rPr>
          <w:rFonts w:ascii="Arial" w:cs="Arial" w:eastAsia="Arial" w:hAnsi="Arial"/>
          <w:sz w:val="16"/>
          <w:szCs w:val="16"/>
          <w:color w:val="auto"/>
        </w:rPr>
        <w:t>England &amp; Wales</w:t>
      </w:r>
    </w:p>
    <w:p>
      <w:pPr>
        <w:spacing w:after="0" w:line="86" w:lineRule="exact"/>
        <w:rPr>
          <w:sz w:val="20"/>
          <w:szCs w:val="20"/>
          <w:color w:val="auto"/>
        </w:rPr>
      </w:pPr>
    </w:p>
    <w:p>
      <w:pPr>
        <w:ind w:left="620"/>
        <w:spacing w:after="0"/>
        <w:tabs>
          <w:tab w:leader="none" w:pos="6320" w:val="left"/>
        </w:tabs>
        <w:rPr>
          <w:sz w:val="20"/>
          <w:szCs w:val="20"/>
          <w:color w:val="auto"/>
        </w:rPr>
      </w:pPr>
      <w:r>
        <w:rPr>
          <w:rFonts w:ascii="Arial" w:cs="Arial" w:eastAsia="Arial" w:hAnsi="Arial"/>
          <w:sz w:val="16"/>
          <w:szCs w:val="16"/>
          <w:color w:val="auto"/>
        </w:rPr>
        <w:t>Osborne Books Limited</w:t>
      </w:r>
      <w:r>
        <w:rPr>
          <w:sz w:val="20"/>
          <w:szCs w:val="20"/>
          <w:color w:val="auto"/>
        </w:rPr>
        <w:tab/>
      </w:r>
      <w:r>
        <w:rPr>
          <w:rFonts w:ascii="Arial" w:cs="Arial" w:eastAsia="Arial" w:hAnsi="Arial"/>
          <w:sz w:val="16"/>
          <w:szCs w:val="16"/>
          <w:color w:val="auto"/>
        </w:rPr>
        <w:t>England &amp; Wales</w:t>
      </w:r>
    </w:p>
    <w:p>
      <w:pPr>
        <w:spacing w:after="0" w:line="86" w:lineRule="exact"/>
        <w:rPr>
          <w:sz w:val="20"/>
          <w:szCs w:val="20"/>
          <w:color w:val="auto"/>
        </w:rPr>
      </w:pPr>
    </w:p>
    <w:p>
      <w:pPr>
        <w:ind w:left="620"/>
        <w:spacing w:after="0"/>
        <w:tabs>
          <w:tab w:leader="none" w:pos="6320" w:val="left"/>
        </w:tabs>
        <w:rPr>
          <w:sz w:val="20"/>
          <w:szCs w:val="20"/>
          <w:color w:val="auto"/>
        </w:rPr>
      </w:pPr>
      <w:r>
        <w:rPr>
          <w:rFonts w:ascii="Arial" w:cs="Arial" w:eastAsia="Arial" w:hAnsi="Arial"/>
          <w:sz w:val="16"/>
          <w:szCs w:val="16"/>
          <w:color w:val="auto"/>
        </w:rPr>
        <w:t>Kaplan Financial Limited</w:t>
      </w:r>
      <w:r>
        <w:rPr>
          <w:sz w:val="20"/>
          <w:szCs w:val="20"/>
          <w:color w:val="auto"/>
        </w:rPr>
        <w:tab/>
      </w:r>
      <w:r>
        <w:rPr>
          <w:rFonts w:ascii="Arial" w:cs="Arial" w:eastAsia="Arial" w:hAnsi="Arial"/>
          <w:sz w:val="16"/>
          <w:szCs w:val="16"/>
          <w:color w:val="auto"/>
        </w:rPr>
        <w:t>England &amp; Wales</w:t>
      </w:r>
    </w:p>
    <w:p>
      <w:pPr>
        <w:spacing w:after="0" w:line="86" w:lineRule="exact"/>
        <w:rPr>
          <w:sz w:val="20"/>
          <w:szCs w:val="20"/>
          <w:color w:val="auto"/>
        </w:rPr>
      </w:pPr>
    </w:p>
    <w:p>
      <w:pPr>
        <w:jc w:val="right"/>
        <w:ind w:right="880"/>
        <w:spacing w:after="0"/>
        <w:tabs>
          <w:tab w:leader="none" w:pos="2100" w:val="left"/>
        </w:tabs>
        <w:rPr>
          <w:sz w:val="20"/>
          <w:szCs w:val="20"/>
          <w:color w:val="auto"/>
        </w:rPr>
      </w:pPr>
      <w:r>
        <w:rPr>
          <w:rFonts w:ascii="Arial" w:cs="Arial" w:eastAsia="Arial" w:hAnsi="Arial"/>
          <w:sz w:val="16"/>
          <w:szCs w:val="16"/>
          <w:color w:val="auto"/>
        </w:rPr>
        <w:t>Altior Limited</w:t>
      </w:r>
      <w:r>
        <w:rPr>
          <w:sz w:val="20"/>
          <w:szCs w:val="20"/>
          <w:color w:val="auto"/>
        </w:rPr>
        <w:tab/>
      </w:r>
      <w:r>
        <w:rPr>
          <w:rFonts w:ascii="Arial" w:cs="Arial" w:eastAsia="Arial" w:hAnsi="Arial"/>
          <w:sz w:val="16"/>
          <w:szCs w:val="16"/>
          <w:color w:val="auto"/>
        </w:rPr>
        <w:t>England &amp; Wales</w:t>
      </w:r>
    </w:p>
    <w:p>
      <w:pPr>
        <w:spacing w:after="0" w:line="86" w:lineRule="exact"/>
        <w:rPr>
          <w:sz w:val="20"/>
          <w:szCs w:val="20"/>
          <w:color w:val="auto"/>
        </w:rPr>
      </w:pPr>
    </w:p>
    <w:p>
      <w:pPr>
        <w:jc w:val="right"/>
        <w:ind w:right="880"/>
        <w:spacing w:after="0"/>
        <w:tabs>
          <w:tab w:leader="none" w:pos="2100" w:val="left"/>
        </w:tabs>
        <w:rPr>
          <w:sz w:val="20"/>
          <w:szCs w:val="20"/>
          <w:color w:val="auto"/>
        </w:rPr>
      </w:pPr>
      <w:r>
        <w:rPr>
          <w:rFonts w:ascii="Arial" w:cs="Arial" w:eastAsia="Arial" w:hAnsi="Arial"/>
          <w:sz w:val="16"/>
          <w:szCs w:val="16"/>
          <w:color w:val="auto"/>
        </w:rPr>
        <w:t>Altior Consulting &amp; Training Limited</w:t>
      </w:r>
      <w:r>
        <w:rPr>
          <w:sz w:val="20"/>
          <w:szCs w:val="20"/>
          <w:color w:val="auto"/>
        </w:rPr>
        <w:tab/>
      </w:r>
      <w:r>
        <w:rPr>
          <w:rFonts w:ascii="Arial" w:cs="Arial" w:eastAsia="Arial" w:hAnsi="Arial"/>
          <w:sz w:val="16"/>
          <w:szCs w:val="16"/>
          <w:color w:val="auto"/>
        </w:rPr>
        <w:t>England &amp; Wales</w:t>
      </w:r>
    </w:p>
    <w:p>
      <w:pPr>
        <w:spacing w:after="0" w:line="86" w:lineRule="exact"/>
        <w:rPr>
          <w:sz w:val="20"/>
          <w:szCs w:val="20"/>
          <w:color w:val="auto"/>
        </w:rPr>
      </w:pPr>
    </w:p>
    <w:p>
      <w:pPr>
        <w:jc w:val="right"/>
        <w:ind w:right="880"/>
        <w:spacing w:after="0"/>
        <w:tabs>
          <w:tab w:leader="none" w:pos="2100" w:val="left"/>
        </w:tabs>
        <w:rPr>
          <w:sz w:val="20"/>
          <w:szCs w:val="20"/>
          <w:color w:val="auto"/>
        </w:rPr>
      </w:pPr>
      <w:r>
        <w:rPr>
          <w:rFonts w:ascii="Arial" w:cs="Arial" w:eastAsia="Arial" w:hAnsi="Arial"/>
          <w:sz w:val="16"/>
          <w:szCs w:val="16"/>
          <w:color w:val="auto"/>
        </w:rPr>
        <w:t>Hawksmere Limited</w:t>
      </w:r>
      <w:r>
        <w:rPr>
          <w:sz w:val="20"/>
          <w:szCs w:val="20"/>
          <w:color w:val="auto"/>
        </w:rPr>
        <w:tab/>
      </w:r>
      <w:r>
        <w:rPr>
          <w:rFonts w:ascii="Arial" w:cs="Arial" w:eastAsia="Arial" w:hAnsi="Arial"/>
          <w:sz w:val="16"/>
          <w:szCs w:val="16"/>
          <w:color w:val="auto"/>
        </w:rPr>
        <w:t>England &amp; Wales</w:t>
      </w:r>
    </w:p>
    <w:p>
      <w:pPr>
        <w:spacing w:after="0" w:line="86" w:lineRule="exact"/>
        <w:rPr>
          <w:sz w:val="20"/>
          <w:szCs w:val="20"/>
          <w:color w:val="auto"/>
        </w:rPr>
      </w:pPr>
    </w:p>
    <w:p>
      <w:pPr>
        <w:ind w:left="220"/>
        <w:spacing w:after="0"/>
        <w:tabs>
          <w:tab w:leader="none" w:pos="6320" w:val="left"/>
        </w:tabs>
        <w:rPr>
          <w:sz w:val="20"/>
          <w:szCs w:val="20"/>
          <w:color w:val="auto"/>
        </w:rPr>
      </w:pPr>
      <w:r>
        <w:rPr>
          <w:rFonts w:ascii="Arial" w:cs="Arial" w:eastAsia="Arial" w:hAnsi="Arial"/>
          <w:sz w:val="16"/>
          <w:szCs w:val="16"/>
          <w:color w:val="auto"/>
        </w:rPr>
        <w:t>Holborn College Limited</w:t>
      </w:r>
      <w:r>
        <w:rPr>
          <w:sz w:val="20"/>
          <w:szCs w:val="20"/>
          <w:color w:val="auto"/>
        </w:rPr>
        <w:tab/>
      </w:r>
      <w:r>
        <w:rPr>
          <w:rFonts w:ascii="Arial" w:cs="Arial" w:eastAsia="Arial" w:hAnsi="Arial"/>
          <w:sz w:val="16"/>
          <w:szCs w:val="16"/>
          <w:color w:val="auto"/>
        </w:rPr>
        <w:t>England &amp; Wales</w:t>
      </w:r>
    </w:p>
    <w:p>
      <w:pPr>
        <w:spacing w:after="0" w:line="86" w:lineRule="exact"/>
        <w:rPr>
          <w:sz w:val="20"/>
          <w:szCs w:val="20"/>
          <w:color w:val="auto"/>
        </w:rPr>
      </w:pPr>
    </w:p>
    <w:p>
      <w:pPr>
        <w:ind w:left="220"/>
        <w:spacing w:after="0"/>
        <w:tabs>
          <w:tab w:leader="none" w:pos="6320" w:val="left"/>
        </w:tabs>
        <w:rPr>
          <w:sz w:val="20"/>
          <w:szCs w:val="20"/>
          <w:color w:val="auto"/>
        </w:rPr>
      </w:pPr>
      <w:r>
        <w:rPr>
          <w:rFonts w:ascii="Arial" w:cs="Arial" w:eastAsia="Arial" w:hAnsi="Arial"/>
          <w:sz w:val="16"/>
          <w:szCs w:val="16"/>
          <w:color w:val="auto"/>
        </w:rPr>
        <w:t>Kaplan International Colleges U.K. Limited</w:t>
      </w:r>
      <w:r>
        <w:rPr>
          <w:sz w:val="20"/>
          <w:szCs w:val="20"/>
          <w:color w:val="auto"/>
        </w:rPr>
        <w:tab/>
      </w:r>
      <w:r>
        <w:rPr>
          <w:rFonts w:ascii="Arial" w:cs="Arial" w:eastAsia="Arial" w:hAnsi="Arial"/>
          <w:sz w:val="16"/>
          <w:szCs w:val="16"/>
          <w:color w:val="auto"/>
        </w:rPr>
        <w:t>England &amp; Wales</w:t>
      </w:r>
    </w:p>
    <w:p>
      <w:pPr>
        <w:spacing w:after="0" w:line="86" w:lineRule="exact"/>
        <w:rPr>
          <w:sz w:val="20"/>
          <w:szCs w:val="20"/>
          <w:color w:val="auto"/>
        </w:rPr>
      </w:pPr>
    </w:p>
    <w:p>
      <w:pPr>
        <w:ind w:left="220"/>
        <w:spacing w:after="0"/>
        <w:tabs>
          <w:tab w:leader="none" w:pos="6320" w:val="left"/>
        </w:tabs>
        <w:rPr>
          <w:sz w:val="20"/>
          <w:szCs w:val="20"/>
          <w:color w:val="auto"/>
        </w:rPr>
      </w:pPr>
      <w:r>
        <w:rPr>
          <w:rFonts w:ascii="Arial" w:cs="Arial" w:eastAsia="Arial" w:hAnsi="Arial"/>
          <w:sz w:val="16"/>
          <w:szCs w:val="16"/>
          <w:color w:val="auto"/>
        </w:rPr>
        <w:t>Kaplan Colleges Private Limited</w:t>
      </w:r>
      <w:r>
        <w:rPr>
          <w:sz w:val="20"/>
          <w:szCs w:val="20"/>
          <w:color w:val="auto"/>
        </w:rPr>
        <w:tab/>
      </w:r>
      <w:r>
        <w:rPr>
          <w:rFonts w:ascii="Arial" w:cs="Arial" w:eastAsia="Arial" w:hAnsi="Arial"/>
          <w:sz w:val="15"/>
          <w:szCs w:val="15"/>
          <w:color w:val="auto"/>
        </w:rPr>
        <w:t>India</w:t>
      </w:r>
    </w:p>
    <w:p>
      <w:pPr>
        <w:spacing w:after="0" w:line="86" w:lineRule="exact"/>
        <w:rPr>
          <w:sz w:val="20"/>
          <w:szCs w:val="20"/>
          <w:color w:val="auto"/>
        </w:rPr>
      </w:pPr>
    </w:p>
    <w:p>
      <w:pPr>
        <w:ind w:left="220"/>
        <w:spacing w:after="0"/>
        <w:tabs>
          <w:tab w:leader="none" w:pos="6320" w:val="left"/>
        </w:tabs>
        <w:rPr>
          <w:sz w:val="20"/>
          <w:szCs w:val="20"/>
          <w:color w:val="auto"/>
        </w:rPr>
      </w:pPr>
      <w:r>
        <w:rPr>
          <w:rFonts w:ascii="Arial" w:cs="Arial" w:eastAsia="Arial" w:hAnsi="Arial"/>
          <w:sz w:val="16"/>
          <w:szCs w:val="16"/>
          <w:color w:val="auto"/>
        </w:rPr>
        <w:t>Kaplan International Colleges (Private) Limited</w:t>
      </w:r>
      <w:r>
        <w:rPr>
          <w:sz w:val="20"/>
          <w:szCs w:val="20"/>
          <w:color w:val="auto"/>
        </w:rPr>
        <w:tab/>
      </w:r>
      <w:r>
        <w:rPr>
          <w:rFonts w:ascii="Arial" w:cs="Arial" w:eastAsia="Arial" w:hAnsi="Arial"/>
          <w:sz w:val="16"/>
          <w:szCs w:val="16"/>
          <w:color w:val="auto"/>
        </w:rPr>
        <w:t>Pakistan</w:t>
      </w:r>
    </w:p>
    <w:p>
      <w:pPr>
        <w:spacing w:after="0" w:line="86" w:lineRule="exact"/>
        <w:rPr>
          <w:sz w:val="20"/>
          <w:szCs w:val="20"/>
          <w:color w:val="auto"/>
        </w:rPr>
      </w:pPr>
    </w:p>
    <w:p>
      <w:pPr>
        <w:ind w:left="220"/>
        <w:spacing w:after="0"/>
        <w:tabs>
          <w:tab w:leader="none" w:pos="6320" w:val="left"/>
        </w:tabs>
        <w:rPr>
          <w:sz w:val="20"/>
          <w:szCs w:val="20"/>
          <w:color w:val="auto"/>
        </w:rPr>
      </w:pPr>
      <w:r>
        <w:rPr>
          <w:rFonts w:ascii="Arial" w:cs="Arial" w:eastAsia="Arial" w:hAnsi="Arial"/>
          <w:sz w:val="16"/>
          <w:szCs w:val="16"/>
          <w:color w:val="auto"/>
        </w:rPr>
        <w:t>Kaplan Glasgow Limited</w:t>
      </w:r>
      <w:r>
        <w:rPr>
          <w:sz w:val="20"/>
          <w:szCs w:val="20"/>
          <w:color w:val="auto"/>
        </w:rPr>
        <w:tab/>
      </w:r>
      <w:r>
        <w:rPr>
          <w:rFonts w:ascii="Arial" w:cs="Arial" w:eastAsia="Arial" w:hAnsi="Arial"/>
          <w:sz w:val="16"/>
          <w:szCs w:val="16"/>
          <w:color w:val="auto"/>
        </w:rPr>
        <w:t>England &amp; Wales</w:t>
      </w:r>
    </w:p>
    <w:p>
      <w:pPr>
        <w:spacing w:after="0" w:line="86" w:lineRule="exact"/>
        <w:rPr>
          <w:sz w:val="20"/>
          <w:szCs w:val="20"/>
          <w:color w:val="auto"/>
        </w:rPr>
      </w:pPr>
    </w:p>
    <w:p>
      <w:pPr>
        <w:ind w:left="220"/>
        <w:spacing w:after="0"/>
        <w:tabs>
          <w:tab w:leader="none" w:pos="6320" w:val="left"/>
        </w:tabs>
        <w:rPr>
          <w:sz w:val="20"/>
          <w:szCs w:val="20"/>
          <w:color w:val="auto"/>
        </w:rPr>
      </w:pPr>
      <w:r>
        <w:rPr>
          <w:rFonts w:ascii="Arial" w:cs="Arial" w:eastAsia="Arial" w:hAnsi="Arial"/>
          <w:sz w:val="16"/>
          <w:szCs w:val="16"/>
          <w:color w:val="auto"/>
        </w:rPr>
        <w:t>Kaplan International Colleges Limited</w:t>
      </w:r>
      <w:r>
        <w:rPr>
          <w:sz w:val="20"/>
          <w:szCs w:val="20"/>
          <w:color w:val="auto"/>
        </w:rPr>
        <w:tab/>
      </w:r>
      <w:r>
        <w:rPr>
          <w:rFonts w:ascii="Arial" w:cs="Arial" w:eastAsia="Arial" w:hAnsi="Arial"/>
          <w:sz w:val="16"/>
          <w:szCs w:val="16"/>
          <w:color w:val="auto"/>
        </w:rPr>
        <w:t>Nigeria</w:t>
      </w:r>
    </w:p>
    <w:p>
      <w:pPr>
        <w:spacing w:after="0" w:line="86" w:lineRule="exact"/>
        <w:rPr>
          <w:sz w:val="20"/>
          <w:szCs w:val="20"/>
          <w:color w:val="auto"/>
        </w:rPr>
      </w:pPr>
    </w:p>
    <w:p>
      <w:pPr>
        <w:ind w:left="220"/>
        <w:spacing w:after="0"/>
        <w:tabs>
          <w:tab w:leader="none" w:pos="6320" w:val="left"/>
        </w:tabs>
        <w:rPr>
          <w:sz w:val="20"/>
          <w:szCs w:val="20"/>
          <w:color w:val="auto"/>
        </w:rPr>
      </w:pPr>
      <w:r>
        <w:rPr>
          <w:rFonts w:ascii="Arial" w:cs="Arial" w:eastAsia="Arial" w:hAnsi="Arial"/>
          <w:sz w:val="16"/>
          <w:szCs w:val="16"/>
          <w:color w:val="auto"/>
        </w:rPr>
        <w:t>Kaplan Liverpool Limited</w:t>
      </w:r>
      <w:r>
        <w:rPr>
          <w:sz w:val="20"/>
          <w:szCs w:val="20"/>
          <w:color w:val="auto"/>
        </w:rPr>
        <w:tab/>
      </w:r>
      <w:r>
        <w:rPr>
          <w:rFonts w:ascii="Arial" w:cs="Arial" w:eastAsia="Arial" w:hAnsi="Arial"/>
          <w:sz w:val="16"/>
          <w:szCs w:val="16"/>
          <w:color w:val="auto"/>
        </w:rPr>
        <w:t>England &amp; Wales</w:t>
      </w:r>
    </w:p>
    <w:p>
      <w:pPr>
        <w:spacing w:after="0" w:line="86" w:lineRule="exact"/>
        <w:rPr>
          <w:sz w:val="20"/>
          <w:szCs w:val="20"/>
          <w:color w:val="auto"/>
        </w:rPr>
      </w:pPr>
    </w:p>
    <w:p>
      <w:pPr>
        <w:ind w:left="220"/>
        <w:spacing w:after="0"/>
        <w:tabs>
          <w:tab w:leader="none" w:pos="6320" w:val="left"/>
        </w:tabs>
        <w:rPr>
          <w:sz w:val="20"/>
          <w:szCs w:val="20"/>
          <w:color w:val="auto"/>
        </w:rPr>
      </w:pPr>
      <w:r>
        <w:rPr>
          <w:rFonts w:ascii="Arial" w:cs="Arial" w:eastAsia="Arial" w:hAnsi="Arial"/>
          <w:sz w:val="16"/>
          <w:szCs w:val="16"/>
          <w:color w:val="auto"/>
        </w:rPr>
        <w:t>Kaplan Nottingham Limited</w:t>
      </w:r>
      <w:r>
        <w:rPr>
          <w:sz w:val="20"/>
          <w:szCs w:val="20"/>
          <w:color w:val="auto"/>
        </w:rPr>
        <w:tab/>
      </w:r>
      <w:r>
        <w:rPr>
          <w:rFonts w:ascii="Arial" w:cs="Arial" w:eastAsia="Arial" w:hAnsi="Arial"/>
          <w:sz w:val="16"/>
          <w:szCs w:val="16"/>
          <w:color w:val="auto"/>
        </w:rPr>
        <w:t>England &amp; Wales</w:t>
      </w:r>
    </w:p>
    <w:p>
      <w:pPr>
        <w:spacing w:after="0" w:line="86" w:lineRule="exact"/>
        <w:rPr>
          <w:sz w:val="20"/>
          <w:szCs w:val="20"/>
          <w:color w:val="auto"/>
        </w:rPr>
      </w:pPr>
    </w:p>
    <w:p>
      <w:pPr>
        <w:ind w:left="220"/>
        <w:spacing w:after="0"/>
        <w:tabs>
          <w:tab w:leader="none" w:pos="6320" w:val="left"/>
        </w:tabs>
        <w:rPr>
          <w:sz w:val="20"/>
          <w:szCs w:val="20"/>
          <w:color w:val="auto"/>
        </w:rPr>
      </w:pPr>
      <w:r>
        <w:rPr>
          <w:rFonts w:ascii="Arial" w:cs="Arial" w:eastAsia="Arial" w:hAnsi="Arial"/>
          <w:sz w:val="16"/>
          <w:szCs w:val="16"/>
          <w:color w:val="auto"/>
        </w:rPr>
        <w:t>Kaplan NT Limited</w:t>
      </w:r>
      <w:r>
        <w:rPr>
          <w:sz w:val="20"/>
          <w:szCs w:val="20"/>
          <w:color w:val="auto"/>
        </w:rPr>
        <w:tab/>
      </w:r>
      <w:r>
        <w:rPr>
          <w:rFonts w:ascii="Arial" w:cs="Arial" w:eastAsia="Arial" w:hAnsi="Arial"/>
          <w:sz w:val="16"/>
          <w:szCs w:val="16"/>
          <w:color w:val="auto"/>
        </w:rPr>
        <w:t>England &amp; Wales</w:t>
      </w:r>
    </w:p>
    <w:p>
      <w:pPr>
        <w:spacing w:after="0" w:line="86" w:lineRule="exact"/>
        <w:rPr>
          <w:sz w:val="20"/>
          <w:szCs w:val="20"/>
          <w:color w:val="auto"/>
        </w:rPr>
      </w:pPr>
    </w:p>
    <w:p>
      <w:pPr>
        <w:ind w:left="220"/>
        <w:spacing w:after="0"/>
        <w:tabs>
          <w:tab w:leader="none" w:pos="6320" w:val="left"/>
        </w:tabs>
        <w:rPr>
          <w:sz w:val="20"/>
          <w:szCs w:val="20"/>
          <w:color w:val="auto"/>
        </w:rPr>
      </w:pPr>
      <w:r>
        <w:rPr>
          <w:rFonts w:ascii="Arial" w:cs="Arial" w:eastAsia="Arial" w:hAnsi="Arial"/>
          <w:sz w:val="16"/>
          <w:szCs w:val="16"/>
          <w:color w:val="auto"/>
        </w:rPr>
        <w:t>Kaplan US Limited</w:t>
      </w:r>
      <w:r>
        <w:rPr>
          <w:sz w:val="20"/>
          <w:szCs w:val="20"/>
          <w:color w:val="auto"/>
        </w:rPr>
        <w:tab/>
      </w:r>
      <w:r>
        <w:rPr>
          <w:rFonts w:ascii="Arial" w:cs="Arial" w:eastAsia="Arial" w:hAnsi="Arial"/>
          <w:sz w:val="16"/>
          <w:szCs w:val="16"/>
          <w:color w:val="auto"/>
        </w:rPr>
        <w:t>England &amp; Wales</w:t>
      </w:r>
    </w:p>
    <w:p>
      <w:pPr>
        <w:spacing w:after="0" w:line="86" w:lineRule="exact"/>
        <w:rPr>
          <w:sz w:val="20"/>
          <w:szCs w:val="20"/>
          <w:color w:val="auto"/>
        </w:rPr>
      </w:pPr>
    </w:p>
    <w:p>
      <w:pPr>
        <w:ind w:left="220"/>
        <w:spacing w:after="0"/>
        <w:tabs>
          <w:tab w:leader="none" w:pos="6320" w:val="left"/>
        </w:tabs>
        <w:rPr>
          <w:sz w:val="20"/>
          <w:szCs w:val="20"/>
          <w:color w:val="auto"/>
        </w:rPr>
      </w:pPr>
      <w:r>
        <w:rPr>
          <w:rFonts w:ascii="Arial" w:cs="Arial" w:eastAsia="Arial" w:hAnsi="Arial"/>
          <w:sz w:val="16"/>
          <w:szCs w:val="16"/>
          <w:color w:val="auto"/>
        </w:rPr>
        <w:t>Kaplan International College London Limited</w:t>
      </w:r>
      <w:r>
        <w:rPr>
          <w:sz w:val="20"/>
          <w:szCs w:val="20"/>
          <w:color w:val="auto"/>
        </w:rPr>
        <w:tab/>
      </w:r>
      <w:r>
        <w:rPr>
          <w:rFonts w:ascii="Arial" w:cs="Arial" w:eastAsia="Arial" w:hAnsi="Arial"/>
          <w:sz w:val="16"/>
          <w:szCs w:val="16"/>
          <w:color w:val="auto"/>
        </w:rPr>
        <w:t>England &amp; Wales</w:t>
      </w:r>
    </w:p>
    <w:p>
      <w:pPr>
        <w:spacing w:after="0" w:line="86" w:lineRule="exact"/>
        <w:rPr>
          <w:sz w:val="20"/>
          <w:szCs w:val="20"/>
          <w:color w:val="auto"/>
        </w:rPr>
      </w:pPr>
    </w:p>
    <w:p>
      <w:pPr>
        <w:ind w:left="220"/>
        <w:spacing w:after="0"/>
        <w:tabs>
          <w:tab w:leader="none" w:pos="6320" w:val="left"/>
        </w:tabs>
        <w:rPr>
          <w:sz w:val="20"/>
          <w:szCs w:val="20"/>
          <w:color w:val="auto"/>
        </w:rPr>
      </w:pPr>
      <w:r>
        <w:rPr>
          <w:rFonts w:ascii="Arial" w:cs="Arial" w:eastAsia="Arial" w:hAnsi="Arial"/>
          <w:sz w:val="16"/>
          <w:szCs w:val="16"/>
          <w:color w:val="auto"/>
        </w:rPr>
        <w:t>Kaplan Brighton Limited</w:t>
      </w:r>
      <w:r>
        <w:rPr>
          <w:sz w:val="20"/>
          <w:szCs w:val="20"/>
          <w:color w:val="auto"/>
        </w:rPr>
        <w:tab/>
      </w:r>
      <w:r>
        <w:rPr>
          <w:rFonts w:ascii="Arial" w:cs="Arial" w:eastAsia="Arial" w:hAnsi="Arial"/>
          <w:sz w:val="16"/>
          <w:szCs w:val="16"/>
          <w:color w:val="auto"/>
        </w:rPr>
        <w:t>England &amp; Wales</w:t>
      </w:r>
    </w:p>
    <w:p>
      <w:pPr>
        <w:spacing w:after="0" w:line="86" w:lineRule="exact"/>
        <w:rPr>
          <w:sz w:val="20"/>
          <w:szCs w:val="20"/>
          <w:color w:val="auto"/>
        </w:rPr>
      </w:pPr>
    </w:p>
    <w:p>
      <w:pPr>
        <w:ind w:left="220"/>
        <w:spacing w:after="0"/>
        <w:tabs>
          <w:tab w:leader="none" w:pos="6320" w:val="left"/>
        </w:tabs>
        <w:rPr>
          <w:sz w:val="20"/>
          <w:szCs w:val="20"/>
          <w:color w:val="auto"/>
        </w:rPr>
      </w:pPr>
      <w:r>
        <w:rPr>
          <w:rFonts w:ascii="Arial" w:cs="Arial" w:eastAsia="Arial" w:hAnsi="Arial"/>
          <w:sz w:val="16"/>
          <w:szCs w:val="16"/>
          <w:color w:val="auto"/>
        </w:rPr>
        <w:t>Kaplan UWE Limited</w:t>
      </w:r>
      <w:r>
        <w:rPr>
          <w:sz w:val="20"/>
          <w:szCs w:val="20"/>
          <w:color w:val="auto"/>
        </w:rPr>
        <w:tab/>
      </w:r>
      <w:r>
        <w:rPr>
          <w:rFonts w:ascii="Arial" w:cs="Arial" w:eastAsia="Arial" w:hAnsi="Arial"/>
          <w:sz w:val="16"/>
          <w:szCs w:val="16"/>
          <w:color w:val="auto"/>
        </w:rPr>
        <w:t>England &amp; Wales</w:t>
      </w:r>
    </w:p>
    <w:p>
      <w:pPr>
        <w:spacing w:after="0" w:line="86" w:lineRule="exact"/>
        <w:rPr>
          <w:sz w:val="20"/>
          <w:szCs w:val="20"/>
          <w:color w:val="auto"/>
        </w:rPr>
      </w:pPr>
    </w:p>
    <w:p>
      <w:pPr>
        <w:ind w:left="220"/>
        <w:spacing w:after="0"/>
        <w:tabs>
          <w:tab w:leader="none" w:pos="6320" w:val="left"/>
        </w:tabs>
        <w:rPr>
          <w:sz w:val="20"/>
          <w:szCs w:val="20"/>
          <w:color w:val="auto"/>
        </w:rPr>
      </w:pPr>
      <w:r>
        <w:rPr>
          <w:rFonts w:ascii="Arial" w:cs="Arial" w:eastAsia="Arial" w:hAnsi="Arial"/>
          <w:sz w:val="16"/>
          <w:szCs w:val="16"/>
          <w:color w:val="auto"/>
        </w:rPr>
        <w:t>Kaplan Bournemouth Limited</w:t>
      </w:r>
      <w:r>
        <w:rPr>
          <w:sz w:val="20"/>
          <w:szCs w:val="20"/>
          <w:color w:val="auto"/>
        </w:rPr>
        <w:tab/>
      </w:r>
      <w:r>
        <w:rPr>
          <w:rFonts w:ascii="Arial" w:cs="Arial" w:eastAsia="Arial" w:hAnsi="Arial"/>
          <w:sz w:val="16"/>
          <w:szCs w:val="16"/>
          <w:color w:val="auto"/>
        </w:rPr>
        <w:t>England &amp; Wales</w:t>
      </w:r>
    </w:p>
    <w:p>
      <w:pPr>
        <w:spacing w:after="0" w:line="86" w:lineRule="exact"/>
        <w:rPr>
          <w:sz w:val="20"/>
          <w:szCs w:val="20"/>
          <w:color w:val="auto"/>
        </w:rPr>
      </w:pPr>
    </w:p>
    <w:p>
      <w:pPr>
        <w:ind w:left="220"/>
        <w:spacing w:after="0"/>
        <w:tabs>
          <w:tab w:leader="none" w:pos="6320" w:val="left"/>
        </w:tabs>
        <w:rPr>
          <w:sz w:val="20"/>
          <w:szCs w:val="20"/>
          <w:color w:val="auto"/>
        </w:rPr>
      </w:pPr>
      <w:r>
        <w:rPr>
          <w:rFonts w:ascii="Arial" w:cs="Arial" w:eastAsia="Arial" w:hAnsi="Arial"/>
          <w:sz w:val="16"/>
          <w:szCs w:val="16"/>
          <w:color w:val="auto"/>
        </w:rPr>
        <w:t>Kaplan Bath Limited</w:t>
      </w:r>
      <w:r>
        <w:rPr>
          <w:sz w:val="20"/>
          <w:szCs w:val="20"/>
          <w:color w:val="auto"/>
        </w:rPr>
        <w:tab/>
      </w:r>
      <w:r>
        <w:rPr>
          <w:rFonts w:ascii="Arial" w:cs="Arial" w:eastAsia="Arial" w:hAnsi="Arial"/>
          <w:sz w:val="16"/>
          <w:szCs w:val="16"/>
          <w:color w:val="auto"/>
        </w:rPr>
        <w:t>England &amp; Wales</w:t>
      </w:r>
    </w:p>
    <w:p>
      <w:pPr>
        <w:spacing w:after="0" w:line="86" w:lineRule="exact"/>
        <w:rPr>
          <w:sz w:val="20"/>
          <w:szCs w:val="20"/>
          <w:color w:val="auto"/>
        </w:rPr>
      </w:pPr>
    </w:p>
    <w:p>
      <w:pPr>
        <w:ind w:left="220"/>
        <w:spacing w:after="0"/>
        <w:tabs>
          <w:tab w:leader="none" w:pos="6320" w:val="left"/>
        </w:tabs>
        <w:rPr>
          <w:sz w:val="20"/>
          <w:szCs w:val="20"/>
          <w:color w:val="auto"/>
        </w:rPr>
      </w:pPr>
      <w:r>
        <w:rPr>
          <w:rFonts w:ascii="Arial" w:cs="Arial" w:eastAsia="Arial" w:hAnsi="Arial"/>
          <w:sz w:val="16"/>
          <w:szCs w:val="16"/>
          <w:color w:val="auto"/>
        </w:rPr>
        <w:t>Kaplan Estates Limited</w:t>
      </w:r>
      <w:r>
        <w:rPr>
          <w:sz w:val="20"/>
          <w:szCs w:val="20"/>
          <w:color w:val="auto"/>
        </w:rPr>
        <w:tab/>
      </w:r>
      <w:r>
        <w:rPr>
          <w:rFonts w:ascii="Arial" w:cs="Arial" w:eastAsia="Arial" w:hAnsi="Arial"/>
          <w:sz w:val="16"/>
          <w:szCs w:val="16"/>
          <w:color w:val="auto"/>
        </w:rPr>
        <w:t>England &amp; Wales</w:t>
      </w:r>
    </w:p>
    <w:p>
      <w:pPr>
        <w:spacing w:after="0" w:line="20" w:lineRule="exact"/>
        <w:rPr>
          <w:sz w:val="20"/>
          <w:szCs w:val="20"/>
          <w:color w:val="auto"/>
        </w:rPr>
      </w:pPr>
      <w:r>
        <w:rPr>
          <w:sz w:val="20"/>
          <w:szCs w:val="20"/>
          <w:color w:val="auto"/>
        </w:rPr>
        <w:br w:type="column"/>
      </w:r>
    </w:p>
    <w:p>
      <w:pPr>
        <w:ind w:left="140"/>
        <w:spacing w:after="0"/>
        <w:rPr>
          <w:sz w:val="20"/>
          <w:szCs w:val="20"/>
          <w:color w:val="auto"/>
        </w:rPr>
      </w:pPr>
      <w:r>
        <w:rPr>
          <w:rFonts w:ascii="Arial" w:cs="Arial" w:eastAsia="Arial" w:hAnsi="Arial"/>
          <w:sz w:val="16"/>
          <w:szCs w:val="16"/>
          <w:color w:val="auto"/>
        </w:rPr>
        <w:t>100%</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99.99% (i)</w:t>
      </w:r>
    </w:p>
    <w:p>
      <w:pPr>
        <w:spacing w:after="0" w:line="86" w:lineRule="exact"/>
        <w:rPr>
          <w:sz w:val="20"/>
          <w:szCs w:val="20"/>
          <w:color w:val="auto"/>
        </w:rPr>
      </w:pPr>
    </w:p>
    <w:p>
      <w:pPr>
        <w:ind w:left="140"/>
        <w:spacing w:after="0"/>
        <w:rPr>
          <w:sz w:val="20"/>
          <w:szCs w:val="20"/>
          <w:color w:val="auto"/>
        </w:rPr>
      </w:pPr>
      <w:r>
        <w:rPr>
          <w:rFonts w:ascii="Arial" w:cs="Arial" w:eastAsia="Arial" w:hAnsi="Arial"/>
          <w:sz w:val="16"/>
          <w:szCs w:val="16"/>
          <w:color w:val="auto"/>
        </w:rPr>
        <w:t>100%</w:t>
      </w:r>
    </w:p>
    <w:p>
      <w:pPr>
        <w:spacing w:after="0" w:line="73" w:lineRule="exact"/>
        <w:rPr>
          <w:sz w:val="20"/>
          <w:szCs w:val="20"/>
          <w:color w:val="auto"/>
        </w:rPr>
      </w:pPr>
    </w:p>
    <w:p>
      <w:pPr>
        <w:ind w:left="140"/>
        <w:spacing w:after="0"/>
        <w:rPr>
          <w:sz w:val="20"/>
          <w:szCs w:val="20"/>
          <w:color w:val="auto"/>
        </w:rPr>
      </w:pPr>
      <w:r>
        <w:rPr>
          <w:rFonts w:ascii="Arial" w:cs="Arial" w:eastAsia="Arial" w:hAnsi="Arial"/>
          <w:sz w:val="16"/>
          <w:szCs w:val="16"/>
          <w:color w:val="auto"/>
        </w:rPr>
        <w:t>100% (j)</w:t>
      </w:r>
    </w:p>
    <w:p>
      <w:pPr>
        <w:spacing w:after="0" w:line="100" w:lineRule="exact"/>
        <w:rPr>
          <w:sz w:val="20"/>
          <w:szCs w:val="20"/>
          <w:color w:val="auto"/>
        </w:rPr>
      </w:pPr>
    </w:p>
    <w:p>
      <w:pPr>
        <w:ind w:left="140"/>
        <w:spacing w:after="0"/>
        <w:rPr>
          <w:sz w:val="20"/>
          <w:szCs w:val="20"/>
          <w:color w:val="auto"/>
        </w:rPr>
      </w:pPr>
      <w:r>
        <w:rPr>
          <w:rFonts w:ascii="Arial" w:cs="Arial" w:eastAsia="Arial" w:hAnsi="Arial"/>
          <w:sz w:val="16"/>
          <w:szCs w:val="16"/>
          <w:color w:val="auto"/>
        </w:rPr>
        <w:t>100%</w:t>
      </w:r>
    </w:p>
    <w:p>
      <w:pPr>
        <w:spacing w:after="0" w:line="86" w:lineRule="exact"/>
        <w:rPr>
          <w:sz w:val="20"/>
          <w:szCs w:val="20"/>
          <w:color w:val="auto"/>
        </w:rPr>
      </w:pPr>
    </w:p>
    <w:p>
      <w:pPr>
        <w:ind w:left="140"/>
        <w:spacing w:after="0"/>
        <w:rPr>
          <w:sz w:val="20"/>
          <w:szCs w:val="20"/>
          <w:color w:val="auto"/>
        </w:rPr>
      </w:pPr>
      <w:r>
        <w:rPr>
          <w:rFonts w:ascii="Arial" w:cs="Arial" w:eastAsia="Arial" w:hAnsi="Arial"/>
          <w:sz w:val="16"/>
          <w:szCs w:val="16"/>
          <w:color w:val="auto"/>
        </w:rPr>
        <w:t>100%</w:t>
      </w:r>
    </w:p>
    <w:p>
      <w:pPr>
        <w:spacing w:after="0" w:line="86" w:lineRule="exact"/>
        <w:rPr>
          <w:sz w:val="20"/>
          <w:szCs w:val="20"/>
          <w:color w:val="auto"/>
        </w:rPr>
      </w:pPr>
    </w:p>
    <w:p>
      <w:pPr>
        <w:ind w:left="140"/>
        <w:spacing w:after="0"/>
        <w:rPr>
          <w:sz w:val="20"/>
          <w:szCs w:val="20"/>
          <w:color w:val="auto"/>
        </w:rPr>
      </w:pPr>
      <w:r>
        <w:rPr>
          <w:rFonts w:ascii="Arial" w:cs="Arial" w:eastAsia="Arial" w:hAnsi="Arial"/>
          <w:sz w:val="16"/>
          <w:szCs w:val="16"/>
          <w:color w:val="auto"/>
        </w:rPr>
        <w:t>100%</w:t>
      </w:r>
    </w:p>
    <w:p>
      <w:pPr>
        <w:spacing w:after="0" w:line="86" w:lineRule="exact"/>
        <w:rPr>
          <w:sz w:val="20"/>
          <w:szCs w:val="20"/>
          <w:color w:val="auto"/>
        </w:rPr>
      </w:pPr>
    </w:p>
    <w:p>
      <w:pPr>
        <w:ind w:left="140"/>
        <w:spacing w:after="0"/>
        <w:rPr>
          <w:sz w:val="20"/>
          <w:szCs w:val="20"/>
          <w:color w:val="auto"/>
        </w:rPr>
      </w:pPr>
      <w:r>
        <w:rPr>
          <w:rFonts w:ascii="Arial" w:cs="Arial" w:eastAsia="Arial" w:hAnsi="Arial"/>
          <w:sz w:val="16"/>
          <w:szCs w:val="16"/>
          <w:color w:val="auto"/>
        </w:rPr>
        <w:t>100%</w:t>
      </w:r>
    </w:p>
    <w:p>
      <w:pPr>
        <w:spacing w:after="0" w:line="86" w:lineRule="exact"/>
        <w:rPr>
          <w:sz w:val="20"/>
          <w:szCs w:val="20"/>
          <w:color w:val="auto"/>
        </w:rPr>
      </w:pPr>
    </w:p>
    <w:p>
      <w:pPr>
        <w:ind w:left="140"/>
        <w:spacing w:after="0"/>
        <w:rPr>
          <w:sz w:val="20"/>
          <w:szCs w:val="20"/>
          <w:color w:val="auto"/>
        </w:rPr>
      </w:pPr>
      <w:r>
        <w:rPr>
          <w:rFonts w:ascii="Arial" w:cs="Arial" w:eastAsia="Arial" w:hAnsi="Arial"/>
          <w:sz w:val="16"/>
          <w:szCs w:val="16"/>
          <w:color w:val="auto"/>
        </w:rPr>
        <w:t>100%</w:t>
      </w:r>
    </w:p>
    <w:p>
      <w:pPr>
        <w:spacing w:after="0" w:line="86" w:lineRule="exact"/>
        <w:rPr>
          <w:sz w:val="20"/>
          <w:szCs w:val="20"/>
          <w:color w:val="auto"/>
        </w:rPr>
      </w:pPr>
    </w:p>
    <w:p>
      <w:pPr>
        <w:ind w:left="140"/>
        <w:spacing w:after="0"/>
        <w:rPr>
          <w:sz w:val="20"/>
          <w:szCs w:val="20"/>
          <w:color w:val="auto"/>
        </w:rPr>
      </w:pPr>
      <w:r>
        <w:rPr>
          <w:rFonts w:ascii="Arial" w:cs="Arial" w:eastAsia="Arial" w:hAnsi="Arial"/>
          <w:sz w:val="16"/>
          <w:szCs w:val="16"/>
          <w:color w:val="auto"/>
        </w:rPr>
        <w:t>100%</w:t>
      </w:r>
    </w:p>
    <w:p>
      <w:pPr>
        <w:spacing w:after="0" w:line="86" w:lineRule="exact"/>
        <w:rPr>
          <w:sz w:val="20"/>
          <w:szCs w:val="20"/>
          <w:color w:val="auto"/>
        </w:rPr>
      </w:pPr>
    </w:p>
    <w:p>
      <w:pPr>
        <w:ind w:left="140"/>
        <w:spacing w:after="0"/>
        <w:rPr>
          <w:sz w:val="20"/>
          <w:szCs w:val="20"/>
          <w:color w:val="auto"/>
        </w:rPr>
      </w:pPr>
      <w:r>
        <w:rPr>
          <w:rFonts w:ascii="Arial" w:cs="Arial" w:eastAsia="Arial" w:hAnsi="Arial"/>
          <w:sz w:val="16"/>
          <w:szCs w:val="16"/>
          <w:color w:val="auto"/>
        </w:rPr>
        <w:t>100%</w:t>
      </w:r>
    </w:p>
    <w:p>
      <w:pPr>
        <w:spacing w:after="0" w:line="86" w:lineRule="exact"/>
        <w:rPr>
          <w:sz w:val="20"/>
          <w:szCs w:val="20"/>
          <w:color w:val="auto"/>
        </w:rPr>
      </w:pPr>
    </w:p>
    <w:p>
      <w:pPr>
        <w:ind w:left="140"/>
        <w:spacing w:after="0"/>
        <w:rPr>
          <w:sz w:val="20"/>
          <w:szCs w:val="20"/>
          <w:color w:val="auto"/>
        </w:rPr>
      </w:pPr>
      <w:r>
        <w:rPr>
          <w:rFonts w:ascii="Arial" w:cs="Arial" w:eastAsia="Arial" w:hAnsi="Arial"/>
          <w:sz w:val="16"/>
          <w:szCs w:val="16"/>
          <w:color w:val="auto"/>
        </w:rPr>
        <w:t>100%</w:t>
      </w:r>
    </w:p>
    <w:p>
      <w:pPr>
        <w:spacing w:after="0" w:line="86" w:lineRule="exact"/>
        <w:rPr>
          <w:sz w:val="20"/>
          <w:szCs w:val="20"/>
          <w:color w:val="auto"/>
        </w:rPr>
      </w:pPr>
    </w:p>
    <w:p>
      <w:pPr>
        <w:ind w:left="140"/>
        <w:spacing w:after="0"/>
        <w:rPr>
          <w:sz w:val="20"/>
          <w:szCs w:val="20"/>
          <w:color w:val="auto"/>
        </w:rPr>
      </w:pPr>
      <w:r>
        <w:rPr>
          <w:rFonts w:ascii="Arial" w:cs="Arial" w:eastAsia="Arial" w:hAnsi="Arial"/>
          <w:sz w:val="16"/>
          <w:szCs w:val="16"/>
          <w:color w:val="auto"/>
        </w:rPr>
        <w:t>100%</w:t>
      </w:r>
    </w:p>
    <w:p>
      <w:pPr>
        <w:spacing w:after="0" w:line="86" w:lineRule="exact"/>
        <w:rPr>
          <w:sz w:val="20"/>
          <w:szCs w:val="20"/>
          <w:color w:val="auto"/>
        </w:rPr>
      </w:pPr>
    </w:p>
    <w:p>
      <w:pPr>
        <w:ind w:left="140"/>
        <w:spacing w:after="0"/>
        <w:rPr>
          <w:sz w:val="20"/>
          <w:szCs w:val="20"/>
          <w:color w:val="auto"/>
        </w:rPr>
      </w:pPr>
      <w:r>
        <w:rPr>
          <w:rFonts w:ascii="Arial" w:cs="Arial" w:eastAsia="Arial" w:hAnsi="Arial"/>
          <w:sz w:val="16"/>
          <w:szCs w:val="16"/>
          <w:color w:val="auto"/>
        </w:rPr>
        <w:t>100%</w:t>
      </w:r>
    </w:p>
    <w:p>
      <w:pPr>
        <w:spacing w:after="0" w:line="86" w:lineRule="exact"/>
        <w:rPr>
          <w:sz w:val="20"/>
          <w:szCs w:val="20"/>
          <w:color w:val="auto"/>
        </w:rPr>
      </w:pPr>
    </w:p>
    <w:p>
      <w:pPr>
        <w:ind w:left="140"/>
        <w:spacing w:after="0"/>
        <w:rPr>
          <w:sz w:val="20"/>
          <w:szCs w:val="20"/>
          <w:color w:val="auto"/>
        </w:rPr>
      </w:pPr>
      <w:r>
        <w:rPr>
          <w:rFonts w:ascii="Arial" w:cs="Arial" w:eastAsia="Arial" w:hAnsi="Arial"/>
          <w:sz w:val="16"/>
          <w:szCs w:val="16"/>
          <w:color w:val="auto"/>
        </w:rPr>
        <w:t>100%</w:t>
      </w:r>
    </w:p>
    <w:p>
      <w:pPr>
        <w:spacing w:after="0" w:line="86" w:lineRule="exact"/>
        <w:rPr>
          <w:sz w:val="20"/>
          <w:szCs w:val="20"/>
          <w:color w:val="auto"/>
        </w:rPr>
      </w:pPr>
    </w:p>
    <w:p>
      <w:pPr>
        <w:ind w:left="140"/>
        <w:spacing w:after="0"/>
        <w:rPr>
          <w:sz w:val="20"/>
          <w:szCs w:val="20"/>
          <w:color w:val="auto"/>
        </w:rPr>
      </w:pPr>
      <w:r>
        <w:rPr>
          <w:rFonts w:ascii="Arial" w:cs="Arial" w:eastAsia="Arial" w:hAnsi="Arial"/>
          <w:sz w:val="16"/>
          <w:szCs w:val="16"/>
          <w:color w:val="auto"/>
        </w:rPr>
        <w:t>100%</w:t>
      </w:r>
    </w:p>
    <w:p>
      <w:pPr>
        <w:spacing w:after="0" w:line="86" w:lineRule="exact"/>
        <w:rPr>
          <w:sz w:val="20"/>
          <w:szCs w:val="20"/>
          <w:color w:val="auto"/>
        </w:rPr>
      </w:pPr>
    </w:p>
    <w:p>
      <w:pPr>
        <w:ind w:left="140"/>
        <w:spacing w:after="0"/>
        <w:rPr>
          <w:sz w:val="20"/>
          <w:szCs w:val="20"/>
          <w:color w:val="auto"/>
        </w:rPr>
      </w:pPr>
      <w:r>
        <w:rPr>
          <w:rFonts w:ascii="Arial" w:cs="Arial" w:eastAsia="Arial" w:hAnsi="Arial"/>
          <w:sz w:val="16"/>
          <w:szCs w:val="16"/>
          <w:color w:val="auto"/>
        </w:rPr>
        <w:t>100%</w:t>
      </w:r>
    </w:p>
    <w:p>
      <w:pPr>
        <w:spacing w:after="0" w:line="86" w:lineRule="exact"/>
        <w:rPr>
          <w:sz w:val="20"/>
          <w:szCs w:val="20"/>
          <w:color w:val="auto"/>
        </w:rPr>
      </w:pPr>
    </w:p>
    <w:p>
      <w:pPr>
        <w:ind w:left="140"/>
        <w:spacing w:after="0"/>
        <w:rPr>
          <w:sz w:val="20"/>
          <w:szCs w:val="20"/>
          <w:color w:val="auto"/>
        </w:rPr>
      </w:pPr>
      <w:r>
        <w:rPr>
          <w:rFonts w:ascii="Arial" w:cs="Arial" w:eastAsia="Arial" w:hAnsi="Arial"/>
          <w:sz w:val="16"/>
          <w:szCs w:val="16"/>
          <w:color w:val="auto"/>
        </w:rPr>
        <w:t>100%</w:t>
      </w:r>
    </w:p>
    <w:p>
      <w:pPr>
        <w:spacing w:after="0" w:line="86" w:lineRule="exact"/>
        <w:rPr>
          <w:sz w:val="20"/>
          <w:szCs w:val="20"/>
          <w:color w:val="auto"/>
        </w:rPr>
      </w:pPr>
    </w:p>
    <w:p>
      <w:pPr>
        <w:ind w:left="140"/>
        <w:spacing w:after="0"/>
        <w:rPr>
          <w:sz w:val="20"/>
          <w:szCs w:val="20"/>
          <w:color w:val="auto"/>
        </w:rPr>
      </w:pPr>
      <w:r>
        <w:rPr>
          <w:rFonts w:ascii="Arial" w:cs="Arial" w:eastAsia="Arial" w:hAnsi="Arial"/>
          <w:sz w:val="16"/>
          <w:szCs w:val="16"/>
          <w:color w:val="auto"/>
        </w:rPr>
        <w:t>100%</w:t>
      </w:r>
    </w:p>
    <w:p>
      <w:pPr>
        <w:spacing w:after="0" w:line="86" w:lineRule="exact"/>
        <w:rPr>
          <w:sz w:val="20"/>
          <w:szCs w:val="20"/>
          <w:color w:val="auto"/>
        </w:rPr>
      </w:pPr>
    </w:p>
    <w:p>
      <w:pPr>
        <w:ind w:left="140"/>
        <w:spacing w:after="0"/>
        <w:rPr>
          <w:sz w:val="20"/>
          <w:szCs w:val="20"/>
          <w:color w:val="auto"/>
        </w:rPr>
      </w:pPr>
      <w:r>
        <w:rPr>
          <w:rFonts w:ascii="Arial" w:cs="Arial" w:eastAsia="Arial" w:hAnsi="Arial"/>
          <w:sz w:val="16"/>
          <w:szCs w:val="16"/>
          <w:color w:val="auto"/>
        </w:rPr>
        <w:t>100%</w:t>
      </w:r>
    </w:p>
    <w:p>
      <w:pPr>
        <w:spacing w:after="0" w:line="86" w:lineRule="exact"/>
        <w:rPr>
          <w:sz w:val="20"/>
          <w:szCs w:val="20"/>
          <w:color w:val="auto"/>
        </w:rPr>
      </w:pPr>
    </w:p>
    <w:p>
      <w:pPr>
        <w:ind w:left="140"/>
        <w:spacing w:after="0"/>
        <w:rPr>
          <w:sz w:val="20"/>
          <w:szCs w:val="20"/>
          <w:color w:val="auto"/>
        </w:rPr>
      </w:pPr>
      <w:r>
        <w:rPr>
          <w:rFonts w:ascii="Arial" w:cs="Arial" w:eastAsia="Arial" w:hAnsi="Arial"/>
          <w:sz w:val="16"/>
          <w:szCs w:val="16"/>
          <w:color w:val="auto"/>
        </w:rPr>
        <w:t>100%</w:t>
      </w:r>
    </w:p>
    <w:p>
      <w:pPr>
        <w:spacing w:after="0" w:line="86" w:lineRule="exact"/>
        <w:rPr>
          <w:sz w:val="20"/>
          <w:szCs w:val="20"/>
          <w:color w:val="auto"/>
        </w:rPr>
      </w:pPr>
    </w:p>
    <w:p>
      <w:pPr>
        <w:ind w:left="140"/>
        <w:spacing w:after="0"/>
        <w:rPr>
          <w:sz w:val="20"/>
          <w:szCs w:val="20"/>
          <w:color w:val="auto"/>
        </w:rPr>
      </w:pPr>
      <w:r>
        <w:rPr>
          <w:rFonts w:ascii="Arial" w:cs="Arial" w:eastAsia="Arial" w:hAnsi="Arial"/>
          <w:sz w:val="16"/>
          <w:szCs w:val="16"/>
          <w:color w:val="auto"/>
        </w:rPr>
        <w:t>100%</w:t>
      </w:r>
    </w:p>
    <w:p>
      <w:pPr>
        <w:spacing w:after="0" w:line="86" w:lineRule="exact"/>
        <w:rPr>
          <w:sz w:val="20"/>
          <w:szCs w:val="20"/>
          <w:color w:val="auto"/>
        </w:rPr>
      </w:pPr>
    </w:p>
    <w:p>
      <w:pPr>
        <w:ind w:left="140"/>
        <w:spacing w:after="0"/>
        <w:rPr>
          <w:sz w:val="20"/>
          <w:szCs w:val="20"/>
          <w:color w:val="auto"/>
        </w:rPr>
      </w:pPr>
      <w:r>
        <w:rPr>
          <w:rFonts w:ascii="Arial" w:cs="Arial" w:eastAsia="Arial" w:hAnsi="Arial"/>
          <w:sz w:val="16"/>
          <w:szCs w:val="16"/>
          <w:color w:val="auto"/>
        </w:rPr>
        <w:t>100%</w:t>
      </w:r>
    </w:p>
    <w:p>
      <w:pPr>
        <w:spacing w:after="0" w:line="86" w:lineRule="exact"/>
        <w:rPr>
          <w:sz w:val="20"/>
          <w:szCs w:val="20"/>
          <w:color w:val="auto"/>
        </w:rPr>
      </w:pPr>
    </w:p>
    <w:p>
      <w:pPr>
        <w:ind w:left="140"/>
        <w:spacing w:after="0"/>
        <w:rPr>
          <w:sz w:val="20"/>
          <w:szCs w:val="20"/>
          <w:color w:val="auto"/>
        </w:rPr>
      </w:pPr>
      <w:r>
        <w:rPr>
          <w:rFonts w:ascii="Arial" w:cs="Arial" w:eastAsia="Arial" w:hAnsi="Arial"/>
          <w:sz w:val="16"/>
          <w:szCs w:val="16"/>
          <w:color w:val="auto"/>
        </w:rPr>
        <w:t>100%</w:t>
      </w:r>
    </w:p>
    <w:p>
      <w:pPr>
        <w:spacing w:after="0" w:line="86" w:lineRule="exact"/>
        <w:rPr>
          <w:sz w:val="20"/>
          <w:szCs w:val="20"/>
          <w:color w:val="auto"/>
        </w:rPr>
      </w:pPr>
    </w:p>
    <w:p>
      <w:pPr>
        <w:ind w:left="140"/>
        <w:spacing w:after="0"/>
        <w:rPr>
          <w:sz w:val="20"/>
          <w:szCs w:val="20"/>
          <w:color w:val="auto"/>
        </w:rPr>
      </w:pPr>
      <w:r>
        <w:rPr>
          <w:rFonts w:ascii="Arial" w:cs="Arial" w:eastAsia="Arial" w:hAnsi="Arial"/>
          <w:sz w:val="16"/>
          <w:szCs w:val="16"/>
          <w:color w:val="auto"/>
        </w:rPr>
        <w:t>100%</w:t>
      </w:r>
    </w:p>
    <w:p>
      <w:pPr>
        <w:spacing w:after="0" w:line="86" w:lineRule="exact"/>
        <w:rPr>
          <w:sz w:val="20"/>
          <w:szCs w:val="20"/>
          <w:color w:val="auto"/>
        </w:rPr>
      </w:pPr>
    </w:p>
    <w:p>
      <w:pPr>
        <w:ind w:left="140"/>
        <w:spacing w:after="0"/>
        <w:rPr>
          <w:sz w:val="20"/>
          <w:szCs w:val="20"/>
          <w:color w:val="auto"/>
        </w:rPr>
      </w:pPr>
      <w:r>
        <w:rPr>
          <w:rFonts w:ascii="Arial" w:cs="Arial" w:eastAsia="Arial" w:hAnsi="Arial"/>
          <w:sz w:val="16"/>
          <w:szCs w:val="16"/>
          <w:color w:val="auto"/>
        </w:rPr>
        <w:t>100%</w:t>
      </w:r>
    </w:p>
    <w:p>
      <w:pPr>
        <w:spacing w:after="0" w:line="86" w:lineRule="exact"/>
        <w:rPr>
          <w:sz w:val="20"/>
          <w:szCs w:val="20"/>
          <w:color w:val="auto"/>
        </w:rPr>
      </w:pPr>
    </w:p>
    <w:p>
      <w:pPr>
        <w:ind w:left="140"/>
        <w:spacing w:after="0"/>
        <w:rPr>
          <w:sz w:val="20"/>
          <w:szCs w:val="20"/>
          <w:color w:val="auto"/>
        </w:rPr>
      </w:pPr>
      <w:r>
        <w:rPr>
          <w:rFonts w:ascii="Arial" w:cs="Arial" w:eastAsia="Arial" w:hAnsi="Arial"/>
          <w:sz w:val="16"/>
          <w:szCs w:val="16"/>
          <w:color w:val="auto"/>
        </w:rPr>
        <w:t>100%</w:t>
      </w:r>
    </w:p>
    <w:p>
      <w:pPr>
        <w:spacing w:after="0" w:line="86" w:lineRule="exact"/>
        <w:rPr>
          <w:sz w:val="20"/>
          <w:szCs w:val="20"/>
          <w:color w:val="auto"/>
        </w:rPr>
      </w:pPr>
    </w:p>
    <w:p>
      <w:pPr>
        <w:ind w:left="140"/>
        <w:spacing w:after="0"/>
        <w:rPr>
          <w:sz w:val="20"/>
          <w:szCs w:val="20"/>
          <w:color w:val="auto"/>
        </w:rPr>
      </w:pPr>
      <w:r>
        <w:rPr>
          <w:rFonts w:ascii="Arial" w:cs="Arial" w:eastAsia="Arial" w:hAnsi="Arial"/>
          <w:sz w:val="16"/>
          <w:szCs w:val="16"/>
          <w:color w:val="auto"/>
        </w:rPr>
        <w:t>100%</w:t>
      </w:r>
    </w:p>
    <w:p>
      <w:pPr>
        <w:spacing w:after="0" w:line="73" w:lineRule="exact"/>
        <w:rPr>
          <w:sz w:val="20"/>
          <w:szCs w:val="20"/>
          <w:color w:val="auto"/>
        </w:rPr>
      </w:pPr>
    </w:p>
    <w:p>
      <w:pPr>
        <w:ind w:left="140"/>
        <w:spacing w:after="0"/>
        <w:rPr>
          <w:sz w:val="20"/>
          <w:szCs w:val="20"/>
          <w:color w:val="auto"/>
        </w:rPr>
      </w:pPr>
      <w:r>
        <w:rPr>
          <w:rFonts w:ascii="Arial" w:cs="Arial" w:eastAsia="Arial" w:hAnsi="Arial"/>
          <w:sz w:val="16"/>
          <w:szCs w:val="16"/>
          <w:color w:val="auto"/>
        </w:rPr>
        <w:t>100% (k)</w:t>
      </w:r>
    </w:p>
    <w:p>
      <w:pPr>
        <w:spacing w:after="0" w:line="86" w:lineRule="exact"/>
        <w:rPr>
          <w:sz w:val="20"/>
          <w:szCs w:val="20"/>
          <w:color w:val="auto"/>
        </w:rPr>
      </w:pPr>
    </w:p>
    <w:p>
      <w:pPr>
        <w:ind w:left="140"/>
        <w:spacing w:after="0"/>
        <w:rPr>
          <w:sz w:val="20"/>
          <w:szCs w:val="20"/>
          <w:color w:val="auto"/>
        </w:rPr>
      </w:pPr>
      <w:r>
        <w:rPr>
          <w:rFonts w:ascii="Arial" w:cs="Arial" w:eastAsia="Arial" w:hAnsi="Arial"/>
          <w:sz w:val="16"/>
          <w:szCs w:val="16"/>
          <w:color w:val="auto"/>
        </w:rPr>
        <w:t>100% (l)</w:t>
      </w:r>
    </w:p>
    <w:p>
      <w:pPr>
        <w:spacing w:after="0" w:line="86" w:lineRule="exact"/>
        <w:rPr>
          <w:sz w:val="20"/>
          <w:szCs w:val="20"/>
          <w:color w:val="auto"/>
        </w:rPr>
      </w:pPr>
    </w:p>
    <w:p>
      <w:pPr>
        <w:ind w:left="140"/>
        <w:spacing w:after="0"/>
        <w:rPr>
          <w:sz w:val="20"/>
          <w:szCs w:val="20"/>
          <w:color w:val="auto"/>
        </w:rPr>
      </w:pPr>
      <w:r>
        <w:rPr>
          <w:rFonts w:ascii="Arial" w:cs="Arial" w:eastAsia="Arial" w:hAnsi="Arial"/>
          <w:sz w:val="16"/>
          <w:szCs w:val="16"/>
          <w:color w:val="auto"/>
        </w:rPr>
        <w:t>100% (l)</w:t>
      </w:r>
    </w:p>
    <w:p>
      <w:pPr>
        <w:spacing w:after="0" w:line="100" w:lineRule="exact"/>
        <w:rPr>
          <w:sz w:val="20"/>
          <w:szCs w:val="20"/>
          <w:color w:val="auto"/>
        </w:rPr>
      </w:pPr>
    </w:p>
    <w:p>
      <w:pPr>
        <w:ind w:left="140"/>
        <w:spacing w:after="0"/>
        <w:rPr>
          <w:sz w:val="20"/>
          <w:szCs w:val="20"/>
          <w:color w:val="auto"/>
        </w:rPr>
      </w:pPr>
      <w:r>
        <w:rPr>
          <w:rFonts w:ascii="Arial" w:cs="Arial" w:eastAsia="Arial" w:hAnsi="Arial"/>
          <w:sz w:val="16"/>
          <w:szCs w:val="16"/>
          <w:color w:val="auto"/>
        </w:rPr>
        <w:t>100%</w:t>
      </w:r>
    </w:p>
    <w:p>
      <w:pPr>
        <w:spacing w:after="0" w:line="86" w:lineRule="exact"/>
        <w:rPr>
          <w:sz w:val="20"/>
          <w:szCs w:val="20"/>
          <w:color w:val="auto"/>
        </w:rPr>
      </w:pPr>
    </w:p>
    <w:p>
      <w:pPr>
        <w:ind w:left="140"/>
        <w:spacing w:after="0"/>
        <w:rPr>
          <w:sz w:val="20"/>
          <w:szCs w:val="20"/>
          <w:color w:val="auto"/>
        </w:rPr>
      </w:pPr>
      <w:r>
        <w:rPr>
          <w:rFonts w:ascii="Arial" w:cs="Arial" w:eastAsia="Arial" w:hAnsi="Arial"/>
          <w:sz w:val="16"/>
          <w:szCs w:val="16"/>
          <w:color w:val="auto"/>
        </w:rPr>
        <w:t>100%</w:t>
      </w:r>
    </w:p>
    <w:p>
      <w:pPr>
        <w:spacing w:after="0" w:line="86" w:lineRule="exact"/>
        <w:rPr>
          <w:sz w:val="20"/>
          <w:szCs w:val="20"/>
          <w:color w:val="auto"/>
        </w:rPr>
      </w:pPr>
    </w:p>
    <w:p>
      <w:pPr>
        <w:ind w:left="140"/>
        <w:spacing w:after="0"/>
        <w:rPr>
          <w:sz w:val="20"/>
          <w:szCs w:val="20"/>
          <w:color w:val="auto"/>
        </w:rPr>
      </w:pPr>
      <w:r>
        <w:rPr>
          <w:rFonts w:ascii="Arial" w:cs="Arial" w:eastAsia="Arial" w:hAnsi="Arial"/>
          <w:sz w:val="16"/>
          <w:szCs w:val="16"/>
          <w:color w:val="auto"/>
        </w:rPr>
        <w:t>100%</w:t>
      </w:r>
    </w:p>
    <w:p>
      <w:pPr>
        <w:spacing w:after="0" w:line="86" w:lineRule="exact"/>
        <w:rPr>
          <w:sz w:val="20"/>
          <w:szCs w:val="20"/>
          <w:color w:val="auto"/>
        </w:rPr>
      </w:pPr>
    </w:p>
    <w:p>
      <w:pPr>
        <w:ind w:left="140"/>
        <w:spacing w:after="0"/>
        <w:rPr>
          <w:sz w:val="20"/>
          <w:szCs w:val="20"/>
          <w:color w:val="auto"/>
        </w:rPr>
      </w:pPr>
      <w:r>
        <w:rPr>
          <w:rFonts w:ascii="Arial" w:cs="Arial" w:eastAsia="Arial" w:hAnsi="Arial"/>
          <w:sz w:val="16"/>
          <w:szCs w:val="16"/>
          <w:color w:val="auto"/>
        </w:rPr>
        <w:t>100%</w:t>
      </w:r>
    </w:p>
    <w:p>
      <w:pPr>
        <w:spacing w:after="0" w:line="86" w:lineRule="exact"/>
        <w:rPr>
          <w:sz w:val="20"/>
          <w:szCs w:val="20"/>
          <w:color w:val="auto"/>
        </w:rPr>
      </w:pPr>
    </w:p>
    <w:p>
      <w:pPr>
        <w:ind w:left="140"/>
        <w:spacing w:after="0"/>
        <w:rPr>
          <w:sz w:val="20"/>
          <w:szCs w:val="20"/>
          <w:color w:val="auto"/>
        </w:rPr>
      </w:pPr>
      <w:r>
        <w:rPr>
          <w:rFonts w:ascii="Arial" w:cs="Arial" w:eastAsia="Arial" w:hAnsi="Arial"/>
          <w:sz w:val="16"/>
          <w:szCs w:val="16"/>
          <w:color w:val="auto"/>
        </w:rPr>
        <w:t>100%</w:t>
      </w:r>
    </w:p>
    <w:p>
      <w:pPr>
        <w:spacing w:after="0" w:line="86" w:lineRule="exact"/>
        <w:rPr>
          <w:sz w:val="20"/>
          <w:szCs w:val="20"/>
          <w:color w:val="auto"/>
        </w:rPr>
      </w:pPr>
    </w:p>
    <w:p>
      <w:pPr>
        <w:ind w:left="140"/>
        <w:spacing w:after="0"/>
        <w:rPr>
          <w:sz w:val="20"/>
          <w:szCs w:val="20"/>
          <w:color w:val="auto"/>
        </w:rPr>
      </w:pPr>
      <w:r>
        <w:rPr>
          <w:rFonts w:ascii="Arial" w:cs="Arial" w:eastAsia="Arial" w:hAnsi="Arial"/>
          <w:sz w:val="16"/>
          <w:szCs w:val="16"/>
          <w:color w:val="auto"/>
        </w:rPr>
        <w:t>100%</w:t>
      </w:r>
    </w:p>
    <w:p>
      <w:pPr>
        <w:spacing w:after="0" w:line="86" w:lineRule="exact"/>
        <w:rPr>
          <w:sz w:val="20"/>
          <w:szCs w:val="20"/>
          <w:color w:val="auto"/>
        </w:rPr>
      </w:pPr>
    </w:p>
    <w:p>
      <w:pPr>
        <w:ind w:left="140"/>
        <w:spacing w:after="0"/>
        <w:rPr>
          <w:sz w:val="20"/>
          <w:szCs w:val="20"/>
          <w:color w:val="auto"/>
        </w:rPr>
      </w:pPr>
      <w:r>
        <w:rPr>
          <w:rFonts w:ascii="Arial" w:cs="Arial" w:eastAsia="Arial" w:hAnsi="Arial"/>
          <w:sz w:val="16"/>
          <w:szCs w:val="16"/>
          <w:color w:val="auto"/>
        </w:rPr>
        <w:t>100%</w:t>
      </w:r>
    </w:p>
    <w:p>
      <w:pPr>
        <w:spacing w:after="0" w:line="86" w:lineRule="exact"/>
        <w:rPr>
          <w:sz w:val="20"/>
          <w:szCs w:val="20"/>
          <w:color w:val="auto"/>
        </w:rPr>
      </w:pPr>
    </w:p>
    <w:p>
      <w:pPr>
        <w:ind w:left="140"/>
        <w:spacing w:after="0"/>
        <w:rPr>
          <w:sz w:val="20"/>
          <w:szCs w:val="20"/>
          <w:color w:val="auto"/>
        </w:rPr>
      </w:pPr>
      <w:r>
        <w:rPr>
          <w:rFonts w:ascii="Arial" w:cs="Arial" w:eastAsia="Arial" w:hAnsi="Arial"/>
          <w:sz w:val="16"/>
          <w:szCs w:val="16"/>
          <w:color w:val="auto"/>
        </w:rPr>
        <w:t>100%</w:t>
      </w:r>
    </w:p>
    <w:p>
      <w:pPr>
        <w:spacing w:after="0" w:line="86" w:lineRule="exact"/>
        <w:rPr>
          <w:sz w:val="20"/>
          <w:szCs w:val="20"/>
          <w:color w:val="auto"/>
        </w:rPr>
      </w:pPr>
    </w:p>
    <w:p>
      <w:pPr>
        <w:ind w:left="140"/>
        <w:spacing w:after="0"/>
        <w:rPr>
          <w:sz w:val="20"/>
          <w:szCs w:val="20"/>
          <w:color w:val="auto"/>
        </w:rPr>
      </w:pPr>
      <w:r>
        <w:rPr>
          <w:rFonts w:ascii="Arial" w:cs="Arial" w:eastAsia="Arial" w:hAnsi="Arial"/>
          <w:sz w:val="16"/>
          <w:szCs w:val="16"/>
          <w:color w:val="auto"/>
        </w:rPr>
        <w:t>100%</w:t>
      </w:r>
    </w:p>
    <w:p>
      <w:pPr>
        <w:spacing w:after="0" w:line="86" w:lineRule="exact"/>
        <w:rPr>
          <w:sz w:val="20"/>
          <w:szCs w:val="20"/>
          <w:color w:val="auto"/>
        </w:rPr>
      </w:pPr>
    </w:p>
    <w:p>
      <w:pPr>
        <w:ind w:left="140"/>
        <w:spacing w:after="0"/>
        <w:rPr>
          <w:sz w:val="20"/>
          <w:szCs w:val="20"/>
          <w:color w:val="auto"/>
        </w:rPr>
      </w:pPr>
      <w:r>
        <w:rPr>
          <w:rFonts w:ascii="Arial" w:cs="Arial" w:eastAsia="Arial" w:hAnsi="Arial"/>
          <w:sz w:val="16"/>
          <w:szCs w:val="16"/>
          <w:color w:val="auto"/>
        </w:rPr>
        <w:t>100%</w:t>
      </w:r>
    </w:p>
    <w:p>
      <w:pPr>
        <w:spacing w:after="0" w:line="86" w:lineRule="exact"/>
        <w:rPr>
          <w:sz w:val="20"/>
          <w:szCs w:val="20"/>
          <w:color w:val="auto"/>
        </w:rPr>
      </w:pPr>
    </w:p>
    <w:p>
      <w:pPr>
        <w:ind w:left="140"/>
        <w:spacing w:after="0"/>
        <w:rPr>
          <w:sz w:val="20"/>
          <w:szCs w:val="20"/>
          <w:color w:val="auto"/>
        </w:rPr>
      </w:pPr>
      <w:r>
        <w:rPr>
          <w:rFonts w:ascii="Arial" w:cs="Arial" w:eastAsia="Arial" w:hAnsi="Arial"/>
          <w:sz w:val="16"/>
          <w:szCs w:val="16"/>
          <w:color w:val="auto"/>
        </w:rPr>
        <w:t>100%</w:t>
      </w:r>
    </w:p>
    <w:p>
      <w:pPr>
        <w:spacing w:after="0" w:line="86" w:lineRule="exact"/>
        <w:rPr>
          <w:sz w:val="20"/>
          <w:szCs w:val="20"/>
          <w:color w:val="auto"/>
        </w:rPr>
      </w:pPr>
    </w:p>
    <w:p>
      <w:pPr>
        <w:ind w:left="140"/>
        <w:spacing w:after="0"/>
        <w:rPr>
          <w:sz w:val="20"/>
          <w:szCs w:val="20"/>
          <w:color w:val="auto"/>
        </w:rPr>
      </w:pPr>
      <w:r>
        <w:rPr>
          <w:rFonts w:ascii="Arial" w:cs="Arial" w:eastAsia="Arial" w:hAnsi="Arial"/>
          <w:sz w:val="16"/>
          <w:szCs w:val="16"/>
          <w:color w:val="auto"/>
        </w:rPr>
        <w:t>100%</w:t>
      </w:r>
    </w:p>
    <w:p>
      <w:pPr>
        <w:spacing w:after="0" w:line="86" w:lineRule="exact"/>
        <w:rPr>
          <w:sz w:val="20"/>
          <w:szCs w:val="20"/>
          <w:color w:val="auto"/>
        </w:rPr>
      </w:pPr>
    </w:p>
    <w:p>
      <w:pPr>
        <w:ind w:left="140"/>
        <w:spacing w:after="0"/>
        <w:rPr>
          <w:sz w:val="20"/>
          <w:szCs w:val="20"/>
          <w:color w:val="auto"/>
        </w:rPr>
      </w:pPr>
      <w:r>
        <w:rPr>
          <w:rFonts w:ascii="Arial" w:cs="Arial" w:eastAsia="Arial" w:hAnsi="Arial"/>
          <w:sz w:val="16"/>
          <w:szCs w:val="16"/>
          <w:color w:val="auto"/>
        </w:rPr>
        <w:t>100%</w:t>
      </w:r>
    </w:p>
    <w:p>
      <w:pPr>
        <w:spacing w:after="0" w:line="86" w:lineRule="exact"/>
        <w:rPr>
          <w:sz w:val="20"/>
          <w:szCs w:val="20"/>
          <w:color w:val="auto"/>
        </w:rPr>
      </w:pPr>
    </w:p>
    <w:p>
      <w:pPr>
        <w:ind w:left="140"/>
        <w:spacing w:after="0"/>
        <w:rPr>
          <w:sz w:val="20"/>
          <w:szCs w:val="20"/>
          <w:color w:val="auto"/>
        </w:rPr>
      </w:pPr>
      <w:r>
        <w:rPr>
          <w:rFonts w:ascii="Arial" w:cs="Arial" w:eastAsia="Arial" w:hAnsi="Arial"/>
          <w:sz w:val="16"/>
          <w:szCs w:val="16"/>
          <w:color w:val="auto"/>
        </w:rPr>
        <w:t>100%</w:t>
      </w:r>
    </w:p>
    <w:p>
      <w:pPr>
        <w:spacing w:after="0" w:line="86" w:lineRule="exact"/>
        <w:rPr>
          <w:sz w:val="20"/>
          <w:szCs w:val="20"/>
          <w:color w:val="auto"/>
        </w:rPr>
      </w:pPr>
    </w:p>
    <w:p>
      <w:pPr>
        <w:ind w:left="140"/>
        <w:spacing w:after="0"/>
        <w:rPr>
          <w:sz w:val="20"/>
          <w:szCs w:val="20"/>
          <w:color w:val="auto"/>
        </w:rPr>
      </w:pPr>
      <w:r>
        <w:rPr>
          <w:rFonts w:ascii="Arial" w:cs="Arial" w:eastAsia="Arial" w:hAnsi="Arial"/>
          <w:sz w:val="16"/>
          <w:szCs w:val="16"/>
          <w:color w:val="auto"/>
        </w:rPr>
        <w:t>100%</w:t>
      </w:r>
    </w:p>
    <w:p>
      <w:pPr>
        <w:spacing w:after="0" w:line="86" w:lineRule="exact"/>
        <w:rPr>
          <w:sz w:val="20"/>
          <w:szCs w:val="20"/>
          <w:color w:val="auto"/>
        </w:rPr>
      </w:pPr>
    </w:p>
    <w:p>
      <w:pPr>
        <w:ind w:left="140"/>
        <w:spacing w:after="0"/>
        <w:rPr>
          <w:sz w:val="20"/>
          <w:szCs w:val="20"/>
          <w:color w:val="auto"/>
        </w:rPr>
      </w:pPr>
      <w:r>
        <w:rPr>
          <w:rFonts w:ascii="Arial" w:cs="Arial" w:eastAsia="Arial" w:hAnsi="Arial"/>
          <w:sz w:val="16"/>
          <w:szCs w:val="16"/>
          <w:color w:val="auto"/>
        </w:rPr>
        <w:t>100%</w:t>
      </w:r>
    </w:p>
    <w:p>
      <w:pPr>
        <w:spacing w:after="0" w:line="73" w:lineRule="exact"/>
        <w:rPr>
          <w:sz w:val="20"/>
          <w:szCs w:val="20"/>
          <w:color w:val="auto"/>
        </w:rPr>
      </w:pPr>
    </w:p>
    <w:p>
      <w:pPr>
        <w:ind w:left="140"/>
        <w:spacing w:after="0"/>
        <w:rPr>
          <w:sz w:val="20"/>
          <w:szCs w:val="20"/>
          <w:color w:val="auto"/>
        </w:rPr>
      </w:pPr>
      <w:r>
        <w:rPr>
          <w:rFonts w:ascii="Arial" w:cs="Arial" w:eastAsia="Arial" w:hAnsi="Arial"/>
          <w:sz w:val="16"/>
          <w:szCs w:val="16"/>
          <w:color w:val="auto"/>
        </w:rPr>
        <w:t>100% (m)</w:t>
      </w:r>
    </w:p>
    <w:p>
      <w:pPr>
        <w:spacing w:after="0" w:line="100" w:lineRule="exact"/>
        <w:rPr>
          <w:sz w:val="20"/>
          <w:szCs w:val="20"/>
          <w:color w:val="auto"/>
        </w:rPr>
      </w:pPr>
    </w:p>
    <w:p>
      <w:pPr>
        <w:ind w:left="140"/>
        <w:spacing w:after="0"/>
        <w:rPr>
          <w:sz w:val="20"/>
          <w:szCs w:val="20"/>
          <w:color w:val="auto"/>
        </w:rPr>
      </w:pPr>
      <w:r>
        <w:rPr>
          <w:rFonts w:ascii="Arial" w:cs="Arial" w:eastAsia="Arial" w:hAnsi="Arial"/>
          <w:sz w:val="16"/>
          <w:szCs w:val="16"/>
          <w:color w:val="auto"/>
        </w:rPr>
        <w:t>100%</w:t>
      </w:r>
    </w:p>
    <w:p>
      <w:pPr>
        <w:spacing w:after="0" w:line="86" w:lineRule="exact"/>
        <w:rPr>
          <w:sz w:val="20"/>
          <w:szCs w:val="20"/>
          <w:color w:val="auto"/>
        </w:rPr>
      </w:pPr>
    </w:p>
    <w:p>
      <w:pPr>
        <w:ind w:left="140"/>
        <w:spacing w:after="0"/>
        <w:rPr>
          <w:sz w:val="20"/>
          <w:szCs w:val="20"/>
          <w:color w:val="auto"/>
        </w:rPr>
      </w:pPr>
      <w:r>
        <w:rPr>
          <w:rFonts w:ascii="Arial" w:cs="Arial" w:eastAsia="Arial" w:hAnsi="Arial"/>
          <w:sz w:val="16"/>
          <w:szCs w:val="16"/>
          <w:color w:val="auto"/>
        </w:rPr>
        <w:t>100%</w:t>
      </w:r>
    </w:p>
    <w:p>
      <w:pPr>
        <w:spacing w:after="0" w:line="86" w:lineRule="exact"/>
        <w:rPr>
          <w:sz w:val="20"/>
          <w:szCs w:val="20"/>
          <w:color w:val="auto"/>
        </w:rPr>
      </w:pPr>
    </w:p>
    <w:p>
      <w:pPr>
        <w:ind w:left="140"/>
        <w:spacing w:after="0"/>
        <w:rPr>
          <w:sz w:val="20"/>
          <w:szCs w:val="20"/>
          <w:color w:val="auto"/>
        </w:rPr>
      </w:pPr>
      <w:r>
        <w:rPr>
          <w:rFonts w:ascii="Arial" w:cs="Arial" w:eastAsia="Arial" w:hAnsi="Arial"/>
          <w:sz w:val="16"/>
          <w:szCs w:val="16"/>
          <w:color w:val="auto"/>
        </w:rPr>
        <w:t>100%</w:t>
      </w:r>
    </w:p>
    <w:p>
      <w:pPr>
        <w:spacing w:after="0" w:line="86" w:lineRule="exact"/>
        <w:rPr>
          <w:sz w:val="20"/>
          <w:szCs w:val="20"/>
          <w:color w:val="auto"/>
        </w:rPr>
      </w:pPr>
    </w:p>
    <w:p>
      <w:pPr>
        <w:ind w:left="140"/>
        <w:spacing w:after="0"/>
        <w:rPr>
          <w:sz w:val="20"/>
          <w:szCs w:val="20"/>
          <w:color w:val="auto"/>
        </w:rPr>
      </w:pPr>
      <w:r>
        <w:rPr>
          <w:rFonts w:ascii="Arial" w:cs="Arial" w:eastAsia="Arial" w:hAnsi="Arial"/>
          <w:sz w:val="16"/>
          <w:szCs w:val="16"/>
          <w:color w:val="auto"/>
        </w:rPr>
        <w:t>100%</w:t>
      </w:r>
    </w:p>
    <w:p>
      <w:pPr>
        <w:spacing w:after="0" w:line="86" w:lineRule="exact"/>
        <w:rPr>
          <w:sz w:val="20"/>
          <w:szCs w:val="20"/>
          <w:color w:val="auto"/>
        </w:rPr>
      </w:pPr>
    </w:p>
    <w:p>
      <w:pPr>
        <w:ind w:left="140"/>
        <w:spacing w:after="0"/>
        <w:rPr>
          <w:sz w:val="20"/>
          <w:szCs w:val="20"/>
          <w:color w:val="auto"/>
        </w:rPr>
      </w:pPr>
      <w:r>
        <w:rPr>
          <w:rFonts w:ascii="Arial" w:cs="Arial" w:eastAsia="Arial" w:hAnsi="Arial"/>
          <w:sz w:val="16"/>
          <w:szCs w:val="16"/>
          <w:color w:val="auto"/>
        </w:rPr>
        <w:t>100%</w:t>
      </w:r>
    </w:p>
    <w:p>
      <w:pPr>
        <w:spacing w:after="0" w:line="86" w:lineRule="exact"/>
        <w:rPr>
          <w:sz w:val="20"/>
          <w:szCs w:val="20"/>
          <w:color w:val="auto"/>
        </w:rPr>
      </w:pPr>
    </w:p>
    <w:p>
      <w:pPr>
        <w:ind w:left="140"/>
        <w:spacing w:after="0"/>
        <w:rPr>
          <w:sz w:val="20"/>
          <w:szCs w:val="20"/>
          <w:color w:val="auto"/>
        </w:rPr>
      </w:pPr>
      <w:r>
        <w:rPr>
          <w:rFonts w:ascii="Arial" w:cs="Arial" w:eastAsia="Arial" w:hAnsi="Arial"/>
          <w:sz w:val="16"/>
          <w:szCs w:val="16"/>
          <w:color w:val="auto"/>
        </w:rPr>
        <w:t>100%</w:t>
      </w:r>
    </w:p>
    <w:p>
      <w:pPr>
        <w:spacing w:after="0" w:line="86" w:lineRule="exact"/>
        <w:rPr>
          <w:sz w:val="20"/>
          <w:szCs w:val="20"/>
          <w:color w:val="auto"/>
        </w:rPr>
      </w:pPr>
    </w:p>
    <w:p>
      <w:pPr>
        <w:ind w:left="140"/>
        <w:spacing w:after="0"/>
        <w:rPr>
          <w:sz w:val="20"/>
          <w:szCs w:val="20"/>
          <w:color w:val="auto"/>
        </w:rPr>
      </w:pPr>
      <w:r>
        <w:rPr>
          <w:rFonts w:ascii="Arial" w:cs="Arial" w:eastAsia="Arial" w:hAnsi="Arial"/>
          <w:sz w:val="16"/>
          <w:szCs w:val="16"/>
          <w:color w:val="auto"/>
        </w:rPr>
        <w:t>100%</w:t>
      </w:r>
    </w:p>
    <w:p>
      <w:pPr>
        <w:spacing w:after="0" w:line="86" w:lineRule="exact"/>
        <w:rPr>
          <w:sz w:val="20"/>
          <w:szCs w:val="20"/>
          <w:color w:val="auto"/>
        </w:rPr>
      </w:pPr>
    </w:p>
    <w:p>
      <w:pPr>
        <w:ind w:left="140"/>
        <w:spacing w:after="0"/>
        <w:rPr>
          <w:sz w:val="20"/>
          <w:szCs w:val="20"/>
          <w:color w:val="auto"/>
        </w:rPr>
      </w:pPr>
      <w:r>
        <w:rPr>
          <w:rFonts w:ascii="Arial" w:cs="Arial" w:eastAsia="Arial" w:hAnsi="Arial"/>
          <w:sz w:val="16"/>
          <w:szCs w:val="16"/>
          <w:color w:val="auto"/>
        </w:rPr>
        <w:t>100%</w:t>
      </w:r>
    </w:p>
    <w:p>
      <w:pPr>
        <w:spacing w:after="0" w:line="86" w:lineRule="exact"/>
        <w:rPr>
          <w:sz w:val="20"/>
          <w:szCs w:val="20"/>
          <w:color w:val="auto"/>
        </w:rPr>
      </w:pPr>
    </w:p>
    <w:p>
      <w:pPr>
        <w:ind w:left="140"/>
        <w:spacing w:after="0"/>
        <w:rPr>
          <w:sz w:val="20"/>
          <w:szCs w:val="20"/>
          <w:color w:val="auto"/>
        </w:rPr>
      </w:pPr>
      <w:r>
        <w:rPr>
          <w:rFonts w:ascii="Arial" w:cs="Arial" w:eastAsia="Arial" w:hAnsi="Arial"/>
          <w:sz w:val="16"/>
          <w:szCs w:val="16"/>
          <w:color w:val="auto"/>
        </w:rPr>
        <w:t>100%</w:t>
      </w:r>
    </w:p>
    <w:p>
      <w:pPr>
        <w:spacing w:after="0" w:line="86" w:lineRule="exact"/>
        <w:rPr>
          <w:sz w:val="20"/>
          <w:szCs w:val="20"/>
          <w:color w:val="auto"/>
        </w:rPr>
      </w:pPr>
    </w:p>
    <w:p>
      <w:pPr>
        <w:ind w:left="140"/>
        <w:spacing w:after="0"/>
        <w:rPr>
          <w:sz w:val="20"/>
          <w:szCs w:val="20"/>
          <w:color w:val="auto"/>
        </w:rPr>
      </w:pPr>
      <w:r>
        <w:rPr>
          <w:rFonts w:ascii="Arial" w:cs="Arial" w:eastAsia="Arial" w:hAnsi="Arial"/>
          <w:sz w:val="16"/>
          <w:szCs w:val="16"/>
          <w:color w:val="auto"/>
        </w:rPr>
        <w:t>100%</w:t>
      </w:r>
    </w:p>
    <w:p>
      <w:pPr>
        <w:sectPr>
          <w:pgSz w:w="11900" w:h="16838" w:orient="portrait"/>
          <w:cols w:equalWidth="0" w:num="2">
            <w:col w:w="8460" w:space="720"/>
            <w:col w:w="860"/>
          </w:cols>
          <w:pgMar w:left="980" w:top="769" w:right="879" w:bottom="0" w:gutter="0" w:footer="0" w:header="0"/>
        </w:sectPr>
      </w:pPr>
    </w:p>
    <w:bookmarkStart w:id="124" w:name="page125"/>
    <w:bookmarkEnd w:id="124"/>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25" w:name="page126"/>
    <w:bookmarkEnd w:id="125"/>
    <w:p>
      <w:pPr>
        <w:ind w:left="547"/>
        <w:spacing w:after="0"/>
        <w:tabs>
          <w:tab w:leader="none" w:pos="6646" w:val="left"/>
        </w:tabs>
        <w:rPr>
          <w:sz w:val="20"/>
          <w:szCs w:val="20"/>
          <w:color w:val="auto"/>
        </w:rPr>
      </w:pPr>
      <w:r>
        <w:rPr>
          <w:rFonts w:ascii="Arial" w:cs="Arial" w:eastAsia="Arial" w:hAnsi="Arial"/>
          <w:sz w:val="16"/>
          <w:szCs w:val="16"/>
          <w:color w:val="auto"/>
        </w:rPr>
        <w:t>Kaplan York Limited</w:t>
      </w:r>
      <w:r>
        <w:rPr>
          <w:sz w:val="20"/>
          <w:szCs w:val="20"/>
          <w:color w:val="auto"/>
        </w:rPr>
        <w:tab/>
      </w:r>
      <w:r>
        <w:rPr>
          <w:rFonts w:ascii="Arial" w:cs="Arial" w:eastAsia="Arial" w:hAnsi="Arial"/>
          <w:sz w:val="16"/>
          <w:szCs w:val="16"/>
          <w:color w:val="auto"/>
        </w:rPr>
        <w:t>England &amp; Wales</w:t>
      </w:r>
    </w:p>
    <w:p>
      <w:pPr>
        <w:spacing w:after="0" w:line="86" w:lineRule="exact"/>
        <w:rPr>
          <w:sz w:val="20"/>
          <w:szCs w:val="20"/>
          <w:color w:val="auto"/>
        </w:rPr>
      </w:pPr>
    </w:p>
    <w:p>
      <w:pPr>
        <w:ind w:left="767"/>
        <w:spacing w:after="0"/>
        <w:tabs>
          <w:tab w:leader="none" w:pos="6646" w:val="left"/>
        </w:tabs>
        <w:rPr>
          <w:sz w:val="20"/>
          <w:szCs w:val="20"/>
          <w:color w:val="auto"/>
        </w:rPr>
      </w:pPr>
      <w:r>
        <w:rPr>
          <w:rFonts w:ascii="Arial" w:cs="Arial" w:eastAsia="Arial" w:hAnsi="Arial"/>
          <w:sz w:val="16"/>
          <w:szCs w:val="16"/>
          <w:color w:val="auto"/>
        </w:rPr>
        <w:t>University of York International Pathway College LLP</w:t>
      </w:r>
      <w:r>
        <w:rPr>
          <w:sz w:val="20"/>
          <w:szCs w:val="20"/>
          <w:color w:val="auto"/>
        </w:rPr>
        <w:tab/>
      </w:r>
      <w:r>
        <w:rPr>
          <w:rFonts w:ascii="Arial" w:cs="Arial" w:eastAsia="Arial" w:hAnsi="Arial"/>
          <w:sz w:val="16"/>
          <w:szCs w:val="16"/>
          <w:color w:val="auto"/>
        </w:rPr>
        <w:t>England &amp; Wales</w:t>
      </w:r>
    </w:p>
    <w:p>
      <w:pPr>
        <w:spacing w:after="0" w:line="86" w:lineRule="exact"/>
        <w:rPr>
          <w:sz w:val="20"/>
          <w:szCs w:val="20"/>
          <w:color w:val="auto"/>
        </w:rPr>
      </w:pPr>
    </w:p>
    <w:p>
      <w:pPr>
        <w:ind w:left="547"/>
        <w:spacing w:after="0"/>
        <w:tabs>
          <w:tab w:leader="none" w:pos="6646" w:val="left"/>
        </w:tabs>
        <w:rPr>
          <w:sz w:val="20"/>
          <w:szCs w:val="20"/>
          <w:color w:val="auto"/>
        </w:rPr>
      </w:pPr>
      <w:r>
        <w:rPr>
          <w:rFonts w:ascii="Arial" w:cs="Arial" w:eastAsia="Arial" w:hAnsi="Arial"/>
          <w:sz w:val="16"/>
          <w:szCs w:val="16"/>
          <w:color w:val="auto"/>
        </w:rPr>
        <w:t>Kaplan Partner Services HK Limited</w:t>
      </w:r>
      <w:r>
        <w:rPr>
          <w:sz w:val="20"/>
          <w:szCs w:val="20"/>
          <w:color w:val="auto"/>
        </w:rPr>
        <w:tab/>
      </w:r>
      <w:r>
        <w:rPr>
          <w:rFonts w:ascii="Arial" w:cs="Arial" w:eastAsia="Arial" w:hAnsi="Arial"/>
          <w:sz w:val="15"/>
          <w:szCs w:val="15"/>
          <w:color w:val="auto"/>
        </w:rPr>
        <w:t>Hong Kong</w:t>
      </w:r>
    </w:p>
    <w:p>
      <w:pPr>
        <w:spacing w:after="0" w:line="86" w:lineRule="exact"/>
        <w:rPr>
          <w:sz w:val="20"/>
          <w:szCs w:val="20"/>
          <w:color w:val="auto"/>
        </w:rPr>
      </w:pPr>
    </w:p>
    <w:p>
      <w:pPr>
        <w:ind w:left="547"/>
        <w:spacing w:after="0"/>
        <w:tabs>
          <w:tab w:leader="none" w:pos="6646" w:val="left"/>
        </w:tabs>
        <w:rPr>
          <w:sz w:val="20"/>
          <w:szCs w:val="20"/>
          <w:color w:val="auto"/>
        </w:rPr>
      </w:pPr>
      <w:r>
        <w:rPr>
          <w:rFonts w:ascii="Arial" w:cs="Arial" w:eastAsia="Arial" w:hAnsi="Arial"/>
          <w:sz w:val="16"/>
          <w:szCs w:val="16"/>
          <w:color w:val="auto"/>
        </w:rPr>
        <w:t>Kaplan Law School Limited</w:t>
      </w:r>
      <w:r>
        <w:rPr>
          <w:sz w:val="20"/>
          <w:szCs w:val="20"/>
          <w:color w:val="auto"/>
        </w:rPr>
        <w:tab/>
      </w:r>
      <w:r>
        <w:rPr>
          <w:rFonts w:ascii="Arial" w:cs="Arial" w:eastAsia="Arial" w:hAnsi="Arial"/>
          <w:sz w:val="16"/>
          <w:szCs w:val="16"/>
          <w:color w:val="auto"/>
        </w:rPr>
        <w:t>England &amp; Wales</w:t>
      </w:r>
    </w:p>
    <w:p>
      <w:pPr>
        <w:spacing w:after="0" w:line="86" w:lineRule="exact"/>
        <w:rPr>
          <w:sz w:val="20"/>
          <w:szCs w:val="20"/>
          <w:color w:val="auto"/>
        </w:rPr>
      </w:pPr>
    </w:p>
    <w:p>
      <w:pPr>
        <w:ind w:left="547"/>
        <w:spacing w:after="0"/>
        <w:tabs>
          <w:tab w:leader="none" w:pos="6646" w:val="left"/>
        </w:tabs>
        <w:rPr>
          <w:sz w:val="20"/>
          <w:szCs w:val="20"/>
          <w:color w:val="auto"/>
        </w:rPr>
      </w:pPr>
      <w:r>
        <w:rPr>
          <w:rFonts w:ascii="Arial" w:cs="Arial" w:eastAsia="Arial" w:hAnsi="Arial"/>
          <w:sz w:val="16"/>
          <w:szCs w:val="16"/>
          <w:color w:val="auto"/>
        </w:rPr>
        <w:t>Kaplan Open Learning Limited</w:t>
      </w:r>
      <w:r>
        <w:rPr>
          <w:sz w:val="20"/>
          <w:szCs w:val="20"/>
          <w:color w:val="auto"/>
        </w:rPr>
        <w:tab/>
      </w:r>
      <w:r>
        <w:rPr>
          <w:rFonts w:ascii="Arial" w:cs="Arial" w:eastAsia="Arial" w:hAnsi="Arial"/>
          <w:sz w:val="16"/>
          <w:szCs w:val="16"/>
          <w:color w:val="auto"/>
        </w:rPr>
        <w:t>England &amp; Wales</w:t>
      </w:r>
    </w:p>
    <w:p>
      <w:pPr>
        <w:spacing w:after="0" w:line="86" w:lineRule="exact"/>
        <w:rPr>
          <w:sz w:val="20"/>
          <w:szCs w:val="20"/>
          <w:color w:val="auto"/>
        </w:rPr>
      </w:pPr>
    </w:p>
    <w:p>
      <w:pPr>
        <w:ind w:left="767"/>
        <w:spacing w:after="0"/>
        <w:tabs>
          <w:tab w:leader="none" w:pos="6646" w:val="left"/>
        </w:tabs>
        <w:rPr>
          <w:sz w:val="20"/>
          <w:szCs w:val="20"/>
          <w:color w:val="auto"/>
        </w:rPr>
      </w:pPr>
      <w:r>
        <w:rPr>
          <w:rFonts w:ascii="Arial" w:cs="Arial" w:eastAsia="Arial" w:hAnsi="Arial"/>
          <w:sz w:val="16"/>
          <w:szCs w:val="16"/>
          <w:color w:val="auto"/>
        </w:rPr>
        <w:t>Kaplan Open Learning (Essex) Limited</w:t>
      </w:r>
      <w:r>
        <w:rPr>
          <w:sz w:val="20"/>
          <w:szCs w:val="20"/>
          <w:color w:val="auto"/>
        </w:rPr>
        <w:tab/>
      </w:r>
      <w:r>
        <w:rPr>
          <w:rFonts w:ascii="Arial" w:cs="Arial" w:eastAsia="Arial" w:hAnsi="Arial"/>
          <w:sz w:val="16"/>
          <w:szCs w:val="16"/>
          <w:color w:val="auto"/>
        </w:rPr>
        <w:t>England &amp; Wales</w:t>
      </w:r>
    </w:p>
    <w:p>
      <w:pPr>
        <w:spacing w:after="0" w:line="86" w:lineRule="exact"/>
        <w:rPr>
          <w:sz w:val="20"/>
          <w:szCs w:val="20"/>
          <w:color w:val="auto"/>
        </w:rPr>
      </w:pPr>
    </w:p>
    <w:p>
      <w:pPr>
        <w:ind w:left="547"/>
        <w:spacing w:after="0"/>
        <w:tabs>
          <w:tab w:leader="none" w:pos="6646" w:val="left"/>
        </w:tabs>
        <w:rPr>
          <w:sz w:val="20"/>
          <w:szCs w:val="20"/>
          <w:color w:val="auto"/>
        </w:rPr>
      </w:pPr>
      <w:r>
        <w:rPr>
          <w:rFonts w:ascii="Arial" w:cs="Arial" w:eastAsia="Arial" w:hAnsi="Arial"/>
          <w:sz w:val="16"/>
          <w:szCs w:val="16"/>
          <w:color w:val="auto"/>
        </w:rPr>
        <w:t>Kaplan Publishing Limited</w:t>
      </w:r>
      <w:r>
        <w:rPr>
          <w:sz w:val="20"/>
          <w:szCs w:val="20"/>
          <w:color w:val="auto"/>
        </w:rPr>
        <w:tab/>
      </w:r>
      <w:r>
        <w:rPr>
          <w:rFonts w:ascii="Arial" w:cs="Arial" w:eastAsia="Arial" w:hAnsi="Arial"/>
          <w:sz w:val="16"/>
          <w:szCs w:val="16"/>
          <w:color w:val="auto"/>
        </w:rPr>
        <w:t>England &amp; Wales</w:t>
      </w:r>
    </w:p>
    <w:p>
      <w:pPr>
        <w:spacing w:after="0" w:line="86" w:lineRule="exact"/>
        <w:rPr>
          <w:sz w:val="20"/>
          <w:szCs w:val="20"/>
          <w:color w:val="auto"/>
        </w:rPr>
      </w:pPr>
    </w:p>
    <w:p>
      <w:pPr>
        <w:ind w:left="547"/>
        <w:spacing w:after="0"/>
        <w:tabs>
          <w:tab w:leader="none" w:pos="6646" w:val="left"/>
        </w:tabs>
        <w:rPr>
          <w:sz w:val="20"/>
          <w:szCs w:val="20"/>
          <w:color w:val="auto"/>
        </w:rPr>
      </w:pPr>
      <w:r>
        <w:rPr>
          <w:rFonts w:ascii="Arial" w:cs="Arial" w:eastAsia="Arial" w:hAnsi="Arial"/>
          <w:sz w:val="16"/>
          <w:szCs w:val="16"/>
          <w:color w:val="auto"/>
        </w:rPr>
        <w:t>Kaplan Professional Awards Limited</w:t>
      </w:r>
      <w:r>
        <w:rPr>
          <w:sz w:val="20"/>
          <w:szCs w:val="20"/>
          <w:color w:val="auto"/>
        </w:rPr>
        <w:tab/>
      </w:r>
      <w:r>
        <w:rPr>
          <w:rFonts w:ascii="Arial" w:cs="Arial" w:eastAsia="Arial" w:hAnsi="Arial"/>
          <w:sz w:val="16"/>
          <w:szCs w:val="16"/>
          <w:color w:val="auto"/>
        </w:rPr>
        <w:t>England &amp; Wales</w:t>
      </w:r>
    </w:p>
    <w:p>
      <w:pPr>
        <w:spacing w:after="0" w:line="86" w:lineRule="exact"/>
        <w:rPr>
          <w:sz w:val="20"/>
          <w:szCs w:val="20"/>
          <w:color w:val="auto"/>
        </w:rPr>
      </w:pPr>
    </w:p>
    <w:p>
      <w:pPr>
        <w:ind w:left="407"/>
        <w:spacing w:after="0"/>
        <w:tabs>
          <w:tab w:leader="none" w:pos="6646" w:val="left"/>
        </w:tabs>
        <w:rPr>
          <w:sz w:val="20"/>
          <w:szCs w:val="20"/>
          <w:color w:val="auto"/>
        </w:rPr>
      </w:pPr>
      <w:r>
        <w:rPr>
          <w:rFonts w:ascii="Arial" w:cs="Arial" w:eastAsia="Arial" w:hAnsi="Arial"/>
          <w:sz w:val="16"/>
          <w:szCs w:val="16"/>
          <w:color w:val="auto"/>
        </w:rPr>
        <w:t>MPW Topco Limited</w:t>
      </w:r>
      <w:r>
        <w:rPr>
          <w:sz w:val="20"/>
          <w:szCs w:val="20"/>
          <w:color w:val="auto"/>
        </w:rPr>
        <w:tab/>
      </w:r>
      <w:r>
        <w:rPr>
          <w:rFonts w:ascii="Arial" w:cs="Arial" w:eastAsia="Arial" w:hAnsi="Arial"/>
          <w:sz w:val="16"/>
          <w:szCs w:val="16"/>
          <w:color w:val="auto"/>
        </w:rPr>
        <w:t>England &amp; Wales</w:t>
      </w:r>
    </w:p>
    <w:p>
      <w:pPr>
        <w:spacing w:after="0" w:line="86" w:lineRule="exact"/>
        <w:rPr>
          <w:sz w:val="20"/>
          <w:szCs w:val="20"/>
          <w:color w:val="auto"/>
        </w:rPr>
      </w:pPr>
    </w:p>
    <w:p>
      <w:pPr>
        <w:ind w:left="687"/>
        <w:spacing w:after="0"/>
        <w:tabs>
          <w:tab w:leader="none" w:pos="6646" w:val="left"/>
        </w:tabs>
        <w:rPr>
          <w:sz w:val="20"/>
          <w:szCs w:val="20"/>
          <w:color w:val="auto"/>
        </w:rPr>
      </w:pPr>
      <w:r>
        <w:rPr>
          <w:rFonts w:ascii="Arial" w:cs="Arial" w:eastAsia="Arial" w:hAnsi="Arial"/>
          <w:sz w:val="16"/>
          <w:szCs w:val="16"/>
          <w:color w:val="auto"/>
        </w:rPr>
        <w:t>MPW Midco Limited</w:t>
      </w:r>
      <w:r>
        <w:rPr>
          <w:sz w:val="20"/>
          <w:szCs w:val="20"/>
          <w:color w:val="auto"/>
        </w:rPr>
        <w:tab/>
      </w:r>
      <w:r>
        <w:rPr>
          <w:rFonts w:ascii="Arial" w:cs="Arial" w:eastAsia="Arial" w:hAnsi="Arial"/>
          <w:sz w:val="16"/>
          <w:szCs w:val="16"/>
          <w:color w:val="auto"/>
        </w:rPr>
        <w:t>England &amp; Wales</w:t>
      </w:r>
    </w:p>
    <w:p>
      <w:pPr>
        <w:spacing w:after="0" w:line="86" w:lineRule="exact"/>
        <w:rPr>
          <w:sz w:val="20"/>
          <w:szCs w:val="20"/>
          <w:color w:val="auto"/>
        </w:rPr>
      </w:pPr>
    </w:p>
    <w:p>
      <w:pPr>
        <w:ind w:left="687"/>
        <w:spacing w:after="0"/>
        <w:tabs>
          <w:tab w:leader="none" w:pos="6646" w:val="left"/>
        </w:tabs>
        <w:rPr>
          <w:sz w:val="20"/>
          <w:szCs w:val="20"/>
          <w:color w:val="auto"/>
        </w:rPr>
      </w:pPr>
      <w:r>
        <w:rPr>
          <w:rFonts w:ascii="Arial" w:cs="Arial" w:eastAsia="Arial" w:hAnsi="Arial"/>
          <w:sz w:val="16"/>
          <w:szCs w:val="16"/>
          <w:color w:val="auto"/>
        </w:rPr>
        <w:t>MPW Holdco Limited</w:t>
      </w:r>
      <w:r>
        <w:rPr>
          <w:sz w:val="20"/>
          <w:szCs w:val="20"/>
          <w:color w:val="auto"/>
        </w:rPr>
        <w:tab/>
      </w:r>
      <w:r>
        <w:rPr>
          <w:rFonts w:ascii="Arial" w:cs="Arial" w:eastAsia="Arial" w:hAnsi="Arial"/>
          <w:sz w:val="16"/>
          <w:szCs w:val="16"/>
          <w:color w:val="auto"/>
        </w:rPr>
        <w:t>England &amp; Wales</w:t>
      </w:r>
    </w:p>
    <w:p>
      <w:pPr>
        <w:spacing w:after="0" w:line="86" w:lineRule="exact"/>
        <w:rPr>
          <w:sz w:val="20"/>
          <w:szCs w:val="20"/>
          <w:color w:val="auto"/>
        </w:rPr>
      </w:pPr>
    </w:p>
    <w:p>
      <w:pPr>
        <w:ind w:left="687"/>
        <w:spacing w:after="0"/>
        <w:tabs>
          <w:tab w:leader="none" w:pos="6646" w:val="left"/>
        </w:tabs>
        <w:rPr>
          <w:sz w:val="20"/>
          <w:szCs w:val="20"/>
          <w:color w:val="auto"/>
        </w:rPr>
      </w:pPr>
      <w:r>
        <w:rPr>
          <w:rFonts w:ascii="Arial" w:cs="Arial" w:eastAsia="Arial" w:hAnsi="Arial"/>
          <w:sz w:val="16"/>
          <w:szCs w:val="16"/>
          <w:color w:val="auto"/>
        </w:rPr>
        <w:t>Mander Portman Woodward Limited</w:t>
      </w:r>
      <w:r>
        <w:rPr>
          <w:sz w:val="20"/>
          <w:szCs w:val="20"/>
          <w:color w:val="auto"/>
        </w:rPr>
        <w:tab/>
      </w:r>
      <w:r>
        <w:rPr>
          <w:rFonts w:ascii="Arial" w:cs="Arial" w:eastAsia="Arial" w:hAnsi="Arial"/>
          <w:sz w:val="16"/>
          <w:szCs w:val="16"/>
          <w:color w:val="auto"/>
        </w:rPr>
        <w:t>England &amp; Wales</w:t>
      </w:r>
    </w:p>
    <w:p>
      <w:pPr>
        <w:spacing w:after="0" w:line="86" w:lineRule="exact"/>
        <w:rPr>
          <w:sz w:val="20"/>
          <w:szCs w:val="20"/>
          <w:color w:val="auto"/>
        </w:rPr>
      </w:pPr>
    </w:p>
    <w:p>
      <w:pPr>
        <w:ind w:left="687"/>
        <w:spacing w:after="0"/>
        <w:tabs>
          <w:tab w:leader="none" w:pos="6646" w:val="left"/>
        </w:tabs>
        <w:rPr>
          <w:sz w:val="20"/>
          <w:szCs w:val="20"/>
          <w:color w:val="auto"/>
        </w:rPr>
      </w:pPr>
      <w:r>
        <w:rPr>
          <w:rFonts w:ascii="Arial" w:cs="Arial" w:eastAsia="Arial" w:hAnsi="Arial"/>
          <w:sz w:val="16"/>
          <w:szCs w:val="16"/>
          <w:color w:val="auto"/>
        </w:rPr>
        <w:t>Kensington Student Services Limited</w:t>
      </w:r>
      <w:r>
        <w:rPr>
          <w:sz w:val="20"/>
          <w:szCs w:val="20"/>
          <w:color w:val="auto"/>
        </w:rPr>
        <w:tab/>
      </w:r>
      <w:r>
        <w:rPr>
          <w:rFonts w:ascii="Arial" w:cs="Arial" w:eastAsia="Arial" w:hAnsi="Arial"/>
          <w:sz w:val="16"/>
          <w:szCs w:val="16"/>
          <w:color w:val="auto"/>
        </w:rPr>
        <w:t>England &amp; Wales</w:t>
      </w:r>
    </w:p>
    <w:p>
      <w:pPr>
        <w:spacing w:after="0" w:line="86" w:lineRule="exact"/>
        <w:rPr>
          <w:sz w:val="20"/>
          <w:szCs w:val="20"/>
          <w:color w:val="auto"/>
        </w:rPr>
      </w:pPr>
    </w:p>
    <w:p>
      <w:pPr>
        <w:jc w:val="right"/>
        <w:ind w:right="1020"/>
        <w:spacing w:after="0"/>
        <w:tabs>
          <w:tab w:leader="none" w:pos="2240" w:val="left"/>
        </w:tabs>
        <w:rPr>
          <w:sz w:val="20"/>
          <w:szCs w:val="20"/>
          <w:color w:val="auto"/>
        </w:rPr>
      </w:pPr>
      <w:r>
        <w:rPr>
          <w:rFonts w:ascii="Arial" w:cs="Arial" w:eastAsia="Arial" w:hAnsi="Arial"/>
          <w:sz w:val="16"/>
          <w:szCs w:val="16"/>
          <w:color w:val="auto"/>
        </w:rPr>
        <w:t>Justin Craig Education Holdings Limited</w:t>
      </w:r>
      <w:r>
        <w:rPr>
          <w:sz w:val="20"/>
          <w:szCs w:val="20"/>
          <w:color w:val="auto"/>
        </w:rPr>
        <w:tab/>
      </w:r>
      <w:r>
        <w:rPr>
          <w:rFonts w:ascii="Arial" w:cs="Arial" w:eastAsia="Arial" w:hAnsi="Arial"/>
          <w:sz w:val="16"/>
          <w:szCs w:val="16"/>
          <w:color w:val="auto"/>
        </w:rPr>
        <w:t>England &amp; Wales</w:t>
      </w:r>
    </w:p>
    <w:p>
      <w:pPr>
        <w:spacing w:after="0" w:line="86" w:lineRule="exact"/>
        <w:rPr>
          <w:sz w:val="20"/>
          <w:szCs w:val="20"/>
          <w:color w:val="auto"/>
        </w:rPr>
      </w:pPr>
    </w:p>
    <w:p>
      <w:pPr>
        <w:jc w:val="right"/>
        <w:ind w:right="1020"/>
        <w:spacing w:after="0"/>
        <w:tabs>
          <w:tab w:leader="none" w:pos="2240" w:val="left"/>
        </w:tabs>
        <w:rPr>
          <w:sz w:val="20"/>
          <w:szCs w:val="20"/>
          <w:color w:val="auto"/>
        </w:rPr>
      </w:pPr>
      <w:r>
        <w:rPr>
          <w:rFonts w:ascii="Arial" w:cs="Arial" w:eastAsia="Arial" w:hAnsi="Arial"/>
          <w:sz w:val="16"/>
          <w:szCs w:val="16"/>
          <w:color w:val="auto"/>
        </w:rPr>
        <w:t>Justin Craig Education Limited</w:t>
      </w:r>
      <w:r>
        <w:rPr>
          <w:sz w:val="20"/>
          <w:szCs w:val="20"/>
          <w:color w:val="auto"/>
        </w:rPr>
        <w:tab/>
      </w:r>
      <w:r>
        <w:rPr>
          <w:rFonts w:ascii="Arial" w:cs="Arial" w:eastAsia="Arial" w:hAnsi="Arial"/>
          <w:sz w:val="16"/>
          <w:szCs w:val="16"/>
          <w:color w:val="auto"/>
        </w:rPr>
        <w:t>England &amp; Wales</w:t>
      </w:r>
    </w:p>
    <w:p>
      <w:pPr>
        <w:spacing w:after="0" w:line="86" w:lineRule="exact"/>
        <w:rPr>
          <w:sz w:val="20"/>
          <w:szCs w:val="20"/>
          <w:color w:val="auto"/>
        </w:rPr>
      </w:pPr>
    </w:p>
    <w:p>
      <w:pPr>
        <w:ind w:left="187"/>
        <w:spacing w:after="0"/>
        <w:tabs>
          <w:tab w:leader="none" w:pos="6646" w:val="left"/>
        </w:tabs>
        <w:rPr>
          <w:sz w:val="20"/>
          <w:szCs w:val="20"/>
          <w:color w:val="auto"/>
        </w:rPr>
      </w:pPr>
      <w:r>
        <w:rPr>
          <w:rFonts w:ascii="Arial" w:cs="Arial" w:eastAsia="Arial" w:hAnsi="Arial"/>
          <w:sz w:val="16"/>
          <w:szCs w:val="16"/>
          <w:color w:val="auto"/>
        </w:rPr>
        <w:t>Kaplan Australia Holdings Pty Limited</w:t>
      </w:r>
      <w:r>
        <w:rPr>
          <w:sz w:val="20"/>
          <w:szCs w:val="20"/>
          <w:color w:val="auto"/>
        </w:rPr>
        <w:tab/>
      </w:r>
      <w:r>
        <w:rPr>
          <w:rFonts w:ascii="Arial" w:cs="Arial" w:eastAsia="Arial" w:hAnsi="Arial"/>
          <w:sz w:val="15"/>
          <w:szCs w:val="15"/>
          <w:color w:val="auto"/>
        </w:rPr>
        <w:t>Australia</w:t>
      </w:r>
    </w:p>
    <w:p>
      <w:pPr>
        <w:spacing w:after="0" w:line="86" w:lineRule="exact"/>
        <w:rPr>
          <w:sz w:val="20"/>
          <w:szCs w:val="20"/>
          <w:color w:val="auto"/>
        </w:rPr>
      </w:pPr>
    </w:p>
    <w:p>
      <w:pPr>
        <w:ind w:left="367"/>
        <w:spacing w:after="0"/>
        <w:tabs>
          <w:tab w:leader="none" w:pos="6646" w:val="left"/>
        </w:tabs>
        <w:rPr>
          <w:sz w:val="20"/>
          <w:szCs w:val="20"/>
          <w:color w:val="auto"/>
        </w:rPr>
      </w:pPr>
      <w:r>
        <w:rPr>
          <w:rFonts w:ascii="Arial" w:cs="Arial" w:eastAsia="Arial" w:hAnsi="Arial"/>
          <w:sz w:val="16"/>
          <w:szCs w:val="16"/>
          <w:color w:val="auto"/>
        </w:rPr>
        <w:t>Kaplan Australia Pty Limited</w:t>
      </w:r>
      <w:r>
        <w:rPr>
          <w:sz w:val="20"/>
          <w:szCs w:val="20"/>
          <w:color w:val="auto"/>
        </w:rPr>
        <w:tab/>
      </w:r>
      <w:r>
        <w:rPr>
          <w:rFonts w:ascii="Arial" w:cs="Arial" w:eastAsia="Arial" w:hAnsi="Arial"/>
          <w:sz w:val="15"/>
          <w:szCs w:val="15"/>
          <w:color w:val="auto"/>
        </w:rPr>
        <w:t>Australia</w:t>
      </w:r>
    </w:p>
    <w:p>
      <w:pPr>
        <w:spacing w:after="0" w:line="86" w:lineRule="exact"/>
        <w:rPr>
          <w:sz w:val="20"/>
          <w:szCs w:val="20"/>
          <w:color w:val="auto"/>
        </w:rPr>
      </w:pPr>
    </w:p>
    <w:p>
      <w:pPr>
        <w:ind w:left="587"/>
        <w:spacing w:after="0"/>
        <w:tabs>
          <w:tab w:leader="none" w:pos="6646" w:val="left"/>
        </w:tabs>
        <w:rPr>
          <w:sz w:val="20"/>
          <w:szCs w:val="20"/>
          <w:color w:val="auto"/>
        </w:rPr>
      </w:pPr>
      <w:r>
        <w:rPr>
          <w:rFonts w:ascii="Arial" w:cs="Arial" w:eastAsia="Arial" w:hAnsi="Arial"/>
          <w:sz w:val="16"/>
          <w:szCs w:val="16"/>
          <w:color w:val="auto"/>
        </w:rPr>
        <w:t>Kaplan Carrick Pty Ltd</w:t>
      </w:r>
      <w:r>
        <w:rPr>
          <w:sz w:val="20"/>
          <w:szCs w:val="20"/>
          <w:color w:val="auto"/>
        </w:rPr>
        <w:tab/>
      </w:r>
      <w:r>
        <w:rPr>
          <w:rFonts w:ascii="Arial" w:cs="Arial" w:eastAsia="Arial" w:hAnsi="Arial"/>
          <w:sz w:val="15"/>
          <w:szCs w:val="15"/>
          <w:color w:val="auto"/>
        </w:rPr>
        <w:t>Australia</w:t>
      </w:r>
    </w:p>
    <w:p>
      <w:pPr>
        <w:spacing w:after="0" w:line="86" w:lineRule="exact"/>
        <w:rPr>
          <w:sz w:val="20"/>
          <w:szCs w:val="20"/>
          <w:color w:val="auto"/>
        </w:rPr>
      </w:pPr>
    </w:p>
    <w:p>
      <w:pPr>
        <w:ind w:left="827"/>
        <w:spacing w:after="0"/>
        <w:tabs>
          <w:tab w:leader="none" w:pos="6646" w:val="left"/>
        </w:tabs>
        <w:rPr>
          <w:sz w:val="20"/>
          <w:szCs w:val="20"/>
          <w:color w:val="auto"/>
        </w:rPr>
      </w:pPr>
      <w:r>
        <w:rPr>
          <w:rFonts w:ascii="Arial" w:cs="Arial" w:eastAsia="Arial" w:hAnsi="Arial"/>
          <w:sz w:val="16"/>
          <w:szCs w:val="16"/>
          <w:color w:val="auto"/>
        </w:rPr>
        <w:t>Kaplan International (Melbourne &amp; Adelaide) Pty Limited</w:t>
      </w:r>
      <w:r>
        <w:rPr>
          <w:sz w:val="20"/>
          <w:szCs w:val="20"/>
          <w:color w:val="auto"/>
        </w:rPr>
        <w:tab/>
      </w:r>
      <w:r>
        <w:rPr>
          <w:rFonts w:ascii="Arial" w:cs="Arial" w:eastAsia="Arial" w:hAnsi="Arial"/>
          <w:sz w:val="15"/>
          <w:szCs w:val="15"/>
          <w:color w:val="auto"/>
        </w:rPr>
        <w:t>Australia</w:t>
      </w:r>
    </w:p>
    <w:p>
      <w:pPr>
        <w:spacing w:after="0" w:line="86" w:lineRule="exact"/>
        <w:rPr>
          <w:sz w:val="20"/>
          <w:szCs w:val="20"/>
          <w:color w:val="auto"/>
        </w:rPr>
      </w:pPr>
    </w:p>
    <w:p>
      <w:pPr>
        <w:ind w:left="1007"/>
        <w:spacing w:after="0"/>
        <w:tabs>
          <w:tab w:leader="none" w:pos="6646" w:val="left"/>
        </w:tabs>
        <w:rPr>
          <w:sz w:val="20"/>
          <w:szCs w:val="20"/>
          <w:color w:val="auto"/>
        </w:rPr>
      </w:pPr>
      <w:r>
        <w:rPr>
          <w:rFonts w:ascii="Arial" w:cs="Arial" w:eastAsia="Arial" w:hAnsi="Arial"/>
          <w:sz w:val="16"/>
          <w:szCs w:val="16"/>
          <w:color w:val="auto"/>
        </w:rPr>
        <w:t>Carrick Higher Education Pty Ltd</w:t>
      </w:r>
      <w:r>
        <w:rPr>
          <w:sz w:val="20"/>
          <w:szCs w:val="20"/>
          <w:color w:val="auto"/>
        </w:rPr>
        <w:tab/>
      </w:r>
      <w:r>
        <w:rPr>
          <w:rFonts w:ascii="Arial" w:cs="Arial" w:eastAsia="Arial" w:hAnsi="Arial"/>
          <w:sz w:val="15"/>
          <w:szCs w:val="15"/>
          <w:color w:val="auto"/>
        </w:rPr>
        <w:t>Australia</w:t>
      </w:r>
    </w:p>
    <w:p>
      <w:pPr>
        <w:spacing w:after="0" w:line="86" w:lineRule="exact"/>
        <w:rPr>
          <w:sz w:val="20"/>
          <w:szCs w:val="20"/>
          <w:color w:val="auto"/>
        </w:rPr>
      </w:pPr>
    </w:p>
    <w:p>
      <w:pPr>
        <w:ind w:left="1227"/>
        <w:spacing w:after="0"/>
        <w:tabs>
          <w:tab w:leader="none" w:pos="6646" w:val="left"/>
        </w:tabs>
        <w:rPr>
          <w:sz w:val="20"/>
          <w:szCs w:val="20"/>
          <w:color w:val="auto"/>
        </w:rPr>
      </w:pPr>
      <w:r>
        <w:rPr>
          <w:rFonts w:ascii="Arial" w:cs="Arial" w:eastAsia="Arial" w:hAnsi="Arial"/>
          <w:sz w:val="16"/>
          <w:szCs w:val="16"/>
          <w:color w:val="auto"/>
        </w:rPr>
        <w:t>CMC - Training at Work Pty Ltd</w:t>
      </w:r>
      <w:r>
        <w:rPr>
          <w:sz w:val="20"/>
          <w:szCs w:val="20"/>
          <w:color w:val="auto"/>
        </w:rPr>
        <w:tab/>
      </w:r>
      <w:r>
        <w:rPr>
          <w:rFonts w:ascii="Arial" w:cs="Arial" w:eastAsia="Arial" w:hAnsi="Arial"/>
          <w:sz w:val="15"/>
          <w:szCs w:val="15"/>
          <w:color w:val="auto"/>
        </w:rPr>
        <w:t>Australia</w:t>
      </w:r>
    </w:p>
    <w:p>
      <w:pPr>
        <w:spacing w:after="0" w:line="86" w:lineRule="exact"/>
        <w:rPr>
          <w:sz w:val="20"/>
          <w:szCs w:val="20"/>
          <w:color w:val="auto"/>
        </w:rPr>
      </w:pPr>
    </w:p>
    <w:p>
      <w:pPr>
        <w:ind w:left="1007"/>
        <w:spacing w:after="0"/>
        <w:tabs>
          <w:tab w:leader="none" w:pos="6646" w:val="left"/>
        </w:tabs>
        <w:rPr>
          <w:sz w:val="20"/>
          <w:szCs w:val="20"/>
          <w:color w:val="auto"/>
        </w:rPr>
      </w:pPr>
      <w:r>
        <w:rPr>
          <w:rFonts w:ascii="Arial" w:cs="Arial" w:eastAsia="Arial" w:hAnsi="Arial"/>
          <w:sz w:val="16"/>
          <w:szCs w:val="16"/>
          <w:color w:val="auto"/>
        </w:rPr>
        <w:t>Carrick Education Group Pty Ltd</w:t>
      </w:r>
      <w:r>
        <w:rPr>
          <w:sz w:val="20"/>
          <w:szCs w:val="20"/>
          <w:color w:val="auto"/>
        </w:rPr>
        <w:tab/>
      </w:r>
      <w:r>
        <w:rPr>
          <w:rFonts w:ascii="Arial" w:cs="Arial" w:eastAsia="Arial" w:hAnsi="Arial"/>
          <w:sz w:val="15"/>
          <w:szCs w:val="15"/>
          <w:color w:val="auto"/>
        </w:rPr>
        <w:t>Australia</w:t>
      </w:r>
    </w:p>
    <w:p>
      <w:pPr>
        <w:spacing w:after="0" w:line="86" w:lineRule="exact"/>
        <w:rPr>
          <w:sz w:val="20"/>
          <w:szCs w:val="20"/>
          <w:color w:val="auto"/>
        </w:rPr>
      </w:pPr>
    </w:p>
    <w:p>
      <w:pPr>
        <w:ind w:left="187"/>
        <w:spacing w:after="0"/>
        <w:tabs>
          <w:tab w:leader="none" w:pos="6646" w:val="left"/>
        </w:tabs>
        <w:rPr>
          <w:sz w:val="20"/>
          <w:szCs w:val="20"/>
          <w:color w:val="auto"/>
        </w:rPr>
      </w:pPr>
      <w:r>
        <w:rPr>
          <w:rFonts w:ascii="Arial" w:cs="Arial" w:eastAsia="Arial" w:hAnsi="Arial"/>
          <w:sz w:val="16"/>
          <w:szCs w:val="16"/>
          <w:color w:val="auto"/>
        </w:rPr>
        <w:t>Asia Pacific Finance Institute Pty Ltd</w:t>
      </w:r>
      <w:r>
        <w:rPr>
          <w:sz w:val="20"/>
          <w:szCs w:val="20"/>
          <w:color w:val="auto"/>
        </w:rPr>
        <w:tab/>
      </w:r>
      <w:r>
        <w:rPr>
          <w:rFonts w:ascii="Arial" w:cs="Arial" w:eastAsia="Arial" w:hAnsi="Arial"/>
          <w:sz w:val="15"/>
          <w:szCs w:val="15"/>
          <w:color w:val="auto"/>
        </w:rPr>
        <w:t>Australia</w:t>
      </w:r>
    </w:p>
    <w:p>
      <w:pPr>
        <w:spacing w:after="0" w:line="86" w:lineRule="exact"/>
        <w:rPr>
          <w:sz w:val="20"/>
          <w:szCs w:val="20"/>
          <w:color w:val="auto"/>
        </w:rPr>
      </w:pPr>
    </w:p>
    <w:p>
      <w:pPr>
        <w:ind w:left="187"/>
        <w:spacing w:after="0"/>
        <w:tabs>
          <w:tab w:leader="none" w:pos="6646" w:val="left"/>
        </w:tabs>
        <w:rPr>
          <w:sz w:val="20"/>
          <w:szCs w:val="20"/>
          <w:color w:val="auto"/>
        </w:rPr>
      </w:pPr>
      <w:r>
        <w:rPr>
          <w:rFonts w:ascii="Arial" w:cs="Arial" w:eastAsia="Arial" w:hAnsi="Arial"/>
          <w:sz w:val="16"/>
          <w:szCs w:val="16"/>
          <w:color w:val="auto"/>
        </w:rPr>
        <w:t>Kaplan Higher Education Pty Limited</w:t>
      </w:r>
      <w:r>
        <w:rPr>
          <w:sz w:val="20"/>
          <w:szCs w:val="20"/>
          <w:color w:val="auto"/>
        </w:rPr>
        <w:tab/>
      </w:r>
      <w:r>
        <w:rPr>
          <w:rFonts w:ascii="Arial" w:cs="Arial" w:eastAsia="Arial" w:hAnsi="Arial"/>
          <w:sz w:val="15"/>
          <w:szCs w:val="15"/>
          <w:color w:val="auto"/>
        </w:rPr>
        <w:t>Australia</w:t>
      </w:r>
    </w:p>
    <w:p>
      <w:pPr>
        <w:spacing w:after="0" w:line="86" w:lineRule="exact"/>
        <w:rPr>
          <w:sz w:val="20"/>
          <w:szCs w:val="20"/>
          <w:color w:val="auto"/>
        </w:rPr>
      </w:pPr>
    </w:p>
    <w:p>
      <w:pPr>
        <w:ind w:left="407"/>
        <w:spacing w:after="0"/>
        <w:tabs>
          <w:tab w:leader="none" w:pos="6646" w:val="left"/>
        </w:tabs>
        <w:rPr>
          <w:sz w:val="20"/>
          <w:szCs w:val="20"/>
          <w:color w:val="auto"/>
        </w:rPr>
      </w:pPr>
      <w:r>
        <w:rPr>
          <w:rFonts w:ascii="Arial" w:cs="Arial" w:eastAsia="Arial" w:hAnsi="Arial"/>
          <w:sz w:val="16"/>
          <w:szCs w:val="16"/>
          <w:color w:val="auto"/>
        </w:rPr>
        <w:t>Kaplan Business School Pty Limited</w:t>
      </w:r>
      <w:r>
        <w:rPr>
          <w:sz w:val="20"/>
          <w:szCs w:val="20"/>
          <w:color w:val="auto"/>
        </w:rPr>
        <w:tab/>
      </w:r>
      <w:r>
        <w:rPr>
          <w:rFonts w:ascii="Arial" w:cs="Arial" w:eastAsia="Arial" w:hAnsi="Arial"/>
          <w:sz w:val="15"/>
          <w:szCs w:val="15"/>
          <w:color w:val="auto"/>
        </w:rPr>
        <w:t>Australia</w:t>
      </w:r>
    </w:p>
    <w:p>
      <w:pPr>
        <w:spacing w:after="0" w:line="86" w:lineRule="exact"/>
        <w:rPr>
          <w:sz w:val="20"/>
          <w:szCs w:val="20"/>
          <w:color w:val="auto"/>
        </w:rPr>
      </w:pPr>
    </w:p>
    <w:p>
      <w:pPr>
        <w:ind w:left="587"/>
        <w:spacing w:after="0"/>
        <w:tabs>
          <w:tab w:leader="none" w:pos="6646" w:val="left"/>
        </w:tabs>
        <w:rPr>
          <w:sz w:val="20"/>
          <w:szCs w:val="20"/>
          <w:color w:val="auto"/>
        </w:rPr>
      </w:pPr>
      <w:r>
        <w:rPr>
          <w:rFonts w:ascii="Arial" w:cs="Arial" w:eastAsia="Arial" w:hAnsi="Arial"/>
          <w:sz w:val="16"/>
          <w:szCs w:val="16"/>
          <w:color w:val="auto"/>
        </w:rPr>
        <w:t>Bradford College Australia Pty Ltd</w:t>
      </w:r>
      <w:r>
        <w:rPr>
          <w:sz w:val="20"/>
          <w:szCs w:val="20"/>
          <w:color w:val="auto"/>
        </w:rPr>
        <w:tab/>
      </w:r>
      <w:r>
        <w:rPr>
          <w:rFonts w:ascii="Arial" w:cs="Arial" w:eastAsia="Arial" w:hAnsi="Arial"/>
          <w:sz w:val="15"/>
          <w:szCs w:val="15"/>
          <w:color w:val="auto"/>
        </w:rPr>
        <w:t>Australia</w:t>
      </w:r>
    </w:p>
    <w:p>
      <w:pPr>
        <w:spacing w:after="0" w:line="86" w:lineRule="exact"/>
        <w:rPr>
          <w:sz w:val="20"/>
          <w:szCs w:val="20"/>
          <w:color w:val="auto"/>
        </w:rPr>
      </w:pPr>
    </w:p>
    <w:p>
      <w:pPr>
        <w:ind w:left="187"/>
        <w:spacing w:after="0"/>
        <w:tabs>
          <w:tab w:leader="none" w:pos="6646" w:val="left"/>
        </w:tabs>
        <w:rPr>
          <w:sz w:val="20"/>
          <w:szCs w:val="20"/>
          <w:color w:val="auto"/>
        </w:rPr>
      </w:pPr>
      <w:r>
        <w:rPr>
          <w:rFonts w:ascii="Arial" w:cs="Arial" w:eastAsia="Arial" w:hAnsi="Arial"/>
          <w:sz w:val="16"/>
          <w:szCs w:val="16"/>
          <w:color w:val="auto"/>
        </w:rPr>
        <w:t>Tribeca Learning Pty Limited</w:t>
      </w:r>
      <w:r>
        <w:rPr>
          <w:sz w:val="20"/>
          <w:szCs w:val="20"/>
          <w:color w:val="auto"/>
        </w:rPr>
        <w:tab/>
      </w:r>
      <w:r>
        <w:rPr>
          <w:rFonts w:ascii="Arial" w:cs="Arial" w:eastAsia="Arial" w:hAnsi="Arial"/>
          <w:sz w:val="15"/>
          <w:szCs w:val="15"/>
          <w:color w:val="auto"/>
        </w:rPr>
        <w:t>Australia</w:t>
      </w:r>
    </w:p>
    <w:p>
      <w:pPr>
        <w:spacing w:after="0" w:line="86" w:lineRule="exact"/>
        <w:rPr>
          <w:sz w:val="20"/>
          <w:szCs w:val="20"/>
          <w:color w:val="auto"/>
        </w:rPr>
      </w:pPr>
    </w:p>
    <w:p>
      <w:pPr>
        <w:ind w:left="407"/>
        <w:spacing w:after="0"/>
        <w:tabs>
          <w:tab w:leader="none" w:pos="6646" w:val="left"/>
        </w:tabs>
        <w:rPr>
          <w:sz w:val="20"/>
          <w:szCs w:val="20"/>
          <w:color w:val="auto"/>
        </w:rPr>
      </w:pPr>
      <w:r>
        <w:rPr>
          <w:rFonts w:ascii="Arial" w:cs="Arial" w:eastAsia="Arial" w:hAnsi="Arial"/>
          <w:sz w:val="16"/>
          <w:szCs w:val="16"/>
          <w:color w:val="auto"/>
        </w:rPr>
        <w:t>Kaplan Education Pty Limited</w:t>
      </w:r>
      <w:r>
        <w:rPr>
          <w:sz w:val="20"/>
          <w:szCs w:val="20"/>
          <w:color w:val="auto"/>
        </w:rPr>
        <w:tab/>
      </w:r>
      <w:r>
        <w:rPr>
          <w:rFonts w:ascii="Arial" w:cs="Arial" w:eastAsia="Arial" w:hAnsi="Arial"/>
          <w:sz w:val="15"/>
          <w:szCs w:val="15"/>
          <w:color w:val="auto"/>
        </w:rPr>
        <w:t>Australia</w:t>
      </w:r>
    </w:p>
    <w:p>
      <w:pPr>
        <w:spacing w:after="0" w:line="86" w:lineRule="exact"/>
        <w:rPr>
          <w:sz w:val="20"/>
          <w:szCs w:val="20"/>
          <w:color w:val="auto"/>
        </w:rPr>
      </w:pPr>
    </w:p>
    <w:p>
      <w:pPr>
        <w:ind w:left="7"/>
        <w:spacing w:after="0"/>
        <w:tabs>
          <w:tab w:leader="none" w:pos="6646" w:val="left"/>
        </w:tabs>
        <w:rPr>
          <w:sz w:val="20"/>
          <w:szCs w:val="20"/>
          <w:color w:val="auto"/>
        </w:rPr>
      </w:pPr>
      <w:r>
        <w:rPr>
          <w:rFonts w:ascii="Arial" w:cs="Arial" w:eastAsia="Arial" w:hAnsi="Arial"/>
          <w:sz w:val="16"/>
          <w:szCs w:val="16"/>
          <w:color w:val="auto"/>
        </w:rPr>
        <w:t>Post NW, LLC</w:t>
      </w:r>
      <w:r>
        <w:rPr>
          <w:sz w:val="20"/>
          <w:szCs w:val="20"/>
          <w:color w:val="auto"/>
        </w:rPr>
        <w:tab/>
      </w:r>
      <w:r>
        <w:rPr>
          <w:rFonts w:ascii="Arial" w:cs="Arial" w:eastAsia="Arial" w:hAnsi="Arial"/>
          <w:sz w:val="15"/>
          <w:szCs w:val="15"/>
          <w:color w:val="auto"/>
        </w:rPr>
        <w:t>New York</w:t>
      </w:r>
    </w:p>
    <w:p>
      <w:pPr>
        <w:spacing w:after="0" w:line="86" w:lineRule="exact"/>
        <w:rPr>
          <w:sz w:val="20"/>
          <w:szCs w:val="20"/>
          <w:color w:val="auto"/>
        </w:rPr>
      </w:pPr>
    </w:p>
    <w:p>
      <w:pPr>
        <w:ind w:left="7"/>
        <w:spacing w:after="0"/>
        <w:tabs>
          <w:tab w:leader="none" w:pos="6646" w:val="left"/>
        </w:tabs>
        <w:rPr>
          <w:sz w:val="20"/>
          <w:szCs w:val="20"/>
          <w:color w:val="auto"/>
        </w:rPr>
      </w:pPr>
      <w:r>
        <w:rPr>
          <w:rFonts w:ascii="Arial" w:cs="Arial" w:eastAsia="Arial" w:hAnsi="Arial"/>
          <w:sz w:val="16"/>
          <w:szCs w:val="16"/>
          <w:color w:val="auto"/>
        </w:rPr>
        <w:t>Social Code LLC</w:t>
      </w:r>
      <w:r>
        <w:rPr>
          <w:sz w:val="20"/>
          <w:szCs w:val="20"/>
          <w:color w:val="auto"/>
        </w:rPr>
        <w:tab/>
      </w:r>
      <w:r>
        <w:rPr>
          <w:rFonts w:ascii="Arial" w:cs="Arial" w:eastAsia="Arial" w:hAnsi="Arial"/>
          <w:sz w:val="16"/>
          <w:szCs w:val="16"/>
          <w:color w:val="auto"/>
        </w:rPr>
        <w:t>Delaware</w:t>
      </w:r>
    </w:p>
    <w:p>
      <w:pPr>
        <w:spacing w:after="0" w:line="86" w:lineRule="exact"/>
        <w:rPr>
          <w:sz w:val="20"/>
          <w:szCs w:val="20"/>
          <w:color w:val="auto"/>
        </w:rPr>
      </w:pPr>
    </w:p>
    <w:p>
      <w:pPr>
        <w:ind w:left="187"/>
        <w:spacing w:after="0"/>
        <w:tabs>
          <w:tab w:leader="none" w:pos="6646" w:val="left"/>
        </w:tabs>
        <w:rPr>
          <w:sz w:val="20"/>
          <w:szCs w:val="20"/>
          <w:color w:val="auto"/>
        </w:rPr>
      </w:pPr>
      <w:r>
        <w:rPr>
          <w:rFonts w:ascii="Arial" w:cs="Arial" w:eastAsia="Arial" w:hAnsi="Arial"/>
          <w:sz w:val="16"/>
          <w:szCs w:val="16"/>
          <w:color w:val="auto"/>
        </w:rPr>
        <w:t>Social Code Holdings, LLC</w:t>
      </w:r>
      <w:r>
        <w:rPr>
          <w:sz w:val="20"/>
          <w:szCs w:val="20"/>
          <w:color w:val="auto"/>
        </w:rPr>
        <w:tab/>
      </w:r>
      <w:r>
        <w:rPr>
          <w:rFonts w:ascii="Arial" w:cs="Arial" w:eastAsia="Arial" w:hAnsi="Arial"/>
          <w:sz w:val="16"/>
          <w:szCs w:val="16"/>
          <w:color w:val="auto"/>
        </w:rPr>
        <w:t>Delaware</w:t>
      </w:r>
    </w:p>
    <w:p>
      <w:pPr>
        <w:spacing w:after="0" w:line="86" w:lineRule="exact"/>
        <w:rPr>
          <w:sz w:val="20"/>
          <w:szCs w:val="20"/>
          <w:color w:val="auto"/>
        </w:rPr>
      </w:pPr>
    </w:p>
    <w:p>
      <w:pPr>
        <w:ind w:left="7"/>
        <w:spacing w:after="0"/>
        <w:tabs>
          <w:tab w:leader="none" w:pos="6646" w:val="left"/>
        </w:tabs>
        <w:rPr>
          <w:sz w:val="20"/>
          <w:szCs w:val="20"/>
          <w:color w:val="auto"/>
        </w:rPr>
      </w:pPr>
      <w:r>
        <w:rPr>
          <w:rFonts w:ascii="Arial" w:cs="Arial" w:eastAsia="Arial" w:hAnsi="Arial"/>
          <w:sz w:val="16"/>
          <w:szCs w:val="16"/>
          <w:color w:val="auto"/>
        </w:rPr>
        <w:t>The Slate Group, LLC</w:t>
      </w:r>
      <w:r>
        <w:rPr>
          <w:sz w:val="20"/>
          <w:szCs w:val="20"/>
          <w:color w:val="auto"/>
        </w:rPr>
        <w:tab/>
      </w:r>
      <w:r>
        <w:rPr>
          <w:rFonts w:ascii="Arial" w:cs="Arial" w:eastAsia="Arial" w:hAnsi="Arial"/>
          <w:sz w:val="16"/>
          <w:szCs w:val="16"/>
          <w:color w:val="auto"/>
        </w:rPr>
        <w:t>Delaware</w:t>
      </w:r>
    </w:p>
    <w:p>
      <w:pPr>
        <w:spacing w:after="0" w:line="86" w:lineRule="exact"/>
        <w:rPr>
          <w:sz w:val="20"/>
          <w:szCs w:val="20"/>
          <w:color w:val="auto"/>
        </w:rPr>
      </w:pPr>
    </w:p>
    <w:p>
      <w:pPr>
        <w:ind w:left="227"/>
        <w:spacing w:after="0"/>
        <w:tabs>
          <w:tab w:leader="none" w:pos="6646" w:val="left"/>
        </w:tabs>
        <w:rPr>
          <w:sz w:val="20"/>
          <w:szCs w:val="20"/>
          <w:color w:val="auto"/>
        </w:rPr>
      </w:pPr>
      <w:r>
        <w:rPr>
          <w:rFonts w:ascii="Arial" w:cs="Arial" w:eastAsia="Arial" w:hAnsi="Arial"/>
          <w:sz w:val="16"/>
          <w:szCs w:val="16"/>
          <w:color w:val="auto"/>
        </w:rPr>
        <w:t>Panoply Media, LLC</w:t>
      </w:r>
      <w:r>
        <w:rPr>
          <w:sz w:val="20"/>
          <w:szCs w:val="20"/>
          <w:color w:val="auto"/>
        </w:rPr>
        <w:tab/>
      </w:r>
      <w:r>
        <w:rPr>
          <w:rFonts w:ascii="Arial" w:cs="Arial" w:eastAsia="Arial" w:hAnsi="Arial"/>
          <w:sz w:val="16"/>
          <w:szCs w:val="16"/>
          <w:color w:val="auto"/>
        </w:rPr>
        <w:t>Delaware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100%</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100%</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100% (n)</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100%</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100%</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100%</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100%</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100%</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100%</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100%</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100%</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100%</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100%</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100%</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100%</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100%</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100%</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100%</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100%</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100%</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100%</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100%</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100%</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100%</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100%</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100%</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100%</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100%</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100%</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100%</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100%</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100%</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100%</w:t>
      </w:r>
    </w:p>
    <w:p>
      <w:pPr>
        <w:spacing w:after="0" w:line="200" w:lineRule="exact"/>
        <w:rPr>
          <w:sz w:val="20"/>
          <w:szCs w:val="20"/>
          <w:color w:val="auto"/>
        </w:rPr>
      </w:pPr>
    </w:p>
    <w:p>
      <w:pPr>
        <w:sectPr>
          <w:pgSz w:w="11900" w:h="16838" w:orient="portrait"/>
          <w:cols w:equalWidth="0" w:num="2">
            <w:col w:w="8927" w:space="720"/>
            <w:col w:w="1260"/>
          </w:cols>
          <w:pgMar w:left="653" w:top="756" w:right="339" w:bottom="1440" w:gutter="0" w:footer="0" w:header="0"/>
        </w:sectPr>
      </w:pPr>
    </w:p>
    <w:p>
      <w:pPr>
        <w:spacing w:after="0" w:line="314" w:lineRule="exact"/>
        <w:rPr>
          <w:sz w:val="20"/>
          <w:szCs w:val="20"/>
          <w:color w:val="auto"/>
        </w:rPr>
      </w:pPr>
    </w:p>
    <w:p>
      <w:pPr>
        <w:ind w:left="87"/>
        <w:spacing w:after="0"/>
        <w:rPr>
          <w:sz w:val="20"/>
          <w:szCs w:val="20"/>
          <w:color w:val="auto"/>
        </w:rPr>
      </w:pPr>
      <w:r>
        <w:rPr>
          <w:rFonts w:ascii="Times New Roman" w:cs="Times New Roman" w:eastAsia="Times New Roman" w:hAnsi="Times New Roman"/>
          <w:sz w:val="18"/>
          <w:szCs w:val="18"/>
          <w:b w:val="1"/>
          <w:bCs w:val="1"/>
          <w:color w:val="auto"/>
        </w:rPr>
        <w:t>________________________</w:t>
      </w:r>
    </w:p>
    <w:p>
      <w:pPr>
        <w:spacing w:after="0" w:line="256" w:lineRule="exact"/>
        <w:rPr>
          <w:sz w:val="20"/>
          <w:szCs w:val="20"/>
          <w:color w:val="auto"/>
        </w:rPr>
      </w:pPr>
    </w:p>
    <w:p>
      <w:pPr>
        <w:ind w:left="467" w:right="40" w:hanging="440"/>
        <w:spacing w:after="0" w:line="253" w:lineRule="auto"/>
        <w:tabs>
          <w:tab w:leader="none" w:pos="467" w:val="left"/>
        </w:tabs>
        <w:numPr>
          <w:ilvl w:val="1"/>
          <w:numId w:val="92"/>
        </w:numPr>
        <w:rPr>
          <w:rFonts w:ascii="Arial" w:cs="Arial" w:eastAsia="Arial" w:hAnsi="Arial"/>
          <w:sz w:val="16"/>
          <w:szCs w:val="16"/>
          <w:color w:val="auto"/>
        </w:rPr>
      </w:pPr>
      <w:r>
        <w:rPr>
          <w:rFonts w:ascii="Arial" w:cs="Arial" w:eastAsia="Arial" w:hAnsi="Arial"/>
          <w:sz w:val="16"/>
          <w:szCs w:val="16"/>
          <w:color w:val="auto"/>
        </w:rPr>
        <w:t>Dekko Global Enterprise, LLC owns 99.998% of Type A Common Stock of Grupo Dekko Mexico, S.A. de C.V. and Group Dekko Holdings, Inc. owns .002% of Type A Common Stock of Grupo Dekko Mexico, S.A. de C.V. Dekko Global Enterprise LLC owns 100% of Type B Common Stock of Grupo Dekko Mexico, S.A. de C.V. The combined ownership by Dekko Global Enterprise LLC and Group Dekko Holdings, Inc. in Grupo Dekko Mexico, S.A. de C.V. is 100%.</w:t>
      </w:r>
    </w:p>
    <w:p>
      <w:pPr>
        <w:ind w:left="467" w:right="40" w:hanging="440"/>
        <w:spacing w:after="0" w:line="246" w:lineRule="auto"/>
        <w:tabs>
          <w:tab w:leader="none" w:pos="467" w:val="left"/>
        </w:tabs>
        <w:numPr>
          <w:ilvl w:val="1"/>
          <w:numId w:val="92"/>
        </w:numPr>
        <w:rPr>
          <w:rFonts w:ascii="Arial" w:cs="Arial" w:eastAsia="Arial" w:hAnsi="Arial"/>
          <w:sz w:val="16"/>
          <w:szCs w:val="16"/>
          <w:color w:val="auto"/>
        </w:rPr>
      </w:pPr>
      <w:r>
        <w:rPr>
          <w:rFonts w:ascii="Arial" w:cs="Arial" w:eastAsia="Arial" w:hAnsi="Arial"/>
          <w:sz w:val="16"/>
          <w:szCs w:val="16"/>
          <w:color w:val="auto"/>
        </w:rPr>
        <w:t>Forney Corporation owns .03% and Forney Maquila, LLC owns 99.97% of FMMX S. de R.L. de C.V. The combined ownership of Forney Maquila, LLC and Forney Corporation in FMMX S. de R.L. de C.V. is 100%.</w:t>
      </w:r>
    </w:p>
    <w:p>
      <w:pPr>
        <w:ind w:left="467" w:right="460" w:hanging="467"/>
        <w:spacing w:after="0" w:line="265" w:lineRule="auto"/>
        <w:tabs>
          <w:tab w:leader="none" w:pos="467" w:val="left"/>
        </w:tabs>
        <w:numPr>
          <w:ilvl w:val="0"/>
          <w:numId w:val="93"/>
        </w:numPr>
        <w:rPr>
          <w:rFonts w:ascii="Arial" w:cs="Arial" w:eastAsia="Arial" w:hAnsi="Arial"/>
          <w:sz w:val="16"/>
          <w:szCs w:val="16"/>
          <w:color w:val="auto"/>
        </w:rPr>
      </w:pPr>
      <w:r>
        <w:rPr>
          <w:rFonts w:ascii="Arial" w:cs="Arial" w:eastAsia="Arial" w:hAnsi="Arial"/>
          <w:sz w:val="16"/>
          <w:szCs w:val="16"/>
          <w:color w:val="auto"/>
        </w:rPr>
        <w:t>Forney Maquila, LLC owns .03% and FMMX s. de R.L. de C.V. owns 99.97% of FSM S. de R.L. de C.V. The combined ownership of Forney Maquila, LLC and FMMX S. de R.L. de C.V. in FSM S. de R.L. de C.V. is 100%.</w:t>
      </w:r>
    </w:p>
    <w:p>
      <w:pPr>
        <w:spacing w:after="0" w:line="19" w:lineRule="exact"/>
        <w:rPr>
          <w:rFonts w:ascii="Arial" w:cs="Arial" w:eastAsia="Arial" w:hAnsi="Arial"/>
          <w:sz w:val="16"/>
          <w:szCs w:val="16"/>
          <w:color w:val="auto"/>
        </w:rPr>
      </w:pPr>
    </w:p>
    <w:p>
      <w:pPr>
        <w:ind w:left="467" w:hanging="467"/>
        <w:spacing w:after="0" w:line="269" w:lineRule="auto"/>
        <w:tabs>
          <w:tab w:leader="none" w:pos="467" w:val="left"/>
        </w:tabs>
        <w:numPr>
          <w:ilvl w:val="0"/>
          <w:numId w:val="93"/>
        </w:numPr>
        <w:rPr>
          <w:rFonts w:ascii="Arial" w:cs="Arial" w:eastAsia="Arial" w:hAnsi="Arial"/>
          <w:sz w:val="16"/>
          <w:szCs w:val="16"/>
          <w:color w:val="auto"/>
        </w:rPr>
      </w:pPr>
      <w:r>
        <w:rPr>
          <w:rFonts w:ascii="Arial" w:cs="Arial" w:eastAsia="Arial" w:hAnsi="Arial"/>
          <w:sz w:val="16"/>
          <w:szCs w:val="16"/>
          <w:color w:val="auto"/>
        </w:rPr>
        <w:t>Shanghai Kaplan Education Investment Consulting Co. Ltd also owns 52.5% stock in Shanghai Kai Bo Education Investment Management Co. Limited. The combined ownership of The Financial Training (Shanghai) Co., Ltd and Shanghai Kaplan Education Investment Consulting Co. Ltd in Shanghai Kai Bo Education Investment Management Co. Limited is 100%.</w:t>
      </w:r>
    </w:p>
    <w:p>
      <w:pPr>
        <w:spacing w:after="0" w:line="16" w:lineRule="exact"/>
        <w:rPr>
          <w:rFonts w:ascii="Arial" w:cs="Arial" w:eastAsia="Arial" w:hAnsi="Arial"/>
          <w:sz w:val="16"/>
          <w:szCs w:val="16"/>
          <w:color w:val="auto"/>
        </w:rPr>
      </w:pPr>
    </w:p>
    <w:p>
      <w:pPr>
        <w:ind w:left="467" w:right="100" w:hanging="467"/>
        <w:spacing w:after="0" w:line="290" w:lineRule="auto"/>
        <w:tabs>
          <w:tab w:leader="none" w:pos="467" w:val="left"/>
        </w:tabs>
        <w:numPr>
          <w:ilvl w:val="0"/>
          <w:numId w:val="93"/>
        </w:numPr>
        <w:rPr>
          <w:rFonts w:ascii="Arial" w:cs="Arial" w:eastAsia="Arial" w:hAnsi="Arial"/>
          <w:sz w:val="16"/>
          <w:szCs w:val="16"/>
          <w:color w:val="auto"/>
        </w:rPr>
      </w:pPr>
      <w:r>
        <w:rPr>
          <w:rFonts w:ascii="Arial" w:cs="Arial" w:eastAsia="Arial" w:hAnsi="Arial"/>
          <w:sz w:val="16"/>
          <w:szCs w:val="16"/>
          <w:color w:val="auto"/>
        </w:rPr>
        <w:t>Coxcourt Limited also owns 43.11% voting stock in Accountancy &amp; Business College Holdings Limited. The combined stock ownership of Kaplan Netherlands B.V. and Coxcourt Limited in Accountancy &amp; Business College Holdings Limited is 100%.</w:t>
      </w:r>
    </w:p>
    <w:p>
      <w:pPr>
        <w:spacing w:after="0" w:line="1" w:lineRule="exact"/>
        <w:rPr>
          <w:rFonts w:ascii="Arial" w:cs="Arial" w:eastAsia="Arial" w:hAnsi="Arial"/>
          <w:sz w:val="16"/>
          <w:szCs w:val="16"/>
          <w:color w:val="auto"/>
        </w:rPr>
      </w:pPr>
    </w:p>
    <w:p>
      <w:pPr>
        <w:ind w:left="467" w:right="20" w:hanging="467"/>
        <w:spacing w:after="0" w:line="269" w:lineRule="auto"/>
        <w:tabs>
          <w:tab w:leader="none" w:pos="467" w:val="left"/>
        </w:tabs>
        <w:numPr>
          <w:ilvl w:val="0"/>
          <w:numId w:val="93"/>
        </w:numPr>
        <w:rPr>
          <w:rFonts w:ascii="Arial" w:cs="Arial" w:eastAsia="Arial" w:hAnsi="Arial"/>
          <w:sz w:val="16"/>
          <w:szCs w:val="16"/>
          <w:color w:val="auto"/>
        </w:rPr>
      </w:pPr>
      <w:r>
        <w:rPr>
          <w:rFonts w:ascii="Arial" w:cs="Arial" w:eastAsia="Arial" w:hAnsi="Arial"/>
          <w:sz w:val="16"/>
          <w:szCs w:val="16"/>
          <w:color w:val="auto"/>
        </w:rPr>
        <w:t>Kaplan Mexico Holdings, LLC also owns 1% stock in Kaplan Educational Services de Mexico, S. de R.L. de C.V. and Education HR Services Mexico, S. de R.L. de C.V. The combined ownership of Kaplan, Inc. and Kaplan Mexico Holdings, LLC in Kaplan Educational Services de Mexico, S. de R.L. de C.V. and Education HR Services Mexico, S. de R.L. de C.V. is 100%.</w:t>
      </w:r>
    </w:p>
    <w:p>
      <w:pPr>
        <w:spacing w:after="0" w:line="16" w:lineRule="exact"/>
        <w:rPr>
          <w:rFonts w:ascii="Arial" w:cs="Arial" w:eastAsia="Arial" w:hAnsi="Arial"/>
          <w:sz w:val="16"/>
          <w:szCs w:val="16"/>
          <w:color w:val="auto"/>
        </w:rPr>
      </w:pPr>
    </w:p>
    <w:p>
      <w:pPr>
        <w:ind w:left="467" w:right="100" w:hanging="467"/>
        <w:spacing w:after="0" w:line="291" w:lineRule="auto"/>
        <w:tabs>
          <w:tab w:leader="none" w:pos="467" w:val="left"/>
        </w:tabs>
        <w:numPr>
          <w:ilvl w:val="0"/>
          <w:numId w:val="93"/>
        </w:numPr>
        <w:rPr>
          <w:rFonts w:ascii="Arial" w:cs="Arial" w:eastAsia="Arial" w:hAnsi="Arial"/>
          <w:sz w:val="16"/>
          <w:szCs w:val="16"/>
          <w:color w:val="auto"/>
        </w:rPr>
      </w:pPr>
      <w:r>
        <w:rPr>
          <w:rFonts w:ascii="Arial" w:cs="Arial" w:eastAsia="Arial" w:hAnsi="Arial"/>
          <w:sz w:val="16"/>
          <w:szCs w:val="16"/>
          <w:color w:val="auto"/>
        </w:rPr>
        <w:t>Quest Ventures, LLC is a Limited Partner of Texas Educational Ventures, LP. The combined ownership of Educational Ventures (Texas), Inc. and Quest Ventures, LLC in Texas Educational Ventures, LP is 100%.</w:t>
      </w:r>
    </w:p>
    <w:p>
      <w:pPr>
        <w:sectPr>
          <w:pgSz w:w="11900" w:h="16838" w:orient="portrait"/>
          <w:cols w:equalWidth="0" w:num="1">
            <w:col w:w="10907"/>
          </w:cols>
          <w:pgMar w:left="653" w:top="756" w:right="339" w:bottom="1440" w:gutter="0" w:footer="0" w:header="0"/>
          <w:type w:val="continuous"/>
        </w:sectPr>
      </w:pPr>
    </w:p>
    <w:bookmarkStart w:id="126" w:name="page127"/>
    <w:bookmarkEnd w:id="126"/>
    <w:p>
      <w:pPr>
        <w:ind w:left="467" w:right="200" w:hanging="467"/>
        <w:spacing w:after="0" w:line="290" w:lineRule="auto"/>
        <w:tabs>
          <w:tab w:leader="none" w:pos="467" w:val="left"/>
        </w:tabs>
        <w:numPr>
          <w:ilvl w:val="0"/>
          <w:numId w:val="94"/>
        </w:numPr>
        <w:rPr>
          <w:rFonts w:ascii="Arial" w:cs="Arial" w:eastAsia="Arial" w:hAnsi="Arial"/>
          <w:sz w:val="16"/>
          <w:szCs w:val="16"/>
          <w:color w:val="auto"/>
        </w:rPr>
      </w:pPr>
      <w:r>
        <w:rPr>
          <w:rFonts w:ascii="Arial" w:cs="Arial" w:eastAsia="Arial" w:hAnsi="Arial"/>
          <w:sz w:val="16"/>
          <w:szCs w:val="16"/>
          <w:color w:val="auto"/>
        </w:rPr>
        <w:t>Kaplan Colleges Private Limited also owns 4.35% stock in Kaplan (India) Private Limited. The combined ownership of Kaplan Mexico Holdings, LLC and Kaplan Colleges Private Limited in Kaplan (India) Private Limited is 100%.</w:t>
      </w:r>
    </w:p>
    <w:p>
      <w:pPr>
        <w:spacing w:after="0" w:line="1" w:lineRule="exact"/>
        <w:rPr>
          <w:rFonts w:ascii="Arial" w:cs="Arial" w:eastAsia="Arial" w:hAnsi="Arial"/>
          <w:sz w:val="16"/>
          <w:szCs w:val="16"/>
          <w:color w:val="auto"/>
        </w:rPr>
      </w:pPr>
    </w:p>
    <w:p>
      <w:pPr>
        <w:ind w:left="467" w:right="60" w:hanging="467"/>
        <w:spacing w:after="0" w:line="269" w:lineRule="auto"/>
        <w:tabs>
          <w:tab w:leader="none" w:pos="467" w:val="left"/>
        </w:tabs>
        <w:numPr>
          <w:ilvl w:val="0"/>
          <w:numId w:val="94"/>
        </w:numPr>
        <w:rPr>
          <w:rFonts w:ascii="Arial" w:cs="Arial" w:eastAsia="Arial" w:hAnsi="Arial"/>
          <w:sz w:val="16"/>
          <w:szCs w:val="16"/>
          <w:color w:val="auto"/>
        </w:rPr>
      </w:pPr>
      <w:r>
        <w:rPr>
          <w:rFonts w:ascii="Arial" w:cs="Arial" w:eastAsia="Arial" w:hAnsi="Arial"/>
          <w:sz w:val="16"/>
          <w:szCs w:val="16"/>
          <w:color w:val="auto"/>
        </w:rPr>
        <w:t>Kaplan International North America, LLC and Kaplan Test Prep International, Inc. each own 1 share or .00334% of Kaplan International English (Thailand), Co. Ltd. The combined ownership of Kaplan International North America, LLC, Kaplan Test Prep International, Inc. and Kaplan, Inc. in Kaplan International English (Thailand), Co. Ltd. is 99.99%.</w:t>
      </w:r>
    </w:p>
    <w:p>
      <w:pPr>
        <w:spacing w:after="0" w:line="16" w:lineRule="exact"/>
        <w:rPr>
          <w:rFonts w:ascii="Arial" w:cs="Arial" w:eastAsia="Arial" w:hAnsi="Arial"/>
          <w:sz w:val="16"/>
          <w:szCs w:val="16"/>
          <w:color w:val="auto"/>
        </w:rPr>
      </w:pPr>
    </w:p>
    <w:p>
      <w:pPr>
        <w:ind w:left="467" w:right="60" w:hanging="467"/>
        <w:spacing w:after="0" w:line="269" w:lineRule="auto"/>
        <w:tabs>
          <w:tab w:leader="none" w:pos="467" w:val="left"/>
        </w:tabs>
        <w:numPr>
          <w:ilvl w:val="0"/>
          <w:numId w:val="94"/>
        </w:numPr>
        <w:rPr>
          <w:rFonts w:ascii="Arial" w:cs="Arial" w:eastAsia="Arial" w:hAnsi="Arial"/>
          <w:sz w:val="16"/>
          <w:szCs w:val="16"/>
          <w:color w:val="auto"/>
        </w:rPr>
      </w:pPr>
      <w:r>
        <w:rPr>
          <w:rFonts w:ascii="Arial" w:cs="Arial" w:eastAsia="Arial" w:hAnsi="Arial"/>
          <w:sz w:val="16"/>
          <w:szCs w:val="16"/>
          <w:color w:val="auto"/>
        </w:rPr>
        <w:t>Hands On Consulting Limited owns 49% stock and Kaplan International, Inc. and Kaplan Test Prep International, Inc. each own 0.002% stock of Hands On Education Consultants Co., Ltd. The combined ownership of Kaplan, Inc., Hands On Consulting Limited, Kaplan International, Inc. and Kaplan Test Prep International, Inc. in Hands On Education Consultants Co., Ltd. is 100%.</w:t>
      </w:r>
    </w:p>
    <w:p>
      <w:pPr>
        <w:spacing w:after="0" w:line="16" w:lineRule="exact"/>
        <w:rPr>
          <w:rFonts w:ascii="Arial" w:cs="Arial" w:eastAsia="Arial" w:hAnsi="Arial"/>
          <w:sz w:val="16"/>
          <w:szCs w:val="16"/>
          <w:color w:val="auto"/>
        </w:rPr>
      </w:pPr>
    </w:p>
    <w:p>
      <w:pPr>
        <w:ind w:left="467" w:right="160" w:hanging="467"/>
        <w:spacing w:after="0" w:line="290" w:lineRule="auto"/>
        <w:tabs>
          <w:tab w:leader="none" w:pos="467" w:val="left"/>
        </w:tabs>
        <w:numPr>
          <w:ilvl w:val="0"/>
          <w:numId w:val="94"/>
        </w:numPr>
        <w:rPr>
          <w:rFonts w:ascii="Arial" w:cs="Arial" w:eastAsia="Arial" w:hAnsi="Arial"/>
          <w:sz w:val="16"/>
          <w:szCs w:val="16"/>
          <w:color w:val="auto"/>
        </w:rPr>
      </w:pPr>
      <w:r>
        <w:rPr>
          <w:rFonts w:ascii="Arial" w:cs="Arial" w:eastAsia="Arial" w:hAnsi="Arial"/>
          <w:sz w:val="16"/>
          <w:szCs w:val="16"/>
          <w:color w:val="auto"/>
        </w:rPr>
        <w:t>Aspect Educational Services Limited also owns 5% stock in Kaplan International Colleges, C.A. The combined ownership of Aspect Educational Services Limited and Aspect Education Limited in Kaplan International Colleges, C.A. is 100%.</w:t>
      </w:r>
    </w:p>
    <w:p>
      <w:pPr>
        <w:spacing w:after="0" w:line="1" w:lineRule="exact"/>
        <w:rPr>
          <w:rFonts w:ascii="Arial" w:cs="Arial" w:eastAsia="Arial" w:hAnsi="Arial"/>
          <w:sz w:val="16"/>
          <w:szCs w:val="16"/>
          <w:color w:val="auto"/>
        </w:rPr>
      </w:pPr>
    </w:p>
    <w:p>
      <w:pPr>
        <w:ind w:left="467" w:hanging="467"/>
        <w:spacing w:after="0" w:line="269" w:lineRule="auto"/>
        <w:tabs>
          <w:tab w:leader="none" w:pos="467" w:val="left"/>
        </w:tabs>
        <w:numPr>
          <w:ilvl w:val="0"/>
          <w:numId w:val="94"/>
        </w:numPr>
        <w:rPr>
          <w:rFonts w:ascii="Arial" w:cs="Arial" w:eastAsia="Arial" w:hAnsi="Arial"/>
          <w:sz w:val="16"/>
          <w:szCs w:val="16"/>
          <w:color w:val="auto"/>
        </w:rPr>
      </w:pPr>
      <w:r>
        <w:rPr>
          <w:rFonts w:ascii="Arial" w:cs="Arial" w:eastAsia="Arial" w:hAnsi="Arial"/>
          <w:sz w:val="16"/>
          <w:szCs w:val="16"/>
          <w:color w:val="auto"/>
        </w:rPr>
        <w:t>Aspect Educational Services Limited also owns .002% equity in Kaplan International Operations Mexico, S.A. de C.V. and KI HR Services Mexico, S.A. de C.V. The combined ownership of Aspect Education Limited and Aspect Educational Services Limited in Kaplan International Operations Mexico, S.A. de C.V. and KI HR Services Mexico, S.A. de C.V. is 100%.</w:t>
      </w:r>
    </w:p>
    <w:p>
      <w:pPr>
        <w:spacing w:after="0" w:line="16" w:lineRule="exact"/>
        <w:rPr>
          <w:rFonts w:ascii="Arial" w:cs="Arial" w:eastAsia="Arial" w:hAnsi="Arial"/>
          <w:sz w:val="16"/>
          <w:szCs w:val="16"/>
          <w:color w:val="auto"/>
        </w:rPr>
      </w:pPr>
    </w:p>
    <w:p>
      <w:pPr>
        <w:ind w:left="467" w:hanging="467"/>
        <w:spacing w:after="0" w:line="290" w:lineRule="auto"/>
        <w:tabs>
          <w:tab w:leader="none" w:pos="467" w:val="left"/>
        </w:tabs>
        <w:numPr>
          <w:ilvl w:val="0"/>
          <w:numId w:val="94"/>
        </w:numPr>
        <w:rPr>
          <w:rFonts w:ascii="Arial" w:cs="Arial" w:eastAsia="Arial" w:hAnsi="Arial"/>
          <w:sz w:val="16"/>
          <w:szCs w:val="16"/>
          <w:color w:val="auto"/>
        </w:rPr>
      </w:pPr>
      <w:r>
        <w:rPr>
          <w:rFonts w:ascii="Arial" w:cs="Arial" w:eastAsia="Arial" w:hAnsi="Arial"/>
          <w:sz w:val="16"/>
          <w:szCs w:val="16"/>
          <w:color w:val="auto"/>
        </w:rPr>
        <w:t>Kaplan International Holdings Limited also owns 1 share or .00001% of Kaplan International Colleges Limited. The combined ownership of Kaplan International Holdings Limited and Kaplan International Colleges U.K. Limited in Kaplan International Colleges Limited is 100%.</w:t>
      </w:r>
    </w:p>
    <w:p>
      <w:pPr>
        <w:spacing w:after="0" w:line="1" w:lineRule="exact"/>
        <w:rPr>
          <w:rFonts w:ascii="Arial" w:cs="Arial" w:eastAsia="Arial" w:hAnsi="Arial"/>
          <w:sz w:val="16"/>
          <w:szCs w:val="16"/>
          <w:color w:val="auto"/>
        </w:rPr>
      </w:pPr>
    </w:p>
    <w:p>
      <w:pPr>
        <w:ind w:left="467" w:right="40" w:hanging="467"/>
        <w:spacing w:after="0" w:line="257" w:lineRule="auto"/>
        <w:tabs>
          <w:tab w:leader="none" w:pos="467" w:val="left"/>
        </w:tabs>
        <w:numPr>
          <w:ilvl w:val="0"/>
          <w:numId w:val="94"/>
        </w:numPr>
        <w:rPr>
          <w:rFonts w:ascii="Arial" w:cs="Arial" w:eastAsia="Arial" w:hAnsi="Arial"/>
          <w:sz w:val="16"/>
          <w:szCs w:val="16"/>
          <w:color w:val="auto"/>
        </w:rPr>
      </w:pPr>
      <w:r>
        <w:rPr>
          <w:rFonts w:ascii="Arial" w:cs="Arial" w:eastAsia="Arial" w:hAnsi="Arial"/>
          <w:sz w:val="16"/>
          <w:szCs w:val="16"/>
          <w:color w:val="auto"/>
        </w:rPr>
        <w:t>Kaplan NT Limited, Kaplan Liverpool Limited, Kaplan Glasgow Limited, Kaplan Notingham Limited. - The University of York International Pathway College LLP, Kaplan International College London Limited, Kaplan UWE Limited, Kaplan Bournemouth Limited and Kaplan Brighton Limited each owns 12.5% of Kaplan Partner Services HK Limited. The combined ownership of Kaplan NT Limited, Kaplan Liverpool Limited, Kaplan Glasgow Limited, Kaplan Nottingham Limited, The University of York International Pathway College LLP ,Kaplan International College London Limited, Kaplan UWE Limited, Kaplan Bournemouth Limited and Kaplan Brighton Limited is 100%.</w:t>
      </w:r>
    </w:p>
    <w:p>
      <w:pPr>
        <w:spacing w:after="0" w:line="284" w:lineRule="exact"/>
        <w:rPr>
          <w:rFonts w:ascii="Arial" w:cs="Arial" w:eastAsia="Arial" w:hAnsi="Arial"/>
          <w:sz w:val="16"/>
          <w:szCs w:val="16"/>
          <w:color w:val="auto"/>
        </w:rPr>
      </w:pPr>
    </w:p>
    <w:p>
      <w:pPr>
        <w:ind w:left="467" w:right="200"/>
        <w:spacing w:after="0" w:line="291" w:lineRule="auto"/>
        <w:rPr>
          <w:rFonts w:ascii="Arial" w:cs="Arial" w:eastAsia="Arial" w:hAnsi="Arial"/>
          <w:sz w:val="16"/>
          <w:szCs w:val="16"/>
          <w:color w:val="auto"/>
        </w:rPr>
      </w:pPr>
      <w:r>
        <w:rPr>
          <w:rFonts w:ascii="Arial" w:cs="Arial" w:eastAsia="Arial" w:hAnsi="Arial"/>
          <w:sz w:val="16"/>
          <w:szCs w:val="16"/>
          <w:color w:val="auto"/>
        </w:rPr>
        <w:t>As permitted by Item 601(b)(21) of Regulation S-K, the foregoing list omits certain subsidiaries which, if considered in the aggregate as a single subsidiary, would not constitute a “significant subsidiary” as that term is defined in Rule 1-02(w) of Regulation S-X.</w:t>
      </w:r>
    </w:p>
    <w:p>
      <w:pPr>
        <w:sectPr>
          <w:pgSz w:w="11900" w:h="16838" w:orient="portrait"/>
          <w:cols w:equalWidth="0" w:num="1">
            <w:col w:w="10907"/>
          </w:cols>
          <w:pgMar w:left="653" w:top="581" w:right="339" w:bottom="1440" w:gutter="0" w:footer="0" w:header="0"/>
        </w:sectPr>
      </w:pPr>
    </w:p>
    <w:bookmarkStart w:id="127" w:name="page128"/>
    <w:bookmarkEnd w:id="127"/>
    <w:p>
      <w:pPr>
        <w:jc w:val="right"/>
        <w:spacing w:after="0"/>
        <w:rPr>
          <w:sz w:val="20"/>
          <w:szCs w:val="20"/>
          <w:color w:val="auto"/>
        </w:rPr>
      </w:pPr>
      <w:r>
        <w:rPr>
          <w:rFonts w:ascii="Arial" w:cs="Arial" w:eastAsia="Arial" w:hAnsi="Arial"/>
          <w:sz w:val="18"/>
          <w:szCs w:val="18"/>
          <w:color w:val="auto"/>
        </w:rPr>
        <w:t>EXHIBIT 23</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25" w:lineRule="exact"/>
        <w:rPr>
          <w:sz w:val="20"/>
          <w:szCs w:val="20"/>
          <w:color w:val="auto"/>
        </w:rPr>
      </w:pPr>
    </w:p>
    <w:p>
      <w:pPr>
        <w:jc w:val="both"/>
        <w:ind w:right="540"/>
        <w:spacing w:after="0" w:line="271" w:lineRule="auto"/>
        <w:rPr>
          <w:sz w:val="20"/>
          <w:szCs w:val="20"/>
          <w:color w:val="auto"/>
        </w:rPr>
      </w:pPr>
      <w:r>
        <w:rPr>
          <w:rFonts w:ascii="Arial" w:cs="Arial" w:eastAsia="Arial" w:hAnsi="Arial"/>
          <w:sz w:val="18"/>
          <w:szCs w:val="18"/>
          <w:color w:val="auto"/>
        </w:rPr>
        <w:t>We hereby consent to the incorporation by reference in the Registration Statements on Form S-8 (Registration Nos. 333-189559 and 33-54295) and Form S-3 (Registration No. 333-71350) of Graham Holdings Company, of our report dated February 24, 2017 relating to the financial statements and the effectiveness of internal control over financial reporting, which appears in this Form 10-K.</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McLean, VA</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February 24, 2017</w:t>
      </w:r>
    </w:p>
    <w:p>
      <w:pPr>
        <w:sectPr>
          <w:pgSz w:w="11900" w:h="16838" w:orient="portrait"/>
          <w:cols w:equalWidth="0" w:num="1">
            <w:col w:w="11420"/>
          </w:cols>
          <w:pgMar w:left="240" w:top="576" w:right="239" w:bottom="1440" w:gutter="0" w:footer="0" w:header="0"/>
        </w:sectPr>
      </w:pPr>
    </w:p>
    <w:bookmarkStart w:id="128" w:name="page129"/>
    <w:bookmarkEnd w:id="128"/>
    <w:p>
      <w:pPr>
        <w:jc w:val="right"/>
        <w:spacing w:after="0"/>
        <w:rPr>
          <w:sz w:val="20"/>
          <w:szCs w:val="20"/>
          <w:color w:val="auto"/>
        </w:rPr>
      </w:pPr>
      <w:r>
        <w:rPr>
          <w:rFonts w:ascii="Arial" w:cs="Arial" w:eastAsia="Arial" w:hAnsi="Arial"/>
          <w:sz w:val="18"/>
          <w:szCs w:val="18"/>
          <w:color w:val="auto"/>
        </w:rPr>
        <w:t>EXHIBIT 24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Power of Attorney</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Reports Under the Securities Exchange Act of 1934</w:t>
      </w:r>
    </w:p>
    <w:p>
      <w:pPr>
        <w:spacing w:after="0" w:line="203" w:lineRule="exact"/>
        <w:rPr>
          <w:sz w:val="20"/>
          <w:szCs w:val="20"/>
          <w:color w:val="auto"/>
        </w:rPr>
      </w:pPr>
    </w:p>
    <w:p>
      <w:pPr>
        <w:ind w:left="9840"/>
        <w:spacing w:after="0"/>
        <w:rPr>
          <w:sz w:val="20"/>
          <w:szCs w:val="20"/>
          <w:color w:val="auto"/>
        </w:rPr>
      </w:pPr>
      <w:r>
        <w:rPr>
          <w:rFonts w:ascii="Arial" w:cs="Arial" w:eastAsia="Arial" w:hAnsi="Arial"/>
          <w:sz w:val="18"/>
          <w:szCs w:val="18"/>
          <w:color w:val="auto"/>
        </w:rPr>
        <w:t>February 24, 2017</w:t>
      </w:r>
    </w:p>
    <w:p>
      <w:pPr>
        <w:spacing w:after="0" w:line="225"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KNOW ALL MEN BY THESE PRESENTS that each of the undersigned directors and officers of Graham Holdings Company, a Delaware corporation (hereinafter called the "Company"), hereby constitutes and appoints TIMOTHY J. O'SHAUGHNESSY, HAL S. JONES, WALLACE R. COONEY and NICOLE MADDREY, and each of them, his or her true and lawful attorneys-in-fact and agents with full power to act without the others and with full power of substitution and resubstitution, for him or her and in his or her name, place and stead, in any and all capacities, to sign my name to an Annual Report on Form 10-K of the Company for the fiscal year ended December 31, 2016, and any and all reports required to be filed by the Company pursuant to the Securities Exchange Act of 1934, as amended, and any and all amendments thereto and other documents in connection therewith, and to file, or cause to be filed, the same with all exhibits thereto (including this power of attorney), with the Securities and Exchange Commission, granting unto said attorneys-in-fact and agents, and each of them, full power and authority to do and perform each and every act and thing requisite and necessary to be done in and about the premises as fully and to all intents and purposes as he or she might or could do in person, hereby ratifying and confirming all that said attorneys-in-fact and agents or any of them, or their or his or her substitute or substitutes, may lawfully do or cause to be done by virtue hereof.</w:t>
      </w:r>
    </w:p>
    <w:p>
      <w:pPr>
        <w:sectPr>
          <w:pgSz w:w="11900" w:h="16838" w:orient="portrait"/>
          <w:cols w:equalWidth="0" w:num="1">
            <w:col w:w="11420"/>
          </w:cols>
          <w:pgMar w:left="240" w:top="576" w:right="239" w:bottom="1440" w:gutter="0" w:footer="0" w:header="0"/>
        </w:sectPr>
      </w:pPr>
    </w:p>
    <w:p>
      <w:pPr>
        <w:spacing w:after="0" w:line="200" w:lineRule="exact"/>
        <w:rPr>
          <w:sz w:val="20"/>
          <w:szCs w:val="20"/>
          <w:color w:val="auto"/>
        </w:rPr>
      </w:pPr>
    </w:p>
    <w:p>
      <w:pPr>
        <w:spacing w:after="0" w:line="362"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Donald E. Graham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36017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601720" cy="8890"/>
                    </a:xfrm>
                    <a:prstGeom prst="rect">
                      <a:avLst/>
                    </a:prstGeom>
                    <a:noFill/>
                  </pic:spPr>
                </pic:pic>
              </a:graphicData>
            </a:graphic>
          </wp:anchor>
        </w:drawing>
      </w:r>
    </w:p>
    <w:p>
      <w:pPr>
        <w:spacing w:after="0" w:line="43" w:lineRule="exact"/>
        <w:rPr>
          <w:sz w:val="20"/>
          <w:szCs w:val="20"/>
          <w:color w:val="auto"/>
        </w:rPr>
      </w:pPr>
    </w:p>
    <w:p>
      <w:pPr>
        <w:ind w:left="40" w:right="900"/>
        <w:spacing w:after="0" w:line="305" w:lineRule="auto"/>
        <w:rPr>
          <w:sz w:val="20"/>
          <w:szCs w:val="20"/>
          <w:color w:val="auto"/>
        </w:rPr>
      </w:pPr>
      <w:r>
        <w:rPr>
          <w:rFonts w:ascii="Arial" w:cs="Arial" w:eastAsia="Arial" w:hAnsi="Arial"/>
          <w:sz w:val="18"/>
          <w:szCs w:val="18"/>
          <w:color w:val="auto"/>
        </w:rPr>
        <w:t>Donald E. Graham, Chairman of the Board and Director /s/ Timothy J. O'Shaughnessy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36017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601720" cy="8890"/>
                    </a:xfrm>
                    <a:prstGeom prst="rect">
                      <a:avLst/>
                    </a:prstGeom>
                    <a:noFill/>
                  </pic:spPr>
                </pic:pic>
              </a:graphicData>
            </a:graphic>
          </wp:anchor>
        </w:drawing>
      </w:r>
    </w:p>
    <w:p>
      <w:pPr>
        <w:ind w:left="40" w:right="120"/>
        <w:spacing w:after="0" w:line="266" w:lineRule="auto"/>
        <w:rPr>
          <w:sz w:val="20"/>
          <w:szCs w:val="20"/>
          <w:color w:val="auto"/>
        </w:rPr>
      </w:pPr>
      <w:r>
        <w:rPr>
          <w:rFonts w:ascii="Arial" w:cs="Arial" w:eastAsia="Arial" w:hAnsi="Arial"/>
          <w:sz w:val="18"/>
          <w:szCs w:val="18"/>
          <w:color w:val="auto"/>
        </w:rPr>
        <w:t>Timothy J. O'Shaughnessy, President and Chief Executive Officer (Principal Executive Officer) and Director</w:t>
      </w:r>
    </w:p>
    <w:p>
      <w:pPr>
        <w:ind w:left="40"/>
        <w:spacing w:after="0"/>
        <w:rPr>
          <w:sz w:val="20"/>
          <w:szCs w:val="20"/>
          <w:color w:val="auto"/>
        </w:rPr>
      </w:pPr>
      <w:r>
        <w:rPr>
          <w:rFonts w:ascii="Arial" w:cs="Arial" w:eastAsia="Arial" w:hAnsi="Arial"/>
          <w:sz w:val="18"/>
          <w:szCs w:val="18"/>
          <w:color w:val="auto"/>
        </w:rPr>
        <w:t>/s/ Hal S.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36017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601720" cy="8890"/>
                    </a:xfrm>
                    <a:prstGeom prst="rect">
                      <a:avLst/>
                    </a:prstGeom>
                    <a:noFill/>
                  </pic:spPr>
                </pic:pic>
              </a:graphicData>
            </a:graphic>
          </wp:anchor>
        </w:drawing>
      </w:r>
    </w:p>
    <w:p>
      <w:pPr>
        <w:spacing w:after="0" w:line="43" w:lineRule="exact"/>
        <w:rPr>
          <w:sz w:val="20"/>
          <w:szCs w:val="20"/>
          <w:color w:val="auto"/>
        </w:rPr>
      </w:pPr>
    </w:p>
    <w:p>
      <w:pPr>
        <w:ind w:left="40" w:right="100"/>
        <w:spacing w:after="0" w:line="266" w:lineRule="auto"/>
        <w:rPr>
          <w:sz w:val="20"/>
          <w:szCs w:val="20"/>
          <w:color w:val="auto"/>
        </w:rPr>
      </w:pPr>
      <w:r>
        <w:rPr>
          <w:rFonts w:ascii="Arial" w:cs="Arial" w:eastAsia="Arial" w:hAnsi="Arial"/>
          <w:sz w:val="18"/>
          <w:szCs w:val="18"/>
          <w:color w:val="auto"/>
        </w:rPr>
        <w:t>Hal S. Jones, Senior Vice President - Finance (Principal Financial Officer)</w:t>
      </w:r>
    </w:p>
    <w:p>
      <w:pPr>
        <w:ind w:left="40"/>
        <w:spacing w:after="0"/>
        <w:rPr>
          <w:sz w:val="20"/>
          <w:szCs w:val="20"/>
          <w:color w:val="auto"/>
        </w:rPr>
      </w:pPr>
      <w:r>
        <w:rPr>
          <w:rFonts w:ascii="Arial" w:cs="Arial" w:eastAsia="Arial" w:hAnsi="Arial"/>
          <w:sz w:val="18"/>
          <w:szCs w:val="18"/>
          <w:color w:val="auto"/>
        </w:rPr>
        <w:t>/s/ Wallace R. Cooney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36017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601720" cy="8890"/>
                    </a:xfrm>
                    <a:prstGeom prst="rect">
                      <a:avLst/>
                    </a:prstGeom>
                    <a:noFill/>
                  </pic:spPr>
                </pic:pic>
              </a:graphicData>
            </a:graphic>
          </wp:anchor>
        </w:drawing>
      </w:r>
    </w:p>
    <w:p>
      <w:pPr>
        <w:spacing w:after="0" w:line="43" w:lineRule="exact"/>
        <w:rPr>
          <w:sz w:val="20"/>
          <w:szCs w:val="20"/>
          <w:color w:val="auto"/>
        </w:rPr>
      </w:pPr>
    </w:p>
    <w:p>
      <w:pPr>
        <w:ind w:left="40"/>
        <w:spacing w:after="0" w:line="266" w:lineRule="auto"/>
        <w:rPr>
          <w:sz w:val="20"/>
          <w:szCs w:val="20"/>
          <w:color w:val="auto"/>
        </w:rPr>
      </w:pPr>
      <w:r>
        <w:rPr>
          <w:rFonts w:ascii="Arial" w:cs="Arial" w:eastAsia="Arial" w:hAnsi="Arial"/>
          <w:sz w:val="18"/>
          <w:szCs w:val="18"/>
          <w:color w:val="auto"/>
        </w:rPr>
        <w:t>Wallace R. Cooney, Vice President - Finance (Principal Accounting Officer)</w:t>
      </w:r>
    </w:p>
    <w:p>
      <w:pPr>
        <w:ind w:left="40"/>
        <w:spacing w:after="0"/>
        <w:rPr>
          <w:sz w:val="20"/>
          <w:szCs w:val="20"/>
          <w:color w:val="auto"/>
        </w:rPr>
      </w:pPr>
      <w:r>
        <w:rPr>
          <w:rFonts w:ascii="Arial" w:cs="Arial" w:eastAsia="Arial" w:hAnsi="Arial"/>
          <w:sz w:val="18"/>
          <w:szCs w:val="18"/>
          <w:color w:val="auto"/>
        </w:rPr>
        <w:t>/s/ Lee C. Bollinger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36017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601720" cy="889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Lee C. Bollinger, Director</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Christopher C. Davis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36017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601720" cy="889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Christopher C. Davis, Director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color w:val="auto"/>
        </w:rPr>
        <w:t>/s/ Thomas S. Gayner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28575</wp:posOffset>
            </wp:positionV>
            <wp:extent cx="354203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542030" cy="8890"/>
                    </a:xfrm>
                    <a:prstGeom prst="rect">
                      <a:avLst/>
                    </a:prstGeom>
                    <a:noFill/>
                  </pic:spPr>
                </pic:pic>
              </a:graphicData>
            </a:graphic>
          </wp:anchor>
        </w:drawing>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Thomas S. Gayner, Director</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/s/ Anne M. Mulcahy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28575</wp:posOffset>
            </wp:positionV>
            <wp:extent cx="354203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542030" cy="8890"/>
                    </a:xfrm>
                    <a:prstGeom prst="rect">
                      <a:avLst/>
                    </a:prstGeom>
                    <a:noFill/>
                  </pic:spPr>
                </pic:pic>
              </a:graphicData>
            </a:graphic>
          </wp:anchor>
        </w:drawing>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Anne M. Mulcahy, Director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Ronald L. Olson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28575</wp:posOffset>
            </wp:positionV>
            <wp:extent cx="354203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542030" cy="8890"/>
                    </a:xfrm>
                    <a:prstGeom prst="rect">
                      <a:avLst/>
                    </a:prstGeom>
                    <a:noFill/>
                  </pic:spPr>
                </pic:pic>
              </a:graphicData>
            </a:graphic>
          </wp:anchor>
        </w:drawing>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Ronald L. Olson, Director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Larry D. Thompson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28575</wp:posOffset>
            </wp:positionV>
            <wp:extent cx="354203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542030" cy="8890"/>
                    </a:xfrm>
                    <a:prstGeom prst="rect">
                      <a:avLst/>
                    </a:prstGeom>
                    <a:noFill/>
                  </pic:spPr>
                </pic:pic>
              </a:graphicData>
            </a:graphic>
          </wp:anchor>
        </w:drawing>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Larry D. Thompson, Director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G. Richard Wagoner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28575</wp:posOffset>
            </wp:positionV>
            <wp:extent cx="354203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542030" cy="8890"/>
                    </a:xfrm>
                    <a:prstGeom prst="rect">
                      <a:avLst/>
                    </a:prstGeom>
                    <a:noFill/>
                  </pic:spPr>
                </pic:pic>
              </a:graphicData>
            </a:graphic>
          </wp:anchor>
        </w:drawing>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color w:val="auto"/>
        </w:rPr>
        <w:t>G. Richard Wagoner, Jr., Director</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color w:val="auto"/>
        </w:rPr>
        <w:t>/s/ Katharine Weymouth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28575</wp:posOffset>
            </wp:positionV>
            <wp:extent cx="354203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542030" cy="8890"/>
                    </a:xfrm>
                    <a:prstGeom prst="rect">
                      <a:avLst/>
                    </a:prstGeom>
                    <a:noFill/>
                  </pic:spPr>
                </pic:pic>
              </a:graphicData>
            </a:graphic>
          </wp:anchor>
        </w:drawing>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Katharine Weymouth, Director</w:t>
      </w:r>
    </w:p>
    <w:p>
      <w:pPr>
        <w:sectPr>
          <w:pgSz w:w="11900" w:h="16838" w:orient="portrait"/>
          <w:cols w:equalWidth="0" w:num="2">
            <w:col w:w="5360" w:space="500"/>
            <w:col w:w="5560"/>
          </w:cols>
          <w:pgMar w:left="240" w:top="576" w:right="239" w:bottom="1440" w:gutter="0" w:footer="0" w:header="0"/>
          <w:type w:val="continuous"/>
        </w:sectPr>
      </w:pPr>
    </w:p>
    <w:bookmarkStart w:id="129" w:name="page130"/>
    <w:bookmarkEnd w:id="129"/>
    <w:p>
      <w:pPr>
        <w:jc w:val="right"/>
        <w:spacing w:after="0"/>
        <w:rPr>
          <w:sz w:val="20"/>
          <w:szCs w:val="20"/>
          <w:color w:val="auto"/>
        </w:rPr>
      </w:pPr>
      <w:r>
        <w:rPr>
          <w:rFonts w:ascii="Arial" w:cs="Arial" w:eastAsia="Arial" w:hAnsi="Arial"/>
          <w:sz w:val="18"/>
          <w:szCs w:val="18"/>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RULE 13a-14(a)/15d-14(a) CERTIFICATION OF THE CHIEF EXECUTIVE OFFICER</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 SECTION 302 OF THE SARBANES-OXLEY ACT OF 2002</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I, Timothy J. O'Shaughnessy, Chief Executive Officer (principal executive officer) of Graham Holdings Company (the “Registrant”), certify that:</w:t>
      </w:r>
    </w:p>
    <w:p>
      <w:pPr>
        <w:spacing w:after="0" w:line="225" w:lineRule="exact"/>
        <w:rPr>
          <w:sz w:val="20"/>
          <w:szCs w:val="20"/>
          <w:color w:val="auto"/>
        </w:rPr>
      </w:pPr>
    </w:p>
    <w:p>
      <w:pPr>
        <w:ind w:left="200" w:hanging="192"/>
        <w:spacing w:after="0"/>
        <w:tabs>
          <w:tab w:leader="none" w:pos="2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the Registrant;</w:t>
      </w:r>
    </w:p>
    <w:p>
      <w:pPr>
        <w:spacing w:after="0" w:line="225" w:lineRule="exact"/>
        <w:rPr>
          <w:rFonts w:ascii="Arial" w:cs="Arial" w:eastAsia="Arial" w:hAnsi="Arial"/>
          <w:sz w:val="18"/>
          <w:szCs w:val="18"/>
          <w:color w:val="auto"/>
        </w:rPr>
      </w:pPr>
    </w:p>
    <w:p>
      <w:pPr>
        <w:ind w:right="280" w:firstLine="8"/>
        <w:spacing w:after="0" w:line="271" w:lineRule="auto"/>
        <w:tabs>
          <w:tab w:leader="none" w:pos="2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3" w:lineRule="exact"/>
        <w:rPr>
          <w:rFonts w:ascii="Arial" w:cs="Arial" w:eastAsia="Arial" w:hAnsi="Arial"/>
          <w:sz w:val="18"/>
          <w:szCs w:val="18"/>
          <w:color w:val="auto"/>
        </w:rPr>
      </w:pPr>
    </w:p>
    <w:p>
      <w:pPr>
        <w:ind w:right="20" w:firstLine="8"/>
        <w:spacing w:after="0" w:line="292" w:lineRule="auto"/>
        <w:tabs>
          <w:tab w:leader="none" w:pos="2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4" w:lineRule="exact"/>
        <w:rPr>
          <w:rFonts w:ascii="Arial" w:cs="Arial" w:eastAsia="Arial" w:hAnsi="Arial"/>
          <w:sz w:val="18"/>
          <w:szCs w:val="18"/>
          <w:color w:val="auto"/>
        </w:rPr>
      </w:pPr>
    </w:p>
    <w:p>
      <w:pPr>
        <w:ind w:right="40" w:firstLine="8"/>
        <w:spacing w:after="0" w:line="263" w:lineRule="auto"/>
        <w:tabs>
          <w:tab w:leader="none" w:pos="2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spacing w:after="0"/>
        <w:rPr>
          <w:rFonts w:ascii="Arial" w:cs="Arial" w:eastAsia="Arial" w:hAnsi="Arial"/>
          <w:sz w:val="18"/>
          <w:szCs w:val="18"/>
          <w:color w:val="auto"/>
        </w:rPr>
      </w:pPr>
      <w:r>
        <w:rPr>
          <w:rFonts w:ascii="Arial" w:cs="Arial" w:eastAsia="Arial" w:hAnsi="Arial"/>
          <w:sz w:val="18"/>
          <w:szCs w:val="18"/>
          <w:color w:val="auto"/>
        </w:rPr>
        <w:t>15d-15(f)) for the Registrant and have:</w:t>
      </w:r>
    </w:p>
    <w:p>
      <w:pPr>
        <w:spacing w:after="0" w:line="203" w:lineRule="exact"/>
        <w:rPr>
          <w:rFonts w:ascii="Arial" w:cs="Arial" w:eastAsia="Arial" w:hAnsi="Arial"/>
          <w:sz w:val="18"/>
          <w:szCs w:val="18"/>
          <w:color w:val="auto"/>
        </w:rPr>
      </w:pPr>
    </w:p>
    <w:p>
      <w:pPr>
        <w:ind w:left="820" w:hanging="407"/>
        <w:spacing w:after="0" w:line="271" w:lineRule="auto"/>
        <w:tabs>
          <w:tab w:leader="none" w:pos="835" w:val="left"/>
        </w:tabs>
        <w:numPr>
          <w:ilvl w:val="1"/>
          <w:numId w:val="9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3" w:lineRule="exact"/>
        <w:rPr>
          <w:rFonts w:ascii="Arial" w:cs="Arial" w:eastAsia="Arial" w:hAnsi="Arial"/>
          <w:sz w:val="18"/>
          <w:szCs w:val="18"/>
          <w:color w:val="auto"/>
        </w:rPr>
      </w:pPr>
    </w:p>
    <w:p>
      <w:pPr>
        <w:ind w:left="820" w:right="140" w:hanging="407"/>
        <w:spacing w:after="0" w:line="271" w:lineRule="auto"/>
        <w:tabs>
          <w:tab w:leader="none" w:pos="835" w:val="left"/>
        </w:tabs>
        <w:numPr>
          <w:ilvl w:val="1"/>
          <w:numId w:val="9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3" w:lineRule="exact"/>
        <w:rPr>
          <w:rFonts w:ascii="Arial" w:cs="Arial" w:eastAsia="Arial" w:hAnsi="Arial"/>
          <w:sz w:val="18"/>
          <w:szCs w:val="18"/>
          <w:color w:val="auto"/>
        </w:rPr>
      </w:pPr>
    </w:p>
    <w:p>
      <w:pPr>
        <w:ind w:left="820" w:right="20" w:hanging="407"/>
        <w:spacing w:after="0" w:line="271" w:lineRule="auto"/>
        <w:tabs>
          <w:tab w:leader="none" w:pos="825" w:val="left"/>
        </w:tabs>
        <w:numPr>
          <w:ilvl w:val="1"/>
          <w:numId w:val="9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3" w:lineRule="exact"/>
        <w:rPr>
          <w:rFonts w:ascii="Arial" w:cs="Arial" w:eastAsia="Arial" w:hAnsi="Arial"/>
          <w:sz w:val="18"/>
          <w:szCs w:val="18"/>
          <w:color w:val="auto"/>
        </w:rPr>
      </w:pPr>
    </w:p>
    <w:p>
      <w:pPr>
        <w:ind w:left="820" w:right="240" w:hanging="407"/>
        <w:spacing w:after="0" w:line="271" w:lineRule="auto"/>
        <w:tabs>
          <w:tab w:leader="none" w:pos="835" w:val="left"/>
        </w:tabs>
        <w:numPr>
          <w:ilvl w:val="1"/>
          <w:numId w:val="9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3" w:lineRule="exact"/>
        <w:rPr>
          <w:rFonts w:ascii="Arial" w:cs="Arial" w:eastAsia="Arial" w:hAnsi="Arial"/>
          <w:sz w:val="18"/>
          <w:szCs w:val="18"/>
          <w:color w:val="auto"/>
        </w:rPr>
      </w:pPr>
    </w:p>
    <w:p>
      <w:pPr>
        <w:ind w:right="80" w:firstLine="8"/>
        <w:spacing w:after="0" w:line="292" w:lineRule="auto"/>
        <w:tabs>
          <w:tab w:leader="none" w:pos="2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44" w:lineRule="exact"/>
        <w:rPr>
          <w:rFonts w:ascii="Arial" w:cs="Arial" w:eastAsia="Arial" w:hAnsi="Arial"/>
          <w:sz w:val="18"/>
          <w:szCs w:val="18"/>
          <w:color w:val="auto"/>
        </w:rPr>
      </w:pPr>
    </w:p>
    <w:p>
      <w:pPr>
        <w:ind w:left="820" w:right="260" w:hanging="407"/>
        <w:spacing w:after="0" w:line="292" w:lineRule="auto"/>
        <w:tabs>
          <w:tab w:leader="none" w:pos="835" w:val="left"/>
        </w:tabs>
        <w:numPr>
          <w:ilvl w:val="1"/>
          <w:numId w:val="9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4" w:lineRule="exact"/>
        <w:rPr>
          <w:rFonts w:ascii="Arial" w:cs="Arial" w:eastAsia="Arial" w:hAnsi="Arial"/>
          <w:sz w:val="18"/>
          <w:szCs w:val="18"/>
          <w:color w:val="auto"/>
        </w:rPr>
      </w:pPr>
    </w:p>
    <w:p>
      <w:pPr>
        <w:ind w:left="820" w:right="420" w:hanging="407"/>
        <w:spacing w:after="0" w:line="292" w:lineRule="auto"/>
        <w:tabs>
          <w:tab w:leader="none" w:pos="835" w:val="left"/>
        </w:tabs>
        <w:numPr>
          <w:ilvl w:val="1"/>
          <w:numId w:val="9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20"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Timothy J. O’Shaughnessy</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Timothy J. O’Shaughnessy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158623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586230" cy="8890"/>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24, 2017</w:t>
      </w:r>
    </w:p>
    <w:p>
      <w:pPr>
        <w:sectPr>
          <w:pgSz w:w="11900" w:h="16838" w:orient="portrait"/>
          <w:cols w:equalWidth="0" w:num="1">
            <w:col w:w="11420"/>
          </w:cols>
          <w:pgMar w:left="240" w:top="576" w:right="239" w:bottom="1440" w:gutter="0" w:footer="0" w:header="0"/>
        </w:sectPr>
      </w:pPr>
    </w:p>
    <w:bookmarkStart w:id="130" w:name="page131"/>
    <w:bookmarkEnd w:id="130"/>
    <w:p>
      <w:pPr>
        <w:jc w:val="right"/>
        <w:spacing w:after="0"/>
        <w:rPr>
          <w:sz w:val="20"/>
          <w:szCs w:val="20"/>
          <w:color w:val="auto"/>
        </w:rPr>
      </w:pPr>
      <w:r>
        <w:rPr>
          <w:rFonts w:ascii="Arial" w:cs="Arial" w:eastAsia="Arial" w:hAnsi="Arial"/>
          <w:sz w:val="18"/>
          <w:szCs w:val="18"/>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RULE 13a-14(a)/15d-14(a) CERTIFICATION OF THE CHIEF FINANCIAL OFFICER</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 SECTION 302 OF THE SARBANES-OXLEY ACT OF 2002</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I, Hal S. Jones, Senior Vice President-Finance (principal financial officer) of Graham Holdings Company (the “Registrant”), certify that:</w:t>
      </w:r>
    </w:p>
    <w:p>
      <w:pPr>
        <w:spacing w:after="0" w:line="225" w:lineRule="exact"/>
        <w:rPr>
          <w:sz w:val="20"/>
          <w:szCs w:val="20"/>
          <w:color w:val="auto"/>
        </w:rPr>
      </w:pPr>
    </w:p>
    <w:p>
      <w:pPr>
        <w:ind w:left="200" w:hanging="192"/>
        <w:spacing w:after="0"/>
        <w:tabs>
          <w:tab w:leader="none" w:pos="2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the Registrant;</w:t>
      </w:r>
    </w:p>
    <w:p>
      <w:pPr>
        <w:spacing w:after="0" w:line="225" w:lineRule="exact"/>
        <w:rPr>
          <w:rFonts w:ascii="Arial" w:cs="Arial" w:eastAsia="Arial" w:hAnsi="Arial"/>
          <w:sz w:val="18"/>
          <w:szCs w:val="18"/>
          <w:color w:val="auto"/>
        </w:rPr>
      </w:pPr>
    </w:p>
    <w:p>
      <w:pPr>
        <w:ind w:right="280" w:firstLine="8"/>
        <w:spacing w:after="0" w:line="271" w:lineRule="auto"/>
        <w:tabs>
          <w:tab w:leader="none" w:pos="2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3" w:lineRule="exact"/>
        <w:rPr>
          <w:rFonts w:ascii="Arial" w:cs="Arial" w:eastAsia="Arial" w:hAnsi="Arial"/>
          <w:sz w:val="18"/>
          <w:szCs w:val="18"/>
          <w:color w:val="auto"/>
        </w:rPr>
      </w:pPr>
    </w:p>
    <w:p>
      <w:pPr>
        <w:ind w:right="20" w:firstLine="8"/>
        <w:spacing w:after="0" w:line="292" w:lineRule="auto"/>
        <w:tabs>
          <w:tab w:leader="none" w:pos="2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4" w:lineRule="exact"/>
        <w:rPr>
          <w:rFonts w:ascii="Arial" w:cs="Arial" w:eastAsia="Arial" w:hAnsi="Arial"/>
          <w:sz w:val="18"/>
          <w:szCs w:val="18"/>
          <w:color w:val="auto"/>
        </w:rPr>
      </w:pPr>
    </w:p>
    <w:p>
      <w:pPr>
        <w:ind w:right="40" w:firstLine="8"/>
        <w:spacing w:after="0" w:line="263" w:lineRule="auto"/>
        <w:tabs>
          <w:tab w:leader="none" w:pos="2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spacing w:after="0"/>
        <w:rPr>
          <w:rFonts w:ascii="Arial" w:cs="Arial" w:eastAsia="Arial" w:hAnsi="Arial"/>
          <w:sz w:val="18"/>
          <w:szCs w:val="18"/>
          <w:color w:val="auto"/>
        </w:rPr>
      </w:pPr>
      <w:r>
        <w:rPr>
          <w:rFonts w:ascii="Arial" w:cs="Arial" w:eastAsia="Arial" w:hAnsi="Arial"/>
          <w:sz w:val="18"/>
          <w:szCs w:val="18"/>
          <w:color w:val="auto"/>
        </w:rPr>
        <w:t>15d-15(f)) for the Registrant and have:</w:t>
      </w:r>
    </w:p>
    <w:p>
      <w:pPr>
        <w:spacing w:after="0" w:line="203" w:lineRule="exact"/>
        <w:rPr>
          <w:rFonts w:ascii="Arial" w:cs="Arial" w:eastAsia="Arial" w:hAnsi="Arial"/>
          <w:sz w:val="18"/>
          <w:szCs w:val="18"/>
          <w:color w:val="auto"/>
        </w:rPr>
      </w:pPr>
    </w:p>
    <w:p>
      <w:pPr>
        <w:ind w:left="820" w:hanging="407"/>
        <w:spacing w:after="0" w:line="271" w:lineRule="auto"/>
        <w:tabs>
          <w:tab w:leader="none" w:pos="835" w:val="left"/>
        </w:tabs>
        <w:numPr>
          <w:ilvl w:val="1"/>
          <w:numId w:val="9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3" w:lineRule="exact"/>
        <w:rPr>
          <w:rFonts w:ascii="Arial" w:cs="Arial" w:eastAsia="Arial" w:hAnsi="Arial"/>
          <w:sz w:val="18"/>
          <w:szCs w:val="18"/>
          <w:color w:val="auto"/>
        </w:rPr>
      </w:pPr>
    </w:p>
    <w:p>
      <w:pPr>
        <w:ind w:left="820" w:right="140" w:hanging="407"/>
        <w:spacing w:after="0" w:line="271" w:lineRule="auto"/>
        <w:tabs>
          <w:tab w:leader="none" w:pos="835" w:val="left"/>
        </w:tabs>
        <w:numPr>
          <w:ilvl w:val="1"/>
          <w:numId w:val="9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3" w:lineRule="exact"/>
        <w:rPr>
          <w:rFonts w:ascii="Arial" w:cs="Arial" w:eastAsia="Arial" w:hAnsi="Arial"/>
          <w:sz w:val="18"/>
          <w:szCs w:val="18"/>
          <w:color w:val="auto"/>
        </w:rPr>
      </w:pPr>
    </w:p>
    <w:p>
      <w:pPr>
        <w:ind w:left="820" w:right="20" w:hanging="407"/>
        <w:spacing w:after="0" w:line="271" w:lineRule="auto"/>
        <w:tabs>
          <w:tab w:leader="none" w:pos="825" w:val="left"/>
        </w:tabs>
        <w:numPr>
          <w:ilvl w:val="1"/>
          <w:numId w:val="9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3" w:lineRule="exact"/>
        <w:rPr>
          <w:rFonts w:ascii="Arial" w:cs="Arial" w:eastAsia="Arial" w:hAnsi="Arial"/>
          <w:sz w:val="18"/>
          <w:szCs w:val="18"/>
          <w:color w:val="auto"/>
        </w:rPr>
      </w:pPr>
    </w:p>
    <w:p>
      <w:pPr>
        <w:ind w:left="820" w:right="240" w:hanging="407"/>
        <w:spacing w:after="0" w:line="271" w:lineRule="auto"/>
        <w:tabs>
          <w:tab w:leader="none" w:pos="835" w:val="left"/>
        </w:tabs>
        <w:numPr>
          <w:ilvl w:val="1"/>
          <w:numId w:val="9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3" w:lineRule="exact"/>
        <w:rPr>
          <w:rFonts w:ascii="Arial" w:cs="Arial" w:eastAsia="Arial" w:hAnsi="Arial"/>
          <w:sz w:val="18"/>
          <w:szCs w:val="18"/>
          <w:color w:val="auto"/>
        </w:rPr>
      </w:pPr>
    </w:p>
    <w:p>
      <w:pPr>
        <w:ind w:right="80" w:firstLine="8"/>
        <w:spacing w:after="0" w:line="292" w:lineRule="auto"/>
        <w:tabs>
          <w:tab w:leader="none" w:pos="2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44" w:lineRule="exact"/>
        <w:rPr>
          <w:rFonts w:ascii="Arial" w:cs="Arial" w:eastAsia="Arial" w:hAnsi="Arial"/>
          <w:sz w:val="18"/>
          <w:szCs w:val="18"/>
          <w:color w:val="auto"/>
        </w:rPr>
      </w:pPr>
    </w:p>
    <w:p>
      <w:pPr>
        <w:ind w:left="820" w:right="260" w:hanging="407"/>
        <w:spacing w:after="0" w:line="292" w:lineRule="auto"/>
        <w:tabs>
          <w:tab w:leader="none" w:pos="835" w:val="left"/>
        </w:tabs>
        <w:numPr>
          <w:ilvl w:val="1"/>
          <w:numId w:val="9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4" w:lineRule="exact"/>
        <w:rPr>
          <w:rFonts w:ascii="Arial" w:cs="Arial" w:eastAsia="Arial" w:hAnsi="Arial"/>
          <w:sz w:val="18"/>
          <w:szCs w:val="18"/>
          <w:color w:val="auto"/>
        </w:rPr>
      </w:pPr>
    </w:p>
    <w:p>
      <w:pPr>
        <w:ind w:left="820" w:right="420" w:hanging="407"/>
        <w:spacing w:after="0" w:line="292" w:lineRule="auto"/>
        <w:tabs>
          <w:tab w:leader="none" w:pos="835" w:val="left"/>
        </w:tabs>
        <w:numPr>
          <w:ilvl w:val="1"/>
          <w:numId w:val="9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20"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Hal S. Jones</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Hal S.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158623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586230" cy="8890"/>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color w:val="auto"/>
        </w:rPr>
        <w:t>Senior Vice President–Finance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24, 2017</w:t>
      </w:r>
    </w:p>
    <w:p>
      <w:pPr>
        <w:sectPr>
          <w:pgSz w:w="11900" w:h="16838" w:orient="portrait"/>
          <w:cols w:equalWidth="0" w:num="1">
            <w:col w:w="11420"/>
          </w:cols>
          <w:pgMar w:left="240" w:top="576" w:right="239" w:bottom="1440" w:gutter="0" w:footer="0" w:header="0"/>
        </w:sectPr>
      </w:pPr>
    </w:p>
    <w:bookmarkStart w:id="131" w:name="page132"/>
    <w:bookmarkEnd w:id="131"/>
    <w:p>
      <w:pPr>
        <w:jc w:val="right"/>
        <w:spacing w:after="0"/>
        <w:rPr>
          <w:sz w:val="20"/>
          <w:szCs w:val="20"/>
          <w:color w:val="auto"/>
        </w:rPr>
      </w:pPr>
      <w:r>
        <w:rPr>
          <w:rFonts w:ascii="Arial" w:cs="Arial" w:eastAsia="Arial" w:hAnsi="Arial"/>
          <w:sz w:val="18"/>
          <w:szCs w:val="18"/>
          <w:color w:val="auto"/>
        </w:rPr>
        <w:t>EXHIBIT 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1350 CERTIFICATION OF THE CHIEF EXECUTIVE OFFICER AND THE CHIEF FINANCIAL</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 SECTION 906 OF THE SARBANES-OXLEY ACT OF 2002</w:t>
      </w:r>
    </w:p>
    <w:p>
      <w:pPr>
        <w:spacing w:after="0" w:line="203"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In connection with the Annual Report of Graham Holdings Company (the “Company”) on Form 10-K for the fiscal year ended December 31, 2016 (the “Report”), Timothy J. O'Shaughnessy, Chief Executive Officer (principal executive officer) of the Company and Hal S. Jones, Senior Vice President–Finance (principal financial officer) of the Company, each hereby certifies, pursuant to 18 U.S.C. § 1350, as adopted pursuant to § 906 of the Sarbanes-Oxley Act of 2002, that:</w:t>
      </w:r>
    </w:p>
    <w:p>
      <w:pPr>
        <w:spacing w:after="0" w:line="170" w:lineRule="exact"/>
        <w:rPr>
          <w:sz w:val="20"/>
          <w:szCs w:val="20"/>
          <w:color w:val="auto"/>
        </w:rPr>
      </w:pPr>
    </w:p>
    <w:p>
      <w:pPr>
        <w:ind w:left="280" w:hanging="272"/>
        <w:spacing w:after="0"/>
        <w:tabs>
          <w:tab w:leader="none" w:pos="2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right="560" w:firstLine="8"/>
        <w:spacing w:after="0" w:line="292" w:lineRule="auto"/>
        <w:tabs>
          <w:tab w:leader="none" w:pos="27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36"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Timothy J. O’Shaughnessy</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Timothy J. O'Shaughnessy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158623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586230" cy="8890"/>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24, 2017</w:t>
      </w:r>
    </w:p>
    <w:p>
      <w:pPr>
        <w:spacing w:after="0" w:line="200" w:lineRule="exact"/>
        <w:rPr>
          <w:sz w:val="20"/>
          <w:szCs w:val="20"/>
          <w:color w:val="auto"/>
        </w:rPr>
      </w:pPr>
    </w:p>
    <w:p>
      <w:pPr>
        <w:spacing w:after="0" w:line="395"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Hal S. Jones</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Hal S.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158623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586230" cy="8890"/>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color w:val="auto"/>
        </w:rPr>
        <w:t>Senior Vice President–Finance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24, 2017</w:t>
      </w:r>
    </w:p>
    <w:sectPr>
      <w:pgSz w:w="11900" w:h="16838" w:orient="portrait"/>
      <w:cols w:equalWidth="0" w:num="1">
        <w:col w:w="11420"/>
      </w:cols>
      <w:pgMar w:left="240" w:top="57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84A481A"/>
    <w:multiLevelType w:val="hybridMultilevel"/>
    <w:lvl w:ilvl="0">
      <w:lvlJc w:val="left"/>
      <w:lvlText w:val="•"/>
      <w:numFmt w:val="bullet"/>
      <w:start w:val="1"/>
    </w:lvl>
  </w:abstractNum>
  <w:abstractNum w:abstractNumId="1">
    <w:nsid w:val="579478FE"/>
    <w:multiLevelType w:val="hybridMultilevel"/>
    <w:lvl w:ilvl="0">
      <w:lvlJc w:val="left"/>
      <w:lvlText w:val="•"/>
      <w:numFmt w:val="bullet"/>
      <w:start w:val="1"/>
    </w:lvl>
  </w:abstractNum>
  <w:abstractNum w:abstractNumId="2">
    <w:nsid w:val="749ABB43"/>
    <w:multiLevelType w:val="hybridMultilevel"/>
    <w:lvl w:ilvl="0">
      <w:lvlJc w:val="left"/>
      <w:lvlText w:val="•"/>
      <w:numFmt w:val="bullet"/>
      <w:start w:val="1"/>
    </w:lvl>
  </w:abstractNum>
  <w:abstractNum w:abstractNumId="3">
    <w:nsid w:val="3DC240FB"/>
    <w:multiLevelType w:val="hybridMultilevel"/>
    <w:lvl w:ilvl="0">
      <w:lvlJc w:val="left"/>
      <w:lvlText w:val="(%1)"/>
      <w:numFmt w:val="lowerLetter"/>
      <w:start w:val="1"/>
    </w:lvl>
  </w:abstractNum>
  <w:abstractNum w:abstractNumId="4">
    <w:nsid w:val="1BA026FA"/>
    <w:multiLevelType w:val="hybridMultilevel"/>
    <w:lvl w:ilvl="0">
      <w:lvlJc w:val="left"/>
      <w:lvlText w:val="a"/>
      <w:numFmt w:val="bullet"/>
      <w:start w:val="1"/>
    </w:lvl>
  </w:abstractNum>
  <w:abstractNum w:abstractNumId="5">
    <w:nsid w:val="79A1DEAA"/>
    <w:multiLevelType w:val="hybridMultilevel"/>
    <w:lvl w:ilvl="0">
      <w:lvlJc w:val="left"/>
      <w:lvlText w:val="•"/>
      <w:numFmt w:val="bullet"/>
      <w:start w:val="1"/>
    </w:lvl>
  </w:abstractNum>
  <w:abstractNum w:abstractNumId="6">
    <w:nsid w:val="75C6C33A"/>
    <w:multiLevelType w:val="hybridMultilevel"/>
    <w:lvl w:ilvl="0">
      <w:lvlJc w:val="left"/>
      <w:lvlText w:val="•"/>
      <w:numFmt w:val="bullet"/>
      <w:start w:val="1"/>
    </w:lvl>
  </w:abstractNum>
  <w:abstractNum w:abstractNumId="7">
    <w:nsid w:val="12E685FB"/>
    <w:multiLevelType w:val="hybridMultilevel"/>
    <w:lvl w:ilvl="0">
      <w:lvlJc w:val="left"/>
      <w:lvlText w:val="•"/>
      <w:numFmt w:val="bullet"/>
      <w:start w:val="1"/>
    </w:lvl>
  </w:abstractNum>
  <w:abstractNum w:abstractNumId="8">
    <w:nsid w:val="70C6A529"/>
    <w:multiLevelType w:val="hybridMultilevel"/>
    <w:lvl w:ilvl="0">
      <w:lvlJc w:val="left"/>
      <w:lvlText w:val="•"/>
      <w:numFmt w:val="bullet"/>
      <w:start w:val="1"/>
    </w:lvl>
  </w:abstractNum>
  <w:abstractNum w:abstractNumId="9">
    <w:nsid w:val="520EEDD1"/>
    <w:multiLevelType w:val="hybridMultilevel"/>
    <w:lvl w:ilvl="0">
      <w:lvlJc w:val="left"/>
      <w:lvlText w:val="•"/>
      <w:numFmt w:val="bullet"/>
      <w:start w:val="1"/>
    </w:lvl>
  </w:abstractNum>
  <w:abstractNum w:abstractNumId="10">
    <w:nsid w:val="374A3FE6"/>
    <w:multiLevelType w:val="hybridMultilevel"/>
    <w:lvl w:ilvl="0">
      <w:lvlJc w:val="left"/>
      <w:lvlText w:val="•"/>
      <w:numFmt w:val="bullet"/>
      <w:start w:val="1"/>
    </w:lvl>
  </w:abstractNum>
  <w:abstractNum w:abstractNumId="11">
    <w:nsid w:val="4F4EF005"/>
    <w:multiLevelType w:val="hybridMultilevel"/>
    <w:lvl w:ilvl="0">
      <w:lvlJc w:val="left"/>
      <w:lvlText w:val="•"/>
      <w:numFmt w:val="bullet"/>
      <w:start w:val="1"/>
    </w:lvl>
  </w:abstractNum>
  <w:abstractNum w:abstractNumId="12">
    <w:nsid w:val="23F9C13C"/>
    <w:multiLevelType w:val="hybridMultilevel"/>
    <w:lvl w:ilvl="0">
      <w:lvlJc w:val="left"/>
      <w:lvlText w:val="•"/>
      <w:numFmt w:val="bullet"/>
      <w:start w:val="1"/>
    </w:lvl>
  </w:abstractNum>
  <w:abstractNum w:abstractNumId="13">
    <w:nsid w:val="649BB77C"/>
    <w:multiLevelType w:val="hybridMultilevel"/>
    <w:lvl w:ilvl="0">
      <w:lvlJc w:val="left"/>
      <w:lvlText w:val="•"/>
      <w:numFmt w:val="bullet"/>
      <w:start w:val="1"/>
    </w:lvl>
  </w:abstractNum>
  <w:abstractNum w:abstractNumId="14">
    <w:nsid w:val="275AC794"/>
    <w:multiLevelType w:val="hybridMultilevel"/>
    <w:lvl w:ilvl="0">
      <w:lvlJc w:val="left"/>
      <w:lvlText w:val="•"/>
      <w:numFmt w:val="bullet"/>
      <w:start w:val="1"/>
    </w:lvl>
  </w:abstractNum>
  <w:abstractNum w:abstractNumId="15">
    <w:nsid w:val="39386575"/>
    <w:multiLevelType w:val="hybridMultilevel"/>
    <w:lvl w:ilvl="0">
      <w:lvlJc w:val="left"/>
      <w:lvlText w:val="•"/>
      <w:numFmt w:val="bullet"/>
      <w:start w:val="1"/>
    </w:lvl>
  </w:abstractNum>
  <w:abstractNum w:abstractNumId="16">
    <w:nsid w:val="1CF10FD8"/>
    <w:multiLevelType w:val="hybridMultilevel"/>
    <w:lvl w:ilvl="0">
      <w:lvlJc w:val="left"/>
      <w:lvlText w:val="•"/>
      <w:numFmt w:val="bullet"/>
      <w:start w:val="1"/>
    </w:lvl>
  </w:abstractNum>
  <w:abstractNum w:abstractNumId="17">
    <w:nsid w:val="180115BE"/>
    <w:multiLevelType w:val="hybridMultilevel"/>
    <w:lvl w:ilvl="0">
      <w:lvlJc w:val="left"/>
      <w:lvlText w:val="•"/>
      <w:numFmt w:val="bullet"/>
      <w:start w:val="1"/>
    </w:lvl>
  </w:abstractNum>
  <w:abstractNum w:abstractNumId="18">
    <w:nsid w:val="235BA861"/>
    <w:multiLevelType w:val="hybridMultilevel"/>
    <w:lvl w:ilvl="0">
      <w:lvlJc w:val="left"/>
      <w:lvlText w:val="•"/>
      <w:numFmt w:val="bullet"/>
      <w:start w:val="1"/>
    </w:lvl>
  </w:abstractNum>
  <w:abstractNum w:abstractNumId="19">
    <w:nsid w:val="47398C89"/>
    <w:multiLevelType w:val="hybridMultilevel"/>
    <w:lvl w:ilvl="0">
      <w:lvlJc w:val="left"/>
      <w:lvlText w:val="•"/>
      <w:numFmt w:val="bullet"/>
      <w:start w:val="1"/>
    </w:lvl>
  </w:abstractNum>
  <w:abstractNum w:abstractNumId="20">
    <w:nsid w:val="354FE9F9"/>
    <w:multiLevelType w:val="hybridMultilevel"/>
    <w:lvl w:ilvl="0">
      <w:lvlJc w:val="left"/>
      <w:lvlText w:val="•"/>
      <w:numFmt w:val="bullet"/>
      <w:start w:val="1"/>
    </w:lvl>
  </w:abstractNum>
  <w:abstractNum w:abstractNumId="21">
    <w:nsid w:val="15B5AF5C"/>
    <w:multiLevelType w:val="hybridMultilevel"/>
    <w:lvl w:ilvl="0">
      <w:lvlJc w:val="left"/>
      <w:lvlText w:val="•"/>
      <w:numFmt w:val="bullet"/>
      <w:start w:val="1"/>
    </w:lvl>
  </w:abstractNum>
  <w:abstractNum w:abstractNumId="22">
    <w:nsid w:val="741226BB"/>
    <w:multiLevelType w:val="hybridMultilevel"/>
    <w:lvl w:ilvl="0">
      <w:lvlJc w:val="left"/>
      <w:lvlText w:val="•"/>
      <w:numFmt w:val="bullet"/>
      <w:start w:val="1"/>
    </w:lvl>
  </w:abstractNum>
  <w:abstractNum w:abstractNumId="23">
    <w:nsid w:val="D34B6A8"/>
    <w:multiLevelType w:val="hybridMultilevel"/>
    <w:lvl w:ilvl="0">
      <w:lvlJc w:val="left"/>
      <w:lvlText w:val="•"/>
      <w:numFmt w:val="bullet"/>
      <w:start w:val="1"/>
    </w:lvl>
  </w:abstractNum>
  <w:abstractNum w:abstractNumId="24">
    <w:nsid w:val="10233C99"/>
    <w:multiLevelType w:val="hybridMultilevel"/>
    <w:lvl w:ilvl="0">
      <w:lvlJc w:val="left"/>
      <w:lvlText w:val="•"/>
      <w:numFmt w:val="bullet"/>
      <w:start w:val="1"/>
    </w:lvl>
  </w:abstractNum>
  <w:abstractNum w:abstractNumId="25">
    <w:nsid w:val="3F6AB60F"/>
    <w:multiLevelType w:val="hybridMultilevel"/>
    <w:lvl w:ilvl="0">
      <w:lvlJc w:val="left"/>
      <w:lvlText w:val="•"/>
      <w:numFmt w:val="bullet"/>
      <w:start w:val="1"/>
    </w:lvl>
  </w:abstractNum>
  <w:abstractNum w:abstractNumId="26">
    <w:nsid w:val="61574095"/>
    <w:multiLevelType w:val="hybridMultilevel"/>
    <w:lvl w:ilvl="0">
      <w:lvlJc w:val="left"/>
      <w:lvlText w:val="•"/>
      <w:numFmt w:val="bullet"/>
      <w:start w:val="1"/>
    </w:lvl>
  </w:abstractNum>
  <w:abstractNum w:abstractNumId="27">
    <w:nsid w:val="7E0C57B1"/>
    <w:multiLevelType w:val="hybridMultilevel"/>
    <w:lvl w:ilvl="0">
      <w:lvlJc w:val="left"/>
      <w:lvlText w:val="•"/>
      <w:numFmt w:val="bullet"/>
      <w:start w:val="1"/>
    </w:lvl>
  </w:abstractNum>
  <w:abstractNum w:abstractNumId="28">
    <w:nsid w:val="77AE35EB"/>
    <w:multiLevelType w:val="hybridMultilevel"/>
    <w:lvl w:ilvl="0">
      <w:lvlJc w:val="left"/>
      <w:lvlText w:val="•"/>
      <w:numFmt w:val="bullet"/>
      <w:start w:val="1"/>
    </w:lvl>
  </w:abstractNum>
  <w:abstractNum w:abstractNumId="29">
    <w:nsid w:val="579BE4F1"/>
    <w:multiLevelType w:val="hybridMultilevel"/>
    <w:lvl w:ilvl="0">
      <w:lvlJc w:val="left"/>
      <w:lvlText w:val="•"/>
      <w:numFmt w:val="bullet"/>
      <w:start w:val="1"/>
    </w:lvl>
  </w:abstractNum>
  <w:abstractNum w:abstractNumId="30">
    <w:nsid w:val="310C50B3"/>
    <w:multiLevelType w:val="hybridMultilevel"/>
    <w:lvl w:ilvl="0">
      <w:lvlJc w:val="left"/>
      <w:lvlText w:val="•"/>
      <w:numFmt w:val="bullet"/>
      <w:start w:val="1"/>
    </w:lvl>
  </w:abstractNum>
  <w:abstractNum w:abstractNumId="31">
    <w:nsid w:val="5FF87E05"/>
    <w:multiLevelType w:val="hybridMultilevel"/>
    <w:lvl w:ilvl="0">
      <w:lvlJc w:val="left"/>
      <w:lvlText w:val="•"/>
      <w:numFmt w:val="bullet"/>
      <w:start w:val="1"/>
    </w:lvl>
  </w:abstractNum>
  <w:abstractNum w:abstractNumId="32">
    <w:nsid w:val="2F305DEF"/>
    <w:multiLevelType w:val="hybridMultilevel"/>
    <w:lvl w:ilvl="0">
      <w:lvlJc w:val="left"/>
      <w:lvlText w:val="•"/>
      <w:numFmt w:val="bullet"/>
      <w:start w:val="1"/>
    </w:lvl>
  </w:abstractNum>
  <w:abstractNum w:abstractNumId="33">
    <w:nsid w:val="25A70BF7"/>
    <w:multiLevelType w:val="hybridMultilevel"/>
    <w:lvl w:ilvl="0">
      <w:lvlJc w:val="left"/>
      <w:lvlText w:val="•"/>
      <w:numFmt w:val="bullet"/>
      <w:start w:val="1"/>
    </w:lvl>
  </w:abstractNum>
  <w:abstractNum w:abstractNumId="34">
    <w:nsid w:val="1DBABF00"/>
    <w:multiLevelType w:val="hybridMultilevel"/>
    <w:lvl w:ilvl="0">
      <w:lvlJc w:val="left"/>
      <w:lvlText w:val="•"/>
      <w:numFmt w:val="bullet"/>
      <w:start w:val="1"/>
    </w:lvl>
  </w:abstractNum>
  <w:abstractNum w:abstractNumId="35">
    <w:nsid w:val="4AD084E9"/>
    <w:multiLevelType w:val="hybridMultilevel"/>
    <w:lvl w:ilvl="0">
      <w:lvlJc w:val="left"/>
      <w:lvlText w:val="•"/>
      <w:numFmt w:val="bullet"/>
      <w:start w:val="1"/>
    </w:lvl>
  </w:abstractNum>
  <w:abstractNum w:abstractNumId="36">
    <w:nsid w:val="1F48EAA1"/>
    <w:multiLevelType w:val="hybridMultilevel"/>
    <w:lvl w:ilvl="0">
      <w:lvlJc w:val="left"/>
      <w:lvlText w:val="•"/>
      <w:numFmt w:val="bullet"/>
      <w:start w:val="1"/>
    </w:lvl>
  </w:abstractNum>
  <w:abstractNum w:abstractNumId="37">
    <w:nsid w:val="1381823A"/>
    <w:multiLevelType w:val="hybridMultilevel"/>
    <w:lvl w:ilvl="0">
      <w:lvlJc w:val="left"/>
      <w:lvlText w:val="•"/>
      <w:numFmt w:val="bullet"/>
      <w:start w:val="1"/>
    </w:lvl>
  </w:abstractNum>
  <w:abstractNum w:abstractNumId="38">
    <w:nsid w:val="5DB70AE5"/>
    <w:multiLevelType w:val="hybridMultilevel"/>
    <w:lvl w:ilvl="0">
      <w:lvlJc w:val="left"/>
      <w:lvlText w:val="•"/>
      <w:numFmt w:val="bullet"/>
      <w:start w:val="1"/>
    </w:lvl>
  </w:abstractNum>
  <w:abstractNum w:abstractNumId="39">
    <w:nsid w:val="100F8FCA"/>
    <w:multiLevelType w:val="hybridMultilevel"/>
    <w:lvl w:ilvl="0">
      <w:lvlJc w:val="left"/>
      <w:lvlText w:val="%1"/>
      <w:numFmt w:val="decimal"/>
      <w:start w:val="1"/>
    </w:lvl>
    <w:lvl w:ilvl="1">
      <w:lvlJc w:val="left"/>
      <w:lvlText w:val="%2."/>
      <w:numFmt w:val="decimal"/>
      <w:start w:val="1"/>
    </w:lvl>
  </w:abstractNum>
  <w:abstractNum w:abstractNumId="40">
    <w:nsid w:val="6590700B"/>
    <w:multiLevelType w:val="hybridMultilevel"/>
    <w:lvl w:ilvl="0">
      <w:lvlJc w:val="left"/>
      <w:lvlText w:val="%1."/>
      <w:numFmt w:val="decimal"/>
      <w:start w:val="2"/>
    </w:lvl>
    <w:lvl w:ilvl="1">
      <w:lvlJc w:val="left"/>
      <w:lvlText w:val="%2"/>
      <w:numFmt w:val="decimal"/>
      <w:start w:val="1"/>
    </w:lvl>
  </w:abstractNum>
  <w:abstractNum w:abstractNumId="41">
    <w:nsid w:val="15014ACB"/>
    <w:multiLevelType w:val="hybridMultilevel"/>
    <w:lvl w:ilvl="0">
      <w:lvlJc w:val="left"/>
      <w:lvlText w:val="•"/>
      <w:numFmt w:val="bullet"/>
      <w:start w:val="1"/>
    </w:lvl>
  </w:abstractNum>
  <w:abstractNum w:abstractNumId="42">
    <w:nsid w:val="5F5E7FD0"/>
    <w:multiLevelType w:val="hybridMultilevel"/>
    <w:lvl w:ilvl="0">
      <w:lvlJc w:val="left"/>
      <w:lvlText w:val="•"/>
      <w:numFmt w:val="bullet"/>
      <w:start w:val="1"/>
    </w:lvl>
  </w:abstractNum>
  <w:abstractNum w:abstractNumId="43">
    <w:nsid w:val="98A3148"/>
    <w:multiLevelType w:val="hybridMultilevel"/>
    <w:lvl w:ilvl="0">
      <w:lvlJc w:val="left"/>
      <w:lvlText w:val="•"/>
      <w:numFmt w:val="bullet"/>
      <w:start w:val="1"/>
    </w:lvl>
  </w:abstractNum>
  <w:abstractNum w:abstractNumId="44">
    <w:nsid w:val="799D0247"/>
    <w:multiLevelType w:val="hybridMultilevel"/>
    <w:lvl w:ilvl="0">
      <w:lvlJc w:val="left"/>
      <w:lvlText w:val="•"/>
      <w:numFmt w:val="bullet"/>
      <w:start w:val="1"/>
    </w:lvl>
  </w:abstractNum>
  <w:abstractNum w:abstractNumId="45">
    <w:nsid w:val="6B94764"/>
    <w:multiLevelType w:val="hybridMultilevel"/>
    <w:lvl w:ilvl="0">
      <w:lvlJc w:val="left"/>
      <w:lvlText w:val="-"/>
      <w:numFmt w:val="bullet"/>
      <w:start w:val="1"/>
    </w:lvl>
  </w:abstractNum>
  <w:abstractNum w:abstractNumId="46">
    <w:nsid w:val="42C296BD"/>
    <w:multiLevelType w:val="hybridMultilevel"/>
    <w:lvl w:ilvl="0">
      <w:lvlJc w:val="left"/>
      <w:lvlText w:val="(%1)"/>
      <w:numFmt w:val="decimal"/>
      <w:start w:val="1"/>
    </w:lvl>
  </w:abstractNum>
  <w:abstractNum w:abstractNumId="47">
    <w:nsid w:val="168E121F"/>
    <w:multiLevelType w:val="hybridMultilevel"/>
    <w:lvl w:ilvl="0">
      <w:lvlJc w:val="left"/>
      <w:lvlText w:val="•"/>
      <w:numFmt w:val="bullet"/>
      <w:start w:val="1"/>
    </w:lvl>
  </w:abstractNum>
  <w:abstractNum w:abstractNumId="48">
    <w:nsid w:val="1EBA5D23"/>
    <w:multiLevelType w:val="hybridMultilevel"/>
    <w:lvl w:ilvl="0">
      <w:lvlJc w:val="left"/>
      <w:lvlText w:val="•"/>
      <w:numFmt w:val="bullet"/>
      <w:start w:val="1"/>
    </w:lvl>
  </w:abstractNum>
  <w:abstractNum w:abstractNumId="49">
    <w:nsid w:val="661E3F1E"/>
    <w:multiLevelType w:val="hybridMultilevel"/>
    <w:lvl w:ilvl="0">
      <w:lvlJc w:val="left"/>
      <w:lvlText w:val="•"/>
      <w:numFmt w:val="bullet"/>
      <w:start w:val="1"/>
    </w:lvl>
  </w:abstractNum>
  <w:abstractNum w:abstractNumId="50">
    <w:nsid w:val="5DC79EA8"/>
    <w:multiLevelType w:val="hybridMultilevel"/>
    <w:lvl w:ilvl="0">
      <w:lvlJc w:val="left"/>
      <w:lvlText w:val="$"/>
      <w:numFmt w:val="bullet"/>
      <w:start w:val="1"/>
    </w:lvl>
  </w:abstractNum>
  <w:abstractNum w:abstractNumId="51">
    <w:nsid w:val="540A471C"/>
    <w:multiLevelType w:val="hybridMultilevel"/>
    <w:lvl w:ilvl="0">
      <w:lvlJc w:val="left"/>
      <w:lvlText w:val="%1."/>
      <w:numFmt w:val="decimal"/>
      <w:start w:val="1"/>
    </w:lvl>
  </w:abstractNum>
  <w:abstractNum w:abstractNumId="52">
    <w:nsid w:val="7BD3EE7B"/>
    <w:multiLevelType w:val="hybridMultilevel"/>
    <w:lvl w:ilvl="0">
      <w:lvlJc w:val="left"/>
      <w:lvlText w:val="%1."/>
      <w:numFmt w:val="decimal"/>
      <w:start w:val="2"/>
    </w:lvl>
  </w:abstractNum>
  <w:abstractNum w:abstractNumId="53">
    <w:nsid w:val="51D9C564"/>
    <w:multiLevelType w:val="hybridMultilevel"/>
    <w:lvl w:ilvl="0">
      <w:lvlJc w:val="left"/>
      <w:lvlText w:val="%1."/>
      <w:numFmt w:val="decimal"/>
      <w:start w:val="3"/>
    </w:lvl>
  </w:abstractNum>
  <w:abstractNum w:abstractNumId="54">
    <w:nsid w:val="613EFDC5"/>
    <w:multiLevelType w:val="hybridMultilevel"/>
    <w:lvl w:ilvl="0">
      <w:lvlJc w:val="left"/>
      <w:lvlText w:val="$"/>
      <w:numFmt w:val="bullet"/>
      <w:start w:val="1"/>
    </w:lvl>
  </w:abstractNum>
  <w:abstractNum w:abstractNumId="55">
    <w:nsid w:val="BF72B14"/>
    <w:multiLevelType w:val="hybridMultilevel"/>
    <w:lvl w:ilvl="0">
      <w:lvlJc w:val="left"/>
      <w:lvlText w:val="$"/>
      <w:numFmt w:val="bullet"/>
      <w:start w:val="1"/>
    </w:lvl>
  </w:abstractNum>
  <w:abstractNum w:abstractNumId="56">
    <w:nsid w:val="11447B73"/>
    <w:multiLevelType w:val="hybridMultilevel"/>
    <w:lvl w:ilvl="0">
      <w:lvlJc w:val="left"/>
      <w:lvlText w:val="$"/>
      <w:numFmt w:val="bullet"/>
      <w:start w:val="1"/>
    </w:lvl>
  </w:abstractNum>
  <w:abstractNum w:abstractNumId="57">
    <w:nsid w:val="42963E5A"/>
    <w:multiLevelType w:val="hybridMultilevel"/>
    <w:lvl w:ilvl="0">
      <w:lvlJc w:val="left"/>
      <w:lvlText w:val="$"/>
      <w:numFmt w:val="bullet"/>
      <w:start w:val="1"/>
    </w:lvl>
  </w:abstractNum>
  <w:abstractNum w:abstractNumId="58">
    <w:nsid w:val="A0382C5"/>
    <w:multiLevelType w:val="hybridMultilevel"/>
    <w:lvl w:ilvl="0">
      <w:lvlJc w:val="left"/>
      <w:lvlText w:val="%1."/>
      <w:numFmt w:val="decimal"/>
      <w:start w:val="4"/>
    </w:lvl>
  </w:abstractNum>
  <w:abstractNum w:abstractNumId="59">
    <w:nsid w:val="8F2B15E"/>
    <w:multiLevelType w:val="hybridMultilevel"/>
    <w:lvl w:ilvl="0">
      <w:lvlJc w:val="left"/>
      <w:lvlText w:val="%1."/>
      <w:numFmt w:val="decimal"/>
      <w:start w:val="5"/>
    </w:lvl>
  </w:abstractNum>
  <w:abstractNum w:abstractNumId="60">
    <w:nsid w:val="1A32234B"/>
    <w:multiLevelType w:val="hybridMultilevel"/>
    <w:lvl w:ilvl="0">
      <w:lvlJc w:val="left"/>
      <w:lvlText w:val="%1."/>
      <w:numFmt w:val="decimal"/>
      <w:start w:val="6"/>
    </w:lvl>
  </w:abstractNum>
  <w:abstractNum w:abstractNumId="61">
    <w:nsid w:val="3B0FD379"/>
    <w:multiLevelType w:val="hybridMultilevel"/>
    <w:lvl w:ilvl="0">
      <w:lvlJc w:val="left"/>
      <w:lvlText w:val="%1."/>
      <w:numFmt w:val="decimal"/>
      <w:start w:val="7"/>
    </w:lvl>
  </w:abstractNum>
  <w:abstractNum w:abstractNumId="62">
    <w:nsid w:val="68EB2F63"/>
    <w:multiLevelType w:val="hybridMultilevel"/>
    <w:lvl w:ilvl="0">
      <w:lvlJc w:val="left"/>
      <w:lvlText w:val="%1."/>
      <w:numFmt w:val="decimal"/>
      <w:start w:val="8"/>
    </w:lvl>
  </w:abstractNum>
  <w:abstractNum w:abstractNumId="63">
    <w:nsid w:val="4962813B"/>
    <w:multiLevelType w:val="hybridMultilevel"/>
    <w:lvl w:ilvl="0">
      <w:lvlJc w:val="left"/>
      <w:lvlText w:val="%1."/>
      <w:numFmt w:val="decimal"/>
      <w:start w:val="9"/>
    </w:lvl>
  </w:abstractNum>
  <w:abstractNum w:abstractNumId="64">
    <w:nsid w:val="60B6DF70"/>
    <w:multiLevelType w:val="hybridMultilevel"/>
    <w:lvl w:ilvl="0">
      <w:lvlJc w:val="left"/>
      <w:lvlText w:val="%1."/>
      <w:numFmt w:val="decimal"/>
      <w:start w:val="10"/>
    </w:lvl>
  </w:abstractNum>
  <w:abstractNum w:abstractNumId="65">
    <w:nsid w:val="6A5EE64"/>
    <w:multiLevelType w:val="hybridMultilevel"/>
    <w:lvl w:ilvl="0">
      <w:lvlJc w:val="left"/>
      <w:lvlText w:val="(%1)"/>
      <w:numFmt w:val="decimal"/>
      <w:start w:val="1"/>
    </w:lvl>
  </w:abstractNum>
  <w:abstractNum w:abstractNumId="66">
    <w:nsid w:val="14330624"/>
    <w:multiLevelType w:val="hybridMultilevel"/>
    <w:lvl w:ilvl="0">
      <w:lvlJc w:val="left"/>
      <w:lvlText w:val="%1."/>
      <w:numFmt w:val="decimal"/>
      <w:start w:val="11"/>
    </w:lvl>
  </w:abstractNum>
  <w:abstractNum w:abstractNumId="67">
    <w:nsid w:val="7FFFCA11"/>
    <w:multiLevelType w:val="hybridMultilevel"/>
    <w:lvl w:ilvl="0">
      <w:lvlJc w:val="left"/>
      <w:lvlText w:val="(%1)"/>
      <w:numFmt w:val="decimal"/>
      <w:start w:val="1"/>
    </w:lvl>
  </w:abstractNum>
  <w:abstractNum w:abstractNumId="68">
    <w:nsid w:val="1A27709E"/>
    <w:multiLevelType w:val="hybridMultilevel"/>
    <w:lvl w:ilvl="0">
      <w:lvlJc w:val="left"/>
      <w:lvlText w:val="%1."/>
      <w:numFmt w:val="decimal"/>
      <w:start w:val="12"/>
    </w:lvl>
  </w:abstractNum>
  <w:abstractNum w:abstractNumId="69">
    <w:nsid w:val="71EA1109"/>
    <w:multiLevelType w:val="hybridMultilevel"/>
    <w:lvl w:ilvl="0">
      <w:lvlJc w:val="left"/>
      <w:lvlText w:val="%1."/>
      <w:numFmt w:val="decimal"/>
      <w:start w:val="13"/>
    </w:lvl>
  </w:abstractNum>
  <w:abstractNum w:abstractNumId="70">
    <w:nsid w:val="100F59DC"/>
    <w:multiLevelType w:val="hybridMultilevel"/>
    <w:lvl w:ilvl="0">
      <w:lvlJc w:val="left"/>
      <w:lvlText w:val="%1."/>
      <w:numFmt w:val="decimal"/>
      <w:start w:val="14"/>
    </w:lvl>
  </w:abstractNum>
  <w:abstractNum w:abstractNumId="71">
    <w:nsid w:val="7FB7E0AA"/>
    <w:multiLevelType w:val="hybridMultilevel"/>
    <w:lvl w:ilvl="0">
      <w:lvlJc w:val="left"/>
      <w:lvlText w:val="(%1)"/>
      <w:numFmt w:val="decimal"/>
      <w:start w:val="1"/>
    </w:lvl>
  </w:abstractNum>
  <w:abstractNum w:abstractNumId="72">
    <w:nsid w:val="6EB5BD4"/>
    <w:multiLevelType w:val="hybridMultilevel"/>
    <w:lvl w:ilvl="0">
      <w:lvlJc w:val="left"/>
      <w:lvlText w:val="$"/>
      <w:numFmt w:val="bullet"/>
      <w:start w:val="1"/>
    </w:lvl>
  </w:abstractNum>
  <w:abstractNum w:abstractNumId="73">
    <w:nsid w:val="6F6DD9AC"/>
    <w:multiLevelType w:val="hybridMultilevel"/>
    <w:lvl w:ilvl="0">
      <w:lvlJc w:val="left"/>
      <w:lvlText w:val="%1."/>
      <w:numFmt w:val="decimal"/>
      <w:start w:val="15"/>
    </w:lvl>
  </w:abstractNum>
  <w:abstractNum w:abstractNumId="74">
    <w:nsid w:val="94211F2"/>
    <w:multiLevelType w:val="hybridMultilevel"/>
    <w:lvl w:ilvl="0">
      <w:lvlJc w:val="left"/>
      <w:lvlText w:val="%1."/>
      <w:numFmt w:val="decimal"/>
      <w:start w:val="16"/>
    </w:lvl>
  </w:abstractNum>
  <w:abstractNum w:abstractNumId="75">
    <w:nsid w:val="885E1B"/>
    <w:multiLevelType w:val="hybridMultilevel"/>
    <w:lvl w:ilvl="0">
      <w:lvlJc w:val="left"/>
      <w:lvlText w:val="(%1)"/>
      <w:numFmt w:val="decimal"/>
      <w:start w:val="1"/>
    </w:lvl>
  </w:abstractNum>
  <w:abstractNum w:abstractNumId="76">
    <w:nsid w:val="76272110"/>
    <w:multiLevelType w:val="hybridMultilevel"/>
    <w:lvl w:ilvl="0">
      <w:lvlJc w:val="left"/>
      <w:lvlText w:val="%1."/>
      <w:numFmt w:val="decimal"/>
      <w:start w:val="17"/>
    </w:lvl>
  </w:abstractNum>
  <w:abstractNum w:abstractNumId="77">
    <w:nsid w:val="4C04A8AF"/>
    <w:multiLevelType w:val="hybridMultilevel"/>
    <w:lvl w:ilvl="0">
      <w:lvlJc w:val="left"/>
      <w:lvlText w:val="%1."/>
      <w:numFmt w:val="decimal"/>
      <w:start w:val="18"/>
    </w:lvl>
  </w:abstractNum>
  <w:abstractNum w:abstractNumId="78">
    <w:nsid w:val="1716703B"/>
    <w:multiLevelType w:val="hybridMultilevel"/>
    <w:lvl w:ilvl="0">
      <w:lvlJc w:val="left"/>
      <w:lvlText w:val="%1."/>
      <w:numFmt w:val="decimal"/>
      <w:start w:val="19"/>
    </w:lvl>
  </w:abstractNum>
  <w:abstractNum w:abstractNumId="79">
    <w:nsid w:val="14E17E33"/>
    <w:multiLevelType w:val="hybridMultilevel"/>
    <w:lvl w:ilvl="0">
      <w:lvlJc w:val="left"/>
      <w:lvlText w:val="•"/>
      <w:numFmt w:val="bullet"/>
      <w:start w:val="1"/>
    </w:lvl>
  </w:abstractNum>
  <w:abstractNum w:abstractNumId="80">
    <w:nsid w:val="3222E7CD"/>
    <w:multiLevelType w:val="hybridMultilevel"/>
    <w:lvl w:ilvl="0">
      <w:lvlJc w:val="left"/>
      <w:lvlText w:val="%1."/>
      <w:numFmt w:val="decimal"/>
      <w:start w:val="20"/>
    </w:lvl>
  </w:abstractNum>
  <w:abstractNum w:abstractNumId="81">
    <w:nsid w:val="74DE0EE3"/>
    <w:multiLevelType w:val="hybridMultilevel"/>
    <w:lvl w:ilvl="0">
      <w:lvlJc w:val="left"/>
      <w:lvlText w:val="$"/>
      <w:numFmt w:val="bullet"/>
      <w:start w:val="1"/>
    </w:lvl>
  </w:abstractNum>
  <w:abstractNum w:abstractNumId="82">
    <w:nsid w:val="68EBC550"/>
    <w:multiLevelType w:val="hybridMultilevel"/>
    <w:lvl w:ilvl="0">
      <w:lvlJc w:val="left"/>
      <w:lvlText w:val="Ÿ"/>
      <w:numFmt w:val="bullet"/>
      <w:start w:val="1"/>
    </w:lvl>
  </w:abstractNum>
  <w:abstractNum w:abstractNumId="83">
    <w:nsid w:val="2DF6D648"/>
    <w:multiLevelType w:val="hybridMultilevel"/>
    <w:lvl w:ilvl="0">
      <w:lvlJc w:val="left"/>
      <w:lvlText w:val="Ÿ"/>
      <w:numFmt w:val="bullet"/>
      <w:start w:val="1"/>
    </w:lvl>
  </w:abstractNum>
  <w:abstractNum w:abstractNumId="84">
    <w:nsid w:val="46B7D447"/>
    <w:multiLevelType w:val="hybridMultilevel"/>
    <w:lvl w:ilvl="0">
      <w:lvlJc w:val="left"/>
      <w:lvlText w:val="•"/>
      <w:numFmt w:val="bullet"/>
      <w:start w:val="1"/>
    </w:lvl>
  </w:abstractNum>
  <w:abstractNum w:abstractNumId="85">
    <w:nsid w:val="4A2AC315"/>
    <w:multiLevelType w:val="hybridMultilevel"/>
    <w:lvl w:ilvl="0">
      <w:lvlJc w:val="left"/>
      <w:lvlText w:val="•"/>
      <w:numFmt w:val="bullet"/>
      <w:start w:val="1"/>
    </w:lvl>
  </w:abstractNum>
  <w:abstractNum w:abstractNumId="86">
    <w:nsid w:val="39EE015C"/>
    <w:multiLevelType w:val="hybridMultilevel"/>
    <w:lvl w:ilvl="0">
      <w:lvlJc w:val="left"/>
      <w:lvlText w:val="•"/>
      <w:numFmt w:val="bullet"/>
      <w:start w:val="1"/>
    </w:lvl>
  </w:abstractNum>
  <w:abstractNum w:abstractNumId="87">
    <w:nsid w:val="57FC4FBB"/>
    <w:multiLevelType w:val="hybridMultilevel"/>
    <w:lvl w:ilvl="0">
      <w:lvlJc w:val="left"/>
      <w:lvlText w:val="•"/>
      <w:numFmt w:val="bullet"/>
      <w:start w:val="1"/>
    </w:lvl>
  </w:abstractNum>
  <w:abstractNum w:abstractNumId="88">
    <w:nsid w:val="CC1016F"/>
    <w:multiLevelType w:val="hybridMultilevel"/>
    <w:lvl w:ilvl="0">
      <w:lvlJc w:val="left"/>
      <w:lvlText w:val="•"/>
      <w:numFmt w:val="bullet"/>
      <w:start w:val="1"/>
    </w:lvl>
  </w:abstractNum>
  <w:abstractNum w:abstractNumId="89">
    <w:nsid w:val="43F18422"/>
    <w:multiLevelType w:val="hybridMultilevel"/>
    <w:lvl w:ilvl="0">
      <w:lvlJc w:val="left"/>
      <w:lvlText w:val="%1"/>
      <w:numFmt w:val="decimal"/>
      <w:start w:val="23"/>
    </w:lvl>
  </w:abstractNum>
  <w:abstractNum w:abstractNumId="90">
    <w:nsid w:val="60EF0119"/>
    <w:multiLevelType w:val="hybridMultilevel"/>
    <w:lvl w:ilvl="0">
      <w:lvlJc w:val="left"/>
      <w:lvlText w:val="%1"/>
      <w:numFmt w:val="decimal"/>
      <w:start w:val="101"/>
    </w:lvl>
  </w:abstractNum>
  <w:abstractNum w:abstractNumId="91">
    <w:nsid w:val="26F324BA"/>
    <w:multiLevelType w:val="hybridMultilevel"/>
    <w:lvl w:ilvl="0">
      <w:lvlJc w:val="left"/>
      <w:lvlText w:val="%1"/>
      <w:numFmt w:val="lowerLetter"/>
      <w:start w:val="1"/>
    </w:lvl>
    <w:lvl w:ilvl="1">
      <w:lvlJc w:val="left"/>
      <w:lvlText w:val="(%2)"/>
      <w:numFmt w:val="lowerLetter"/>
      <w:start w:val="1"/>
    </w:lvl>
  </w:abstractNum>
  <w:abstractNum w:abstractNumId="92">
    <w:nsid w:val="7F01579B"/>
    <w:multiLevelType w:val="hybridMultilevel"/>
    <w:lvl w:ilvl="0">
      <w:lvlJc w:val="left"/>
      <w:lvlText w:val="(%1)"/>
      <w:numFmt w:val="lowerLetter"/>
      <w:start w:val="3"/>
    </w:lvl>
    <w:lvl w:ilvl="1">
      <w:lvlJc w:val="left"/>
      <w:lvlText w:val="%2"/>
      <w:numFmt w:val="lowerLetter"/>
      <w:start w:val="1"/>
    </w:lvl>
  </w:abstractNum>
  <w:abstractNum w:abstractNumId="93">
    <w:nsid w:val="49DA307D"/>
    <w:multiLevelType w:val="hybridMultilevel"/>
    <w:lvl w:ilvl="0">
      <w:lvlJc w:val="left"/>
      <w:lvlText w:val="(%1)"/>
      <w:numFmt w:val="lowerLetter"/>
      <w:start w:val="8"/>
    </w:lvl>
  </w:abstractNum>
  <w:abstractNum w:abstractNumId="94">
    <w:nsid w:val="7055A5F5"/>
    <w:multiLevelType w:val="hybridMultilevel"/>
    <w:lvl w:ilvl="0">
      <w:lvlJc w:val="left"/>
      <w:lvlText w:val="%1."/>
      <w:numFmt w:val="decimal"/>
      <w:start w:val="1"/>
    </w:lvl>
    <w:lvl w:ilvl="1">
      <w:lvlJc w:val="left"/>
      <w:lvlText w:val="(%2)"/>
      <w:numFmt w:val="lowerLetter"/>
      <w:start w:val="1"/>
    </w:lvl>
  </w:abstractNum>
  <w:abstractNum w:abstractNumId="95">
    <w:nsid w:val="5FB8370B"/>
    <w:multiLevelType w:val="hybridMultilevel"/>
    <w:lvl w:ilvl="0">
      <w:lvlJc w:val="left"/>
      <w:lvlText w:val="%1."/>
      <w:numFmt w:val="decimal"/>
      <w:start w:val="1"/>
    </w:lvl>
    <w:lvl w:ilvl="1">
      <w:lvlJc w:val="left"/>
      <w:lvlText w:val="(%2)"/>
      <w:numFmt w:val="lowerLetter"/>
      <w:start w:val="1"/>
    </w:lvl>
  </w:abstractNum>
  <w:abstractNum w:abstractNumId="96">
    <w:nsid w:val="50801EE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2019-12-29T06:59:31Z</dcterms:created>
  <dcterms:modified xsi:type="dcterms:W3CDTF">2019-12-29T06:59:31Z</dcterms:modified>
</cp:coreProperties>
</file>