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1, 2007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jc w:val="center"/>
        <w:ind w:right="-19"/>
        <w:spacing w:after="0" w:line="207" w:lineRule="exact"/>
        <w:tabs>
          <w:tab w:leader="none" w:pos="140" w:val="left"/>
          <w:tab w:leader="none" w:pos="1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3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Shares outstanding at August 1, 2007:</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ind w:left="1980"/>
              <w:spacing w:after="0"/>
              <w:rPr>
                <w:sz w:val="20"/>
                <w:szCs w:val="20"/>
                <w:color w:val="auto"/>
              </w:rPr>
            </w:pPr>
            <w:r>
              <w:rPr>
                <w:rFonts w:ascii="Arial" w:cs="Arial" w:eastAsia="Arial" w:hAnsi="Arial"/>
                <w:sz w:val="18"/>
                <w:szCs w:val="18"/>
                <w:b w:val="1"/>
                <w:bCs w:val="1"/>
                <w:color w:val="auto"/>
              </w:rPr>
              <w:t>Class A Common Stock</w:t>
            </w:r>
          </w:p>
        </w:tc>
        <w:tc>
          <w:tcPr>
            <w:tcW w:w="5520" w:type="dxa"/>
            <w:vAlign w:val="bottom"/>
          </w:tcPr>
          <w:p>
            <w:pPr>
              <w:ind w:left="2160"/>
              <w:spacing w:after="0"/>
              <w:rPr>
                <w:sz w:val="20"/>
                <w:szCs w:val="20"/>
                <w:color w:val="auto"/>
              </w:rPr>
            </w:pPr>
            <w:r>
              <w:rPr>
                <w:rFonts w:ascii="Arial" w:cs="Arial" w:eastAsia="Arial" w:hAnsi="Arial"/>
                <w:sz w:val="18"/>
                <w:szCs w:val="18"/>
                <w:b w:val="1"/>
                <w:bCs w:val="1"/>
                <w:color w:val="auto"/>
              </w:rPr>
              <w:t>1,722,250 Shares</w:t>
            </w:r>
          </w:p>
        </w:tc>
      </w:tr>
      <w:tr>
        <w:trPr>
          <w:trHeight w:val="228"/>
        </w:trPr>
        <w:tc>
          <w:tcPr>
            <w:tcW w:w="5900" w:type="dxa"/>
            <w:vAlign w:val="bottom"/>
          </w:tcPr>
          <w:p>
            <w:pPr>
              <w:ind w:left="1980"/>
              <w:spacing w:after="0"/>
              <w:rPr>
                <w:sz w:val="20"/>
                <w:szCs w:val="20"/>
                <w:color w:val="auto"/>
              </w:rPr>
            </w:pPr>
            <w:r>
              <w:rPr>
                <w:rFonts w:ascii="Arial" w:cs="Arial" w:eastAsia="Arial" w:hAnsi="Arial"/>
                <w:sz w:val="18"/>
                <w:szCs w:val="18"/>
                <w:b w:val="1"/>
                <w:bCs w:val="1"/>
                <w:color w:val="auto"/>
              </w:rPr>
              <w:t>Class B Common Stock</w:t>
            </w:r>
          </w:p>
        </w:tc>
        <w:tc>
          <w:tcPr>
            <w:tcW w:w="5520" w:type="dxa"/>
            <w:vAlign w:val="bottom"/>
          </w:tcPr>
          <w:p>
            <w:pPr>
              <w:ind w:left="2160"/>
              <w:spacing w:after="0"/>
              <w:rPr>
                <w:sz w:val="20"/>
                <w:szCs w:val="20"/>
                <w:color w:val="auto"/>
              </w:rPr>
            </w:pPr>
            <w:r>
              <w:rPr>
                <w:rFonts w:ascii="Arial" w:cs="Arial" w:eastAsia="Arial" w:hAnsi="Arial"/>
                <w:sz w:val="18"/>
                <w:szCs w:val="18"/>
                <w:b w:val="1"/>
                <w:bCs w:val="1"/>
                <w:color w:val="auto"/>
              </w:rPr>
              <w:t>7,777,302 Shares</w:t>
            </w:r>
          </w:p>
        </w:tc>
      </w:tr>
      <w:tr>
        <w:trPr>
          <w:trHeight w:val="215"/>
        </w:trPr>
        <w:tc>
          <w:tcPr>
            <w:tcW w:w="590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920" w:type="dxa"/>
            <w:vAlign w:val="bottom"/>
          </w:tcPr>
          <w:p>
            <w:pPr>
              <w:jc w:val="center"/>
              <w:ind w:right="2052"/>
              <w:spacing w:after="0"/>
              <w:rPr>
                <w:sz w:val="20"/>
                <w:szCs w:val="20"/>
                <w:color w:val="auto"/>
              </w:rPr>
            </w:pPr>
            <w:r>
              <w:rPr>
                <w:rFonts w:ascii="Arial" w:cs="Arial" w:eastAsia="Arial" w:hAnsi="Arial"/>
                <w:sz w:val="18"/>
                <w:szCs w:val="18"/>
                <w:b w:val="1"/>
                <w:bCs w:val="1"/>
                <w:color w:val="auto"/>
                <w:w w:val="97"/>
              </w:rPr>
              <w:t>THE WASHINGTON POST COMPANY</w:t>
            </w:r>
          </w:p>
        </w:tc>
        <w:tc>
          <w:tcPr>
            <w:tcW w:w="680" w:type="dxa"/>
            <w:vAlign w:val="bottom"/>
          </w:tcPr>
          <w:p>
            <w:pPr>
              <w:spacing w:after="0"/>
              <w:rPr>
                <w:sz w:val="19"/>
                <w:szCs w:val="19"/>
                <w:color w:val="auto"/>
              </w:rPr>
            </w:pPr>
          </w:p>
        </w:tc>
      </w:tr>
      <w:tr>
        <w:trPr>
          <w:trHeight w:val="378"/>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920" w:type="dxa"/>
            <w:vAlign w:val="bottom"/>
          </w:tcPr>
          <w:p>
            <w:pPr>
              <w:jc w:val="center"/>
              <w:ind w:right="2052"/>
              <w:spacing w:after="0"/>
              <w:rPr>
                <w:sz w:val="20"/>
                <w:szCs w:val="20"/>
                <w:color w:val="auto"/>
              </w:rPr>
            </w:pPr>
            <w:r>
              <w:rPr>
                <w:rFonts w:ascii="Arial" w:cs="Arial" w:eastAsia="Arial" w:hAnsi="Arial"/>
                <w:sz w:val="18"/>
                <w:szCs w:val="18"/>
                <w:b w:val="1"/>
                <w:bCs w:val="1"/>
                <w:color w:val="auto"/>
                <w:w w:val="91"/>
              </w:rPr>
              <w:t>Index to Form 10-Q</w:t>
            </w:r>
          </w:p>
        </w:tc>
        <w:tc>
          <w:tcPr>
            <w:tcW w:w="68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10740" w:type="dxa"/>
            <w:vAlign w:val="bottom"/>
            <w:gridSpan w:val="5"/>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w:t>
              </w:r>
            </w:hyperlink>
          </w:p>
        </w:tc>
        <w:tc>
          <w:tcPr>
            <w:tcW w:w="6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080" w:type="dxa"/>
            <w:vAlign w:val="bottom"/>
            <w:gridSpan w:val="4"/>
          </w:tcPr>
          <w:p>
            <w:pPr>
              <w:jc w:val="center"/>
              <w:spacing w:after="0"/>
              <w:rPr>
                <w:rFonts w:ascii="Arial" w:cs="Arial" w:eastAsia="Arial" w:hAnsi="Arial"/>
                <w:sz w:val="18"/>
                <w:szCs w:val="18"/>
                <w:color w:val="auto"/>
                <w:w w:val="89"/>
              </w:rPr>
            </w:pPr>
            <w:r>
              <w:rPr>
                <w:rFonts w:ascii="Arial" w:cs="Arial" w:eastAsia="Arial" w:hAnsi="Arial"/>
                <w:sz w:val="18"/>
                <w:szCs w:val="18"/>
                <w:color w:val="auto"/>
                <w:w w:val="89"/>
              </w:rPr>
              <w:t xml:space="preserve">a.    </w:t>
            </w:r>
            <w:hyperlink w:anchor="page3">
              <w:r>
                <w:rPr>
                  <w:rFonts w:ascii="Arial" w:cs="Arial" w:eastAsia="Arial" w:hAnsi="Arial"/>
                  <w:sz w:val="18"/>
                  <w:szCs w:val="18"/>
                  <w:color w:val="0000EE"/>
                  <w:w w:val="89"/>
                </w:rPr>
                <w:t>Condensed Consolidated Statements of Income (Unaudited) for the Thirteen and Twenty-Six Weeks Ended July 1, 2007 and July 2, 2006</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9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27" w:lineRule="exact"/>
        <w:rPr>
          <w:sz w:val="20"/>
          <w:szCs w:val="20"/>
          <w:color w:val="auto"/>
        </w:rPr>
      </w:pPr>
    </w:p>
    <w:p>
      <w:pPr>
        <w:ind w:left="1100" w:hanging="430"/>
        <w:spacing w:after="0"/>
        <w:tabs>
          <w:tab w:leader="none" w:pos="1100" w:val="left"/>
        </w:tabs>
        <w:numPr>
          <w:ilvl w:val="0"/>
          <w:numId w:val="3"/>
        </w:numPr>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Income (Unaudited) for the Thirteen and Twenty-Six Weeks Ended July 1, 2007 and</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July 2, 2006</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c.</w:t>
            </w:r>
          </w:p>
        </w:tc>
        <w:tc>
          <w:tcPr>
            <w:tcW w:w="656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Balance Sheets at July 1, 2007 (Unaudited) and December 31, 2006</w:t>
              </w:r>
            </w:hyperlink>
          </w:p>
        </w:tc>
        <w:tc>
          <w:tcPr>
            <w:tcW w:w="30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d.</w:t>
            </w:r>
          </w:p>
        </w:tc>
        <w:tc>
          <w:tcPr>
            <w:tcW w:w="9580" w:type="dxa"/>
            <w:vAlign w:val="bottom"/>
            <w:gridSpan w:val="1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Cash Flows (Unaudited) for the Twenty-Six Weeks Ended July 1, 2007 and July 2, 2006</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6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e.</w:t>
            </w:r>
          </w:p>
        </w:tc>
        <w:tc>
          <w:tcPr>
            <w:tcW w:w="900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068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8">
              <w:r>
                <w:rPr>
                  <w:rFonts w:ascii="Arial" w:cs="Arial" w:eastAsia="Arial" w:hAnsi="Arial"/>
                  <w:sz w:val="18"/>
                  <w:szCs w:val="18"/>
                  <w:color w:val="0000EE"/>
                </w:rPr>
                <w:t>Management’s Discussion and Analysis of Results of Operations and Financial Condition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068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5">
              <w:r>
                <w:rPr>
                  <w:rFonts w:ascii="Arial" w:cs="Arial" w:eastAsia="Arial" w:hAnsi="Arial"/>
                  <w:sz w:val="18"/>
                  <w:szCs w:val="18"/>
                  <w:color w:val="0000EE"/>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2480" w:type="dxa"/>
            <w:vAlign w:val="bottom"/>
            <w:tcBorders>
              <w:top w:val="single" w:sz="8" w:color="0000EE"/>
            </w:tcBorders>
            <w:gridSpan w:val="3"/>
          </w:tcPr>
          <w:p>
            <w:pPr>
              <w:spacing w:after="0"/>
              <w:rPr>
                <w:sz w:val="24"/>
                <w:szCs w:val="24"/>
                <w:color w:val="auto"/>
              </w:rPr>
            </w:pPr>
          </w:p>
        </w:tc>
        <w:tc>
          <w:tcPr>
            <w:tcW w:w="5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25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PART II. OTHER INFORMATION</w:t>
              </w:r>
            </w:hyperlink>
          </w:p>
        </w:tc>
        <w:tc>
          <w:tcPr>
            <w:tcW w:w="816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Unregistered Sales of Equity Securities and Use of Proceeds</w:t>
              </w:r>
            </w:hyperlink>
          </w:p>
        </w:tc>
        <w:tc>
          <w:tcPr>
            <w:tcW w:w="576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3080" w:type="dxa"/>
            <w:vAlign w:val="bottom"/>
            <w:tcBorders>
              <w:top w:val="single" w:sz="8" w:color="0000EE"/>
            </w:tcBorders>
            <w:gridSpan w:val="4"/>
          </w:tcPr>
          <w:p>
            <w:pPr>
              <w:spacing w:after="0"/>
              <w:rPr>
                <w:sz w:val="24"/>
                <w:szCs w:val="24"/>
                <w:color w:val="auto"/>
              </w:rPr>
            </w:pPr>
          </w:p>
        </w:tc>
        <w:tc>
          <w:tcPr>
            <w:tcW w:w="634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10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8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gridSpan w:val="8"/>
          </w:tcPr>
          <w:p>
            <w:pPr>
              <w:ind w:left="458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120" w:type="dxa"/>
            <w:vAlign w:val="bottom"/>
            <w:gridSpan w:val="4"/>
          </w:tcPr>
          <w:p>
            <w:pPr>
              <w:spacing w:after="0"/>
              <w:rPr>
                <w:sz w:val="20"/>
                <w:szCs w:val="20"/>
                <w:color w:val="auto"/>
              </w:rPr>
            </w:pPr>
            <w:r>
              <w:rPr>
                <w:rFonts w:ascii="Arial" w:cs="Arial" w:eastAsia="Arial" w:hAnsi="Arial"/>
                <w:sz w:val="18"/>
                <w:szCs w:val="18"/>
                <w:color w:val="auto"/>
              </w:rPr>
              <w:t>The Washington Post Company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20" w:type="dxa"/>
            <w:vAlign w:val="bottom"/>
            <w:gridSpan w:val="4"/>
          </w:tcPr>
          <w:p>
            <w:pPr>
              <w:spacing w:after="0"/>
              <w:rPr>
                <w:sz w:val="20"/>
                <w:szCs w:val="20"/>
                <w:color w:val="auto"/>
              </w:rPr>
            </w:pPr>
            <w:r>
              <w:rPr>
                <w:rFonts w:ascii="Arial" w:cs="Arial" w:eastAsia="Arial" w:hAnsi="Arial"/>
                <w:sz w:val="18"/>
                <w:szCs w:val="18"/>
                <w:color w:val="auto"/>
              </w:rPr>
              <w:t>Condensed Consolidated Statements of Income (Unaudited)</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Thirteen Weeks Ended</w:t>
            </w: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4"/>
                <w:szCs w:val="14"/>
                <w:b w:val="1"/>
                <w:bCs w:val="1"/>
                <w:color w:val="auto"/>
                <w:w w:val="95"/>
              </w:rPr>
              <w:t>Twenty-Six Weeks Ended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1"/>
              </w:rPr>
              <w:t>July 2,</w:t>
            </w: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July 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July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503,487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409,244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979,268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818,178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346,390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611,101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Circulation and subscriber</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205,966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195,643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405,951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1,046,773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969,041</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2,032,381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1,917,321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453,485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412,903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897,670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408,043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802,901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54,060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49,512</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107,509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921,513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871,836</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1,815,126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1,682,357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97,205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120" w:type="dxa"/>
            <w:vAlign w:val="bottom"/>
            <w:gridSpan w:val="4"/>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33,701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126,444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57,200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47,700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92,000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w w:val="96"/>
              </w:rPr>
              <w:t>Cumulative effect of change in method of accounting for share-based payments, net of taxes</w:t>
            </w: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w:t>
            </w:r>
          </w:p>
        </w:tc>
        <w:tc>
          <w:tcPr>
            <w:tcW w:w="5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Redeemable preferred stock dividends</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68,586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78,499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Before cumulative effect of change in accounting principle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Cumulative effect of change in accounting principle</w:t>
            </w: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gridSpan w:val="4"/>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20" w:type="dxa"/>
            <w:vAlign w:val="bottom"/>
            <w:gridSpan w:val="4"/>
          </w:tcPr>
          <w:p>
            <w:pPr>
              <w:spacing w:after="0"/>
              <w:rPr>
                <w:sz w:val="20"/>
                <w:szCs w:val="20"/>
                <w:color w:val="auto"/>
              </w:rPr>
            </w:pPr>
            <w:r>
              <w:rPr>
                <w:rFonts w:ascii="Arial" w:cs="Arial" w:eastAsia="Arial" w:hAnsi="Arial"/>
                <w:sz w:val="18"/>
                <w:szCs w:val="18"/>
                <w:color w:val="auto"/>
              </w:rPr>
              <w:t>Diluted average number of common shares outstanding</w:t>
            </w:r>
          </w:p>
        </w:tc>
        <w:tc>
          <w:tcPr>
            <w:tcW w:w="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9,536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9,613</w:t>
            </w: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9,542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jc w:val="right"/>
              <w:ind w:right="932"/>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17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6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July 1,</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July 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July 1,</w:t>
            </w:r>
          </w:p>
        </w:tc>
        <w:tc>
          <w:tcPr>
            <w:tcW w:w="6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July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$ 78,744</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133,246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Change in unrealized gain on available-for-sale securities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11,660</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10,186</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12,407</w:t>
            </w:r>
          </w:p>
        </w:tc>
        <w:tc>
          <w:tcPr>
            <w:tcW w:w="680" w:type="dxa"/>
            <w:vAlign w:val="bottom"/>
          </w:tcPr>
          <w:p>
            <w:pPr>
              <w:jc w:val="right"/>
              <w:spacing w:after="0"/>
              <w:rPr>
                <w:sz w:val="20"/>
                <w:szCs w:val="20"/>
                <w:color w:val="auto"/>
              </w:rPr>
            </w:pPr>
            <w:r>
              <w:rPr>
                <w:rFonts w:ascii="Arial" w:cs="Arial" w:eastAsia="Arial" w:hAnsi="Arial"/>
                <w:sz w:val="18"/>
                <w:szCs w:val="18"/>
                <w:color w:val="auto"/>
              </w:rPr>
              <w:t>20,284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plan adjustments</w:t>
            </w:r>
          </w:p>
        </w:tc>
        <w:tc>
          <w:tcPr>
            <w:tcW w:w="3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w w:val="88"/>
              </w:rPr>
              <w:t>Less: reclassification adjustment for realized gains included in net income</w:t>
            </w:r>
          </w:p>
        </w:tc>
        <w:tc>
          <w:tcPr>
            <w:tcW w:w="2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(31,579)</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(31,579)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21,590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w w:val="94"/>
              </w:rPr>
              <w:t>Income tax (expense) benefit related to other comprehensive income</w:t>
            </w:r>
          </w:p>
        </w:tc>
        <w:tc>
          <w:tcPr>
            <w:tcW w:w="2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(8,874)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8,374</w:t>
            </w:r>
          </w:p>
        </w:tc>
        <w:tc>
          <w:tcPr>
            <w:tcW w:w="16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(8,715)</w:t>
            </w:r>
          </w:p>
        </w:tc>
        <w:tc>
          <w:tcPr>
            <w:tcW w:w="680" w:type="dxa"/>
            <w:vAlign w:val="bottom"/>
          </w:tcPr>
          <w:p>
            <w:pPr>
              <w:jc w:val="right"/>
              <w:spacing w:after="0"/>
              <w:rPr>
                <w:sz w:val="20"/>
                <w:szCs w:val="20"/>
                <w:color w:val="auto"/>
              </w:rPr>
            </w:pPr>
            <w:r>
              <w:rPr>
                <w:rFonts w:ascii="Arial" w:cs="Arial" w:eastAsia="Arial" w:hAnsi="Arial"/>
                <w:sz w:val="18"/>
                <w:szCs w:val="18"/>
                <w:color w:val="auto"/>
              </w:rPr>
              <w:t>4,436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12,875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2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80,022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$ 71,544</w:t>
            </w:r>
          </w:p>
        </w:tc>
        <w:tc>
          <w:tcPr>
            <w:tcW w:w="1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146,121</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60" w:type="dxa"/>
            <w:vAlign w:val="bottom"/>
            <w:vMerge w:val="restart"/>
          </w:tcPr>
          <w:p>
            <w:pPr>
              <w:jc w:val="right"/>
              <w:ind w:right="2072"/>
              <w:spacing w:after="0"/>
              <w:rPr>
                <w:sz w:val="20"/>
                <w:szCs w:val="20"/>
                <w:color w:val="auto"/>
              </w:rPr>
            </w:pPr>
            <w:r>
              <w:rPr>
                <w:rFonts w:ascii="Arial" w:cs="Arial" w:eastAsia="Arial" w:hAnsi="Arial"/>
                <w:sz w:val="18"/>
                <w:szCs w:val="18"/>
                <w:color w:val="auto"/>
                <w:w w:val="79"/>
              </w:rPr>
              <w:t>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8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 thousands)</w:t>
            </w:r>
          </w:p>
        </w:tc>
        <w:tc>
          <w:tcPr>
            <w:tcW w:w="464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6"/>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4720" w:type="dxa"/>
            <w:vAlign w:val="bottom"/>
            <w:gridSpan w:val="2"/>
            <w:shd w:val="clear" w:color="auto" w:fill="CCEEFF"/>
          </w:tcPr>
          <w:p>
            <w:pPr>
              <w:ind w:left="46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236,124</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348,148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43,286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28,923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400,511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423,403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19,973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44,651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Income taxes receivable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69,637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825,570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934,825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Buildings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345,601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331,682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Machinery, equipment and fixtures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2,056,898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Leasehold improvements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213,177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204,797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2,615,676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2,475,589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Less accumulated depreciation</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6"/>
              </w:rPr>
              <w:t>(1,525,398)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(1,433,060)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1,090,278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1,042,529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Land</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48,333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42,030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Construction in progress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116,547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1,255,158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1,218,309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323,849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325,805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Investments in affiliates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96,142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64,691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net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1,358,425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 net</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520,971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517,742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Amortized intangible assets, net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45,494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Prepaid pension cost</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986,305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975,292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charges and other assets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64,781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720" w:type="dxa"/>
            <w:vAlign w:val="bottom"/>
            <w:gridSpan w:val="2"/>
          </w:tcPr>
          <w:p>
            <w:pPr>
              <w:ind w:left="464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5,476,695</w:t>
            </w: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5,381,372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Shareholders’ Equity</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4720" w:type="dxa"/>
            <w:vAlign w:val="bottom"/>
            <w:gridSpan w:val="2"/>
            <w:shd w:val="clear" w:color="auto" w:fill="CCEEFF"/>
          </w:tcPr>
          <w:p>
            <w:pPr>
              <w:ind w:left="46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471,217</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311,757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283,475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807,502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803,200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83,030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317,680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324,143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619,324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599,487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400,907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401,571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2,228,443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2,209,738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Redeemable preferred stock</w:t>
            </w: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11,826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12,120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46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spacing w:after="0" w:line="155" w:lineRule="exact"/>
              <w:rPr>
                <w:sz w:val="20"/>
                <w:szCs w:val="20"/>
                <w:color w:val="auto"/>
              </w:rPr>
            </w:pPr>
            <w:r>
              <w:rPr>
                <w:rFonts w:ascii="Arial" w:cs="Arial" w:eastAsia="Arial" w:hAnsi="Arial"/>
                <w:sz w:val="14"/>
                <w:szCs w:val="14"/>
                <w:color w:val="auto"/>
              </w:rPr>
              <w:t>Common shareholders’ equity</w:t>
            </w: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Capital in excess of par value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208,915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205,820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4,194,020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4,120,143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29,486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86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92,058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84,614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Unrealized gain on pension and other postretirement plans</w:t>
            </w: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268,892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Cost of Class B common stock held in treasury</w:t>
            </w: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6"/>
              </w:rPr>
              <w:t>(1,576,945)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(1,564,010)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3,236,426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3,159,514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720" w:type="dxa"/>
            <w:vAlign w:val="bottom"/>
            <w:gridSpan w:val="2"/>
          </w:tcPr>
          <w:p>
            <w:pPr>
              <w:ind w:left="464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5,476,695</w:t>
            </w: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5,381,372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40" w:type="dxa"/>
            <w:vAlign w:val="bottom"/>
            <w:vMerge w:val="restart"/>
          </w:tcPr>
          <w:p>
            <w:pPr>
              <w:ind w:left="84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July 1,</w:t>
            </w:r>
          </w:p>
        </w:tc>
        <w:tc>
          <w:tcPr>
            <w:tcW w:w="7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July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$ 133,246</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$ 155,618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7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107,509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7,046</w:t>
            </w:r>
          </w:p>
        </w:tc>
        <w:tc>
          <w:tcPr>
            <w:tcW w:w="740" w:type="dxa"/>
            <w:vAlign w:val="bottom"/>
          </w:tcPr>
          <w:p>
            <w:pPr>
              <w:jc w:val="right"/>
              <w:spacing w:after="0"/>
              <w:rPr>
                <w:sz w:val="20"/>
                <w:szCs w:val="20"/>
                <w:color w:val="auto"/>
              </w:rPr>
            </w:pPr>
            <w:r>
              <w:rPr>
                <w:rFonts w:ascii="Arial" w:cs="Arial" w:eastAsia="Arial" w:hAnsi="Arial"/>
                <w:sz w:val="18"/>
                <w:szCs w:val="18"/>
                <w:color w:val="auto"/>
              </w:rPr>
              <w:t>2,767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Early retirement program expense</w:t>
            </w:r>
          </w:p>
        </w:tc>
        <w:tc>
          <w:tcPr>
            <w:tcW w:w="17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disposition of marketable equity securities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Foreign exchange gain</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(4,604)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losses of affiliates, net of distributions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Provision for deferred income taxes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16,892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accounts receivable, net</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28,746</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inventories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(44,999)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17,910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decrease in income taxes receivable</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(21,971)</w:t>
            </w:r>
          </w:p>
        </w:tc>
        <w:tc>
          <w:tcPr>
            <w:tcW w:w="740" w:type="dxa"/>
            <w:vAlign w:val="bottom"/>
          </w:tcPr>
          <w:p>
            <w:pPr>
              <w:jc w:val="right"/>
              <w:spacing w:after="0"/>
              <w:rPr>
                <w:sz w:val="20"/>
                <w:szCs w:val="20"/>
                <w:color w:val="auto"/>
              </w:rPr>
            </w:pPr>
            <w:r>
              <w:rPr>
                <w:rFonts w:ascii="Arial" w:cs="Arial" w:eastAsia="Arial" w:hAnsi="Arial"/>
                <w:sz w:val="18"/>
                <w:szCs w:val="18"/>
                <w:color w:val="auto"/>
              </w:rPr>
              <w:t>7,468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other assets and other</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liabilities, net</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225,106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(136,391)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(137,932)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affiliates and cost method investments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7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marketable equity securities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(285,498)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(169,960)</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(39,587)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Common shares repurchased</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(15,609)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2,936</w:t>
            </w:r>
          </w:p>
        </w:tc>
        <w:tc>
          <w:tcPr>
            <w:tcW w:w="740" w:type="dxa"/>
            <w:vAlign w:val="bottom"/>
          </w:tcPr>
          <w:p>
            <w:pPr>
              <w:jc w:val="right"/>
              <w:spacing w:after="0"/>
              <w:rPr>
                <w:sz w:val="20"/>
                <w:szCs w:val="20"/>
                <w:color w:val="auto"/>
              </w:rPr>
            </w:pPr>
            <w:r>
              <w:rPr>
                <w:rFonts w:ascii="Arial" w:cs="Arial" w:eastAsia="Arial" w:hAnsi="Arial"/>
                <w:sz w:val="18"/>
                <w:szCs w:val="18"/>
                <w:color w:val="auto"/>
              </w:rPr>
              <w:t>13,731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7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(112,024)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88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74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348,148</w:t>
            </w:r>
          </w:p>
        </w:tc>
        <w:tc>
          <w:tcPr>
            <w:tcW w:w="2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$ 236,124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$ 264,890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Results of operations at the Kaplan education division, when examined on a quarterly basis, reflect the volatility of Kaplan stock compensation charges, as well as other seasonal effects. Results of other operations, when examined on a quarterly basis, also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except as discussed in Note 10: Income Taxes.</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2007, the Company made changes to certain departments and cost centers at several of its divisions. Prior year amounts were reclassified to conform with the current year presentation, resulting in a net increase to selling, general and administrative expenses and a net decrease to operating expenses. Certain other amounts in previously issued financial statements have also been reclassified to conform with the current year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second quarter of 2007, the Company completed four business acquisitions, primarily in the education division, totaling $29.1 million. These included Kaplan higher education division’s acquisitions of Sagemont Virtual, a leader in the growing field of online high school instruction that has been doing business as the University of Miami Online High School, and Virtual Sage, a developer of online high school courses. In the first quarter of 2007, Kaplan acquired two businesses in their professional division totaling $115.8 million. These acquisitions included EduNeering Holdings, Inc., a Princeton, N.J. based provider of knowledge management solutions for organizations in the pharmaceutical, medical device, healthcare, energy and manufacturing sectors. Also in the first quarter of 2007, the cable division acquired subscribers in the Boise, Idaho area for $4.3 million. Most of the purchase price for these acquisitions has been allocated to goodwill and other intangibles on a preliminary basis.</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April 2007, Kaplan Professional announced an agreement to acquire the education division of the Financial Services Institute of Australia for 36 million Australian dollars. The acquisition is expected to close in the third quarter of 2007.</w:t>
      </w:r>
    </w:p>
    <w:p>
      <w:pPr>
        <w:spacing w:after="0" w:line="132"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In the second quarter of 2006, Kaplan acquired two businesses in their professional and K12 learning services divisions totaling $59.7 million. These acquisitions included Tribeca, a leading education provider to the Australian financial services sector as well as SpellRead, a provider of reading and writing programs. In the first quarter of 2006, Kaplan acquired two businesses in their professional and higher education divisions; these acquisitions totaled $7.2 million.</w:t>
      </w:r>
    </w:p>
    <w:p>
      <w:pPr>
        <w:spacing w:after="0" w:line="8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Pro forma results of operations for current and prior years, assuming the acquisitions occurred at the beginning of 2006, are not materially different from reported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July 1, 2007 and December 31, 2006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Arial" w:cs="Arial" w:eastAsia="Arial" w:hAnsi="Arial"/>
                <w:sz w:val="14"/>
                <w:szCs w:val="14"/>
                <w:b w:val="1"/>
                <w:bCs w:val="1"/>
                <w:color w:val="auto"/>
              </w:rPr>
              <w:t>July 1,</w:t>
            </w:r>
          </w:p>
        </w:tc>
        <w:tc>
          <w:tcPr>
            <w:tcW w:w="4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213,705</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Gross unrealized gains</w:t>
            </w:r>
          </w:p>
        </w:tc>
        <w:tc>
          <w:tcPr>
            <w:tcW w:w="44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153,430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141,023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367,135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354,728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480" w:type="dxa"/>
            <w:vAlign w:val="bottom"/>
            <w:vMerge w:val="restart"/>
          </w:tcPr>
          <w:p>
            <w:pPr>
              <w:jc w:val="right"/>
              <w:ind w:right="2732"/>
              <w:spacing w:after="0"/>
              <w:rPr>
                <w:sz w:val="20"/>
                <w:szCs w:val="20"/>
                <w:color w:val="auto"/>
              </w:rPr>
            </w:pPr>
            <w:r>
              <w:rPr>
                <w:rFonts w:ascii="Arial" w:cs="Arial" w:eastAsia="Arial" w:hAnsi="Arial"/>
                <w:sz w:val="18"/>
                <w:szCs w:val="18"/>
                <w:color w:val="auto"/>
              </w:rPr>
              <w:t>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There were no additional investments in marketable equity securities during the first six months of 2007 or in the second quarter of 2006. The Company made $42.9 million in investments in marketable equity securities during the first quarter of 2006.</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No sales of marketable equity securities were made in the first six months of 2007. During the second quarter of 2006, the Company sold marketable equity securities for a pre-tax gain of $31.6 million.</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July 1, 2007 and December 31, 2006, the Company has commercial paper and money market investments of $77.1 million and $142.9 million, respectively, that are classified as “cash and cash equivalents” on the Company’s consolidated balance sheet.</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first six months of 2007, $8.9 million of the equity in earnings of affiliates is due to a gain on the sale of land at the Company’s Bowater Mersey Paper Company Limited affiliate. During the second quarter of 2007, the Company made $14.6 million in investments in affiliates, including ACE Education, a provider of education in China that provides preparation courses for entry to U.K. universities, along with degree and professional training programs at campuses throughout China; and LATV Networks, a bilingual music and entertainment network in Los Angeles.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July 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7620" w:type="dxa"/>
            <w:vAlign w:val="bottom"/>
          </w:tcPr>
          <w:p>
            <w:pPr>
              <w:spacing w:after="0"/>
              <w:rPr>
                <w:sz w:val="15"/>
                <w:szCs w:val="15"/>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$399.6</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60" w:type="dxa"/>
            <w:vAlign w:val="bottom"/>
            <w:shd w:val="clear" w:color="auto" w:fill="CCEEFF"/>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Less current portion</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400.9</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6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July 1, 2007 and December 31, 2006 is at interest rates of 5% to 7% and matures from 2007 to 2009.</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2007 and 2006, the Company had average borrowings outstanding of approximately $406.1 million and $424.1 million, respectively, at average annual interest rates of approximately 5.5 percent. During the second quarter of 2007 and 2006, the Company incurred net interest expense of $3.5 million and $3.9 million, respectively.</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the first six months of 2007 and 2006, the Company had average borrowings outstanding of approximately $405.5 million and $425.3 million, respectively, at average annual interest rates of approximately 5.5 percent and 5.4 percent, respectively. During the first six months of 2007 and 2006, the Company incurred net interest expense of $6.1 million and $8.6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2007 and 2006 asset information is as of July 1, 2007 and December 31, 2006,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Magazine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Cable</w:t>
            </w: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Intersegment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Education</w:t>
            </w: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Broadcasting</w:t>
            </w:r>
          </w:p>
        </w:tc>
        <w:tc>
          <w:tcPr>
            <w:tcW w:w="120" w:type="dxa"/>
            <w:vAlign w:val="bottom"/>
          </w:tcPr>
          <w:p>
            <w:pPr>
              <w:spacing w:after="0"/>
              <w:rPr>
                <w:sz w:val="14"/>
                <w:szCs w:val="14"/>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Publishing</w:t>
            </w:r>
          </w:p>
        </w:tc>
        <w:tc>
          <w:tcPr>
            <w:tcW w:w="60" w:type="dxa"/>
            <w:vAlign w:val="bottom"/>
          </w:tcPr>
          <w:p>
            <w:pPr>
              <w:spacing w:after="0"/>
              <w:rPr>
                <w:sz w:val="14"/>
                <w:szCs w:val="14"/>
                <w:color w:val="auto"/>
              </w:rPr>
            </w:pPr>
          </w:p>
        </w:tc>
        <w:tc>
          <w:tcPr>
            <w:tcW w:w="9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7"/>
              </w:rPr>
              <w:t>Television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Office</w:t>
            </w:r>
          </w:p>
        </w:tc>
        <w:tc>
          <w:tcPr>
            <w:tcW w:w="4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0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503,487</w:t>
            </w:r>
          </w:p>
        </w:tc>
        <w:tc>
          <w:tcPr>
            <w:tcW w:w="16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87"/>
              </w:rPr>
              <w:t>$227,901</w:t>
            </w:r>
          </w:p>
        </w:tc>
        <w:tc>
          <w:tcPr>
            <w:tcW w:w="8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87,863</w:t>
            </w: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73,418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154,421</w:t>
            </w:r>
          </w:p>
        </w:tc>
        <w:tc>
          <w:tcPr>
            <w:tcW w:w="1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85"/>
              </w:rPr>
              <w:t>(317)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$1,046,773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37,548</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17,758</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35,203</w:t>
            </w: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32,097</w:t>
            </w: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7"/>
              </w:rPr>
              <w:t>$ (10,260)</w:t>
            </w: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14,299</w:t>
            </w:r>
          </w:p>
        </w:tc>
        <w:tc>
          <w:tcPr>
            <w:tcW w:w="160" w:type="dxa"/>
            <w:vAlign w:val="bottom"/>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9,566</w:t>
            </w:r>
          </w:p>
        </w:tc>
        <w:tc>
          <w:tcPr>
            <w:tcW w:w="80" w:type="dxa"/>
            <w:vAlign w:val="bottom"/>
          </w:tcPr>
          <w:p>
            <w:pPr>
              <w:spacing w:after="0" w:line="20" w:lineRule="exact"/>
              <w:rPr>
                <w:sz w:val="1"/>
                <w:szCs w:val="1"/>
                <w:color w:val="auto"/>
              </w:rPr>
            </w:pPr>
          </w:p>
        </w:tc>
        <w:tc>
          <w:tcPr>
            <w:tcW w:w="240" w:type="dxa"/>
            <w:vAlign w:val="bottom"/>
            <w:gridSpan w:val="3"/>
            <w:vMerge w:val="restart"/>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2,374</w:t>
            </w:r>
          </w:p>
        </w:tc>
        <w:tc>
          <w:tcPr>
            <w:tcW w:w="300" w:type="dxa"/>
            <w:vAlign w:val="bottom"/>
            <w:gridSpan w:val="3"/>
            <w:vMerge w:val="restart"/>
          </w:tcPr>
          <w:p>
            <w:pPr>
              <w:ind w:left="1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vMerge w:val="restart"/>
          </w:tcPr>
          <w:p>
            <w:pPr>
              <w:jc w:val="right"/>
              <w:ind w:right="12"/>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26,888</w:t>
            </w:r>
          </w:p>
        </w:tc>
        <w:tc>
          <w:tcPr>
            <w:tcW w:w="180" w:type="dxa"/>
            <w:vAlign w:val="bottom"/>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auto"/>
                <w:w w:val="86"/>
              </w:rPr>
              <w:t>365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vMerge w:val="restart"/>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3"/>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(2,601)</w:t>
            </w:r>
          </w:p>
        </w:tc>
        <w:tc>
          <w:tcPr>
            <w:tcW w:w="8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$1,714,913</w:t>
            </w: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$789,167</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493,109</w:t>
            </w:r>
          </w:p>
        </w:tc>
        <w:tc>
          <w:tcPr>
            <w:tcW w:w="8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7"/>
              </w:rPr>
              <w:t>$798,702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4"/>
              </w:rPr>
              <w:t>$1,192,361</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$ 25,166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$5,013,418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7"/>
              </w:rPr>
              <w:t>Investments in marketable equity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367,135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5,476,695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Newspaper</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Magazine</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Cable</w:t>
            </w:r>
          </w:p>
        </w:tc>
        <w:tc>
          <w:tcPr>
            <w:tcW w:w="60" w:type="dxa"/>
            <w:vAlign w:val="bottom"/>
          </w:tcPr>
          <w:p>
            <w:pPr>
              <w:spacing w:after="0" w:line="20" w:lineRule="exact"/>
              <w:rPr>
                <w:sz w:val="1"/>
                <w:szCs w:val="1"/>
                <w:color w:val="auto"/>
              </w:rPr>
            </w:pPr>
          </w:p>
        </w:tc>
        <w:tc>
          <w:tcPr>
            <w:tcW w:w="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4"/>
              </w:rPr>
              <w:t>Intersegment</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5"/>
              </w:rPr>
              <w:t>Education</w:t>
            </w:r>
          </w:p>
        </w:tc>
        <w:tc>
          <w:tcPr>
            <w:tcW w:w="8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2"/>
              </w:rPr>
              <w:t>Broadcasting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Publishing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1"/>
              </w:rPr>
              <w:t>Television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Office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Elimination</w:t>
            </w:r>
          </w:p>
        </w:tc>
        <w:tc>
          <w:tcPr>
            <w:tcW w:w="2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30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409,244</w:t>
            </w:r>
          </w:p>
        </w:tc>
        <w:tc>
          <w:tcPr>
            <w:tcW w:w="160" w:type="dxa"/>
            <w:vAlign w:val="bottom"/>
          </w:tcPr>
          <w:p>
            <w:pPr>
              <w:spacing w:after="0"/>
              <w:rPr>
                <w:sz w:val="18"/>
                <w:szCs w:val="18"/>
                <w:color w:val="auto"/>
              </w:rPr>
            </w:pPr>
          </w:p>
        </w:tc>
        <w:tc>
          <w:tcPr>
            <w:tcW w:w="840" w:type="dxa"/>
            <w:vAlign w:val="bottom"/>
            <w:gridSpan w:val="5"/>
          </w:tcPr>
          <w:p>
            <w:pPr>
              <w:ind w:left="80"/>
              <w:spacing w:after="0"/>
              <w:rPr>
                <w:sz w:val="20"/>
                <w:szCs w:val="20"/>
                <w:color w:val="auto"/>
              </w:rPr>
            </w:pPr>
            <w:r>
              <w:rPr>
                <w:rFonts w:ascii="Arial" w:cs="Arial" w:eastAsia="Arial" w:hAnsi="Arial"/>
                <w:sz w:val="18"/>
                <w:szCs w:val="18"/>
                <w:color w:val="auto"/>
                <w:w w:val="98"/>
              </w:rPr>
              <w:t>$245,566</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88,970</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84,166</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141,095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969,041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0"/>
              </w:rPr>
              <w:t>$ (15,373)</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40,591</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11,214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39,881</w:t>
            </w:r>
          </w:p>
        </w:tc>
        <w:tc>
          <w:tcPr>
            <w:tcW w:w="8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5"/>
              </w:rPr>
              <w:t>$ (12,996)</w:t>
            </w: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560" w:type="dxa"/>
            <w:vAlign w:val="bottom"/>
            <w:gridSpan w:val="3"/>
            <w:vMerge w:val="restart"/>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11,577</w:t>
            </w:r>
          </w:p>
        </w:tc>
        <w:tc>
          <w:tcPr>
            <w:tcW w:w="160" w:type="dxa"/>
            <w:vAlign w:val="bottom"/>
          </w:tcPr>
          <w:p>
            <w:pPr>
              <w:spacing w:after="0" w:line="20" w:lineRule="exact"/>
              <w:rPr>
                <w:sz w:val="1"/>
                <w:szCs w:val="1"/>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8,898</w:t>
            </w:r>
          </w:p>
        </w:tc>
        <w:tc>
          <w:tcPr>
            <w:tcW w:w="240" w:type="dxa"/>
            <w:vAlign w:val="bottom"/>
            <w:gridSpan w:val="3"/>
            <w:vMerge w:val="restart"/>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2,476</w:t>
            </w:r>
          </w:p>
        </w:tc>
        <w:tc>
          <w:tcPr>
            <w:tcW w:w="300" w:type="dxa"/>
            <w:vAlign w:val="bottom"/>
            <w:gridSpan w:val="3"/>
            <w:vMerge w:val="restart"/>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25,561</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ind w:left="340"/>
              <w:spacing w:after="0"/>
              <w:rPr>
                <w:sz w:val="20"/>
                <w:szCs w:val="20"/>
                <w:color w:val="auto"/>
              </w:rPr>
            </w:pPr>
            <w:r>
              <w:rPr>
                <w:rFonts w:ascii="Arial" w:cs="Arial" w:eastAsia="Arial" w:hAnsi="Arial"/>
                <w:sz w:val="18"/>
                <w:szCs w:val="18"/>
                <w:color w:val="auto"/>
                <w:w w:val="79"/>
              </w:rPr>
              <w:t>365</w:t>
            </w:r>
          </w:p>
        </w:tc>
        <w:tc>
          <w:tcPr>
            <w:tcW w:w="120" w:type="dxa"/>
            <w:vAlign w:val="bottom"/>
          </w:tcPr>
          <w:p>
            <w:pPr>
              <w:spacing w:after="0" w:line="20" w:lineRule="exact"/>
              <w:rPr>
                <w:sz w:val="1"/>
                <w:szCs w:val="1"/>
                <w:color w:val="auto"/>
              </w:rPr>
            </w:pPr>
          </w:p>
        </w:tc>
        <w:tc>
          <w:tcPr>
            <w:tcW w:w="360" w:type="dxa"/>
            <w:vAlign w:val="bottom"/>
            <w:gridSpan w:val="3"/>
            <w:vMerge w:val="restart"/>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3"/>
            <w:vMerge w:val="continue"/>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(648)</w:t>
            </w:r>
          </w:p>
        </w:tc>
        <w:tc>
          <w:tcPr>
            <w:tcW w:w="840" w:type="dxa"/>
            <w:vAlign w:val="bottom"/>
            <w:gridSpan w:val="5"/>
          </w:tcPr>
          <w:p>
            <w:pPr>
              <w:ind w:left="80"/>
              <w:spacing w:after="0"/>
              <w:rPr>
                <w:sz w:val="20"/>
                <w:szCs w:val="20"/>
                <w:color w:val="auto"/>
              </w:rPr>
            </w:pPr>
            <w:r>
              <w:rPr>
                <w:rFonts w:ascii="Arial" w:cs="Arial" w:eastAsia="Arial" w:hAnsi="Arial"/>
                <w:sz w:val="18"/>
                <w:szCs w:val="18"/>
                <w:color w:val="auto"/>
                <w:w w:val="90"/>
              </w:rPr>
              <w:t>$ (48,671)</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8,317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(378)</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ind w:left="140"/>
              <w:spacing w:after="0"/>
              <w:rPr>
                <w:sz w:val="20"/>
                <w:szCs w:val="20"/>
                <w:color w:val="auto"/>
              </w:rPr>
            </w:pPr>
            <w:r>
              <w:rPr>
                <w:rFonts w:ascii="Arial" w:cs="Arial" w:eastAsia="Arial" w:hAnsi="Arial"/>
                <w:sz w:val="18"/>
                <w:szCs w:val="18"/>
                <w:color w:val="auto"/>
                <w:w w:val="98"/>
              </w:rPr>
              <w:t>(2,900)</w:t>
            </w:r>
          </w:p>
        </w:tc>
        <w:tc>
          <w:tcPr>
            <w:tcW w:w="3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$1,569,404</w:t>
            </w: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8"/>
              </w:rPr>
              <w:t>$821,615</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458,751</w:t>
            </w:r>
          </w:p>
        </w:tc>
        <w:tc>
          <w:tcPr>
            <w:tcW w:w="8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85"/>
              </w:rPr>
              <w:t>$788,450</w:t>
            </w: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3"/>
              </w:rPr>
              <w:t>$1,178,132</w:t>
            </w:r>
          </w:p>
        </w:tc>
        <w:tc>
          <w:tcPr>
            <w:tcW w:w="7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87"/>
              </w:rPr>
              <w:t>$145,601</w:t>
            </w: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$4,961,953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7"/>
              </w:rPr>
              <w:t>Investments in marketable equity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354,728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5,381,372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Broadcasting</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$979,268</w:t>
            </w:r>
          </w:p>
        </w:tc>
        <w:tc>
          <w:tcPr>
            <w:tcW w:w="16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$447,055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168,697</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$134,661</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$303,396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(696)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$2,032,381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71,891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32,684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60,116</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(18,981)</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28,352</w:t>
            </w: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4"/>
              </w:rPr>
              <w:t>18,810</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4,732</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1,109</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53,776</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auto"/>
                <w:w w:val="86"/>
              </w:rPr>
              <w:t>730</w:t>
            </w:r>
          </w:p>
        </w:tc>
        <w:tc>
          <w:tcPr>
            <w:tcW w:w="160" w:type="dxa"/>
            <w:vAlign w:val="bottom"/>
          </w:tcPr>
          <w:p>
            <w:pPr>
              <w:spacing w:after="0" w:line="20" w:lineRule="exact"/>
              <w:rPr>
                <w:sz w:val="1"/>
                <w:szCs w:val="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17,774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Broadcasting</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3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$818,178</w:t>
            </w:r>
          </w:p>
        </w:tc>
        <w:tc>
          <w:tcPr>
            <w:tcW w:w="16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$489,038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174,884</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$158,951</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$276,270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$1,917,321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86,533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16,664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65,308</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(22,028)</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23,610</w:t>
            </w: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4"/>
              </w:rPr>
              <w:t>17,756</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4,901</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1,276</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50,425</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auto"/>
                <w:w w:val="86"/>
              </w:rPr>
              <w:t>569</w:t>
            </w:r>
          </w:p>
        </w:tc>
        <w:tc>
          <w:tcPr>
            <w:tcW w:w="160" w:type="dxa"/>
            <w:vAlign w:val="bottom"/>
          </w:tcPr>
          <w:p>
            <w:pPr>
              <w:spacing w:after="0" w:line="20" w:lineRule="exact"/>
              <w:rPr>
                <w:sz w:val="1"/>
                <w:szCs w:val="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0" w:type="dxa"/>
            <w:vAlign w:val="bottom"/>
            <w:gridSpan w:val="3"/>
          </w:tcPr>
          <w:p>
            <w:pPr>
              <w:spacing w:after="0"/>
              <w:rPr>
                <w:sz w:val="20"/>
                <w:szCs w:val="20"/>
                <w:color w:val="auto"/>
              </w:rPr>
            </w:pPr>
            <w:r>
              <w:rPr>
                <w:rFonts w:ascii="Arial" w:cs="Arial" w:eastAsia="Arial" w:hAnsi="Arial"/>
                <w:sz w:val="18"/>
                <w:szCs w:val="18"/>
                <w:color w:val="auto"/>
              </w:rPr>
              <w:t>Net pension (expense) credit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 (50,578)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16,633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(2,900)</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(38,289)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Higher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Test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Education</w:t>
            </w:r>
          </w:p>
        </w:tc>
        <w:tc>
          <w:tcPr>
            <w:tcW w:w="80" w:type="dxa"/>
            <w:vAlign w:val="bottom"/>
          </w:tcPr>
          <w:p>
            <w:pPr>
              <w:spacing w:after="0"/>
              <w:rPr>
                <w:sz w:val="14"/>
                <w:szCs w:val="14"/>
                <w:color w:val="auto"/>
              </w:rPr>
            </w:pPr>
          </w:p>
        </w:tc>
        <w:tc>
          <w:tcPr>
            <w:tcW w:w="1020" w:type="dxa"/>
            <w:vAlign w:val="bottom"/>
            <w:gridSpan w:val="6"/>
          </w:tcPr>
          <w:p>
            <w:pPr>
              <w:spacing w:after="0"/>
              <w:rPr>
                <w:sz w:val="20"/>
                <w:szCs w:val="20"/>
                <w:color w:val="auto"/>
              </w:rPr>
            </w:pPr>
            <w:r>
              <w:rPr>
                <w:rFonts w:ascii="Arial" w:cs="Arial" w:eastAsia="Arial" w:hAnsi="Arial"/>
                <w:sz w:val="14"/>
                <w:szCs w:val="14"/>
                <w:b w:val="1"/>
                <w:bCs w:val="1"/>
                <w:color w:val="auto"/>
              </w:rPr>
              <w:t>Preparation</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Professional</w:t>
            </w: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and Other</w:t>
            </w: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Education</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3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4"/>
              </w:rPr>
              <w:t>2007</w:t>
            </w:r>
          </w:p>
        </w:tc>
        <w:tc>
          <w:tcPr>
            <w:tcW w:w="44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$229,991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6"/>
          </w:tcPr>
          <w:p>
            <w:pPr>
              <w:jc w:val="right"/>
              <w:ind w:right="140"/>
              <w:spacing w:after="0"/>
              <w:rPr>
                <w:sz w:val="20"/>
                <w:szCs w:val="20"/>
                <w:color w:val="auto"/>
              </w:rPr>
            </w:pPr>
            <w:r>
              <w:rPr>
                <w:rFonts w:ascii="Arial" w:cs="Arial" w:eastAsia="Arial" w:hAnsi="Arial"/>
                <w:sz w:val="18"/>
                <w:szCs w:val="18"/>
                <w:color w:val="auto"/>
                <w:w w:val="94"/>
              </w:rPr>
              <w:t>$ 148,519</w:t>
            </w:r>
          </w:p>
        </w:tc>
        <w:tc>
          <w:tcPr>
            <w:tcW w:w="18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w w:val="84"/>
              </w:rPr>
              <w:t>$ 124,977</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503,487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25,217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25,961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13,211</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 (26,841)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$533,780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6"/>
          </w:tcPr>
          <w:p>
            <w:pPr>
              <w:jc w:val="right"/>
              <w:ind w:right="140"/>
              <w:spacing w:after="0"/>
              <w:rPr>
                <w:sz w:val="20"/>
                <w:szCs w:val="20"/>
                <w:color w:val="auto"/>
              </w:rPr>
            </w:pPr>
            <w:r>
              <w:rPr>
                <w:rFonts w:ascii="Arial" w:cs="Arial" w:eastAsia="Arial" w:hAnsi="Arial"/>
                <w:sz w:val="18"/>
                <w:szCs w:val="18"/>
                <w:color w:val="auto"/>
                <w:w w:val="94"/>
              </w:rPr>
              <w:t>$ 367,807</w:t>
            </w:r>
          </w:p>
        </w:tc>
        <w:tc>
          <w:tcPr>
            <w:tcW w:w="18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w w:val="84"/>
              </w:rPr>
              <w:t>$ 761,451</w:t>
            </w:r>
          </w:p>
        </w:tc>
        <w:tc>
          <w:tcPr>
            <w:tcW w:w="18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88"/>
              </w:rPr>
              <w:t>$ 51,875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$1,714,913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3,411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807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4,020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$ 12,951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60" w:type="dxa"/>
            <w:vAlign w:val="bottom"/>
            <w:gridSpan w:val="3"/>
          </w:tcPr>
          <w:p>
            <w:pPr>
              <w:ind w:left="460"/>
              <w:spacing w:after="0"/>
              <w:rPr>
                <w:sz w:val="20"/>
                <w:szCs w:val="20"/>
                <w:color w:val="auto"/>
              </w:rPr>
            </w:pPr>
            <w:r>
              <w:rPr>
                <w:rFonts w:ascii="Arial" w:cs="Arial" w:eastAsia="Arial" w:hAnsi="Arial"/>
                <w:sz w:val="18"/>
                <w:szCs w:val="18"/>
                <w:color w:val="auto"/>
              </w:rPr>
              <w:t>2006</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$191,855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w w:val="94"/>
              </w:rPr>
              <w:t>$ 113,465</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4"/>
              </w:rPr>
              <w:t>$ 103,924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409,244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22,197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23,923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3,316</w:t>
            </w:r>
          </w:p>
        </w:tc>
        <w:tc>
          <w:tcPr>
            <w:tcW w:w="180" w:type="dxa"/>
            <w:vAlign w:val="bottom"/>
          </w:tcPr>
          <w:p>
            <w:pPr>
              <w:spacing w:after="0"/>
              <w:rPr>
                <w:sz w:val="18"/>
                <w:szCs w:val="18"/>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w w:val="92"/>
              </w:rPr>
              <w:t>$ (15,548)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$556,362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w w:val="94"/>
              </w:rPr>
              <w:t>$ 340,914</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4"/>
              </w:rPr>
              <w:t>$ 625,392</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$ 46,736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$1,569,404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2,725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2,460</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1,129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914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3,402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Six Month Period</w:t>
            </w: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Higher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Test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Overhead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8"/>
              </w:rPr>
              <w:t>Education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Preparation</w:t>
            </w:r>
          </w:p>
        </w:tc>
        <w:tc>
          <w:tcPr>
            <w:tcW w:w="12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14"/>
                <w:szCs w:val="14"/>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Education</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3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4"/>
              </w:rPr>
              <w:t>2007</w:t>
            </w:r>
          </w:p>
        </w:tc>
        <w:tc>
          <w:tcPr>
            <w:tcW w:w="44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w w:val="93"/>
              </w:rPr>
              <w:t>$461,715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180"/>
              <w:spacing w:after="0"/>
              <w:rPr>
                <w:sz w:val="20"/>
                <w:szCs w:val="20"/>
                <w:color w:val="auto"/>
              </w:rPr>
            </w:pPr>
            <w:r>
              <w:rPr>
                <w:rFonts w:ascii="Arial" w:cs="Arial" w:eastAsia="Arial" w:hAnsi="Arial"/>
                <w:sz w:val="18"/>
                <w:szCs w:val="18"/>
                <w:color w:val="auto"/>
                <w:w w:val="87"/>
              </w:rPr>
              <w:t>$ 282,798</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$ 234,755</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$979,268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58,214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40,592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22,291</w:t>
            </w:r>
          </w:p>
        </w:tc>
        <w:tc>
          <w:tcPr>
            <w:tcW w:w="1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 (49,206)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12,610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6,879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7,112</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1,751</w:t>
            </w:r>
          </w:p>
        </w:tc>
        <w:tc>
          <w:tcPr>
            <w:tcW w:w="2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6,288</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4"/>
          </w:tcPr>
          <w:p>
            <w:pPr>
              <w:ind w:left="140"/>
              <w:spacing w:after="0"/>
              <w:rPr>
                <w:sz w:val="20"/>
                <w:szCs w:val="20"/>
                <w:color w:val="auto"/>
              </w:rPr>
            </w:pPr>
            <w:r>
              <w:rPr>
                <w:rFonts w:ascii="Arial" w:cs="Arial" w:eastAsia="Arial" w:hAnsi="Arial"/>
                <w:sz w:val="18"/>
                <w:szCs w:val="18"/>
                <w:color w:val="auto"/>
                <w:w w:val="88"/>
              </w:rPr>
              <w:t>$ 23,219</w:t>
            </w:r>
          </w:p>
        </w:tc>
        <w:tc>
          <w:tcPr>
            <w:tcW w:w="2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2006</w:t>
            </w:r>
          </w:p>
        </w:tc>
        <w:tc>
          <w:tcPr>
            <w:tcW w:w="44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w w:val="93"/>
              </w:rPr>
              <w:t>$390,200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180"/>
              <w:spacing w:after="0"/>
              <w:rPr>
                <w:sz w:val="20"/>
                <w:szCs w:val="20"/>
                <w:color w:val="auto"/>
              </w:rPr>
            </w:pPr>
            <w:r>
              <w:rPr>
                <w:rFonts w:ascii="Arial" w:cs="Arial" w:eastAsia="Arial" w:hAnsi="Arial"/>
                <w:sz w:val="18"/>
                <w:szCs w:val="18"/>
                <w:color w:val="auto"/>
                <w:w w:val="87"/>
              </w:rPr>
              <w:t>$ 223,284</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$ 204,694</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$818,178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51,505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46,055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w:t>
            </w:r>
          </w:p>
        </w:tc>
        <w:tc>
          <w:tcPr>
            <w:tcW w:w="1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 (28,447)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11,147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5,334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5,037</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2,092</w:t>
            </w:r>
          </w:p>
        </w:tc>
        <w:tc>
          <w:tcPr>
            <w:tcW w:w="2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1,839</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5,266</w:t>
            </w:r>
          </w:p>
        </w:tc>
        <w:tc>
          <w:tcPr>
            <w:tcW w:w="2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higher education services, which includes all of Kaplan’s post-secondary education businesses in the United States, including fixed facility colleges which offer bachelor’s degrees, associate’s degrees and diploma programs primarily in the fields of healthcare, business and information technology; and online post-secondary and career programs. Kaplan’s businesses also include test preparation, which is made up of Kaplan Test Prep and Admissions, providing test preparation services for college and graduate school entrance exams; as well as K12 and Score!, which offer multi-media learning and private tutoring to children and educational resources to parents. Kaplan’s businesses also include Kaplan Professional, which provides education and career services to business people and other professionals domestically and internationally. For segment reporting purposes, the education division now has three primary segments, as compared to two primary segments in 2006. The education division’s primary segments are higher education, test preparation and professional. Kaplan corporate overhead and “Other”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is also included; “Other” includes Kaplan stock compensation expense and amortization of certain intangibles.</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English-language international editions (and, in conjunction with others, publishes eight foreign-language editions around the world) and the publication of Arthur Frommer’s Budget Travel. The second quarter and first six months of 2006 results of the magazine publishing division also include revenue of $5.6 million and $13.3 million, respectively, and an operating loss of $0.5 million and operating income of $0.8 million respectively, for PostNewsweek Tech Media, which was sold on December 22,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5: Goodwill and Other Intangible Assets.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July 1, 2007 and December 31, 2006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jc w:val="right"/>
              <w:ind w:right="139"/>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4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Goodwill</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$1,656,827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$1,358,425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684,777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4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33,701</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2,420,799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495,909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1,924,890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2006</w:t>
            </w:r>
          </w:p>
        </w:tc>
        <w:tc>
          <w:tcPr>
            <w:tcW w:w="4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$1,538,653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681,548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517,742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4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26,655</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5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2,278,655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488,863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1,789,792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440" w:type="dxa"/>
            <w:vAlign w:val="bottom"/>
            <w:vMerge w:val="restart"/>
          </w:tcPr>
          <w:p>
            <w:pPr>
              <w:jc w:val="right"/>
              <w:ind w:right="2732"/>
              <w:spacing w:after="0"/>
              <w:rPr>
                <w:sz w:val="20"/>
                <w:szCs w:val="20"/>
                <w:color w:val="auto"/>
              </w:rPr>
            </w:pPr>
            <w:r>
              <w:rPr>
                <w:rFonts w:ascii="Arial" w:cs="Arial" w:eastAsia="Arial" w:hAnsi="Arial"/>
                <w:sz w:val="18"/>
                <w:szCs w:val="18"/>
                <w:color w:val="auto"/>
              </w:rPr>
              <w:t>12</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other intangible assets during the six months ended July 1, 2007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$845,754</w:t>
            </w:r>
          </w:p>
        </w:tc>
        <w:tc>
          <w:tcPr>
            <w:tcW w:w="16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$ 80,651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$ 25,015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85,666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1,240,251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110,190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963,460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1"/>
              </w:rPr>
              <w:t>$ 81,119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$ 25,015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85,666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1,358,425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$508,480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517,742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July 1,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$ 511,709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25,270</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5,508</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Balance at July 1, 2007</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39,723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4,924</w:t>
            </w:r>
          </w:p>
        </w:tc>
        <w:tc>
          <w:tcPr>
            <w:tcW w:w="8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other intangible assets during the six-months ended July 2, 2006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$686,532</w:t>
            </w:r>
          </w:p>
        </w:tc>
        <w:tc>
          <w:tcPr>
            <w:tcW w:w="16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$ 80,651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$ 69,556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85,666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1,125,570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760,222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1"/>
              </w:rPr>
              <w:t>$ 80,651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$ 69,556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85,666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1,199,260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$486,330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July 2, 2006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486,330</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14,428</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6,676</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Balance at July 2, 2006</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13,364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6,092</w:t>
            </w:r>
          </w:p>
        </w:tc>
        <w:tc>
          <w:tcPr>
            <w:tcW w:w="8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 Antidilutive Securities.</w:t>
      </w:r>
    </w:p>
    <w:p>
      <w:pPr>
        <w:spacing w:after="0" w:line="90"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second quarter and first six months of 2007 diluted earnings per share amount excludes the effects of 12,000 and 7,500 stock options outstanding, respectively,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their inclusion would be antidilutive. The second quarter and first six months of 2006 diluted earnings per share amount excludes the effects of 8,500 stock options outstanding as their inclusion would be antidilutive.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7: Pension and Postretirement Plans.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total cost (income) arising from the Company’s defined benefit pension plans for the second quarter and six months ended July 1, 2007 and July 2, 2006 consists of the following components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w w:val="94"/>
              </w:rPr>
              <w:t>Twenty-Six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7"/>
              </w:rPr>
              <w:t>July 1,</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7"/>
              </w:rPr>
              <w:t>July 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July 1,</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July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13,153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11,858</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10,287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22,217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(24,755)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(23,234)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(46,382)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(5,764)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(10,799)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49,657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(income)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43,977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(10,799)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3"/>
              </w:rPr>
              <w:t>SERP</w:t>
            </w: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w w:val="94"/>
              </w:rPr>
              <w:t>Twenty-Six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7"/>
              </w:rPr>
              <w:t>July 1,</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7"/>
              </w:rPr>
              <w:t>July 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July 1,</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July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the Company raised its assumption on the discount rate from 5.75% to 6.0% for its defined benefit pension plans.</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total cost arising from the Company’s postretirement plans for the second quarter and six months ended July 1, 2007 and July 2, 2006, consists of the following components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w w:val="87"/>
              </w:rPr>
              <w:t>Postretirement Plans</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Thirteen Weeks Ended</w:t>
            </w: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Twenty-Six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2"/>
              </w:rPr>
              <w:t>July 1,</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July 2,</w:t>
            </w:r>
          </w:p>
        </w:tc>
        <w:tc>
          <w:tcPr>
            <w:tcW w:w="46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July 1,</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July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2006</w:t>
            </w:r>
          </w:p>
        </w:tc>
        <w:tc>
          <w:tcPr>
            <w:tcW w:w="460" w:type="dxa"/>
            <w:vAlign w:val="bottom"/>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$ 1,828</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1,932</w:t>
            </w:r>
          </w:p>
        </w:tc>
        <w:tc>
          <w:tcPr>
            <w:tcW w:w="540" w:type="dxa"/>
            <w:vAlign w:val="bottom"/>
          </w:tcPr>
          <w:p>
            <w:pPr>
              <w:jc w:val="right"/>
              <w:spacing w:after="0"/>
              <w:rPr>
                <w:sz w:val="20"/>
                <w:szCs w:val="20"/>
                <w:color w:val="auto"/>
              </w:rPr>
            </w:pPr>
            <w:r>
              <w:rPr>
                <w:rFonts w:ascii="Arial" w:cs="Arial" w:eastAsia="Arial" w:hAnsi="Arial"/>
                <w:sz w:val="18"/>
                <w:szCs w:val="18"/>
                <w:color w:val="auto"/>
              </w:rPr>
              <w:t>2,454</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service credit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(1,176)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(820)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3,193</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$ 1,110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8: Other Non-Operating Income (Expense).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recorded other non-operating income, net, of $4.3 million for the second quarter of 2007, compared to non-operating income, net, of $33.7 million for the second quarter of 2006. For the first six months of 2007 and 2006, the Company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recorded other non-operating income, net, of $5.1 million and $33.5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twenty-six weeks ended July 1, 2007 and July 2, 2006,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Thirteen Weeks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Twenty-Six Weeks Ended</w:t>
            </w:r>
          </w:p>
        </w:tc>
      </w:tr>
      <w:tr>
        <w:trPr>
          <w:trHeight w:val="129"/>
        </w:trPr>
        <w:tc>
          <w:tcPr>
            <w:tcW w:w="7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7"/>
              </w:rPr>
              <w:t>July 1,</w:t>
            </w: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87"/>
              </w:rPr>
              <w:t>July 2,</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w w:val="87"/>
              </w:rPr>
              <w:t>July 1,</w:t>
            </w: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98"/>
              <w:spacing w:after="0" w:line="129" w:lineRule="exact"/>
              <w:rPr>
                <w:sz w:val="20"/>
                <w:szCs w:val="20"/>
                <w:color w:val="auto"/>
              </w:rPr>
            </w:pPr>
            <w:r>
              <w:rPr>
                <w:rFonts w:ascii="Arial" w:cs="Arial" w:eastAsia="Arial" w:hAnsi="Arial"/>
                <w:sz w:val="14"/>
                <w:szCs w:val="14"/>
                <w:b w:val="1"/>
                <w:bCs w:val="1"/>
                <w:color w:val="auto"/>
                <w:w w:val="91"/>
              </w:rPr>
              <w:t>July 2,</w:t>
            </w:r>
          </w:p>
        </w:tc>
        <w:tc>
          <w:tcPr>
            <w:tcW w:w="60" w:type="dxa"/>
            <w:vAlign w:val="bottom"/>
          </w:tcPr>
          <w:p>
            <w:pPr>
              <w:spacing w:after="0"/>
              <w:rPr>
                <w:sz w:val="11"/>
                <w:szCs w:val="11"/>
                <w:color w:val="auto"/>
              </w:rPr>
            </w:pPr>
          </w:p>
        </w:tc>
      </w:tr>
      <w:tr>
        <w:trPr>
          <w:trHeight w:val="161"/>
        </w:trPr>
        <w:tc>
          <w:tcPr>
            <w:tcW w:w="7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8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cost method and other investments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(losses), net</w:t>
            </w:r>
          </w:p>
        </w:tc>
        <w:tc>
          <w:tcPr>
            <w:tcW w:w="8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9: 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earnings per share (basic and diluted) for the second quarter and first six months of 2007 and 2006,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Thirteen Weeks Ended</w:t>
            </w:r>
          </w:p>
        </w:tc>
        <w:tc>
          <w:tcPr>
            <w:tcW w:w="120" w:type="dxa"/>
            <w:vAlign w:val="bottom"/>
          </w:tcPr>
          <w:p>
            <w:pPr>
              <w:spacing w:after="0"/>
              <w:rPr>
                <w:sz w:val="14"/>
                <w:szCs w:val="14"/>
                <w:color w:val="auto"/>
              </w:rPr>
            </w:pPr>
          </w:p>
        </w:tc>
        <w:tc>
          <w:tcPr>
            <w:tcW w:w="16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7"/>
              </w:rPr>
              <w:t>July 1,</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7"/>
              </w:rPr>
              <w:t>July 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July 1,</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w w:val="91"/>
              </w:rPr>
              <w:t>July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Income before cumulative effect of change in accounting principle, after Redeemable preferred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68,586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78,499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132,531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159,957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68,586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78,499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132,531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 basic</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5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20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17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10: Income Taxes.</w:t>
      </w:r>
    </w:p>
    <w:p>
      <w:pPr>
        <w:spacing w:after="0" w:line="9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effective tax rate for the second quarter of 2007 was 45.4%, compared to 38.0% for the second quarter of 2006. Results for the second quarter of 2007 included an additional $15.5 million in income tax expense related to Bowater Mersey, the Company’s 49% owned affiliate based in Canada. The Company previously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investment should be recorded at a 35% tax rate. $12.9 million of the expense relates to 2006 and prior years; $2.6 million of the expense relates to the first quarter of 2007. The Company concluded that these charges are not material to the Company’s financial positions or results of operations for 2007 and prior years, based on its consideration of quantitative and qualitative factors. Also included in the second quarter of 2007 is a $6.3 million income tax benefit related to a change in certain state income tax laws enacted in the second quarter of 2007. Both of these items are non-cash items in the current period, impacting the Company’s long-term net deferred income tax liabilities. Excluding the impact of these items, the effective tax rate for the second quarter of 2007 was 38.0%.</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effective tax rate for the first six months of 2007 was 40.8%, compared to 38.0% for the first six months of 2006. Results for the first six months of 2007 included the additional $12.9 million in income tax expense related to the Company’s Bowater Mersey affiliate, and the $6.3 million income tax benefit related to a change in certain state income tax laws enacted in the second quarter of 2007. Excluding the impact of these items, the effective tax rate for the first six months of 2007 was 38.0%.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 11: 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2006, the Financial Accounting Standards Board (“FASB”) issued FASB Interpretation No. 48 (FIN 48), “Accounting for Uncertainty in Income Taxes — an Interpretation of FASB Statement No. 109.” FIN 48 prescribes a comprehensive model of how a company should recognize, measure, present and disclose in its financial statements uncertain tax positions that the company has taken or expects to take on a tax return. The Company implemented FIN 48 in the first quarter of 2007 and there was no impact on the Company’s financial position or results of operations as a result of implementation. The Company has determined that there are no material transactions or material tax positions taken by the Company that would fail to meet the more likely than not threshold established by FIN 48 for recognizing transactions or tax positions in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certain tax positions reflected in the financial statements where it is uncertain the full tax benefit associated with the tax positions will ultimately be recognized. The amount of, and changes to, this accrued tax liability are not material to the Company’s financial position or results of operations.</w:t>
      </w:r>
    </w:p>
    <w:p>
      <w:pPr>
        <w:spacing w:after="0" w:line="12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files income tax returns in the U.S. and various state and foreign jurisdictions. In January 2007, the Internal Revenue Service completed their examinations of the Company’s consolidated federal corporate income tax returns through 2004.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Pronouncements</w:t>
      </w:r>
    </w:p>
    <w:p>
      <w:pPr>
        <w:spacing w:after="0" w:line="11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September 2006, the FASB issued Statement of Financial Accounting Standards (SFAS) No. 157 “Fair Value Measurements” which defines fair value, establishes a framework for consistently measuring fair value under generally accepted accounting principles, and expands disclosures about fair value measurements. SFAS 157 is effective for fiscal years beginning after November 15, 2007. Management is currently evaluating the effect that adoption of this statement will have on the company’s consolidated financial statements.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159 “The Fair Value Option for Financial Liabilities – Including an Amendment of FASB Statement No. 115.” SFAS 159 permits entities to choose to measure eligible items at fair value at specified election dates and report unrealized gains and losses on items for which the fair value option has been elected in earnings at such subsequent reporting date. SFAS 159 is effective for fiscal years beginning after November 15, 2007. Management is currently evaluating the effect that adoption of this statement will have on the company’s consolidated financial statements.</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income for the second quarter of 2007 was $68.8 million ($7.19 per share), compared to net income of $78.7 million ($8.17 per share) for the second quarter of last year.</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Results for the second quarter of 2007 included additional net income tax expense of $9.2 million ($0.97 per share) as the result of a $15.5 million ($1.63 per share) increase in taxes associated with Bowater Mersey Paper Company Limited, the Company’s 49%-owned affiliate based in Canada, and a tax benefit of $6.3 million ($0.66 per share) associated with recent changes in certain state income tax laws. Both of these are non-cash items in the current period, impacting the Company’s long-term net deferred income tax liabilities. Refer to “Provision for Income Taxes” below for additional details.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Results for the second quarter of 2006 included charges related to early retirement plan buyouts at The Washington Post newspaper and the corporate office (after-tax impact of $31.4 million, or $3.27 per share) that were largely funded from the assets in the Company’s pension plans. Results for the second quarter of 2006 also included transition costs from Kaplan acquisitions (after-tax impact of $4.8 million, or $0.50 per share), offset by insurance recoveries from cable division losses related to Hurricane Katrina (after-tax impact of $6.4 million, or $0.67 per share) and non-operating gains from the sales of marketable securities (after-tax impact of $19.6 million, or $2.04 per share).</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for the second quarter of 2007 was $1,046.8 million, up 8% from $969.0 million in the second quarter of 2006. The increase is due mostly to significant revenue growth at the education division, as well as an increase at the cable television division. Revenues were down at the Company’s newspaper publishing, magazine publishing and television broadcasting divisions.</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Operating income increased in the second quarter of 2007 to $125.3 million, from $97.2 million in the second quarter of 2006, due largely to certain unusual items in the second quarter of 2006 including charges of $50.6 million associated with early retirement plan buyouts and charges of $6.9 million associated with transition costs at Kaplan. These were offset by a $9.6 million increase in Kaplan stock compensation expense in the second quarter of 2007 and $10.4 million in insurance recoveries recorded during the second quarter of 2006 from cable division losses related to Hurricane Katrina.</w:t>
      </w:r>
    </w:p>
    <w:p>
      <w:pPr>
        <w:spacing w:after="0" w:line="11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the first six months of 2007, net income totaled $133.2 million ($13.89 per share), compared with $155.6 million ($16.12 per share) for the same period of 2006. Results for the first six months of 2007 included additional net income tax expense of $6.6 million ($0.70 per share) as the result of a $12.9 million ($1.36 per share) increase in taxes associated with Bowater Mersey and a tax benefit of $6.3 million ($0.66 per share) associated with recent changes in certain state income tax laws. Both of these are non-cash items in the current period, impacting the Company’s long-term net deferred income tax liabilities. Also included in the first six months of 2007 is a significant increase in equity in earnings of affiliates primarily from a gain on the sale of land at the Company’s Bowater Mersey affiliate (after-tax impact of $6.5 million, or $0.68 per share). Results for the first half of 2006 included charges related to early retirement plan buyouts (after-tax impact of $31.4 million, or $3.27 per share); transition costs at Kaplan (after-tax impact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of $4.8 million, or $0.50 per share); and a charge for the cumulative effect of a change in accounting for Kaplan equity awards (after-tax impact of $5.1 million, or $0.53 per share) in connection with the Company’s adoption of Statement of Financial Accounting Standards No. 123R (SFAS 123R), “Share-Based Payment.” These items were offset by insurance recoveries from cable division losses related to Hurricane Katrina (after-tax impact of $6.4 million, or $0.67 per share) and non-operating gains from the sales of marketable securities (after-tax impact of $19.6 million, or $2.04 per share).</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Revenue for the first half of 2007 was $2,032.4 million, up 6% from $1,917.3 million in the first half of 2006, due to increased revenues at the Company’s education and cable divisions, offset by revenue declines at the Company’s other divisions. Operating income for the first half of 2007 decreased to $217.3 million, from $235.0 million in the first half of 2006, due to declines at the television broadcasting and magazine publishing divisions; a $17.9 million increase in Kaplan stock compensation expense in the first half of 2007; and $10.4 million in insurance recoveries recorded during the second quarter of 2006 from cable division losses related to Hurricane Katrina. These were offset by several unusual items in 2006 including $50.6 million in pre-tax charges associated with early retirement plan buyouts and $6.9 million in transition costs at Kaplan.</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Company’s operating income for the second quarter and first six months of 2007 included $5.8 million and $10.8 million of net pension credits, respectively, compared to $5.7 million and $11.4 million, respectively, for the same periods of 2006, excluding charges related to early retirement programs.</w:t>
      </w:r>
    </w:p>
    <w:p>
      <w:pPr>
        <w:spacing w:after="0" w:line="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$503.5 million for the second quarter of 2007, a 23% increase over revenue of $409.2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of 2006. Excluding revenue from acquired businesses, education division revenue increased 14% for the second quarter of 2007. Kaplan reported operating income for the second quarter of 2007 of $37.5 million, up 11% from $33.9 million in the second quarter of 2006. For the first six months of 2007, education division revenue totaled $979.3 million, a 20% increase over revenue of $818.2 million for the same period of 2006. Excluding revenue from acquired businesses, education division revenue increased 12% for the first six months of 2007. Kaplan reported operating income of $71.9 million for the first six months of 2007, a decline of 17% from $86.5 million for the first six months of 2006.</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second quarter of 2006, Kaplan acquired Tribeca Learning Limited, a leading provider of education to the Australian financial services sector, and incurred $6.9 million in transition costs, which are included in the Professional education results. A summary of Kaplan’s operating results for the second quarter and the first six months of 2007 compared to 2006 is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7"/>
              </w:rPr>
              <w:t>Second Quarter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0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229,991</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191,855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461,715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390,200</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148,519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113,465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282,798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223,284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124,977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103,924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234,755</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204,694</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503,487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409,244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979,268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818,178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22,197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51,505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4"/>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23,923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40,592</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46,055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3,316</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22,291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(11,232)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(19,699)</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(21,342)</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(16,971)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(29,507)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37,548</w:t>
            </w:r>
          </w:p>
        </w:tc>
        <w:tc>
          <w:tcPr>
            <w:tcW w:w="1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33,888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71,891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86,533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20" w:right="3380" w:hanging="5612"/>
        <w:spacing w:after="0" w:line="440" w:lineRule="auto"/>
        <w:tabs>
          <w:tab w:leader="none" w:pos="218"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 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Higher education includes all of Kaplan’s post-secondary education businesses in the United States, including fixed-facility colleges as well as online post-secondary and career programs. Higher education revenue grew by 20% in the second quarter of 2007 and 18% in the first half of 2007. Enrollments increased 6% to 66,700 at June 30, 2007, compared to 62,700 at June 30, 2006, due to enrollment growth in the online programs. Higher education results for the online programs in the first half of 2007 benefited from increases in both price and demand for higher priced advanced programs. Results at the fixed-facility colleges also benefited from course fee increases, but as previously disclosed, were adversely affected by $2.7 million in lease termination charges in the first quarter of 2007.</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Test preparation includes Kaplan’s standardized test preparation and English- language course offerings, as well as the K12 and Score! businesses. Test preparation revenue grew 31% in the second quarter of 2007 and 27% for the first six months of 2007 largely due to the Aspect and PMBR acquisitions made in October 2006. Excluding revenue from acquired businesses, revenue grew 7% in the second quarter of 2007 and 5% in the first six months of 2007 due to overall strength in the traditional test preparation courses, offset by declines in revenue from the K12 and Score! businesses. Operating income for test preparation increased in the second quarter of 2007 due largely to the Aspect and PMBR acquisitions, as well as growth in the traditional test preparation courses, offset by continued weakness from the K12 and Score! businesses. Operating results for the first half of 2007 were down due to weaker results from the K12 and Score! businesses. The K12 results in 2006 included approximately $3.0 million in revenue and operating income related to services provided in prior periods, but for which revenue was not recognized until 2006 when the underlying contracts governing the work were finalized. Score! revenue and operating results are down primarily due to an 11% enrollment decline.</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Professional includes Kaplan’s domestic and overseas professional businesses and certain other education businesses outside the United States. Professional revenue grew 20% and 15% in the second quarter and first six months of 2007 largely due to the May 2006 acquisition of Tribeca and the March 2007 acquisition of EduNeering Holdings, Inc., a Princeton, NJ-based provider of knowledge management solutions for organizations in the pharmaceutical, medical device, healthcare, energy and manufacturing sectors. Excluding revenue from acquired businesses, Professional revenue grew 11% in the second quarter of 2007 and 6% in the first six months of 2007. The revenue increases are a result of higher revenues at FTC Kaplan Limited (FTC) due primarily to favorable exchange rates and from growth in the Schweser CFA exam course offerings, offset by continued soft market demand for Professional’s real estate book publishing and real estate course offerings. Operating income increased largely due to the $6.9 million in transition costs in 2006, offset by weakness in Professional’s real estate businesses. FTC operating results are up in the second quarter of 2007, but have declined for the first six months of 2007 due to increases in staffing, occupancy and business development expenses associated with the overall growth in FTC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Kaplan recorded stock compensation expense of $13.0 million and $3.4 million in the second quarter of 2007 and 2006, respectively, and $23.2 million and $5.3 million in the first six months of 2007 and 2006, respectively, related to this plan (excluding stock compensation recorded in the first quarter of 2006 related to a change in accounting discussed below). In addition, Other includes amortization of certain intangibles, which increased due to recent Kaplan acquisitions.</w:t>
      </w:r>
    </w:p>
    <w:p>
      <w:pPr>
        <w:spacing w:after="0" w:line="13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totaled $227.9 million for the second quarter of 2007, a decrease of 7% from $245.6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second quarter of 2006; division revenue decreased 9% to $447.1 million for the first six months of 2007, from $489.0 million for the first six months of 2006.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newspaper division reported operating income of $17.8 million in the second quarter of 2007, compared to an operating loss of $15.4 million for the second quarter of 2006; operating income increased to $32.7 million for the first six months of 2007, compared to $16.7 million for the first six months of 2006. The increase in operating results is due primarily to $46.8 million in pre-tax charges recorded in the second quarter of 2006 associated with early retirement plan buyouts at The Washington Post. Excluding this charge, operating income was down for the second quarter and the first six months of 2007 due to a decline in division revenues, partially offset by a reduction in newspaper division operating expenses, including newsprint expense declines of 22% and 19% for the second quarter and first six months of 2007, respectively.</w:t>
      </w:r>
    </w:p>
    <w:p>
      <w:pPr>
        <w:spacing w:after="0" w:line="1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Print advertising revenue at The Post in the second quarter declined 13% to $128.4 million, from $148.3 million in the second quarter of 2006, and decreased 15% to $253.6 million for the first six months of 2007, from $298.1 million in the same period of 2006. The declines are due to reductions in real estate, which was a strong category in the first six months of 2006, along with declines in classified, retail and zones. Classified recruitment advertising revenue declined 22% to $13.2 million for the second quarter of 2007, from $16.8 million in the second quarter of 2006, and was down 25% to $28.9 million in the first half of 2007, compared to $38.6 million in the first half of 2006.</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first six months of 2007, Post daily and Sunday circulation both declined 2.9% compared to the same period of the prior year. For the six months ended July 1, 2007, average daily circulation at The Post totaled 652,200 and average Sunday circulation totaled 920,000.</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11% to $28.2 million for the second quarter of 2007, from $25.3 million for the second quarter of 2006; online revenues increased 11% to $53.2 million in the first six months of 2007, from $48.2 million for the first six months of 2006. Display online advertising revenues grew 13% and 16% for the second quarter and first six months of 2007, respectively. Online classified advertising revenue on washingtonpost.com increased 11% and 8% for the second quarter and first six months of 2007, respectively. A small portion of the Company’s online publishing revenues is included in the magazine publishing division.</w:t>
      </w:r>
    </w:p>
    <w:p>
      <w:pPr>
        <w:spacing w:after="0" w:line="110"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1% in the second quarter of 2007 to $87.9 million, from $89.0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2006; operating income for the second quarter of 2007 declined 13% to $35.2 million, from $40.6 million in 2006. The decrease in revenue and operating income is due to a $1.5 million decline in second quarter 2007 political advertising revenue and increased programming expenses.</w:t>
      </w:r>
    </w:p>
    <w:p>
      <w:pPr>
        <w:spacing w:after="0" w:line="1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first six months of 2007, revenue decreased 4% to $168.7 million, from $174.9 million in 2006; operating income for the first six months of 2007 declined 17% to $64.6 million, from $78.1 million. The decrease in revenue and operating income is due to $6.3 million in incremental winter Olympics-related advertising at the Company’s NBC affiliates in the first quarter of 2006, a $2.3 million decrease in political advertising revenue and increased programming expenses.</w:t>
      </w:r>
    </w:p>
    <w:p>
      <w:pPr>
        <w:spacing w:after="0" w:line="13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$73.4 million for the second quarter of 2007, a 13% decline from $84.2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second quarter of 2006; division revenue totaled $134.7 million for the first six months of 2007, a 15% decrease from $159.0 million for the first six months of 2006. Magazine publishing division results in the second quarter and first six months of 2006 included revenue of $5.6 million and $13.3 million, respectively, from PostNewsweek Tech Media, which was sold in December 2006. The remainder of the revenue declines is due primarily to a 6% and 9% reduction in advertising revenue for the second quarter and first six months of 2007, respectively, due to fewer ad pages and lower rates at both the Newsweek domestic and international editions, offset by increases at Arthur Frommer’s Budget Travel.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303" w:lineRule="auto"/>
        <w:rPr>
          <w:sz w:val="20"/>
          <w:szCs w:val="20"/>
          <w:color w:val="auto"/>
        </w:rPr>
      </w:pPr>
      <w:r>
        <w:rPr>
          <w:rFonts w:ascii="Arial" w:cs="Arial" w:eastAsia="Arial" w:hAnsi="Arial"/>
          <w:sz w:val="15"/>
          <w:szCs w:val="15"/>
          <w:color w:val="auto"/>
        </w:rPr>
        <w:t>Operating income totaled $12.9 million in the second quarter of 2007, an increase from $11.2 million for the second quarter of 2006. Magazine publishing division results in the second quarter of 2006 included an operating loss of $0.5 million from PostNewsweek Tech Media. The remainder of the increase in operating income is due to a reduction in subscription and magazine paper costs and an increased pension credit, offset by advertising revenue reductions.</w:t>
      </w:r>
    </w:p>
    <w:p>
      <w:pPr>
        <w:spacing w:after="0" w:line="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Operating income totaled $6.9 million for the first six months of 2007, a decline from $10.3 million in the first six months of 2006. Magazine publishing division results in the first six months of 2006 included operating income of $0.8 million from PostNewsweek Tech Media. The remainder of the decline is due primarily to advertising revenue reductions, offset by lower overall operating costs and an increased pension credit.</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Cable Television Division</w:t>
      </w:r>
      <w:r>
        <w:rPr>
          <w:rFonts w:ascii="Arial" w:cs="Arial" w:eastAsia="Arial" w:hAnsi="Arial"/>
          <w:sz w:val="18"/>
          <w:szCs w:val="18"/>
          <w:color w:val="auto"/>
        </w:rPr>
        <w:t>. Cable division revenue of $154.4 million for the second quarter of 2007 represents a 9% increase over 2006 second quarter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 $141.1 million; for the first six months of 2007, revenue increased 10% to $303.4 million, from $276.3 million in the same period of 2006. The 2007 revenue increase is due to continued growth in the division’s cable modem and digital revenues, along with revenues from telephone services. The cable division implemented a $3 monthly rate increase for basic video cable service at most of its systems effective February 1, 2006. The Company does not plan to implement an overall basic video cable rate increase in 2007.</w:t>
      </w:r>
    </w:p>
    <w:p>
      <w:pPr>
        <w:spacing w:after="0" w:line="1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Cable division operating income declined to $32.1 million in the second quarter of 2007, versus $39.9 million in the second quarter of 2006; cable division operating income for the first six months of 2007 declined to $60.1 million, from $65.3 million for the first six months of 2006. The cable division results in the second quarter of 2006 benefited from $10.4 million in insurance recoveries from cable division losses related to Hurricane Katrina. Excluding the insurance recoveries, cable division operating income increased in the second quarter and first six months of 2007 due to the division’s revenue growth, offset by higher depreciation expense and increases in technical and telephony costs.</w:t>
      </w:r>
    </w:p>
    <w:p>
      <w:pPr>
        <w:spacing w:after="0" w:line="14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At June 30, 2007, Revenue Generating Units (RGUs) grew 9% due to continued growth in high-speed data subscribers and increases in the basic video and digital video subscriber categories. The cable division began offering telephone service on a very limited basis in the second quarter of 2006; as of June 30, 2007, telephone service is being offered in all or part of systems representing 82% of homes passed. RGUs include about 7,000 subscribers who receive free basic cable service, primarily local governments, schools and other organizations as required by the various franchise agreements. A summary of RGUs is as follows:</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4"/>
                <w:szCs w:val="14"/>
                <w:color w:val="auto"/>
              </w:rPr>
            </w:pPr>
          </w:p>
        </w:tc>
        <w:tc>
          <w:tcPr>
            <w:tcW w:w="78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30,</w:t>
            </w:r>
          </w:p>
        </w:tc>
      </w:tr>
      <w:tr>
        <w:trPr>
          <w:trHeight w:val="168"/>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Cable Television Division Subscribers</w:t>
            </w:r>
          </w:p>
        </w:tc>
        <w:tc>
          <w:tcPr>
            <w:tcW w:w="52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16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2006</w:t>
            </w: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4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696,673</w:t>
            </w:r>
          </w:p>
        </w:tc>
        <w:tc>
          <w:tcPr>
            <w:tcW w:w="8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686,002</w:t>
            </w: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Digital</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220,557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211,158</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High-speed data</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316,357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261,262</w:t>
            </w:r>
          </w:p>
        </w:tc>
      </w:tr>
      <w:tr>
        <w:trPr>
          <w:trHeight w:val="223"/>
        </w:trPr>
        <w:tc>
          <w:tcPr>
            <w:tcW w:w="20" w:type="dxa"/>
            <w:vAlign w:val="bottom"/>
          </w:tcPr>
          <w:p>
            <w:pPr>
              <w:spacing w:after="0"/>
              <w:rPr>
                <w:sz w:val="19"/>
                <w:szCs w:val="19"/>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Telephony</w:t>
            </w:r>
          </w:p>
        </w:tc>
        <w:tc>
          <w:tcPr>
            <w:tcW w:w="4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23,990</w:t>
            </w:r>
          </w:p>
        </w:tc>
        <w:tc>
          <w:tcPr>
            <w:tcW w:w="8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1,257,577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1,158,607</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Below are details of Cable division capital expenditures for the first six months of 2007 and 2006, as defined by the NCTA Standard Reporting Categories (in millions):</w:t>
      </w:r>
    </w:p>
    <w:p>
      <w:pPr>
        <w:spacing w:after="0" w:line="1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Upgrade/Rebuild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30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20" w:type="dxa"/>
            <w:vAlign w:val="bottom"/>
          </w:tcPr>
          <w:p>
            <w:pPr>
              <w:ind w:left="420"/>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060" w:type="dxa"/>
            <w:vAlign w:val="bottom"/>
            <w:vMerge w:val="restart"/>
          </w:tcPr>
          <w:p>
            <w:pPr>
              <w:jc w:val="right"/>
              <w:ind w:right="2192"/>
              <w:spacing w:after="0"/>
              <w:rPr>
                <w:sz w:val="20"/>
                <w:szCs w:val="20"/>
                <w:color w:val="auto"/>
              </w:rPr>
            </w:pPr>
            <w:r>
              <w:rPr>
                <w:rFonts w:ascii="Arial" w:cs="Arial" w:eastAsia="Arial" w:hAnsi="Arial"/>
                <w:sz w:val="18"/>
                <w:szCs w:val="18"/>
                <w:color w:val="auto"/>
              </w:rPr>
              <w:t>22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decreased to $10.3 million and $19.0 million for the second quarter and first six months of 2007,</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from $13.0 million and $22.0 million for the second quarter and first six months of 2006, respectively. The decrease is due to $3.8 million in pre-tax charges recorded in the second quarter of 2006 associated with early retirement plan buyouts at the corporate office.</w:t>
      </w:r>
    </w:p>
    <w:p>
      <w:pPr>
        <w:spacing w:after="0" w:line="9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Equity in Earnings (Losses) of Affiliates</w:t>
      </w:r>
      <w:r>
        <w:rPr>
          <w:rFonts w:ascii="Arial" w:cs="Arial" w:eastAsia="Arial" w:hAnsi="Arial"/>
          <w:sz w:val="16"/>
          <w:szCs w:val="16"/>
          <w:color w:val="auto"/>
        </w:rPr>
        <w:t>. The Company’s equity in losses of affiliates for the second quarter of 2007 was $0.1 million, compared to losses of</w:t>
      </w:r>
      <w:r>
        <w:rPr>
          <w:rFonts w:ascii="Arial" w:cs="Arial" w:eastAsia="Arial" w:hAnsi="Arial"/>
          <w:sz w:val="16"/>
          <w:szCs w:val="16"/>
          <w:b w:val="1"/>
          <w:bCs w:val="1"/>
          <w:color w:val="auto"/>
        </w:rPr>
        <w:t xml:space="preserve"> </w:t>
      </w:r>
      <w:r>
        <w:rPr>
          <w:rFonts w:ascii="Arial" w:cs="Arial" w:eastAsia="Arial" w:hAnsi="Arial"/>
          <w:sz w:val="16"/>
          <w:szCs w:val="16"/>
          <w:color w:val="auto"/>
        </w:rPr>
        <w:t>$0.6 million for the second quarter of 2006. For the first six months of 2007, the Company’s equity in earnings of affiliates totaled $8.9 million, compared to losses of $0.7 million for the same period of 2006. In the first quarter of 2007, the equity in earnings of affiliates included a gain of $8.9 million on the sale of land at the Company’s Bowater Mersey Paper Company Limited affiliate. The Company holds a 49% interest in Bowater Mersey Paper Company.</w:t>
      </w:r>
    </w:p>
    <w:p>
      <w:pPr>
        <w:spacing w:after="0" w:line="10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income, net, of $4.3 million for the second quarter of 2007,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income, net, of $33.7 million in the second quarter of 2006. The second quarter 2007 non-operating income, net, includes $3.8 million in foreign currency gains. The second quarter 2006 non-operating income, net, includes $31.6 million in pre-tax gains related to sales of marketable securities and $2.3 million in foreign currency gains.</w:t>
      </w:r>
    </w:p>
    <w:p>
      <w:pPr>
        <w:spacing w:after="0" w:line="14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recorded other non-operating income, net, of $5.1 million for the first six months of 2007, compared to other non-operating income, net, of $33.5 million for the same period of the prior year. The 2007 non-operating income includes $4.6 million in foreign currency gains. The 2006 non-operating income includes pre-tax gains of $31.6 million related to sales of marketable securities and foreign currency gains of $2.9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twenty-six weeks ended July 1, 2007 and July 2, 2006, is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Gains on sale of marketable equity securities</w:t>
            </w:r>
          </w:p>
        </w:tc>
        <w:tc>
          <w:tcPr>
            <w:tcW w:w="7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31.6</w:t>
            </w:r>
          </w:p>
        </w:tc>
        <w:tc>
          <w:tcPr>
            <w:tcW w:w="6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Gain (loss) on cost method and other investments</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(losses), net</w:t>
            </w:r>
          </w:p>
        </w:tc>
        <w:tc>
          <w:tcPr>
            <w:tcW w:w="7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(0.2)</w:t>
            </w:r>
          </w:p>
        </w:tc>
      </w:tr>
      <w:tr>
        <w:trPr>
          <w:trHeight w:val="142"/>
        </w:trPr>
        <w:tc>
          <w:tcPr>
            <w:tcW w:w="8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33.5</w:t>
            </w:r>
          </w:p>
        </w:tc>
        <w:tc>
          <w:tcPr>
            <w:tcW w:w="60" w:type="dxa"/>
            <w:vAlign w:val="bottom"/>
            <w:shd w:val="clear" w:color="auto" w:fill="CCEEFF"/>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70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$3.5 million and $6.1 million for the second quarter and first six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$3.9 million and $8.6 million for the same periods of 2006. At July 1, 2007, the Company had $405.6 million in borrowings outstanding at an average interest rate of 5.5%.</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Provision for Income Taxes</w:t>
      </w:r>
      <w:r>
        <w:rPr>
          <w:rFonts w:ascii="Arial" w:cs="Arial" w:eastAsia="Arial" w:hAnsi="Arial"/>
          <w:sz w:val="16"/>
          <w:szCs w:val="16"/>
          <w:color w:val="auto"/>
        </w:rPr>
        <w:t>. The effective tax rate for the second quarter of 2007 was 45.4%, compared to 38.0% for the second quarter of 2006. As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discussed, results for the second quarter of 2007 included an additional $15.5 million in income tax expense related to Bowater Mersey, the Company’s 49%-owned affiliate based in Canada. The Company previously recorded 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investment should be recorded at a 35% tax rate. $12.9 million of the expense relates to 2006 and prior years; $2.6 million of the expense relates to the first quarter of 2007. The Company concluded that these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charges are not material to the Company’s financial position or results of operations for 2007 and prior years, based on its consideration of quantitative and qualitative factors. Also included in the second quarter of 2007 is a $6.3 million income tax benefit related to a change in certain state income tax laws enacted in the second quarter of 2007. Both of these are non-cash items in the current period, impacting the Company’s long-term net deferred income tax liabilities. Excluding the impact of these items, the effective tax rate for the second quarter of 2007 was 38.0%.</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effective tax rate for the first six months of 2007 was 40.8%, compared to 38.0% for the first six months of 2006. As previously discussed, results for the first six months of 2007 included an additional $12.9 million in income tax expense related to the Company’s Bowater Mersey affiliate and a $6.3 million income tax benefit related to a change in certain state income tax laws enacted in the second quarter of 2007. Excluding the impact of these items, the effective tax rate for the first six months of 2007 was 38.0%.</w:t>
      </w:r>
    </w:p>
    <w:p>
      <w:pPr>
        <w:spacing w:after="0" w:line="137" w:lineRule="exact"/>
        <w:rPr>
          <w:sz w:val="20"/>
          <w:szCs w:val="20"/>
          <w:color w:val="auto"/>
        </w:rPr>
      </w:pPr>
    </w:p>
    <w:p>
      <w:pPr>
        <w:jc w:val="both"/>
        <w:ind w:right="100"/>
        <w:spacing w:after="0" w:line="306" w:lineRule="auto"/>
        <w:rPr>
          <w:sz w:val="20"/>
          <w:szCs w:val="20"/>
          <w:color w:val="auto"/>
        </w:rPr>
      </w:pPr>
      <w:r>
        <w:rPr>
          <w:rFonts w:ascii="Arial" w:cs="Arial" w:eastAsia="Arial" w:hAnsi="Arial"/>
          <w:sz w:val="15"/>
          <w:szCs w:val="15"/>
          <w:b w:val="1"/>
          <w:bCs w:val="1"/>
          <w:color w:val="auto"/>
        </w:rPr>
        <w:t xml:space="preserve">Cumulative Effect of Change in Accounting Principle. </w:t>
      </w:r>
      <w:r>
        <w:rPr>
          <w:rFonts w:ascii="Arial" w:cs="Arial" w:eastAsia="Arial" w:hAnsi="Arial"/>
          <w:sz w:val="15"/>
          <w:szCs w:val="15"/>
          <w:color w:val="auto"/>
        </w:rPr>
        <w:t>In the first quarter of 2006, the Company adopted SFAS 123R, which requires companies to record the</w:t>
      </w:r>
      <w:r>
        <w:rPr>
          <w:rFonts w:ascii="Arial" w:cs="Arial" w:eastAsia="Arial" w:hAnsi="Arial"/>
          <w:sz w:val="15"/>
          <w:szCs w:val="15"/>
          <w:b w:val="1"/>
          <w:bCs w:val="1"/>
          <w:color w:val="auto"/>
        </w:rPr>
        <w:t xml:space="preserve"> </w:t>
      </w:r>
      <w:r>
        <w:rPr>
          <w:rFonts w:ascii="Arial" w:cs="Arial" w:eastAsia="Arial" w:hAnsi="Arial"/>
          <w:sz w:val="15"/>
          <w:szCs w:val="15"/>
          <w:color w:val="auto"/>
        </w:rPr>
        <w:t>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w:t>
      </w:r>
    </w:p>
    <w:p>
      <w:pPr>
        <w:spacing w:after="0" w:line="1"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03"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second quarter and first six months of 2007 was based on 9,536,132 and 9,542,040</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average shares outstanding, respectively, compared to 9,613,269 and 9,609,735, respectively, for the second quarter and first six months of 2006. The Company repurchased 20,506 shares of its Class B common stock at a cost of $15.6 million during the first half of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second quarter of 2007, the Company completed four business acquisitions, primarily in the education division, totaling</w:t>
      </w:r>
    </w:p>
    <w:p>
      <w:pPr>
        <w:spacing w:after="0" w:line="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$29.1 million. These included Kaplan higher education division’s acquisitions of Sagemont Virtual, a leader in the growing field of online high school instruction that has been doing business as the University of Miami Online High School, and Virtual Sage, a developer of online high school courses. In the first quarter of 2007, Kaplan acquired two businesses in their professional division totaling $115.8 million. These acquisitions included EduNeering Holdings, Inc., a Princeton, N.J. based provider of knowledge management solutions for organizations in the pharmaceutical, medical device, healthcare, energy and manufacturing sectors. Also in the first quarter of 2007, the cable division acquired subscribers in the Boise, Idaho area for $4.3 million. Most of the purchase price for these acquisitions has been allocated to goodwill and other intangibles on a preliminary basis.</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April 2007, Kaplan Professional announced an agreement to acquire the education division of the Financial Services Institute of Australia for 36 million Australian dollars. The acquisition is expected to close in the third quarter of 2007.</w:t>
      </w:r>
    </w:p>
    <w:p>
      <w:pPr>
        <w:spacing w:after="0" w:line="12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2007, the Company’s capital expenditures totaled $137.9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$275 million to $300 million in 2007.</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The Company’s borrowings have declined by $1.6 million, to $405.6 million at July 1, 2007, as compared to borrowings of $407.2 million at</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2006</w:t>
      </w:r>
      <w:r>
        <w:rPr>
          <w:rFonts w:ascii="Arial" w:cs="Arial" w:eastAsia="Arial" w:hAnsi="Arial"/>
          <w:sz w:val="16"/>
          <w:szCs w:val="16"/>
          <w:i w:val="1"/>
          <w:iCs w:val="1"/>
          <w:color w:val="auto"/>
        </w:rPr>
        <w:t>.</w:t>
      </w:r>
      <w:r>
        <w:rPr>
          <w:rFonts w:ascii="Arial" w:cs="Arial" w:eastAsia="Arial" w:hAnsi="Arial"/>
          <w:sz w:val="16"/>
          <w:szCs w:val="16"/>
          <w:color w:val="auto"/>
        </w:rPr>
        <w:t xml:space="preserve"> At July 1, 2007, the Company has $236.1 million in cash and cash equivalents, compared to $348.1 million at December 31, 2006. The Company had commercial paper and money market investments of $77.1 million and $142.9 million that are classified ad “Cash and cash equivalents” in the Company’s Consolidated Balance Sheet as of July 1, 2007 and December 31, 2006, respectively.</w:t>
      </w:r>
    </w:p>
    <w:p>
      <w:pPr>
        <w:spacing w:after="0" w:line="10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July 1, 2007, the Company had $405.6 million in total debt outstanding, which comprised $399.6 million of 5.5 percent unsecured notes due February 15, 2009, and $6.0 million in other debt.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2007 and 2006, the Company had average borrowings outstanding of approximately $406.1 million and $424.1 million, respectively, at average annual interest rates of approximately 5.5 percent. During the second quarter of 2007 and 2006, the Company incurred net interest expense of $3.5 million and $3.9 million, respectively.</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the first six months of 2007 and 2006, the Company had average borrowings outstanding of approximately $405.5 million and $425.3 million, respectively, at average annual interest rates of approximately 5.5 percent and 5.4 percent, respectively. During the first six months of 2007 and 2006, the Company incurred net interest expense of $6.1 million and $8.6 million, respectively.</w:t>
      </w:r>
    </w:p>
    <w:p>
      <w:pPr>
        <w:spacing w:after="0" w:line="140"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At July 1, 2007, the Company had working capital of $18.1 million and at December 31, 2006, the Company had working capital of $131.6 million.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ample liquidity to meet its various cash needs throughout 2007.</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31, 2006.</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2006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9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Vice President-Finance (the Company’s principal financial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officer), of the effectiveness of the Company’s disclosure controls and procedures (as defined in Exchange Act Rules 13a-15(e) and 15d-15(e)), as of July 1, 2007.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Vice President—Finance, in a manner that allows timely decisions regarding required disclosure.</w:t>
      </w:r>
    </w:p>
    <w:p>
      <w:pPr>
        <w:spacing w:after="0" w:line="24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July 1, 2007 that has materially affected, or is reasonably likely to materially affect, the Company’s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ended July 1, 2007, the Company purchased shares of its Class B Common Stock as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Paid per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8"/>
        </w:trPr>
        <w:tc>
          <w:tcPr>
            <w:tcW w:w="7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Share</w:t>
            </w:r>
          </w:p>
        </w:tc>
        <w:tc>
          <w:tcPr>
            <w:tcW w:w="11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Jan.  1 – Feb. 4, 2007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$747.42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Feb. 5 – Mar. 4, 2007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460,170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 5 – Apr. 1, 2007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766.00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20,506</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$761.17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20,506</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220" w:right="80" w:hanging="212"/>
        <w:spacing w:after="0" w:line="287"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In the first half of 2007, 5,005 shares were purchased from recipients of vested awards of restricted shares at market price and 15,176 shares were purchased from the estate of the spouse of a former employee at market price. All other purchases made during the first six months ended July 1, 2007 were open-market transactions. Under the Company’s Incentive Compensation Plan, the Compensation Committee may permit the recipient of a vested award of restricted shares of the Company’s Class B Common Stock to receive some or all of the value of the award in cash rather than in shares. In addition, under the Company’s Stock Option Plan, the holder of a vested stock option has the right to pay some or all of the exercise price of the option by surrendering shares of the Company’s Class B Common Stock owned by such holder. There were 5,005 share conversions of vested restricted shares into cash during the period covered by this table. There were no surrenders of owned shares to pay for the exercise price of stock options that occurred during the period covered by this table.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At the Company’s May 10, 2007 Annual Meeting of Stockholders, the stockholders elected each of the nominees named in the Company’s proxy statement dated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23, 2007 to its Board of Directors. The voting results are set forth below:</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Class A Directors</w:t>
      </w:r>
    </w:p>
    <w:tbl>
      <w:tblPr>
        <w:tblLayout w:type="fixed"/>
        <w:tblInd w:w="920" w:type="dxa"/>
        <w:tblCellMar>
          <w:top w:w="0" w:type="dxa"/>
          <w:left w:w="0" w:type="dxa"/>
          <w:bottom w:w="0" w:type="dxa"/>
          <w:right w:w="0" w:type="dxa"/>
        </w:tblCellMar>
      </w:tblPr>
      <w:tr>
        <w:trPr>
          <w:trHeight w:val="153"/>
        </w:trPr>
        <w:tc>
          <w:tcPr>
            <w:tcW w:w="1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Broker</w:t>
            </w:r>
          </w:p>
        </w:tc>
        <w:tc>
          <w:tcPr>
            <w:tcW w:w="0" w:type="dxa"/>
            <w:vAlign w:val="bottom"/>
          </w:tcPr>
          <w:p>
            <w:pPr>
              <w:spacing w:after="0"/>
              <w:rPr>
                <w:sz w:val="1"/>
                <w:szCs w:val="1"/>
                <w:color w:val="auto"/>
              </w:rPr>
            </w:pPr>
          </w:p>
        </w:tc>
      </w:tr>
      <w:tr>
        <w:trPr>
          <w:trHeight w:val="181"/>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Nominee</w:t>
            </w:r>
          </w:p>
        </w:tc>
        <w:tc>
          <w:tcPr>
            <w:tcW w:w="15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58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Votes Withheld</w:t>
            </w:r>
          </w:p>
        </w:tc>
        <w:tc>
          <w:tcPr>
            <w:tcW w:w="15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195"/>
        </w:trPr>
        <w:tc>
          <w:tcPr>
            <w:tcW w:w="2660" w:type="dxa"/>
            <w:vAlign w:val="bottom"/>
            <w:gridSpan w:val="2"/>
          </w:tcPr>
          <w:p>
            <w:pPr>
              <w:spacing w:after="0" w:line="195" w:lineRule="exact"/>
              <w:rPr>
                <w:sz w:val="20"/>
                <w:szCs w:val="20"/>
                <w:color w:val="auto"/>
              </w:rPr>
            </w:pPr>
            <w:r>
              <w:rPr>
                <w:rFonts w:ascii="Arial" w:cs="Arial" w:eastAsia="Arial" w:hAnsi="Arial"/>
                <w:sz w:val="18"/>
                <w:szCs w:val="18"/>
                <w:color w:val="auto"/>
              </w:rPr>
              <w:t>Lee C. Bollinger</w:t>
            </w:r>
          </w:p>
        </w:tc>
        <w:tc>
          <w:tcPr>
            <w:tcW w:w="1560" w:type="dxa"/>
            <w:vAlign w:val="bottom"/>
          </w:tcPr>
          <w:p>
            <w:pPr>
              <w:spacing w:after="0"/>
              <w:rPr>
                <w:sz w:val="16"/>
                <w:szCs w:val="16"/>
                <w:color w:val="auto"/>
              </w:rPr>
            </w:pPr>
          </w:p>
        </w:tc>
        <w:tc>
          <w:tcPr>
            <w:tcW w:w="700" w:type="dxa"/>
            <w:vAlign w:val="bottom"/>
          </w:tcPr>
          <w:p>
            <w:pPr>
              <w:jc w:val="center"/>
              <w:spacing w:after="0" w:line="195" w:lineRule="exact"/>
              <w:rPr>
                <w:sz w:val="20"/>
                <w:szCs w:val="20"/>
                <w:color w:val="auto"/>
              </w:rPr>
            </w:pPr>
            <w:r>
              <w:rPr>
                <w:rFonts w:ascii="Arial" w:cs="Arial" w:eastAsia="Arial" w:hAnsi="Arial"/>
                <w:sz w:val="18"/>
                <w:szCs w:val="18"/>
                <w:color w:val="auto"/>
                <w:w w:val="87"/>
              </w:rPr>
              <w:t>1,722,250</w:t>
            </w:r>
          </w:p>
        </w:tc>
        <w:tc>
          <w:tcPr>
            <w:tcW w:w="158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9"/>
              </w:rPr>
              <w:t>-0-</w:t>
            </w:r>
          </w:p>
        </w:tc>
        <w:tc>
          <w:tcPr>
            <w:tcW w:w="1580" w:type="dxa"/>
            <w:vAlign w:val="bottom"/>
          </w:tcPr>
          <w:p>
            <w:pPr>
              <w:spacing w:after="0"/>
              <w:rPr>
                <w:sz w:val="16"/>
                <w:szCs w:val="16"/>
                <w:color w:val="auto"/>
              </w:rPr>
            </w:pP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Warren E. Buffett</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1,722,250</w:t>
            </w:r>
          </w:p>
        </w:tc>
        <w:tc>
          <w:tcPr>
            <w:tcW w:w="2480" w:type="dxa"/>
            <w:vAlign w:val="bottom"/>
            <w:gridSpan w:val="2"/>
          </w:tcPr>
          <w:p>
            <w:pPr>
              <w:jc w:val="center"/>
              <w:ind w:left="1492"/>
              <w:spacing w:after="0"/>
              <w:rPr>
                <w:sz w:val="20"/>
                <w:szCs w:val="20"/>
                <w:color w:val="auto"/>
              </w:rPr>
            </w:pPr>
            <w:r>
              <w:rPr>
                <w:rFonts w:ascii="Arial" w:cs="Arial" w:eastAsia="Arial" w:hAnsi="Arial"/>
                <w:sz w:val="18"/>
                <w:szCs w:val="18"/>
                <w:color w:val="auto"/>
                <w:w w:val="99"/>
              </w:rPr>
              <w:t>-0-</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1,722,250</w:t>
            </w:r>
          </w:p>
        </w:tc>
        <w:tc>
          <w:tcPr>
            <w:tcW w:w="2480" w:type="dxa"/>
            <w:vAlign w:val="bottom"/>
            <w:gridSpan w:val="2"/>
          </w:tcPr>
          <w:p>
            <w:pPr>
              <w:jc w:val="center"/>
              <w:ind w:left="1492"/>
              <w:spacing w:after="0"/>
              <w:rPr>
                <w:sz w:val="20"/>
                <w:szCs w:val="20"/>
                <w:color w:val="auto"/>
              </w:rPr>
            </w:pPr>
            <w:r>
              <w:rPr>
                <w:rFonts w:ascii="Arial" w:cs="Arial" w:eastAsia="Arial" w:hAnsi="Arial"/>
                <w:sz w:val="18"/>
                <w:szCs w:val="18"/>
                <w:color w:val="auto"/>
                <w:w w:val="99"/>
              </w:rPr>
              <w:t>-0-</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Melinda F. Gates</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1,722,250</w:t>
            </w:r>
          </w:p>
        </w:tc>
        <w:tc>
          <w:tcPr>
            <w:tcW w:w="2480" w:type="dxa"/>
            <w:vAlign w:val="bottom"/>
            <w:gridSpan w:val="2"/>
          </w:tcPr>
          <w:p>
            <w:pPr>
              <w:jc w:val="center"/>
              <w:ind w:left="1492"/>
              <w:spacing w:after="0"/>
              <w:rPr>
                <w:sz w:val="20"/>
                <w:szCs w:val="20"/>
                <w:color w:val="auto"/>
              </w:rPr>
            </w:pPr>
            <w:r>
              <w:rPr>
                <w:rFonts w:ascii="Arial" w:cs="Arial" w:eastAsia="Arial" w:hAnsi="Arial"/>
                <w:sz w:val="18"/>
                <w:szCs w:val="18"/>
                <w:color w:val="auto"/>
                <w:w w:val="99"/>
              </w:rPr>
              <w:t>-0-</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Thomas S. Gayner</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1,722,250</w:t>
            </w:r>
          </w:p>
        </w:tc>
        <w:tc>
          <w:tcPr>
            <w:tcW w:w="2480" w:type="dxa"/>
            <w:vAlign w:val="bottom"/>
            <w:gridSpan w:val="2"/>
          </w:tcPr>
          <w:p>
            <w:pPr>
              <w:jc w:val="center"/>
              <w:ind w:left="1492"/>
              <w:spacing w:after="0"/>
              <w:rPr>
                <w:sz w:val="20"/>
                <w:szCs w:val="20"/>
                <w:color w:val="auto"/>
              </w:rPr>
            </w:pPr>
            <w:r>
              <w:rPr>
                <w:rFonts w:ascii="Arial" w:cs="Arial" w:eastAsia="Arial" w:hAnsi="Arial"/>
                <w:sz w:val="18"/>
                <w:szCs w:val="18"/>
                <w:color w:val="auto"/>
                <w:w w:val="99"/>
              </w:rPr>
              <w:t>-0-</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1,722,250</w:t>
            </w:r>
          </w:p>
        </w:tc>
        <w:tc>
          <w:tcPr>
            <w:tcW w:w="2480" w:type="dxa"/>
            <w:vAlign w:val="bottom"/>
            <w:gridSpan w:val="2"/>
          </w:tcPr>
          <w:p>
            <w:pPr>
              <w:jc w:val="center"/>
              <w:ind w:left="1492"/>
              <w:spacing w:after="0"/>
              <w:rPr>
                <w:sz w:val="20"/>
                <w:szCs w:val="20"/>
                <w:color w:val="auto"/>
              </w:rPr>
            </w:pPr>
            <w:r>
              <w:rPr>
                <w:rFonts w:ascii="Arial" w:cs="Arial" w:eastAsia="Arial" w:hAnsi="Arial"/>
                <w:sz w:val="18"/>
                <w:szCs w:val="18"/>
                <w:color w:val="auto"/>
                <w:w w:val="99"/>
              </w:rPr>
              <w:t>-0-</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Richard D. Simmons</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1,722,250</w:t>
            </w:r>
          </w:p>
        </w:tc>
        <w:tc>
          <w:tcPr>
            <w:tcW w:w="2480" w:type="dxa"/>
            <w:vAlign w:val="bottom"/>
            <w:gridSpan w:val="2"/>
          </w:tcPr>
          <w:p>
            <w:pPr>
              <w:jc w:val="center"/>
              <w:ind w:left="1492"/>
              <w:spacing w:after="0"/>
              <w:rPr>
                <w:sz w:val="20"/>
                <w:szCs w:val="20"/>
                <w:color w:val="auto"/>
              </w:rPr>
            </w:pPr>
            <w:r>
              <w:rPr>
                <w:rFonts w:ascii="Arial" w:cs="Arial" w:eastAsia="Arial" w:hAnsi="Arial"/>
                <w:sz w:val="18"/>
                <w:szCs w:val="18"/>
                <w:color w:val="auto"/>
                <w:w w:val="99"/>
              </w:rPr>
              <w:t>-0-</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394"/>
        </w:trPr>
        <w:tc>
          <w:tcPr>
            <w:tcW w:w="2660" w:type="dxa"/>
            <w:vAlign w:val="bottom"/>
            <w:gridSpan w:val="2"/>
          </w:tcPr>
          <w:p>
            <w:pPr>
              <w:spacing w:after="0"/>
              <w:rPr>
                <w:sz w:val="20"/>
                <w:szCs w:val="20"/>
                <w:color w:val="auto"/>
              </w:rPr>
            </w:pPr>
            <w:r>
              <w:rPr>
                <w:rFonts w:ascii="Arial" w:cs="Arial" w:eastAsia="Arial" w:hAnsi="Arial"/>
                <w:sz w:val="18"/>
                <w:szCs w:val="18"/>
                <w:color w:val="auto"/>
              </w:rPr>
              <w:t>Class B Directors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Broker</w:t>
            </w:r>
          </w:p>
        </w:tc>
        <w:tc>
          <w:tcPr>
            <w:tcW w:w="0" w:type="dxa"/>
            <w:vAlign w:val="bottom"/>
          </w:tcPr>
          <w:p>
            <w:pPr>
              <w:spacing w:after="0"/>
              <w:rPr>
                <w:sz w:val="1"/>
                <w:szCs w:val="1"/>
                <w:color w:val="auto"/>
              </w:rPr>
            </w:pPr>
          </w:p>
        </w:tc>
      </w:tr>
      <w:tr>
        <w:trPr>
          <w:trHeight w:val="156"/>
        </w:trPr>
        <w:tc>
          <w:tcPr>
            <w:tcW w:w="1240" w:type="dxa"/>
            <w:vAlign w:val="bottom"/>
            <w:tcBorders>
              <w:top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Nominee</w:t>
            </w:r>
          </w:p>
        </w:tc>
        <w:tc>
          <w:tcPr>
            <w:tcW w:w="15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58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Votes Withheld</w:t>
            </w:r>
          </w:p>
        </w:tc>
        <w:tc>
          <w:tcPr>
            <w:tcW w:w="15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195"/>
        </w:trPr>
        <w:tc>
          <w:tcPr>
            <w:tcW w:w="2660" w:type="dxa"/>
            <w:vAlign w:val="bottom"/>
            <w:gridSpan w:val="2"/>
          </w:tcPr>
          <w:p>
            <w:pPr>
              <w:spacing w:after="0" w:line="195" w:lineRule="exact"/>
              <w:rPr>
                <w:sz w:val="20"/>
                <w:szCs w:val="20"/>
                <w:color w:val="auto"/>
              </w:rPr>
            </w:pPr>
            <w:r>
              <w:rPr>
                <w:rFonts w:ascii="Arial" w:cs="Arial" w:eastAsia="Arial" w:hAnsi="Arial"/>
                <w:sz w:val="18"/>
                <w:szCs w:val="18"/>
                <w:color w:val="auto"/>
              </w:rPr>
              <w:t>Christopher C. Davis</w:t>
            </w:r>
          </w:p>
        </w:tc>
        <w:tc>
          <w:tcPr>
            <w:tcW w:w="1560" w:type="dxa"/>
            <w:vAlign w:val="bottom"/>
          </w:tcPr>
          <w:p>
            <w:pPr>
              <w:spacing w:after="0"/>
              <w:rPr>
                <w:sz w:val="16"/>
                <w:szCs w:val="16"/>
                <w:color w:val="auto"/>
              </w:rPr>
            </w:pPr>
          </w:p>
        </w:tc>
        <w:tc>
          <w:tcPr>
            <w:tcW w:w="700" w:type="dxa"/>
            <w:vAlign w:val="bottom"/>
          </w:tcPr>
          <w:p>
            <w:pPr>
              <w:jc w:val="center"/>
              <w:spacing w:after="0" w:line="195" w:lineRule="exact"/>
              <w:rPr>
                <w:sz w:val="20"/>
                <w:szCs w:val="20"/>
                <w:color w:val="auto"/>
              </w:rPr>
            </w:pPr>
            <w:r>
              <w:rPr>
                <w:rFonts w:ascii="Arial" w:cs="Arial" w:eastAsia="Arial" w:hAnsi="Arial"/>
                <w:sz w:val="18"/>
                <w:szCs w:val="18"/>
                <w:color w:val="auto"/>
                <w:w w:val="87"/>
              </w:rPr>
              <w:t>6,951,839</w:t>
            </w:r>
          </w:p>
        </w:tc>
        <w:tc>
          <w:tcPr>
            <w:tcW w:w="158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87"/>
              </w:rPr>
              <w:t>64,948</w:t>
            </w:r>
          </w:p>
        </w:tc>
        <w:tc>
          <w:tcPr>
            <w:tcW w:w="1580" w:type="dxa"/>
            <w:vAlign w:val="bottom"/>
          </w:tcPr>
          <w:p>
            <w:pPr>
              <w:spacing w:after="0"/>
              <w:rPr>
                <w:sz w:val="16"/>
                <w:szCs w:val="16"/>
                <w:color w:val="auto"/>
              </w:rPr>
            </w:pP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John L. Dotson Jr.</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6,965,534</w:t>
            </w:r>
          </w:p>
        </w:tc>
        <w:tc>
          <w:tcPr>
            <w:tcW w:w="248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51,253</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22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6,397,318</w:t>
            </w:r>
          </w:p>
        </w:tc>
        <w:tc>
          <w:tcPr>
            <w:tcW w:w="2480" w:type="dxa"/>
            <w:vAlign w:val="bottom"/>
            <w:gridSpan w:val="2"/>
          </w:tcPr>
          <w:p>
            <w:pPr>
              <w:jc w:val="center"/>
              <w:ind w:left="1492"/>
              <w:spacing w:after="0"/>
              <w:rPr>
                <w:sz w:val="20"/>
                <w:szCs w:val="20"/>
                <w:color w:val="auto"/>
              </w:rPr>
            </w:pPr>
            <w:r>
              <w:rPr>
                <w:rFonts w:ascii="Arial" w:cs="Arial" w:eastAsia="Arial" w:hAnsi="Arial"/>
                <w:sz w:val="18"/>
                <w:szCs w:val="18"/>
                <w:color w:val="auto"/>
                <w:w w:val="89"/>
              </w:rPr>
              <w:t>619,469</w:t>
            </w:r>
          </w:p>
        </w:tc>
        <w:tc>
          <w:tcPr>
            <w:tcW w:w="218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365"/>
        </w:trPr>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right="200" w:hanging="722"/>
        <w:spacing w:after="0" w:line="268"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dated November 13, 2003 (incorporated by reference to Exhibit 3.1 to the Company’s Annual Report on Form 10-K for the fiscal year ended December 28, 2003).</w:t>
      </w:r>
    </w:p>
    <w:p>
      <w:pPr>
        <w:spacing w:after="0" w:line="78" w:lineRule="exact"/>
        <w:rPr>
          <w:sz w:val="20"/>
          <w:szCs w:val="20"/>
          <w:color w:val="auto"/>
        </w:rPr>
      </w:pPr>
    </w:p>
    <w:p>
      <w:pPr>
        <w:ind w:left="820" w:right="660" w:hanging="722"/>
        <w:spacing w:after="0" w:line="268"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 for the Company’s Series A Preferred Stock dated September 22, 2003 (incorporated by reference to Exhibit 3.2 to Amendment No. 1 to the Company’s Current Report on Form 8-K dated September 22, 2003).</w:t>
      </w:r>
    </w:p>
    <w:p>
      <w:pPr>
        <w:spacing w:after="0" w:line="78" w:lineRule="exact"/>
        <w:rPr>
          <w:sz w:val="20"/>
          <w:szCs w:val="20"/>
          <w:color w:val="auto"/>
        </w:rPr>
      </w:pPr>
    </w:p>
    <w:p>
      <w:pPr>
        <w:ind w:left="820" w:right="200" w:hanging="722"/>
        <w:spacing w:after="0" w:line="268"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By-Laws of the Company as amended and restated through September 22, 2003 (incorporated by reference to Exhibit 3.4 to the Company’s Current Report on Form 8-K dated September 22, 2003).</w:t>
      </w:r>
    </w:p>
    <w:p>
      <w:pPr>
        <w:spacing w:after="0" w:line="78" w:lineRule="exact"/>
        <w:rPr>
          <w:sz w:val="20"/>
          <w:szCs w:val="20"/>
          <w:color w:val="auto"/>
        </w:rPr>
      </w:pPr>
    </w:p>
    <w:p>
      <w:pPr>
        <w:ind w:left="820" w:hanging="722"/>
        <w:spacing w:after="0" w:line="25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86" w:lineRule="exact"/>
        <w:rPr>
          <w:sz w:val="20"/>
          <w:szCs w:val="20"/>
          <w:color w:val="auto"/>
        </w:rPr>
      </w:pPr>
    </w:p>
    <w:p>
      <w:pPr>
        <w:ind w:left="820" w:right="100" w:hanging="722"/>
        <w:spacing w:after="0" w:line="26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Indenture dated as of February 17, 1999, between the Company and The First National Bank of Chicago, as Trustee (incorporated by reference to the Company’s Annual Report on Form 10-K for the fiscal year ended January 3, 1999).</w:t>
      </w:r>
    </w:p>
    <w:p>
      <w:pPr>
        <w:spacing w:after="0" w:line="78" w:lineRule="exact"/>
        <w:rPr>
          <w:sz w:val="20"/>
          <w:szCs w:val="20"/>
          <w:color w:val="auto"/>
        </w:rPr>
      </w:pPr>
    </w:p>
    <w:p>
      <w:pPr>
        <w:jc w:val="both"/>
        <w:ind w:left="820" w:right="60" w:hanging="722"/>
        <w:spacing w:after="0" w:line="335"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First Supplemental Indenture dated as of September 22, 2003, among WP Company LLC, the Company and Bank One, NA, as successor to The First National Bank of Chicago, as trustee, to the Indenture dated as of February 17, 1999, between The Washington Post Company and The First National Bank of Chicago, as trustee (incorporated by reference to Exhibit 4.1 to the Company’s Current Report on Form 8-K dated September 22, 2003).</w:t>
      </w:r>
    </w:p>
    <w:p>
      <w:pPr>
        <w:spacing w:after="0" w:line="34"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Five Year Credit Agreement dated as of August 8, 2006, among the Company, Citibank, N.A., JPMorgan Chase Bank, N.A., Wachovia Bank, National</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Association, SunTrust Bank, The Bank of New York, PNC Bank, National Association, Bank of America, N.A. and Wells Fargo Bank, N.A.</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(incorporated by reference to Exhibit 4.4 to the Company’s Quarterly Report on Form 10-Q for the quarter ended July 2, 2006).</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the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the Chief Financial Officer.</w:t>
      </w:r>
    </w:p>
    <w:p>
      <w:pPr>
        <w:spacing w:after="0" w:line="117" w:lineRule="exact"/>
        <w:rPr>
          <w:sz w:val="20"/>
          <w:szCs w:val="20"/>
          <w:color w:val="auto"/>
        </w:rPr>
      </w:pPr>
    </w:p>
    <w:p>
      <w:pPr>
        <w:ind w:left="5620" w:right="4280" w:hanging="5612"/>
        <w:spacing w:after="0" w:line="525" w:lineRule="auto"/>
        <w:tabs>
          <w:tab w:leader="none" w:pos="812"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Section 1350 Certification of the Chief Executive Officer and the Chief Financial Officer. 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August 7, 2007</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August 7, 2007</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hanging="446"/>
        <w:spacing w:after="0" w:line="261"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2007</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hanging="446"/>
        <w:spacing w:after="0" w:line="261"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2007</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July 1, 2007 (the “Report”),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Donald E. Graham, Chief Executive Officer of the Company and John B. Morse, Jr., Vice President-Finance of the Company, each hereby certifies, pursuant to 18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as adopted pursuant to Section 906 of the Sarbanes-Oxley Act of 2002, that:</w:t>
      </w:r>
    </w:p>
    <w:p>
      <w:pPr>
        <w:spacing w:after="0" w:line="8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2007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32"/>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2019-12-11T20:52:58Z</dcterms:created>
  <dcterms:modified xsi:type="dcterms:W3CDTF">2019-12-11T20:52:58Z</dcterms:modified>
</cp:coreProperties>
</file>