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October 1, 2006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1150 15th Street, N.W.</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Washington, D.C.</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(202) 334-6000</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460"/>
        <w:spacing w:after="0" w:line="207" w:lineRule="exact"/>
        <w:tabs>
          <w:tab w:leader="none" w:pos="2440" w:val="left"/>
          <w:tab w:leader="none" w:pos="4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r>
        <w:rPr>
          <w:rFonts w:ascii="MS PGothic" w:cs="MS PGothic" w:eastAsia="MS PGothic" w:hAnsi="MS PGothic"/>
          <w:sz w:val="16"/>
          <w:szCs w:val="16"/>
          <w:color w:val="auto"/>
        </w:rPr>
        <w: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ind w:left="460"/>
              <w:spacing w:after="0"/>
              <w:rPr>
                <w:sz w:val="20"/>
                <w:szCs w:val="20"/>
                <w:color w:val="auto"/>
              </w:rPr>
            </w:pPr>
            <w:r>
              <w:rPr>
                <w:rFonts w:ascii="Arial" w:cs="Arial" w:eastAsia="Arial" w:hAnsi="Arial"/>
                <w:sz w:val="18"/>
                <w:szCs w:val="18"/>
                <w:color w:val="auto"/>
              </w:rPr>
              <w:t>Shares outstanding at October 30, 2006:</w:t>
            </w:r>
          </w:p>
        </w:tc>
        <w:tc>
          <w:tcPr>
            <w:tcW w:w="6820" w:type="dxa"/>
            <w:vAlign w:val="bottom"/>
          </w:tcPr>
          <w:p>
            <w:pPr>
              <w:spacing w:after="0"/>
              <w:rPr>
                <w:sz w:val="19"/>
                <w:szCs w:val="19"/>
                <w:color w:val="auto"/>
              </w:rPr>
            </w:pPr>
          </w:p>
        </w:tc>
      </w:tr>
      <w:tr>
        <w:trPr>
          <w:trHeight w:val="412"/>
        </w:trPr>
        <w:tc>
          <w:tcPr>
            <w:tcW w:w="4600" w:type="dxa"/>
            <w:vAlign w:val="bottom"/>
          </w:tcPr>
          <w:p>
            <w:pPr>
              <w:ind w:left="1140"/>
              <w:spacing w:after="0"/>
              <w:rPr>
                <w:sz w:val="20"/>
                <w:szCs w:val="20"/>
                <w:color w:val="auto"/>
              </w:rPr>
            </w:pPr>
            <w:r>
              <w:rPr>
                <w:rFonts w:ascii="Arial" w:cs="Arial" w:eastAsia="Arial" w:hAnsi="Arial"/>
                <w:sz w:val="18"/>
                <w:szCs w:val="18"/>
                <w:color w:val="auto"/>
              </w:rPr>
              <w:t>Class A Common Stock</w:t>
            </w:r>
          </w:p>
        </w:tc>
        <w:tc>
          <w:tcPr>
            <w:tcW w:w="6820" w:type="dxa"/>
            <w:vAlign w:val="bottom"/>
          </w:tcPr>
          <w:p>
            <w:pPr>
              <w:ind w:left="1300"/>
              <w:spacing w:after="0"/>
              <w:rPr>
                <w:sz w:val="20"/>
                <w:szCs w:val="20"/>
                <w:color w:val="auto"/>
              </w:rPr>
            </w:pPr>
            <w:r>
              <w:rPr>
                <w:rFonts w:ascii="Arial" w:cs="Arial" w:eastAsia="Arial" w:hAnsi="Arial"/>
                <w:sz w:val="18"/>
                <w:szCs w:val="18"/>
                <w:color w:val="auto"/>
              </w:rPr>
              <w:t>1,722,250 Shares</w:t>
            </w:r>
          </w:p>
        </w:tc>
      </w:tr>
      <w:tr>
        <w:trPr>
          <w:trHeight w:val="222"/>
        </w:trPr>
        <w:tc>
          <w:tcPr>
            <w:tcW w:w="4600" w:type="dxa"/>
            <w:vAlign w:val="bottom"/>
          </w:tcPr>
          <w:p>
            <w:pPr>
              <w:ind w:left="1140"/>
              <w:spacing w:after="0"/>
              <w:rPr>
                <w:sz w:val="20"/>
                <w:szCs w:val="20"/>
                <w:color w:val="auto"/>
              </w:rPr>
            </w:pPr>
            <w:r>
              <w:rPr>
                <w:rFonts w:ascii="Arial" w:cs="Arial" w:eastAsia="Arial" w:hAnsi="Arial"/>
                <w:sz w:val="18"/>
                <w:szCs w:val="18"/>
                <w:color w:val="auto"/>
              </w:rPr>
              <w:t>Class B Common Stock</w:t>
            </w:r>
          </w:p>
        </w:tc>
        <w:tc>
          <w:tcPr>
            <w:tcW w:w="6820" w:type="dxa"/>
            <w:vAlign w:val="bottom"/>
          </w:tcPr>
          <w:p>
            <w:pPr>
              <w:ind w:left="1300"/>
              <w:spacing w:after="0"/>
              <w:rPr>
                <w:sz w:val="20"/>
                <w:szCs w:val="20"/>
                <w:color w:val="auto"/>
              </w:rPr>
            </w:pPr>
            <w:r>
              <w:rPr>
                <w:rFonts w:ascii="Arial" w:cs="Arial" w:eastAsia="Arial" w:hAnsi="Arial"/>
                <w:sz w:val="18"/>
                <w:szCs w:val="18"/>
                <w:color w:val="auto"/>
              </w:rPr>
              <w:t>7,889,530 Shares</w:t>
            </w:r>
          </w:p>
        </w:tc>
      </w:tr>
      <w:tr>
        <w:trPr>
          <w:trHeight w:val="215"/>
        </w:trPr>
        <w:tc>
          <w:tcPr>
            <w:tcW w:w="4600" w:type="dxa"/>
            <w:vAlign w:val="bottom"/>
            <w:tcBorders>
              <w:bottom w:val="single" w:sz="8" w:color="auto"/>
            </w:tcBorders>
          </w:tcPr>
          <w:p>
            <w:pPr>
              <w:spacing w:after="0"/>
              <w:rPr>
                <w:sz w:val="18"/>
                <w:szCs w:val="18"/>
                <w:color w:val="auto"/>
              </w:rPr>
            </w:pPr>
          </w:p>
        </w:tc>
        <w:tc>
          <w:tcPr>
            <w:tcW w:w="682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2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7"/>
              </w:rPr>
              <w:t>THE WASHINGTON POST COMPANY</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2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1"/>
              </w:rPr>
              <w:t>Index to Form 10-Q</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80"/>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6220" w:type="dxa"/>
            <w:vAlign w:val="bottom"/>
            <w:gridSpan w:val="5"/>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20" w:type="dxa"/>
            <w:vAlign w:val="bottom"/>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 Condensed Consolidated Statements of Income (Unaudited) for the Thirteen and Thirty-Nine Weeks Ended October</w:t>
              </w:r>
            </w:hyperlink>
          </w:p>
        </w:tc>
        <w:tc>
          <w:tcPr>
            <w:tcW w:w="1920" w:type="dxa"/>
            <w:vAlign w:val="bottom"/>
            <w:gridSpan w:val="4"/>
          </w:tcPr>
          <w:p>
            <w:pPr>
              <w:ind w:left="120"/>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1, 2006 and October 2,</w:t>
              </w:r>
            </w:hyperlink>
          </w:p>
        </w:tc>
        <w:tc>
          <w:tcPr>
            <w:tcW w:w="3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2005</w:t>
              </w:r>
            </w:hyperlink>
          </w:p>
        </w:tc>
        <w:tc>
          <w:tcPr>
            <w:tcW w:w="2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20" w:type="dxa"/>
            <w:vAlign w:val="bottom"/>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b. Condensed Consolidated Statements of Comprehensive Income (Unaudited) for the Thirteen and Thirty-Nine Weeks</w:t>
              </w:r>
            </w:hyperlink>
          </w:p>
        </w:tc>
        <w:tc>
          <w:tcPr>
            <w:tcW w:w="1920" w:type="dxa"/>
            <w:vAlign w:val="bottom"/>
            <w:gridSpan w:val="4"/>
          </w:tcPr>
          <w:p>
            <w:pPr>
              <w:ind w:left="160"/>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Ended October 1, 2006</w:t>
              </w:r>
            </w:hyperlink>
          </w:p>
        </w:tc>
        <w:tc>
          <w:tcPr>
            <w:tcW w:w="30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and October 2, 2005</w:t>
              </w:r>
            </w:hyperlink>
          </w:p>
        </w:tc>
        <w:tc>
          <w:tcPr>
            <w:tcW w:w="6960" w:type="dxa"/>
            <w:vAlign w:val="bottom"/>
            <w:tcBorders>
              <w:top w:val="single" w:sz="8" w:color="0000EE"/>
            </w:tcBorders>
            <w:gridSpan w:val="7"/>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Arial" w:cs="Arial" w:eastAsia="Arial" w:hAnsi="Arial"/>
                <w:sz w:val="18"/>
                <w:szCs w:val="18"/>
                <w:color w:val="auto"/>
              </w:rPr>
              <w:t>4</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2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 Condensed Consolidated Balance Sheets at October 1, 2006 (Unaudited) and January 1, 2006</w:t>
              </w:r>
            </w:hyperlink>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20" w:type="dxa"/>
            <w:vAlign w:val="bottom"/>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d. Condensed Consolidated Statements of Cash Flows (Unaudited) for the Thirty-Nine Weeks Ended October 1, 2006</w:t>
              </w:r>
            </w:hyperlink>
          </w:p>
        </w:tc>
        <w:tc>
          <w:tcPr>
            <w:tcW w:w="1920" w:type="dxa"/>
            <w:vAlign w:val="bottom"/>
            <w:gridSpan w:val="4"/>
          </w:tcPr>
          <w:p>
            <w:pPr>
              <w:ind w:left="60"/>
              <w:spacing w:after="0"/>
              <w:rPr>
                <w:rFonts w:ascii="Arial" w:cs="Arial" w:eastAsia="Arial" w:hAnsi="Arial"/>
                <w:sz w:val="18"/>
                <w:szCs w:val="18"/>
                <w:color w:val="0000EE"/>
              </w:rPr>
            </w:pPr>
            <w:hyperlink w:anchor="page6">
              <w:r>
                <w:rPr>
                  <w:rFonts w:ascii="Arial" w:cs="Arial" w:eastAsia="Arial" w:hAnsi="Arial"/>
                  <w:sz w:val="18"/>
                  <w:szCs w:val="18"/>
                  <w:color w:val="0000EE"/>
                </w:rPr>
                <w:t>and October 2, 2005</w:t>
              </w:r>
            </w:hyperlink>
          </w:p>
        </w:tc>
        <w:tc>
          <w:tcPr>
            <w:tcW w:w="300" w:type="dxa"/>
            <w:vAlign w:val="bottom"/>
          </w:tcPr>
          <w:p>
            <w:pPr>
              <w:ind w:left="120"/>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e. Notes to Condensed Consolidated Financial Statements (Unaudited)</w:t>
              </w:r>
            </w:hyperlink>
          </w:p>
        </w:tc>
        <w:tc>
          <w:tcPr>
            <w:tcW w:w="3460" w:type="dxa"/>
            <w:vAlign w:val="bottom"/>
            <w:tcBorders>
              <w:top w:val="single" w:sz="8" w:color="0000EE"/>
            </w:tcBorders>
            <w:gridSpan w:val="3"/>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Results of Operations and Financial Condition</w:t>
              </w:r>
            </w:hyperlink>
          </w:p>
        </w:tc>
        <w:tc>
          <w:tcPr>
            <w:tcW w:w="2120" w:type="dxa"/>
            <w:vAlign w:val="bottom"/>
            <w:gridSpan w:val="2"/>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20</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29</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220" w:type="dxa"/>
            <w:vAlign w:val="bottom"/>
            <w:gridSpan w:val="4"/>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29</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43"/>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420" w:type="dxa"/>
            <w:vAlign w:val="bottom"/>
            <w:gridSpan w:val="10"/>
          </w:tcPr>
          <w:p>
            <w:pPr>
              <w:spacing w:after="0"/>
              <w:rPr>
                <w:sz w:val="20"/>
                <w:szCs w:val="20"/>
                <w:color w:val="auto"/>
              </w:rPr>
            </w:pPr>
            <w:r>
              <w:rPr>
                <w:rFonts w:ascii="Arial" w:cs="Arial" w:eastAsia="Arial" w:hAnsi="Arial"/>
                <w:sz w:val="18"/>
                <w:szCs w:val="18"/>
                <w:color w:val="auto"/>
              </w:rPr>
              <w:t>OTHER INFORMATION</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6"/>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420" w:type="dxa"/>
            <w:vAlign w:val="bottom"/>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30</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Signatures</w:t>
              </w:r>
            </w:hyperlink>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31</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8"/>
          </w:tcPr>
          <w:p>
            <w:pPr>
              <w:jc w:val="center"/>
              <w:ind w:left="3492"/>
              <w:spacing w:after="0"/>
              <w:rPr>
                <w:sz w:val="20"/>
                <w:szCs w:val="20"/>
                <w:color w:val="auto"/>
              </w:rPr>
            </w:pPr>
            <w:r>
              <w:rPr>
                <w:rFonts w:ascii="Arial" w:cs="Arial" w:eastAsia="Arial" w:hAnsi="Arial"/>
                <w:sz w:val="18"/>
                <w:szCs w:val="18"/>
                <w:color w:val="auto"/>
                <w:w w:val="79"/>
              </w:rPr>
              <w:t>2</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Thirteen Weeks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October 1,</w:t>
            </w: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6"/>
              </w:rPr>
              <w:t>October 1,</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6"/>
              </w:rPr>
              <w:t>October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312,238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311,581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985,793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953,694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195,243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182,677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420,604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362,822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1,238,782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1,033,985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946,894</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873,662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2,864,215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2,605,169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509,231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486,400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1,498,802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1,411,833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267,563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225,760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49,929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47,531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and goodwill impairment charge</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838,248</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761,278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2,520,605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2,247,101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108,646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112,384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109,296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111,358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4"/>
              </w:rPr>
              <w:t>Cumulative effect of change in method of accounting for share-based payments, net of taxes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227,933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7020" w:type="dxa"/>
            <w:vAlign w:val="bottom"/>
            <w:gridSpan w:val="2"/>
          </w:tcPr>
          <w:p>
            <w:pPr>
              <w:ind w:left="568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17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October 1,</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October 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October 1,</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October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$ 73,296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$ 66,558</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228,914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$ 211,904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2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3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13,681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3020" w:type="dxa"/>
            <w:vAlign w:val="bottom"/>
            <w:gridSpan w:val="3"/>
          </w:tcPr>
          <w:p>
            <w:pPr>
              <w:jc w:val="right"/>
              <w:ind w:right="260"/>
              <w:spacing w:after="0"/>
              <w:rPr>
                <w:sz w:val="20"/>
                <w:szCs w:val="20"/>
                <w:color w:val="auto"/>
              </w:rPr>
            </w:pPr>
            <w:r>
              <w:rPr>
                <w:rFonts w:ascii="Arial" w:cs="Arial" w:eastAsia="Arial" w:hAnsi="Arial"/>
                <w:sz w:val="18"/>
                <w:szCs w:val="18"/>
                <w:color w:val="auto"/>
              </w:rPr>
              <w:t>9,735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(9,727)</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30,019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Less: reclassification adjustment for realized gains included in net income</w:t>
            </w:r>
          </w:p>
        </w:tc>
        <w:tc>
          <w:tcPr>
            <w:tcW w:w="2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(2,035)_</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(8,978)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(33,614)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12,963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(17,534)</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10,086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(57,356)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Income tax (expense) benefit related to other comprehensive income</w:t>
            </w:r>
          </w:p>
        </w:tc>
        <w:tc>
          <w:tcPr>
            <w:tcW w:w="2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9,960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(10,239)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11,519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(37,887)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$ 83,256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$ 56,319</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240,433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160" w:type="dxa"/>
            <w:vAlign w:val="bottom"/>
            <w:vMerge w:val="restart"/>
          </w:tcPr>
          <w:p>
            <w:pPr>
              <w:jc w:val="right"/>
              <w:ind w:right="1972"/>
              <w:spacing w:after="0"/>
              <w:rPr>
                <w:sz w:val="20"/>
                <w:szCs w:val="20"/>
                <w:color w:val="auto"/>
              </w:rPr>
            </w:pPr>
            <w:r>
              <w:rPr>
                <w:rFonts w:ascii="Arial" w:cs="Arial" w:eastAsia="Arial" w:hAnsi="Arial"/>
                <w:sz w:val="18"/>
                <w:szCs w:val="18"/>
                <w:color w:val="auto"/>
                <w:w w:val="79"/>
              </w:rPr>
              <w:t>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October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75"/>
        </w:trPr>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321,513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38,072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404,891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30,427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28,017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921,373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Buildings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332,108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equipment and fixtures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1,943,025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1,839,983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Leasehold improvements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2,464,294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2,334,668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(1,446,190)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(1,325,676)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1,018,104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1,008,992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1,193,843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1,142,632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67,874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1,198,973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494,692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560,135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4,817,887</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4,584,773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437,987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273,198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736,944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154,867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300,285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399,789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1,992,313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1,934,083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4,024,583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3,871,587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18,720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(1,507,701)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(1,509,188)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2,813,454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2,638,423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4,817,887</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4,584,773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4"/>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2"/>
              </w:rPr>
              <w:t>October 1,</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October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$ 228,914</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$ 211,904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5,075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148,466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4,428</w:t>
            </w:r>
          </w:p>
        </w:tc>
        <w:tc>
          <w:tcPr>
            <w:tcW w:w="740" w:type="dxa"/>
            <w:vAlign w:val="bottom"/>
          </w:tcPr>
          <w:p>
            <w:pPr>
              <w:jc w:val="right"/>
              <w:spacing w:after="0"/>
              <w:rPr>
                <w:sz w:val="20"/>
                <w:szCs w:val="20"/>
                <w:color w:val="auto"/>
              </w:rPr>
            </w:pPr>
            <w:r>
              <w:rPr>
                <w:rFonts w:ascii="Arial" w:cs="Arial" w:eastAsia="Arial" w:hAnsi="Arial"/>
                <w:sz w:val="18"/>
                <w:szCs w:val="18"/>
                <w:color w:val="auto"/>
              </w:rPr>
              <w:t>4,660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 impairment charge</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9,864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(16,712)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50,046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Gain from sale of land</w:t>
            </w:r>
          </w:p>
        </w:tc>
        <w:tc>
          <w:tcPr>
            <w:tcW w:w="17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from sale or write-down of property, plant and equipment</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Gain on disposition of marketable equity securities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(33,614)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exchange (gain) loss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806</w:t>
            </w:r>
          </w:p>
        </w:tc>
        <w:tc>
          <w:tcPr>
            <w:tcW w:w="74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Provision for deferred income taxes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(23,509)</w:t>
            </w:r>
          </w:p>
        </w:tc>
        <w:tc>
          <w:tcPr>
            <w:tcW w:w="740" w:type="dxa"/>
            <w:vAlign w:val="bottom"/>
          </w:tcPr>
          <w:p>
            <w:pPr>
              <w:jc w:val="right"/>
              <w:spacing w:after="0"/>
              <w:rPr>
                <w:sz w:val="20"/>
                <w:szCs w:val="20"/>
                <w:color w:val="auto"/>
              </w:rPr>
            </w:pPr>
            <w:r>
              <w:rPr>
                <w:rFonts w:ascii="Arial" w:cs="Arial" w:eastAsia="Arial" w:hAnsi="Arial"/>
                <w:sz w:val="18"/>
                <w:szCs w:val="18"/>
                <w:color w:val="auto"/>
              </w:rPr>
              <w:t>9,758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(increase) in accounts receivable, net</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1,781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inventories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(19,625)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37,345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decrease in income taxes receivable</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(1,635)</w:t>
            </w:r>
          </w:p>
        </w:tc>
        <w:tc>
          <w:tcPr>
            <w:tcW w:w="740" w:type="dxa"/>
            <w:vAlign w:val="bottom"/>
          </w:tcPr>
          <w:p>
            <w:pPr>
              <w:jc w:val="right"/>
              <w:spacing w:after="0"/>
              <w:rPr>
                <w:sz w:val="20"/>
                <w:szCs w:val="20"/>
                <w:color w:val="auto"/>
              </w:rPr>
            </w:pPr>
            <w:r>
              <w:rPr>
                <w:rFonts w:ascii="Arial" w:cs="Arial" w:eastAsia="Arial" w:hAnsi="Arial"/>
                <w:sz w:val="18"/>
                <w:szCs w:val="18"/>
                <w:color w:val="auto"/>
              </w:rPr>
              <w:t>26,274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other assets and other liabilities, net</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39,842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410,643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(199,251)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Investments in certain businesses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(84,042)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(42,888)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marketable equity securities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81,191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 in affiliates</w:t>
            </w:r>
          </w:p>
        </w:tc>
        <w:tc>
          <w:tcPr>
            <w:tcW w:w="1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(240,405)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(236,565)</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repayment of commercial paper</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(27,711)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(56,918)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8,972</w:t>
            </w:r>
          </w:p>
        </w:tc>
        <w:tc>
          <w:tcPr>
            <w:tcW w:w="740" w:type="dxa"/>
            <w:vAlign w:val="bottom"/>
          </w:tcPr>
          <w:p>
            <w:pPr>
              <w:jc w:val="right"/>
              <w:spacing w:after="0"/>
              <w:rPr>
                <w:sz w:val="20"/>
                <w:szCs w:val="20"/>
                <w:color w:val="auto"/>
              </w:rPr>
            </w:pPr>
            <w:r>
              <w:rPr>
                <w:rFonts w:ascii="Arial" w:cs="Arial" w:eastAsia="Arial" w:hAnsi="Arial"/>
                <w:sz w:val="18"/>
                <w:szCs w:val="18"/>
                <w:color w:val="auto"/>
              </w:rPr>
              <w:t>5,617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5,261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Excess tax benefit on stock options</w:t>
            </w:r>
          </w:p>
        </w:tc>
        <w:tc>
          <w:tcPr>
            <w:tcW w:w="17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4,580</w:t>
            </w:r>
          </w:p>
        </w:tc>
        <w:tc>
          <w:tcPr>
            <w:tcW w:w="2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105,652</w:t>
            </w: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88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74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215,861</w:t>
            </w:r>
          </w:p>
        </w:tc>
        <w:tc>
          <w:tcPr>
            <w:tcW w:w="2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$ 321,513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$ 170,310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2006 presentation.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the third quarter of 2006, Kaplan acquired 3 businesses in their professional services division totaling $2.5 million. In the second quarter of 2006, Kaplan acquired two businesses in their professional and K12 learning services divisions totaling $59.7 million. These acquisitions included Tribeca, a leading education provider to the Australian financial services sector as well as SpellRead, a provider of reading and writing programs. In the first quarter of 2006, Kaplan acquired two businesses in their professional and higher education divisions; these acquisitions totaled $7.2 million. Most of the purchase price for these acquisitions has been allocated to goodwill and other intangibles on a preliminary basis.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third quarter of 2005, Kaplan acquired two businesses in the test preparation division, totaling $38.4 million, financed with cash. This included the acquisition of The Kidum Group, the leading provider of test preparation services in Israel. In the second quarter of 2005, Kaplan acquired five businesses in their higher education and professional divisions totaling $83.1 million. These acquisitions included BISYS Education Services, a provider of licensing education and compliance solutions for financial services institutions and professionals as well as Asia Pacific Management Institute, a private education provider for undergraduate and postgraduate students in Asia. In the first quarter of 2005, the Company acquired Slate, an online magazine and Kaplan acquired two businesses in their higher education division; these acquisitions totaled $26.5 million.</w:t>
      </w:r>
    </w:p>
    <w:p>
      <w:pPr>
        <w:spacing w:after="0" w:line="1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October 2006, Kaplan completed the acquisitions of two additional businesses: Aspect Education Limited, a major provider of English language instruction with schools located in the U.K., Ireland, Australia, New Zealand, Canada and the U.S; and PMBR, a nationwide provider of test preparation for the Multistate Bar Exam (MBE).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2: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October 1, 2006 and January 1, 2006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October 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January 1,</w:t>
            </w:r>
          </w:p>
        </w:tc>
      </w:tr>
      <w:tr>
        <w:trPr>
          <w:trHeight w:val="175"/>
        </w:trPr>
        <w:tc>
          <w:tcPr>
            <w:tcW w:w="7860" w:type="dxa"/>
            <w:vAlign w:val="bottom"/>
          </w:tcPr>
          <w:p>
            <w:pPr>
              <w:spacing w:after="0"/>
              <w:rPr>
                <w:sz w:val="15"/>
                <w:szCs w:val="15"/>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$229,606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$234,196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Gross unrealized gains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92,051</w:t>
            </w:r>
          </w:p>
        </w:tc>
        <w:tc>
          <w:tcPr>
            <w:tcW w:w="680" w:type="dxa"/>
            <w:vAlign w:val="bottom"/>
          </w:tcPr>
          <w:p>
            <w:pPr>
              <w:jc w:val="right"/>
              <w:spacing w:after="0"/>
              <w:rPr>
                <w:sz w:val="20"/>
                <w:szCs w:val="20"/>
                <w:color w:val="auto"/>
              </w:rPr>
            </w:pPr>
            <w:r>
              <w:rPr>
                <w:rFonts w:ascii="Arial" w:cs="Arial" w:eastAsia="Arial" w:hAnsi="Arial"/>
                <w:sz w:val="18"/>
                <w:szCs w:val="18"/>
                <w:color w:val="auto"/>
              </w:rPr>
              <w:t>95,725</w:t>
            </w:r>
          </w:p>
        </w:tc>
      </w:tr>
      <w:tr>
        <w:trPr>
          <w:trHeight w:val="27"/>
        </w:trPr>
        <w:tc>
          <w:tcPr>
            <w:tcW w:w="7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321,657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329,921</w:t>
            </w:r>
          </w:p>
        </w:tc>
      </w:tr>
      <w:tr>
        <w:trPr>
          <w:trHeight w:val="20"/>
        </w:trPr>
        <w:tc>
          <w:tcPr>
            <w:tcW w:w="7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the third quarter and first nine months of 2006, the Company sold marketable equity securities for a pre-tax gain of $2.0 million and $33.6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During the third quarter and first nine months of 2005, the Company sold marketable equity securities for a pre-tax gain of $8.6 million and $12.0 million, respectively.</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made $42.9 million in investments in marketable equity securities during the first quarter of 2006; as of October 1, 2006, there is a $6.7 million unrealized loss on this investment. There were no investments in marketable equity securities during the second quarter or the third quarter of 2006. There were no investments in marketable equity securities during the first nine months of 2005.</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At October 1, 2006 and January 1, 2006, the carrying value of the Company’s cost method investments was $19.3 million and $11.9 million, respectively. The Company invested $5.5 million and $8.2 million during the third quarter and first nine months of 2006, respectively, in companies constituting cost method investments. For the same periods of 2005, the Company invested $0.2 million and $8.3 million, respectively.</w:t>
      </w:r>
    </w:p>
    <w:p>
      <w:pPr>
        <w:spacing w:after="0" w:line="107"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The Company recorded charges of $0 and $0.8 million during the third quarter and first nine months of 2006, respectively, to write-down certain of its investments to estimated fair value; for the same periods of 2005, the Company recorded charges of $0.1 million and $0.7 million, respectively.</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October 1, 2006 and January 1, 2006, the Company has commercial paper investments of $185.4 million and $59.2 million, respectively, that are classified as “cash and cash equivalents” on the Company’s consolidated balance sheet.</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3: Borrowings.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 consists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October 1,</w:t>
            </w:r>
          </w:p>
        </w:tc>
        <w:tc>
          <w:tcPr>
            <w:tcW w:w="2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5"/>
        </w:trPr>
        <w:tc>
          <w:tcPr>
            <w:tcW w:w="7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4.0 percent notes due 2006</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407.2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400.4</w:t>
            </w:r>
          </w:p>
        </w:tc>
        <w:tc>
          <w:tcPr>
            <w:tcW w:w="32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2003, notes of £16.7 million were issued to current employees of The Financial Training Company (FTC) who were former FTC shareholders in connection with the March 2003 acquisition by Kaplan. In 2004, 50% of the balance on the notes was paid and the remaining balance outstanding was paid in August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October 1, 2006 and January 1, 2006 is at interest rates of 5% to 7% and matures from 2006 to 2009.</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the third quarter of 2006 and 2005, the Company had average borrowings outstanding of approximately $417.5 million and $433.3 million, respectively, at average annual interest rates of approximately 5.5 percent and 5.4 percent, respectively. During the third quarter of 2006 and 2005, the Company incurred net interest expense of $3.4 million and $6.9 million, respectively.</w:t>
      </w:r>
    </w:p>
    <w:p>
      <w:pPr>
        <w:spacing w:after="0" w:line="14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During the first nine months of 2006 and 2005, the Company had average borrowings outstanding of approximately $422.2 million and $446.0 million, respectively, at average annual interest rates of approximately 5.5 percent and 4.8 percent, respectively. During the first nine months of 2006 and 2005, the Company incurred net interest expense of $12.0 million and $18.7 million, respectively.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August 8, 2006, The Company entered into a new $500 million five year revolving credit agreement (the “2006 Credit Agreement”) with a group of banks. That facility replaced the Company’s $250 million 364-day revolving credit agreement dated as of August 10, 2005 (the “2005 Credit Agreement”) and its $350 million 5-year revolving credit agreement dated as of August 14, 2002 (the “2002 Credit Agreement”).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05" w:lineRule="auto"/>
        <w:rPr>
          <w:sz w:val="20"/>
          <w:szCs w:val="20"/>
          <w:color w:val="auto"/>
        </w:rPr>
      </w:pPr>
      <w:r>
        <w:rPr>
          <w:rFonts w:ascii="Arial" w:cs="Arial" w:eastAsia="Arial" w:hAnsi="Arial"/>
          <w:sz w:val="15"/>
          <w:szCs w:val="15"/>
          <w:color w:val="auto"/>
        </w:rPr>
        <w:t>Except for the length and the amount of the commitments, the terms of the 2006 Credit Agreement are substantially the same as the terms of the 2005 Credit Agreement. The Company is required to pay a facility fee at an annual rate, which depends on the Company’s long-term debt ratings, of between 0.04% and</w:t>
      </w:r>
    </w:p>
    <w:p>
      <w:pPr>
        <w:spacing w:after="0" w:line="288" w:lineRule="auto"/>
        <w:rPr>
          <w:sz w:val="20"/>
          <w:szCs w:val="20"/>
          <w:color w:val="auto"/>
        </w:rPr>
      </w:pPr>
      <w:r>
        <w:rPr>
          <w:rFonts w:ascii="Arial" w:cs="Arial" w:eastAsia="Arial" w:hAnsi="Arial"/>
          <w:sz w:val="16"/>
          <w:szCs w:val="16"/>
          <w:color w:val="auto"/>
        </w:rPr>
        <w:t>0.10% of the amount of the facility. Any borrowings are made on an unsecured basis and bear interest, at the Company’s option, at Citibank’s base rate or at a rate based on LIBOR plus an applicable margin that also depends on the Company’s long-term debt ratings. The 2006 Credit Agreement will expire on August 8, 2011, unless the Company and the banks agree prior to the second anniversary date to extend the term (which extensions cannot exceed an aggregate of two years). Any outstanding borrowings must be repaid on or prior to the final termination date. The 2006 Credit Agreement supports the issuance of the Company’s commercial paper but the Company may also draw on the facility for general corporate purposes. The 2006 Credit Agreement contains terms and conditions, including remedies in the event of a default by the Company, typical of facilities of this type and, among other things, requires the Company to maintain at least $1 billion of consolidated shareholders’ equity.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4: Business Segments.</w:t>
      </w:r>
    </w:p>
    <w:p>
      <w:pPr>
        <w:spacing w:after="0" w:line="9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2006 and 2005 asset information is as of October 1, 2006 and January 1, 2006,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Education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4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$225,630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82,195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142,337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420,604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946,894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17,685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8,977</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2,482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634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24,961</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12,510</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auto"/>
                <w:w w:val="86"/>
              </w:rPr>
              <w:t>365</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 &amp; impairment charge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(3,297)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$670,937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405,636</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$593,176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1,146,146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1,397,933</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$214,528</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$4,428,356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321,657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4,817,887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line="20" w:lineRule="exact"/>
              <w:rPr>
                <w:sz w:val="1"/>
                <w:szCs w:val="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Education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2005</w:t>
            </w:r>
          </w:p>
        </w:tc>
        <w:tc>
          <w:tcPr>
            <w:tcW w:w="4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$235,517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73,984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78,106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123,233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362,822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873,662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28,594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9,419</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2,427</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692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24,960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9,624</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auto"/>
                <w:w w:val="86"/>
              </w:rPr>
              <w:t>409</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47,531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$702,221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420,154</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$594,937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1,122,654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1,257,952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90,159</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$4,188,077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329,921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4,584,773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vMerge w:val="restart"/>
          </w:tcPr>
          <w:p>
            <w:pPr>
              <w:jc w:val="right"/>
              <w:ind w:right="435"/>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Nine Month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Newspaper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Broadcasting</w:t>
            </w:r>
          </w:p>
        </w:tc>
        <w:tc>
          <w:tcPr>
            <w:tcW w:w="1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4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$714,668</w:t>
            </w:r>
          </w:p>
        </w:tc>
        <w:tc>
          <w:tcPr>
            <w:tcW w:w="1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257,079</w:t>
            </w:r>
          </w:p>
        </w:tc>
        <w:tc>
          <w:tcPr>
            <w:tcW w:w="1000" w:type="dxa"/>
            <w:vAlign w:val="bottom"/>
            <w:gridSpan w:val="4"/>
          </w:tcPr>
          <w:p>
            <w:pPr>
              <w:ind w:left="120"/>
              <w:spacing w:after="0"/>
              <w:rPr>
                <w:sz w:val="20"/>
                <w:szCs w:val="20"/>
                <w:color w:val="auto"/>
              </w:rPr>
            </w:pPr>
            <w:r>
              <w:rPr>
                <w:rFonts w:ascii="Arial" w:cs="Arial" w:eastAsia="Arial" w:hAnsi="Arial"/>
                <w:sz w:val="18"/>
                <w:szCs w:val="18"/>
                <w:color w:val="auto"/>
              </w:rPr>
              <w:t>$235,079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$418,607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1,238,782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$2,864,215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34,349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111,010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10,484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93,206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124,902</w:t>
            </w:r>
          </w:p>
        </w:tc>
        <w:tc>
          <w:tcPr>
            <w:tcW w:w="9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5"/>
              </w:rPr>
              <w:t>$ (30,341)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26,733</w:t>
            </w:r>
          </w:p>
        </w:tc>
        <w:tc>
          <w:tcPr>
            <w:tcW w:w="100" w:type="dxa"/>
            <w:vAlign w:val="bottom"/>
          </w:tcPr>
          <w:p>
            <w:pPr>
              <w:spacing w:after="0" w:line="20" w:lineRule="exact"/>
              <w:rPr>
                <w:sz w:val="1"/>
                <w:szCs w:val="1"/>
                <w:color w:val="auto"/>
              </w:rPr>
            </w:pPr>
          </w:p>
        </w:tc>
        <w:tc>
          <w:tcPr>
            <w:tcW w:w="260" w:type="dxa"/>
            <w:vAlign w:val="bottom"/>
            <w:gridSpan w:val="2"/>
            <w:vMerge w:val="restart"/>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7,383</w:t>
            </w: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1,910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75,386</w:t>
            </w:r>
          </w:p>
        </w:tc>
        <w:tc>
          <w:tcPr>
            <w:tcW w:w="2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36,120</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tcPr>
          <w:p>
            <w:pPr>
              <w:ind w:left="26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 &amp; impairment charge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 (53,875)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25,668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(2,021)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Newspaper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20" w:type="dxa"/>
            <w:vAlign w:val="bottom"/>
          </w:tcPr>
          <w:p>
            <w:pPr>
              <w:spacing w:after="0"/>
              <w:rPr>
                <w:sz w:val="24"/>
                <w:szCs w:val="2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24"/>
                <w:szCs w:val="2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Broadcasting</w:t>
            </w:r>
          </w:p>
        </w:tc>
        <w:tc>
          <w:tcPr>
            <w:tcW w:w="1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Television</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2005</w:t>
            </w:r>
          </w:p>
        </w:tc>
        <w:tc>
          <w:tcPr>
            <w:tcW w:w="4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$704,881</w:t>
            </w:r>
          </w:p>
        </w:tc>
        <w:tc>
          <w:tcPr>
            <w:tcW w:w="1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241,672</w:t>
            </w:r>
          </w:p>
        </w:tc>
        <w:tc>
          <w:tcPr>
            <w:tcW w:w="1000" w:type="dxa"/>
            <w:vAlign w:val="bottom"/>
            <w:gridSpan w:val="4"/>
          </w:tcPr>
          <w:p>
            <w:pPr>
              <w:ind w:left="120"/>
              <w:spacing w:after="0"/>
              <w:rPr>
                <w:sz w:val="20"/>
                <w:szCs w:val="20"/>
                <w:color w:val="auto"/>
              </w:rPr>
            </w:pPr>
            <w:r>
              <w:rPr>
                <w:rFonts w:ascii="Arial" w:cs="Arial" w:eastAsia="Arial" w:hAnsi="Arial"/>
                <w:sz w:val="18"/>
                <w:szCs w:val="18"/>
                <w:color w:val="auto"/>
              </w:rPr>
              <w:t>$245,906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$378,725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1,033,985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$2,605,169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86,991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26,152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51,894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115,252</w:t>
            </w:r>
          </w:p>
        </w:tc>
        <w:tc>
          <w:tcPr>
            <w:tcW w:w="9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5"/>
              </w:rPr>
              <w:t>$ (23,115)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348,504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27,551</w:t>
            </w:r>
          </w:p>
        </w:tc>
        <w:tc>
          <w:tcPr>
            <w:tcW w:w="100" w:type="dxa"/>
            <w:vAlign w:val="bottom"/>
          </w:tcPr>
          <w:p>
            <w:pPr>
              <w:spacing w:after="0" w:line="20" w:lineRule="exact"/>
              <w:rPr>
                <w:sz w:val="1"/>
                <w:szCs w:val="1"/>
                <w:color w:val="auto"/>
              </w:rPr>
            </w:pPr>
          </w:p>
        </w:tc>
        <w:tc>
          <w:tcPr>
            <w:tcW w:w="260" w:type="dxa"/>
            <w:vAlign w:val="bottom"/>
            <w:gridSpan w:val="2"/>
            <w:vMerge w:val="restart"/>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7,426</w:t>
            </w:r>
          </w:p>
        </w:tc>
        <w:tc>
          <w:tcPr>
            <w:tcW w:w="26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2,139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75,384</w:t>
            </w:r>
          </w:p>
        </w:tc>
        <w:tc>
          <w:tcPr>
            <w:tcW w:w="28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27,413</w:t>
            </w: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28,250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(1,593)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11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Higher</w:t>
            </w:r>
          </w:p>
        </w:tc>
        <w:tc>
          <w:tcPr>
            <w:tcW w:w="8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Supplemental</w:t>
            </w:r>
          </w:p>
        </w:tc>
        <w:tc>
          <w:tcPr>
            <w:tcW w:w="860" w:type="dxa"/>
            <w:vAlign w:val="bottom"/>
            <w:gridSpan w:val="5"/>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Overhead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1"/>
              </w:rPr>
              <w:t>Education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Education</w:t>
            </w:r>
          </w:p>
        </w:tc>
        <w:tc>
          <w:tcPr>
            <w:tcW w:w="8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and Other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Education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1000" w:type="dxa"/>
            <w:vAlign w:val="bottom"/>
            <w:tcBorders>
              <w:bottom w:val="single" w:sz="8" w:color="CCEEFF"/>
            </w:tcBorders>
            <w:shd w:val="clear" w:color="auto" w:fill="CCEEFF"/>
          </w:tcPr>
          <w:p>
            <w:pPr>
              <w:spacing w:after="0"/>
              <w:rPr>
                <w:sz w:val="16"/>
                <w:szCs w:val="16"/>
                <w:color w:val="auto"/>
              </w:rPr>
            </w:pPr>
          </w:p>
        </w:tc>
        <w:tc>
          <w:tcPr>
            <w:tcW w:w="63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$217,104</w:t>
            </w:r>
          </w:p>
        </w:tc>
        <w:tc>
          <w:tcPr>
            <w:tcW w:w="8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203,500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420,604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20,975</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35,114</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5"/>
              </w:rPr>
              <w:t>$ (17,720)</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$586,450</w:t>
            </w:r>
          </w:p>
        </w:tc>
        <w:tc>
          <w:tcPr>
            <w:tcW w:w="8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783,514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91"/>
              </w:rPr>
              <w:t>$ 27,969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95"/>
              </w:rPr>
              <w:t>$1,397,933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5,774</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360" w:type="dxa"/>
            <w:vAlign w:val="bottom"/>
            <w:gridSpan w:val="3"/>
          </w:tcPr>
          <w:p>
            <w:pPr>
              <w:spacing w:after="0"/>
              <w:rPr>
                <w:sz w:val="20"/>
                <w:szCs w:val="20"/>
                <w:color w:val="auto"/>
              </w:rPr>
            </w:pPr>
            <w:r>
              <w:rPr>
                <w:rFonts w:ascii="Arial" w:cs="Arial" w:eastAsia="Arial" w:hAnsi="Arial"/>
                <w:sz w:val="18"/>
                <w:szCs w:val="18"/>
                <w:color w:val="auto"/>
              </w:rPr>
              <w:t>2005</w:t>
            </w:r>
          </w:p>
        </w:tc>
        <w:tc>
          <w:tcPr>
            <w:tcW w:w="6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$181,594</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181,228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362,822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11,657</w:t>
            </w:r>
          </w:p>
        </w:tc>
        <w:tc>
          <w:tcPr>
            <w:tcW w:w="8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34,212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$587,997</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645,957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$ 23,998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$1,257,952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4,858</w:t>
            </w:r>
          </w:p>
        </w:tc>
        <w:tc>
          <w:tcPr>
            <w:tcW w:w="8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(credit)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(9,776)</w:t>
            </w:r>
          </w:p>
        </w:tc>
        <w:tc>
          <w:tcPr>
            <w:tcW w:w="140" w:type="dxa"/>
            <w:vAlign w:val="bottom"/>
          </w:tcPr>
          <w:p>
            <w:pPr>
              <w:spacing w:after="0"/>
              <w:rPr>
                <w:sz w:val="19"/>
                <w:szCs w:val="19"/>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Nine Month Period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72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Higher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Supplemental</w:t>
            </w:r>
          </w:p>
        </w:tc>
        <w:tc>
          <w:tcPr>
            <w:tcW w:w="80" w:type="dxa"/>
            <w:vAlign w:val="bottom"/>
          </w:tcPr>
          <w:p>
            <w:pPr>
              <w:spacing w:after="0"/>
              <w:rPr>
                <w:sz w:val="12"/>
                <w:szCs w:val="12"/>
                <w:color w:val="auto"/>
              </w:rPr>
            </w:pPr>
          </w:p>
        </w:tc>
        <w:tc>
          <w:tcPr>
            <w:tcW w:w="7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Education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8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and Other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Education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1000" w:type="dxa"/>
            <w:vAlign w:val="bottom"/>
            <w:tcBorders>
              <w:bottom w:val="single" w:sz="8" w:color="CCEEFF"/>
            </w:tcBorders>
            <w:shd w:val="clear" w:color="auto" w:fill="CCEEFF"/>
          </w:tcPr>
          <w:p>
            <w:pPr>
              <w:spacing w:after="0"/>
              <w:rPr>
                <w:sz w:val="16"/>
                <w:szCs w:val="16"/>
                <w:color w:val="auto"/>
              </w:rPr>
            </w:pPr>
          </w:p>
        </w:tc>
        <w:tc>
          <w:tcPr>
            <w:tcW w:w="63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820" w:type="dxa"/>
            <w:vAlign w:val="bottom"/>
            <w:gridSpan w:val="5"/>
          </w:tcPr>
          <w:p>
            <w:pPr>
              <w:jc w:val="right"/>
              <w:ind w:right="80"/>
              <w:spacing w:after="0"/>
              <w:rPr>
                <w:sz w:val="20"/>
                <w:szCs w:val="20"/>
                <w:color w:val="auto"/>
              </w:rPr>
            </w:pPr>
            <w:r>
              <w:rPr>
                <w:rFonts w:ascii="Arial" w:cs="Arial" w:eastAsia="Arial" w:hAnsi="Arial"/>
                <w:sz w:val="18"/>
                <w:szCs w:val="18"/>
                <w:color w:val="auto"/>
                <w:w w:val="95"/>
              </w:rPr>
              <w:t>$640,415</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598,367</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$1,238,782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77,000</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94,069</w:t>
            </w:r>
          </w:p>
        </w:tc>
        <w:tc>
          <w:tcPr>
            <w:tcW w:w="1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2"/>
              </w:rPr>
              <w:t>$ (46,167)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17,761</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15,063</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3,296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3,036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5"/>
          </w:tcPr>
          <w:p>
            <w:pPr>
              <w:ind w:left="80"/>
              <w:spacing w:after="0"/>
              <w:rPr>
                <w:sz w:val="20"/>
                <w:szCs w:val="20"/>
                <w:color w:val="auto"/>
              </w:rPr>
            </w:pPr>
            <w:r>
              <w:rPr>
                <w:rFonts w:ascii="Arial" w:cs="Arial" w:eastAsia="Arial" w:hAnsi="Arial"/>
                <w:sz w:val="18"/>
                <w:szCs w:val="18"/>
                <w:color w:val="auto"/>
              </w:rPr>
              <w:t>$ 11,154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1000" w:type="dxa"/>
            <w:vAlign w:val="bottom"/>
            <w:tcBorders>
              <w:bottom w:val="single" w:sz="8" w:color="CCEEFF"/>
            </w:tcBorders>
            <w:shd w:val="clear" w:color="auto" w:fill="CCEEFF"/>
          </w:tcPr>
          <w:p>
            <w:pPr>
              <w:spacing w:after="0"/>
              <w:rPr>
                <w:sz w:val="17"/>
                <w:szCs w:val="17"/>
                <w:color w:val="auto"/>
              </w:rPr>
            </w:pPr>
          </w:p>
        </w:tc>
        <w:tc>
          <w:tcPr>
            <w:tcW w:w="6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820" w:type="dxa"/>
            <w:vAlign w:val="bottom"/>
            <w:gridSpan w:val="5"/>
          </w:tcPr>
          <w:p>
            <w:pPr>
              <w:jc w:val="right"/>
              <w:ind w:right="80"/>
              <w:spacing w:after="0"/>
              <w:rPr>
                <w:sz w:val="20"/>
                <w:szCs w:val="20"/>
                <w:color w:val="auto"/>
              </w:rPr>
            </w:pPr>
            <w:r>
              <w:rPr>
                <w:rFonts w:ascii="Arial" w:cs="Arial" w:eastAsia="Arial" w:hAnsi="Arial"/>
                <w:sz w:val="18"/>
                <w:szCs w:val="18"/>
                <w:color w:val="auto"/>
                <w:w w:val="95"/>
              </w:rPr>
              <w:t>$523,713</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510,272</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$1,033,985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58,655</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88,112</w:t>
            </w:r>
          </w:p>
        </w:tc>
        <w:tc>
          <w:tcPr>
            <w:tcW w:w="1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w w:val="92"/>
              </w:rPr>
              <w:t>$ (31,515)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13,407</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11,621</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2,385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3,241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205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online media publishing business (primarily washingtonpost.com and Slate).</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 magazine, Newsweek, which has one domestic and three international editions; the publication of Arthur Frommer’s Budget Travel; online operations (primarily newsweek.com and budgettravelonline.com) and the publication of business periodicals for the computer services industry and the Washington-area technology community.</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fixed facility colleges which offer Bachelor’s degrees, Associate’s degrees and diploma programs primarily in the fields of healthcare, business and information technology; and online post-secondary and career programs (various distance-learning businesses). For segment reporting purposes, the education division has two primary segments, supplemental education and higher education. Kaplan corporate overhead and “other” is also included; “other” includes Kaplan stock compensation expense and amortization of certain intangibles.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5: Goodwill and Other Intangible Assets.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w:t>
      </w:r>
    </w:p>
    <w:p>
      <w:pPr>
        <w:spacing w:after="0" w:line="11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the third quarter of 2006, as a result of the current advertising environment, the Company completed a review of the carrying value of goodwill at PostNewsweek Tech Media, which is part of the magazine publishing division. As a result of this review, the Company recorded an impairment charge of $9.9 million to write-down Post Newsweek Tech Media’s goodwill to its estimated fair value utilizing a discounted cash flow model.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October 1, 2006 and January 1, 2006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$1,497,375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$1,198,973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24,048</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2,199,714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486,256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1,713,458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2005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$1,423,972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658,498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2,124,904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481,828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1,643,076</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 months ended October 1, 2006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2"/>
              </w:rPr>
              <w:t>Newspaper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Television</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Magazine</w:t>
            </w:r>
          </w:p>
        </w:tc>
        <w:tc>
          <w:tcPr>
            <w:tcW w:w="10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Broadcasting</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Publishing</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Education</w:t>
            </w: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2320" w:type="dxa"/>
            <w:vAlign w:val="bottom"/>
            <w:gridSpan w:val="2"/>
          </w:tcPr>
          <w:p>
            <w:pPr>
              <w:ind w:left="1680"/>
              <w:spacing w:after="0"/>
              <w:rPr>
                <w:sz w:val="20"/>
                <w:szCs w:val="20"/>
                <w:color w:val="auto"/>
              </w:rPr>
            </w:pPr>
            <w:r>
              <w:rPr>
                <w:rFonts w:ascii="Arial" w:cs="Arial" w:eastAsia="Arial" w:hAnsi="Arial"/>
                <w:sz w:val="18"/>
                <w:szCs w:val="18"/>
                <w:color w:val="auto"/>
                <w:w w:val="88"/>
              </w:rPr>
              <w:t>$ 80,651</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203,165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$ 69,556</w:t>
            </w:r>
          </w:p>
        </w:tc>
        <w:tc>
          <w:tcPr>
            <w:tcW w:w="180" w:type="dxa"/>
            <w:vAlign w:val="bottom"/>
          </w:tcPr>
          <w:p>
            <w:pPr>
              <w:spacing w:after="0"/>
              <w:rPr>
                <w:sz w:val="18"/>
                <w:szCs w:val="18"/>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$85,666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$686,532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$1,125,570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16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15,346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charge</w:t>
            </w: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Balance at October 1, 2006</w:t>
            </w:r>
          </w:p>
        </w:tc>
        <w:tc>
          <w:tcPr>
            <w:tcW w:w="1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2320" w:type="dxa"/>
            <w:vAlign w:val="bottom"/>
            <w:gridSpan w:val="2"/>
          </w:tcPr>
          <w:p>
            <w:pPr>
              <w:ind w:left="1680"/>
              <w:spacing w:after="0"/>
              <w:rPr>
                <w:sz w:val="20"/>
                <w:szCs w:val="20"/>
                <w:color w:val="auto"/>
              </w:rPr>
            </w:pPr>
            <w:r>
              <w:rPr>
                <w:rFonts w:ascii="Arial" w:cs="Arial" w:eastAsia="Arial" w:hAnsi="Arial"/>
                <w:sz w:val="18"/>
                <w:szCs w:val="18"/>
                <w:color w:val="auto"/>
                <w:w w:val="88"/>
              </w:rPr>
              <w:t>$ 80,651</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203,165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$ 59,692</w:t>
            </w:r>
          </w:p>
        </w:tc>
        <w:tc>
          <w:tcPr>
            <w:tcW w:w="180" w:type="dxa"/>
            <w:vAlign w:val="bottom"/>
          </w:tcPr>
          <w:p>
            <w:pPr>
              <w:spacing w:after="0"/>
              <w:rPr>
                <w:sz w:val="19"/>
                <w:szCs w:val="19"/>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85,666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769,799</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1,198,973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80" w:type="dxa"/>
            <w:vAlign w:val="bottom"/>
            <w:vMerge w:val="restart"/>
          </w:tcPr>
          <w:p>
            <w:pPr>
              <w:jc w:val="right"/>
              <w:ind w:right="232"/>
              <w:spacing w:after="0"/>
              <w:rPr>
                <w:sz w:val="20"/>
                <w:szCs w:val="20"/>
                <w:color w:val="auto"/>
              </w:rPr>
            </w:pPr>
            <w:r>
              <w:rPr>
                <w:rFonts w:ascii="Arial" w:cs="Arial" w:eastAsia="Arial" w:hAnsi="Arial"/>
                <w:sz w:val="18"/>
                <w:szCs w:val="18"/>
                <w:color w:val="auto"/>
              </w:rPr>
              <w:t>13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Television</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80"/>
              <w:spacing w:after="0"/>
              <w:rPr>
                <w:sz w:val="20"/>
                <w:szCs w:val="20"/>
                <w:color w:val="auto"/>
              </w:rPr>
            </w:pPr>
            <w:r>
              <w:rPr>
                <w:rFonts w:ascii="Arial" w:cs="Arial" w:eastAsia="Arial" w:hAnsi="Arial"/>
                <w:sz w:val="18"/>
                <w:szCs w:val="18"/>
                <w:color w:val="auto"/>
              </w:rPr>
              <w:t>$486,330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8,362</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494,692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Balance at October 1, 2006</w:t>
            </w:r>
          </w:p>
        </w:tc>
        <w:tc>
          <w:tcPr>
            <w:tcW w:w="18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486,330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8,362</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494,692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2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Television</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6,676</w:t>
            </w:r>
          </w:p>
        </w:tc>
        <w:tc>
          <w:tcPr>
            <w:tcW w:w="2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14,428</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1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Balance at October 1, 2006</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5,800</w:t>
            </w:r>
          </w:p>
        </w:tc>
        <w:tc>
          <w:tcPr>
            <w:tcW w:w="2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12,799</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nine-months ended October 2, 2005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4"/>
              </w:rPr>
              <w:t>Television</w:t>
            </w:r>
          </w:p>
        </w:tc>
        <w:tc>
          <w:tcPr>
            <w:tcW w:w="2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Television</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$ 72,770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203,165</w:t>
            </w:r>
          </w:p>
        </w:tc>
        <w:tc>
          <w:tcPr>
            <w:tcW w:w="940" w:type="dxa"/>
            <w:vAlign w:val="bottom"/>
            <w:gridSpan w:val="3"/>
          </w:tcPr>
          <w:p>
            <w:pPr>
              <w:jc w:val="center"/>
              <w:ind w:left="32"/>
              <w:spacing w:after="0"/>
              <w:rPr>
                <w:sz w:val="20"/>
                <w:szCs w:val="20"/>
                <w:color w:val="auto"/>
              </w:rPr>
            </w:pPr>
            <w:r>
              <w:rPr>
                <w:rFonts w:ascii="Arial" w:cs="Arial" w:eastAsia="Arial" w:hAnsi="Arial"/>
                <w:sz w:val="18"/>
                <w:szCs w:val="18"/>
                <w:color w:val="auto"/>
                <w:w w:val="88"/>
              </w:rPr>
              <w:t>$ 69,556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85,666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$591,983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1,023,140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(14,486)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 2005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$ 80,651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203,165</w:t>
            </w:r>
          </w:p>
        </w:tc>
        <w:tc>
          <w:tcPr>
            <w:tcW w:w="9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8"/>
              </w:rPr>
              <w:t>$ 69,556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85,666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681,528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1,120,566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4"/>
              </w:rPr>
              <w:t>Television</w:t>
            </w:r>
          </w:p>
        </w:tc>
        <w:tc>
          <w:tcPr>
            <w:tcW w:w="22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Television</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$486,330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6,862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493,192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Balance at October 2, 2005</w:t>
            </w:r>
          </w:p>
        </w:tc>
        <w:tc>
          <w:tcPr>
            <w:tcW w:w="18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486,330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6,862</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493,192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4"/>
              </w:rPr>
              <w:t>Television</w:t>
            </w:r>
          </w:p>
        </w:tc>
        <w:tc>
          <w:tcPr>
            <w:tcW w:w="22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Television</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Balance at October 2, 2005</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1,882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14,710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6: Stock Options and Stock Awards.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Adoption of SFAS 123R.</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SFAS 123R did not have any impact on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This change in accounting results in the acceleration of expense recognition for Kaplan equity awards. As a result, in the first quarter of 2006, the Company reported a $5.1 million after-tax charge for the cumulative effect of change in accounting for Kaplan equity awards ($8.2 million in pre-tax Kaplan stock compensation expense).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Options.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employee stock option plan reserves shares of the Company’s Class B common stock for options to be granted under the plan. The purchase price of the shares covered by an option cannot be less than the fair value on the granting date. Options generally vest over 4 years and have a maximum term of 10 years. At October 1, 2006, there were 397,550 shares reserved for issuance under the stock option plan, of which 101,675 shares were subject to options outstanding, and 295,875 shares were available for future grants.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options outstanding for the nine months ended October 1, 2006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Pr>
          <w:p>
            <w:pPr>
              <w:spacing w:after="0"/>
              <w:rPr>
                <w:sz w:val="12"/>
                <w:szCs w:val="12"/>
                <w:color w:val="auto"/>
              </w:rPr>
            </w:pPr>
          </w:p>
        </w:tc>
        <w:tc>
          <w:tcPr>
            <w:tcW w:w="10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Remaining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Shares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b w:val="1"/>
                <w:bCs w:val="1"/>
                <w:color w:val="auto"/>
              </w:rPr>
              <w:t>(in years)</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113,325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$572.36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(10,775)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488.25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803.61</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1,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101,675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696.60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October 1, 2006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89,800</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548.68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options at January 1,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810.70</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color w:val="auto"/>
              </w:rPr>
              <w:t>Nonvested options at October 1, 2006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8.1</w:t>
            </w:r>
          </w:p>
        </w:tc>
        <w:tc>
          <w:tcPr>
            <w:tcW w:w="580" w:type="dxa"/>
            <w:vAlign w:val="bottom"/>
            <w:gridSpan w:val="2"/>
            <w:vMerge w:val="restart"/>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line="20" w:lineRule="exact"/>
              <w:rPr>
                <w:sz w:val="1"/>
                <w:szCs w:val="1"/>
                <w:color w:val="auto"/>
              </w:rPr>
            </w:pPr>
          </w:p>
        </w:tc>
      </w:tr>
      <w:tr>
        <w:trPr>
          <w:trHeight w:val="209"/>
        </w:trPr>
        <w:tc>
          <w:tcPr>
            <w:tcW w:w="676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811.39</w:t>
            </w:r>
          </w:p>
        </w:tc>
        <w:tc>
          <w:tcPr>
            <w:tcW w:w="154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right="40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intrinsic value of a stock option is the amount by which the market value of the underlying stock exceeds the exercise price of the option. The market value of the Company’s stock was $737.00 at October 1, 2006.</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recorded expense of $0.3 million during the third quarter of 2006 and 2005, with a related income tax benefit of $0.1 million in each quarter, related to this plan. The Company recorded expense of $0.9 million and $0.8 million during the first nine months of 2006 and 2005, respectively, with a related income tax benefit of $0.4 million and $0.3 million during the same periods.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October 1, 2006, total unrecognized stock-based compensation expense related to stock options was $1.8 million, which is expected to be recognized over a weighted-average period of approximately 1.6 years. The total intrinsic value of options exercised during the third quarter of 2006 and first nine months of 2006 was $0.8 million and $3.2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related to stock options outstanding at October 1,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Weighted Average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Range of</w:t>
            </w:r>
          </w:p>
        </w:tc>
        <w:tc>
          <w:tcPr>
            <w:tcW w:w="1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28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Remaining</w:t>
            </w:r>
          </w:p>
        </w:tc>
        <w:tc>
          <w:tcPr>
            <w:tcW w:w="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28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128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 at</w:t>
            </w:r>
          </w:p>
        </w:tc>
        <w:tc>
          <w:tcPr>
            <w:tcW w:w="128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75"/>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0"/>
              </w:rPr>
              <w:t>Prices</w:t>
            </w:r>
          </w:p>
        </w:tc>
        <w:tc>
          <w:tcPr>
            <w:tcW w:w="12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October 1, 2006</w:t>
            </w:r>
          </w:p>
        </w:tc>
        <w:tc>
          <w:tcPr>
            <w:tcW w:w="12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2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October 1, 2006</w:t>
            </w:r>
          </w:p>
        </w:tc>
        <w:tc>
          <w:tcPr>
            <w:tcW w:w="12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343.94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472-480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9,975</w:t>
            </w:r>
          </w:p>
        </w:tc>
        <w:tc>
          <w:tcPr>
            <w:tcW w:w="2960" w:type="dxa"/>
            <w:vAlign w:val="bottom"/>
            <w:gridSpan w:val="3"/>
          </w:tcPr>
          <w:p>
            <w:pPr>
              <w:jc w:val="right"/>
              <w:ind w:right="640"/>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472.80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9,975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472.80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503-586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69,450</w:t>
            </w:r>
          </w:p>
        </w:tc>
        <w:tc>
          <w:tcPr>
            <w:tcW w:w="2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69,450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960" w:type="dxa"/>
            <w:vAlign w:val="bottom"/>
            <w:gridSpan w:val="3"/>
          </w:tcPr>
          <w:p>
            <w:pPr>
              <w:jc w:val="right"/>
              <w:ind w:right="640"/>
              <w:spacing w:after="0"/>
              <w:rPr>
                <w:sz w:val="20"/>
                <w:szCs w:val="20"/>
                <w:color w:val="auto"/>
              </w:rPr>
            </w:pPr>
            <w:r>
              <w:rPr>
                <w:rFonts w:ascii="Arial" w:cs="Arial" w:eastAsia="Arial" w:hAnsi="Arial"/>
                <w:sz w:val="18"/>
                <w:szCs w:val="18"/>
                <w:color w:val="auto"/>
              </w:rPr>
              <w:t>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692.51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692.51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729-763</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2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740.17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2960" w:type="dxa"/>
            <w:vAlign w:val="bottom"/>
            <w:gridSpan w:val="3"/>
          </w:tcPr>
          <w:p>
            <w:pPr>
              <w:jc w:val="right"/>
              <w:ind w:right="640"/>
              <w:spacing w:after="0"/>
              <w:rPr>
                <w:sz w:val="20"/>
                <w:szCs w:val="20"/>
                <w:color w:val="auto"/>
              </w:rPr>
            </w:pPr>
            <w:r>
              <w:rPr>
                <w:rFonts w:ascii="Arial" w:cs="Arial" w:eastAsia="Arial" w:hAnsi="Arial"/>
                <w:sz w:val="18"/>
                <w:szCs w:val="18"/>
                <w:color w:val="auto"/>
              </w:rPr>
              <w:t>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816.05</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1,875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816.05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953.50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953.50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 options were granted at an exercise price equal to or greater than the fair market value of the Company’s common stock at the date of grant. No stock option awards were granted during the first nine months of 2006.</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Kaplan Equity Awards.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 difference between the exercise price and the then fair value. The fair value of Kaplan’s common stock is determined by the Company’s compensation committee of the Board of Directors. In January 2006, the committee set the fair value price at $1,833 per share. Option holders have a 30-day window in which they may exercise at this price, after which time the compensation committee has the right to determine a new price in the event of an exercise.</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Kaplan stock options outstanding for the nine months ended October 1, 2006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2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w w:val="94"/>
              </w:rPr>
              <w:t>Shares</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Arial" w:cs="Arial" w:eastAsia="Arial" w:hAnsi="Arial"/>
                <w:sz w:val="14"/>
                <w:szCs w:val="14"/>
                <w:b w:val="1"/>
                <w:bCs w:val="1"/>
                <w:color w:val="auto"/>
              </w:rPr>
              <w:t>(in years)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62,229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944.63</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29,785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1,833.00</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(18,662)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257.73</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1, 2006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73,352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1,480.11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32,704*</w:t>
            </w: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October 1, 2006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3"/>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26,936</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886.35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27,700*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options at January 1, 2006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23,298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1,623.12</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8"/>
                <w:szCs w:val="18"/>
                <w:color w:val="auto"/>
              </w:rPr>
              <w:t>Nonvested options at October 1, 2006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5.6</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line="20" w:lineRule="exact"/>
              <w:rPr>
                <w:sz w:val="1"/>
                <w:szCs w:val="1"/>
                <w:color w:val="auto"/>
              </w:rPr>
            </w:pPr>
          </w:p>
        </w:tc>
      </w:tr>
      <w:tr>
        <w:trPr>
          <w:trHeight w:val="209"/>
        </w:trPr>
        <w:tc>
          <w:tcPr>
            <w:tcW w:w="7100" w:type="dxa"/>
            <w:vAlign w:val="bottom"/>
            <w:gridSpan w:val="3"/>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46,416</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1,824.68</w:t>
            </w:r>
          </w:p>
        </w:tc>
        <w:tc>
          <w:tcPr>
            <w:tcW w:w="124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right="44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intrinsic value of a stock option is the amount by which the estimated fair value of the underlying stock exceeds the exercise price of the option. The estimated fair value of Kaplan’s stock was $1,900 at October 1, 2006.</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2005, the compensation committee awarded to a senior manager Kaplan shares or share equivalents equal in value to $4.8 million, with the number of shares or share equivalents determined by the January 2006 valuation. In June 2006, based on the $1,833 per share value, 2,619 shares or share equivalents were issued.</w:t>
      </w:r>
    </w:p>
    <w:p>
      <w:pPr>
        <w:spacing w:after="0" w:line="140"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Kaplan recorded stock compensation expense of $5.9 million in the third quarter of 2006, compared to credit of $9.8 million in the third quarter of 2005. Excluding Kaplan stock compensation expense of $8.2 million recorded as a result of the change in accounting under SFAS 123R, Kaplan recorded stock compensation expense of $11.2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the nine months ended October 1, 2006, compared to $0.2 million for the nine months ended October 2, 2005. At October 1, 2006, the Company’s accrual balance related to Kaplan stock-based compensation totaled $53.2 million.</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of October 1, 2006, total unrecognized stock-based compensation expense related to stock options was $24.9 million, which is expected to be recognized over a weighted-average period of approximately 3.65 years. The total intrinsic value of options exercised during the nine months ended October 1, 2006 was $29.4 million. A tax benefit from these stock option exercises of $11.3 million was realized during the nine months ended October 1, 2006.</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related to stock options outstanding at October 1, 2006 is as follows: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Range of</w:t>
            </w: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0" w:type="dxa"/>
            <w:vAlign w:val="bottom"/>
            <w:gridSpan w:val="2"/>
          </w:tcPr>
          <w:p>
            <w:pPr>
              <w:jc w:val="center"/>
              <w:ind w:left="2054"/>
              <w:spacing w:after="0"/>
              <w:rPr>
                <w:sz w:val="20"/>
                <w:szCs w:val="20"/>
                <w:color w:val="auto"/>
              </w:rPr>
            </w:pPr>
            <w:r>
              <w:rPr>
                <w:rFonts w:ascii="Arial" w:cs="Arial" w:eastAsia="Arial" w:hAnsi="Arial"/>
                <w:sz w:val="14"/>
                <w:szCs w:val="14"/>
                <w:b w:val="1"/>
                <w:bCs w:val="1"/>
                <w:color w:val="auto"/>
                <w:w w:val="86"/>
              </w:rPr>
              <w:t>Weighted Average</w:t>
            </w: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0" w:type="dxa"/>
            <w:vAlign w:val="bottom"/>
            <w:gridSpan w:val="2"/>
            <w:vMerge w:val="continue"/>
          </w:tcPr>
          <w:p>
            <w:pPr>
              <w:spacing w:after="0"/>
              <w:rPr>
                <w:sz w:val="11"/>
                <w:szCs w:val="11"/>
                <w:color w:val="auto"/>
              </w:rPr>
            </w:pPr>
          </w:p>
        </w:tc>
        <w:tc>
          <w:tcPr>
            <w:tcW w:w="21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214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Remaining</w:t>
            </w:r>
          </w:p>
        </w:tc>
        <w:tc>
          <w:tcPr>
            <w:tcW w:w="2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2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Contractual Life</w:t>
            </w:r>
          </w:p>
        </w:tc>
        <w:tc>
          <w:tcPr>
            <w:tcW w:w="3480" w:type="dxa"/>
            <w:vAlign w:val="bottom"/>
            <w:gridSpan w:val="2"/>
          </w:tcPr>
          <w:p>
            <w:pPr>
              <w:jc w:val="center"/>
              <w:ind w:left="2035"/>
              <w:spacing w:after="0" w:line="149" w:lineRule="exact"/>
              <w:rPr>
                <w:sz w:val="20"/>
                <w:szCs w:val="20"/>
                <w:color w:val="auto"/>
              </w:rPr>
            </w:pPr>
            <w:r>
              <w:rPr>
                <w:rFonts w:ascii="Arial" w:cs="Arial" w:eastAsia="Arial" w:hAnsi="Arial"/>
                <w:sz w:val="14"/>
                <w:szCs w:val="14"/>
                <w:b w:val="1"/>
                <w:bCs w:val="1"/>
                <w:color w:val="auto"/>
                <w:w w:val="87"/>
              </w:rPr>
              <w:t>Number Exercisable 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Prices</w:t>
            </w:r>
          </w:p>
        </w:tc>
        <w:tc>
          <w:tcPr>
            <w:tcW w:w="21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October 1, 2006</w:t>
            </w:r>
          </w:p>
        </w:tc>
        <w:tc>
          <w:tcPr>
            <w:tcW w:w="21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October 1,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$ 190</w:t>
            </w:r>
          </w:p>
        </w:tc>
        <w:tc>
          <w:tcPr>
            <w:tcW w:w="306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8"/>
              </w:rPr>
              <w:t>1,750</w:t>
            </w:r>
          </w:p>
        </w:tc>
        <w:tc>
          <w:tcPr>
            <w:tcW w:w="3200" w:type="dxa"/>
            <w:vAlign w:val="bottom"/>
            <w:gridSpan w:val="2"/>
            <w:shd w:val="clear" w:color="auto" w:fill="CCEEFF"/>
          </w:tcPr>
          <w:p>
            <w:pPr>
              <w:jc w:val="center"/>
              <w:ind w:left="2054"/>
              <w:spacing w:after="0"/>
              <w:rPr>
                <w:sz w:val="20"/>
                <w:szCs w:val="20"/>
                <w:color w:val="auto"/>
              </w:rPr>
            </w:pPr>
            <w:r>
              <w:rPr>
                <w:rFonts w:ascii="Arial" w:cs="Arial" w:eastAsia="Arial" w:hAnsi="Arial"/>
                <w:sz w:val="18"/>
                <w:szCs w:val="18"/>
                <w:color w:val="auto"/>
                <w:w w:val="85"/>
              </w:rPr>
              <w:t>1.25</w:t>
            </w:r>
          </w:p>
        </w:tc>
        <w:tc>
          <w:tcPr>
            <w:tcW w:w="3480" w:type="dxa"/>
            <w:vAlign w:val="bottom"/>
            <w:gridSpan w:val="2"/>
            <w:shd w:val="clear" w:color="auto" w:fill="CCEEFF"/>
          </w:tcPr>
          <w:p>
            <w:pPr>
              <w:jc w:val="center"/>
              <w:ind w:left="2035"/>
              <w:spacing w:after="0"/>
              <w:rPr>
                <w:sz w:val="20"/>
                <w:szCs w:val="20"/>
                <w:color w:val="auto"/>
              </w:rPr>
            </w:pPr>
            <w:r>
              <w:rPr>
                <w:rFonts w:ascii="Arial" w:cs="Arial" w:eastAsia="Arial" w:hAnsi="Arial"/>
                <w:sz w:val="18"/>
                <w:szCs w:val="18"/>
                <w:color w:val="auto"/>
                <w:w w:val="88"/>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3060" w:type="dxa"/>
            <w:vAlign w:val="bottom"/>
            <w:gridSpan w:val="2"/>
          </w:tcPr>
          <w:p>
            <w:pPr>
              <w:jc w:val="center"/>
              <w:ind w:left="2032"/>
              <w:spacing w:after="0"/>
              <w:rPr>
                <w:sz w:val="20"/>
                <w:szCs w:val="20"/>
                <w:color w:val="auto"/>
              </w:rPr>
            </w:pPr>
            <w:r>
              <w:rPr>
                <w:rFonts w:ascii="Arial" w:cs="Arial" w:eastAsia="Arial" w:hAnsi="Arial"/>
                <w:sz w:val="18"/>
                <w:szCs w:val="18"/>
                <w:color w:val="auto"/>
                <w:w w:val="86"/>
              </w:rPr>
              <w:t>338</w:t>
            </w:r>
          </w:p>
        </w:tc>
        <w:tc>
          <w:tcPr>
            <w:tcW w:w="3200" w:type="dxa"/>
            <w:vAlign w:val="bottom"/>
            <w:gridSpan w:val="2"/>
          </w:tcPr>
          <w:p>
            <w:pPr>
              <w:jc w:val="center"/>
              <w:ind w:left="2054"/>
              <w:spacing w:after="0"/>
              <w:rPr>
                <w:sz w:val="20"/>
                <w:szCs w:val="20"/>
                <w:color w:val="auto"/>
              </w:rPr>
            </w:pPr>
            <w:r>
              <w:rPr>
                <w:rFonts w:ascii="Arial" w:cs="Arial" w:eastAsia="Arial" w:hAnsi="Arial"/>
                <w:sz w:val="18"/>
                <w:szCs w:val="18"/>
                <w:color w:val="auto"/>
                <w:w w:val="85"/>
              </w:rPr>
              <w:t>3.75</w:t>
            </w:r>
          </w:p>
        </w:tc>
        <w:tc>
          <w:tcPr>
            <w:tcW w:w="3480" w:type="dxa"/>
            <w:vAlign w:val="bottom"/>
            <w:gridSpan w:val="2"/>
          </w:tcPr>
          <w:p>
            <w:pPr>
              <w:jc w:val="center"/>
              <w:ind w:left="2055"/>
              <w:spacing w:after="0"/>
              <w:rPr>
                <w:sz w:val="20"/>
                <w:szCs w:val="20"/>
                <w:color w:val="auto"/>
              </w:rPr>
            </w:pPr>
            <w:r>
              <w:rPr>
                <w:rFonts w:ascii="Arial" w:cs="Arial" w:eastAsia="Arial" w:hAnsi="Arial"/>
                <w:sz w:val="18"/>
                <w:szCs w:val="18"/>
                <w:color w:val="auto"/>
                <w:w w:val="86"/>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6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7"/>
              </w:rPr>
              <w:t>14,910</w:t>
            </w:r>
          </w:p>
        </w:tc>
        <w:tc>
          <w:tcPr>
            <w:tcW w:w="3200" w:type="dxa"/>
            <w:vAlign w:val="bottom"/>
            <w:gridSpan w:val="2"/>
            <w:shd w:val="clear" w:color="auto" w:fill="CCEEFF"/>
          </w:tcPr>
          <w:p>
            <w:pPr>
              <w:jc w:val="center"/>
              <w:ind w:left="2054"/>
              <w:spacing w:after="0"/>
              <w:rPr>
                <w:sz w:val="20"/>
                <w:szCs w:val="20"/>
                <w:color w:val="auto"/>
              </w:rPr>
            </w:pPr>
            <w:r>
              <w:rPr>
                <w:rFonts w:ascii="Arial" w:cs="Arial" w:eastAsia="Arial" w:hAnsi="Arial"/>
                <w:sz w:val="18"/>
                <w:szCs w:val="18"/>
                <w:color w:val="auto"/>
                <w:w w:val="85"/>
              </w:rPr>
              <w:t>4.98</w:t>
            </w:r>
          </w:p>
        </w:tc>
        <w:tc>
          <w:tcPr>
            <w:tcW w:w="3480" w:type="dxa"/>
            <w:vAlign w:val="bottom"/>
            <w:gridSpan w:val="2"/>
            <w:shd w:val="clear" w:color="auto" w:fill="CCEEFF"/>
          </w:tcPr>
          <w:p>
            <w:pPr>
              <w:jc w:val="center"/>
              <w:ind w:left="2035"/>
              <w:spacing w:after="0"/>
              <w:rPr>
                <w:sz w:val="20"/>
                <w:szCs w:val="20"/>
                <w:color w:val="auto"/>
              </w:rPr>
            </w:pPr>
            <w:r>
              <w:rPr>
                <w:rFonts w:ascii="Arial" w:cs="Arial" w:eastAsia="Arial" w:hAnsi="Arial"/>
                <w:sz w:val="18"/>
                <w:szCs w:val="18"/>
                <w:color w:val="auto"/>
                <w:w w:val="87"/>
              </w:rPr>
              <w:t>14,910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652</w:t>
            </w:r>
          </w:p>
        </w:tc>
        <w:tc>
          <w:tcPr>
            <w:tcW w:w="3060" w:type="dxa"/>
            <w:vAlign w:val="bottom"/>
            <w:gridSpan w:val="2"/>
          </w:tcPr>
          <w:p>
            <w:pPr>
              <w:jc w:val="center"/>
              <w:ind w:left="2052"/>
              <w:spacing w:after="0"/>
              <w:rPr>
                <w:sz w:val="20"/>
                <w:szCs w:val="20"/>
                <w:color w:val="auto"/>
              </w:rPr>
            </w:pPr>
            <w:r>
              <w:rPr>
                <w:rFonts w:ascii="Arial" w:cs="Arial" w:eastAsia="Arial" w:hAnsi="Arial"/>
                <w:sz w:val="18"/>
                <w:szCs w:val="18"/>
                <w:color w:val="auto"/>
                <w:w w:val="88"/>
              </w:rPr>
              <w:t>2,000</w:t>
            </w:r>
          </w:p>
        </w:tc>
        <w:tc>
          <w:tcPr>
            <w:tcW w:w="3200" w:type="dxa"/>
            <w:vAlign w:val="bottom"/>
            <w:gridSpan w:val="2"/>
          </w:tcPr>
          <w:p>
            <w:pPr>
              <w:jc w:val="center"/>
              <w:ind w:left="2054"/>
              <w:spacing w:after="0"/>
              <w:rPr>
                <w:sz w:val="20"/>
                <w:szCs w:val="20"/>
                <w:color w:val="auto"/>
              </w:rPr>
            </w:pPr>
            <w:r>
              <w:rPr>
                <w:rFonts w:ascii="Arial" w:cs="Arial" w:eastAsia="Arial" w:hAnsi="Arial"/>
                <w:sz w:val="18"/>
                <w:szCs w:val="18"/>
                <w:color w:val="auto"/>
                <w:w w:val="85"/>
              </w:rPr>
              <w:t>5.25</w:t>
            </w:r>
          </w:p>
        </w:tc>
        <w:tc>
          <w:tcPr>
            <w:tcW w:w="3480" w:type="dxa"/>
            <w:vAlign w:val="bottom"/>
            <w:gridSpan w:val="2"/>
          </w:tcPr>
          <w:p>
            <w:pPr>
              <w:jc w:val="center"/>
              <w:ind w:left="2035"/>
              <w:spacing w:after="0"/>
              <w:rPr>
                <w:sz w:val="20"/>
                <w:szCs w:val="20"/>
                <w:color w:val="auto"/>
              </w:rPr>
            </w:pPr>
            <w:r>
              <w:rPr>
                <w:rFonts w:ascii="Arial" w:cs="Arial" w:eastAsia="Arial" w:hAnsi="Arial"/>
                <w:sz w:val="18"/>
                <w:szCs w:val="18"/>
                <w:color w:val="auto"/>
                <w:w w:val="88"/>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060" w:type="dxa"/>
            <w:vAlign w:val="bottom"/>
            <w:gridSpan w:val="2"/>
            <w:shd w:val="clear" w:color="auto" w:fill="CCEEFF"/>
          </w:tcPr>
          <w:p>
            <w:pPr>
              <w:jc w:val="center"/>
              <w:ind w:left="2032"/>
              <w:spacing w:after="0"/>
              <w:rPr>
                <w:sz w:val="20"/>
                <w:szCs w:val="20"/>
                <w:color w:val="auto"/>
              </w:rPr>
            </w:pPr>
            <w:r>
              <w:rPr>
                <w:rFonts w:ascii="Arial" w:cs="Arial" w:eastAsia="Arial" w:hAnsi="Arial"/>
                <w:sz w:val="18"/>
                <w:szCs w:val="18"/>
                <w:color w:val="auto"/>
                <w:w w:val="86"/>
              </w:rPr>
              <w:t>487</w:t>
            </w:r>
          </w:p>
        </w:tc>
        <w:tc>
          <w:tcPr>
            <w:tcW w:w="3200" w:type="dxa"/>
            <w:vAlign w:val="bottom"/>
            <w:gridSpan w:val="2"/>
            <w:shd w:val="clear" w:color="auto" w:fill="CCEEFF"/>
          </w:tcPr>
          <w:p>
            <w:pPr>
              <w:jc w:val="center"/>
              <w:ind w:left="2054"/>
              <w:spacing w:after="0"/>
              <w:rPr>
                <w:sz w:val="20"/>
                <w:szCs w:val="20"/>
                <w:color w:val="auto"/>
              </w:rPr>
            </w:pPr>
            <w:r>
              <w:rPr>
                <w:rFonts w:ascii="Arial" w:cs="Arial" w:eastAsia="Arial" w:hAnsi="Arial"/>
                <w:sz w:val="18"/>
                <w:szCs w:val="18"/>
                <w:color w:val="auto"/>
                <w:w w:val="85"/>
              </w:rPr>
              <w:t>5.25</w:t>
            </w:r>
          </w:p>
        </w:tc>
        <w:tc>
          <w:tcPr>
            <w:tcW w:w="3480" w:type="dxa"/>
            <w:vAlign w:val="bottom"/>
            <w:gridSpan w:val="2"/>
            <w:shd w:val="clear" w:color="auto" w:fill="CCEEFF"/>
          </w:tcPr>
          <w:p>
            <w:pPr>
              <w:jc w:val="center"/>
              <w:ind w:left="2055"/>
              <w:spacing w:after="0"/>
              <w:rPr>
                <w:sz w:val="20"/>
                <w:szCs w:val="20"/>
                <w:color w:val="auto"/>
              </w:rPr>
            </w:pPr>
            <w:r>
              <w:rPr>
                <w:rFonts w:ascii="Arial" w:cs="Arial" w:eastAsia="Arial" w:hAnsi="Arial"/>
                <w:sz w:val="18"/>
                <w:szCs w:val="18"/>
                <w:color w:val="auto"/>
                <w:w w:val="86"/>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1,625</w:t>
            </w:r>
          </w:p>
        </w:tc>
        <w:tc>
          <w:tcPr>
            <w:tcW w:w="3060" w:type="dxa"/>
            <w:vAlign w:val="bottom"/>
            <w:gridSpan w:val="2"/>
          </w:tcPr>
          <w:p>
            <w:pPr>
              <w:jc w:val="center"/>
              <w:ind w:left="2052"/>
              <w:spacing w:after="0"/>
              <w:rPr>
                <w:sz w:val="20"/>
                <w:szCs w:val="20"/>
                <w:color w:val="auto"/>
              </w:rPr>
            </w:pPr>
            <w:r>
              <w:rPr>
                <w:rFonts w:ascii="Arial" w:cs="Arial" w:eastAsia="Arial" w:hAnsi="Arial"/>
                <w:sz w:val="18"/>
                <w:szCs w:val="18"/>
                <w:color w:val="auto"/>
                <w:w w:val="87"/>
              </w:rPr>
              <w:t>13,500</w:t>
            </w:r>
          </w:p>
        </w:tc>
        <w:tc>
          <w:tcPr>
            <w:tcW w:w="3200" w:type="dxa"/>
            <w:vAlign w:val="bottom"/>
            <w:gridSpan w:val="2"/>
          </w:tcPr>
          <w:p>
            <w:pPr>
              <w:jc w:val="center"/>
              <w:ind w:left="2054"/>
              <w:spacing w:after="0"/>
              <w:rPr>
                <w:sz w:val="20"/>
                <w:szCs w:val="20"/>
                <w:color w:val="auto"/>
              </w:rPr>
            </w:pPr>
            <w:r>
              <w:rPr>
                <w:rFonts w:ascii="Arial" w:cs="Arial" w:eastAsia="Arial" w:hAnsi="Arial"/>
                <w:sz w:val="18"/>
                <w:szCs w:val="18"/>
                <w:color w:val="auto"/>
                <w:w w:val="85"/>
              </w:rPr>
              <w:t>5.25</w:t>
            </w:r>
          </w:p>
        </w:tc>
        <w:tc>
          <w:tcPr>
            <w:tcW w:w="3480" w:type="dxa"/>
            <w:vAlign w:val="bottom"/>
            <w:gridSpan w:val="2"/>
          </w:tcPr>
          <w:p>
            <w:pPr>
              <w:jc w:val="center"/>
              <w:ind w:left="2035"/>
              <w:spacing w:after="0"/>
              <w:rPr>
                <w:sz w:val="20"/>
                <w:szCs w:val="20"/>
                <w:color w:val="auto"/>
              </w:rPr>
            </w:pPr>
            <w:r>
              <w:rPr>
                <w:rFonts w:ascii="Arial" w:cs="Arial" w:eastAsia="Arial" w:hAnsi="Arial"/>
                <w:sz w:val="18"/>
                <w:szCs w:val="18"/>
                <w:color w:val="auto"/>
                <w:w w:val="88"/>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060" w:type="dxa"/>
            <w:vAlign w:val="bottom"/>
            <w:gridSpan w:val="2"/>
            <w:shd w:val="clear" w:color="auto" w:fill="CCEEFF"/>
          </w:tcPr>
          <w:p>
            <w:pPr>
              <w:jc w:val="center"/>
              <w:ind w:left="2052"/>
              <w:spacing w:after="0"/>
              <w:rPr>
                <w:sz w:val="20"/>
                <w:szCs w:val="20"/>
                <w:color w:val="auto"/>
              </w:rPr>
            </w:pPr>
            <w:r>
              <w:rPr>
                <w:rFonts w:ascii="Arial" w:cs="Arial" w:eastAsia="Arial" w:hAnsi="Arial"/>
                <w:sz w:val="18"/>
                <w:szCs w:val="18"/>
                <w:color w:val="auto"/>
                <w:w w:val="87"/>
              </w:rPr>
              <w:t>29,785</w:t>
            </w:r>
          </w:p>
        </w:tc>
        <w:tc>
          <w:tcPr>
            <w:tcW w:w="3200" w:type="dxa"/>
            <w:vAlign w:val="bottom"/>
            <w:gridSpan w:val="2"/>
            <w:shd w:val="clear" w:color="auto" w:fill="CCEEFF"/>
          </w:tcPr>
          <w:p>
            <w:pPr>
              <w:jc w:val="center"/>
              <w:ind w:left="2054"/>
              <w:spacing w:after="0"/>
              <w:rPr>
                <w:sz w:val="20"/>
                <w:szCs w:val="20"/>
                <w:color w:val="auto"/>
              </w:rPr>
            </w:pPr>
            <w:r>
              <w:rPr>
                <w:rFonts w:ascii="Arial" w:cs="Arial" w:eastAsia="Arial" w:hAnsi="Arial"/>
                <w:sz w:val="18"/>
                <w:szCs w:val="18"/>
                <w:color w:val="auto"/>
                <w:w w:val="85"/>
              </w:rPr>
              <w:t>5.73</w:t>
            </w: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2,080</w:t>
            </w:r>
          </w:p>
        </w:tc>
        <w:tc>
          <w:tcPr>
            <w:tcW w:w="3060" w:type="dxa"/>
            <w:vAlign w:val="bottom"/>
            <w:gridSpan w:val="2"/>
          </w:tcPr>
          <w:p>
            <w:pPr>
              <w:jc w:val="center"/>
              <w:ind w:left="2052"/>
              <w:spacing w:after="0"/>
              <w:rPr>
                <w:sz w:val="20"/>
                <w:szCs w:val="20"/>
                <w:color w:val="auto"/>
              </w:rPr>
            </w:pPr>
            <w:r>
              <w:rPr>
                <w:rFonts w:ascii="Arial" w:cs="Arial" w:eastAsia="Arial" w:hAnsi="Arial"/>
                <w:sz w:val="18"/>
                <w:szCs w:val="18"/>
                <w:color w:val="auto"/>
                <w:w w:val="87"/>
              </w:rPr>
              <w:t>10,582</w:t>
            </w:r>
          </w:p>
        </w:tc>
        <w:tc>
          <w:tcPr>
            <w:tcW w:w="3200" w:type="dxa"/>
            <w:vAlign w:val="bottom"/>
            <w:gridSpan w:val="2"/>
          </w:tcPr>
          <w:p>
            <w:pPr>
              <w:jc w:val="center"/>
              <w:ind w:left="2054"/>
              <w:spacing w:after="0"/>
              <w:rPr>
                <w:sz w:val="20"/>
                <w:szCs w:val="20"/>
                <w:color w:val="auto"/>
              </w:rPr>
            </w:pPr>
            <w:r>
              <w:rPr>
                <w:rFonts w:ascii="Arial" w:cs="Arial" w:eastAsia="Arial" w:hAnsi="Arial"/>
                <w:sz w:val="18"/>
                <w:szCs w:val="18"/>
                <w:color w:val="auto"/>
                <w:w w:val="85"/>
              </w:rPr>
              <w:t>5.25</w:t>
            </w:r>
          </w:p>
        </w:tc>
        <w:tc>
          <w:tcPr>
            <w:tcW w:w="3480" w:type="dxa"/>
            <w:vAlign w:val="bottom"/>
            <w:gridSpan w:val="2"/>
          </w:tcPr>
          <w:p>
            <w:pPr>
              <w:jc w:val="center"/>
              <w:ind w:left="2035"/>
              <w:spacing w:after="0"/>
              <w:rPr>
                <w:sz w:val="20"/>
                <w:szCs w:val="20"/>
                <w:color w:val="auto"/>
              </w:rPr>
            </w:pPr>
            <w:r>
              <w:rPr>
                <w:rFonts w:ascii="Arial" w:cs="Arial" w:eastAsia="Arial" w:hAnsi="Arial"/>
                <w:sz w:val="18"/>
                <w:szCs w:val="18"/>
                <w:color w:val="auto"/>
                <w:w w:val="88"/>
              </w:rPr>
              <w:t>2,646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fair value of Kaplan stock options at October 1, 2006 and at January 2, 2006, the adoption date of SFAS 123R, was estimated using the Black-Scholes method utilizing the following assumptions: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October 1,</w:t>
            </w:r>
          </w:p>
        </w:tc>
        <w:tc>
          <w:tcPr>
            <w:tcW w:w="72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2,</w:t>
            </w:r>
          </w:p>
        </w:tc>
      </w:tr>
      <w:tr>
        <w:trPr>
          <w:trHeight w:val="175"/>
        </w:trPr>
        <w:tc>
          <w:tcPr>
            <w:tcW w:w="656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720" w:type="dxa"/>
            <w:vAlign w:val="bottom"/>
          </w:tcPr>
          <w:p>
            <w:pPr>
              <w:spacing w:after="0"/>
              <w:rPr>
                <w:sz w:val="15"/>
                <w:szCs w:val="15"/>
                <w:color w:val="auto"/>
              </w:rPr>
            </w:pPr>
          </w:p>
        </w:tc>
        <w:tc>
          <w:tcPr>
            <w:tcW w:w="106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2006</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0.25 –6.25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660" w:type="dxa"/>
            <w:vAlign w:val="bottom"/>
          </w:tcPr>
          <w:p>
            <w:pPr>
              <w:ind w:left="20"/>
              <w:spacing w:after="0"/>
              <w:rPr>
                <w:sz w:val="20"/>
                <w:szCs w:val="20"/>
                <w:color w:val="auto"/>
              </w:rPr>
            </w:pPr>
            <w:r>
              <w:rPr>
                <w:rFonts w:ascii="Arial" w:cs="Arial" w:eastAsia="Arial" w:hAnsi="Arial"/>
                <w:sz w:val="18"/>
                <w:szCs w:val="18"/>
                <w:color w:val="auto"/>
                <w:w w:val="99"/>
              </w:rPr>
              <w:t>- 4.89%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580" w:type="dxa"/>
            <w:vAlign w:val="bottom"/>
          </w:tcPr>
          <w:p>
            <w:pPr>
              <w:ind w:left="20"/>
              <w:spacing w:after="0"/>
              <w:rPr>
                <w:sz w:val="20"/>
                <w:szCs w:val="20"/>
                <w:color w:val="auto"/>
              </w:rPr>
            </w:pPr>
            <w:r>
              <w:rPr>
                <w:rFonts w:ascii="Arial" w:cs="Arial" w:eastAsia="Arial" w:hAnsi="Arial"/>
                <w:sz w:val="18"/>
                <w:szCs w:val="18"/>
                <w:color w:val="auto"/>
                <w:w w:val="86"/>
              </w:rPr>
              <w:t>- 4.34%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33.35%</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- 49.30%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- 38.0%</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780" w:type="dxa"/>
            <w:vAlign w:val="bottom"/>
            <w:gridSpan w:val="3"/>
          </w:tcPr>
          <w:p>
            <w:pPr>
              <w:jc w:val="right"/>
              <w:ind w:right="312"/>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Company Stock Awards.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1982, the Company adopted a long-term incentive compensation plan, which, among other provisions, authorizes the awarding of Class B 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October 1, 2006, there were 186,000 shares reserved for issuance under the incentive compensation plan. Of this number, 28,925 shares were subject to awards outstanding, and 157,075 shares were available for future awards. Activity related to stock awards under the long-term incentive compensation plan for the nine months ended October 1, 2006, was as follows:</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Average Award</w:t>
            </w:r>
          </w:p>
        </w:tc>
      </w:tr>
      <w:tr>
        <w:trPr>
          <w:trHeight w:val="161"/>
        </w:trPr>
        <w:tc>
          <w:tcPr>
            <w:tcW w:w="7600" w:type="dxa"/>
            <w:vAlign w:val="bottom"/>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Price</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29,580</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819.83</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787.77</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721.32</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(1,346)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855.40</w:t>
            </w:r>
          </w:p>
        </w:tc>
      </w:tr>
      <w:tr>
        <w:trPr>
          <w:trHeight w:val="27"/>
        </w:trPr>
        <w:tc>
          <w:tcPr>
            <w:tcW w:w="7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2006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28,925</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817.77</w:t>
            </w:r>
          </w:p>
        </w:tc>
      </w:tr>
      <w:tr>
        <w:trPr>
          <w:trHeight w:val="20"/>
        </w:trPr>
        <w:tc>
          <w:tcPr>
            <w:tcW w:w="7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October 1, 2006, there was $9.8 million of total unrecognized compensation cost related to restricted stock. That cost is expected to be recognized over a weighted-average period of 1.6 years.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Stock-based compensation costs resulting from restricted stock reduced net income by $1.0 million during the third quarter of 2006 and by $2.9 million during the first nine months of 2006.</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7: Antidilutive Securities.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third quarter and first nine months of 2006 diluted earnings per share amounts exclude the effects of 13,000 stock options outstanding as their inclusion would be antidilutive. The third quarter and first nine months of 2005 diluted earnings per share amounts exclude the effects of 4,000 stock options outstanding as their inclusion would be antidilutive.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8: Pension and Postretirement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total cost (income) arising from the Company’s defined benefit pension plans for the third quarter and nine months ended October 1, 2006 and October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 consists of the following components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4"/>
              </w:rPr>
              <w:t>Thirteen Weeks Ended</w:t>
            </w:r>
          </w:p>
        </w:tc>
        <w:tc>
          <w:tcPr>
            <w:tcW w:w="46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w w:val="94"/>
              </w:rPr>
              <w:t>Thirty-Nine 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October 1,</w:t>
            </w:r>
          </w:p>
        </w:tc>
        <w:tc>
          <w:tcPr>
            <w:tcW w:w="112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6"/>
              </w:rPr>
              <w:t>October 2,</w:t>
            </w:r>
          </w:p>
        </w:tc>
        <w:tc>
          <w:tcPr>
            <w:tcW w:w="110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6"/>
              </w:rPr>
              <w:t>October 1,</w:t>
            </w:r>
          </w:p>
        </w:tc>
        <w:tc>
          <w:tcPr>
            <w:tcW w:w="74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6"/>
              </w:rPr>
              <w:t>October 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$ 20,879</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11,674</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10,695</w:t>
            </w:r>
          </w:p>
        </w:tc>
        <w:tc>
          <w:tcPr>
            <w:tcW w:w="640" w:type="dxa"/>
            <w:vAlign w:val="bottom"/>
          </w:tcPr>
          <w:p>
            <w:pPr>
              <w:jc w:val="right"/>
              <w:spacing w:after="0"/>
              <w:rPr>
                <w:sz w:val="20"/>
                <w:szCs w:val="20"/>
                <w:color w:val="auto"/>
              </w:rPr>
            </w:pPr>
            <w:r>
              <w:rPr>
                <w:rFonts w:ascii="Arial" w:cs="Arial" w:eastAsia="Arial" w:hAnsi="Arial"/>
                <w:sz w:val="18"/>
                <w:szCs w:val="18"/>
                <w:color w:val="auto"/>
              </w:rPr>
              <w:t>32,259</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(24,028)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(28,063)</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(70,524)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(1,105)</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(2,831)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(16,712)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1,021</w:t>
            </w:r>
          </w:p>
        </w:tc>
        <w:tc>
          <w:tcPr>
            <w:tcW w:w="640" w:type="dxa"/>
            <w:vAlign w:val="bottom"/>
          </w:tcPr>
          <w:p>
            <w:pPr>
              <w:jc w:val="right"/>
              <w:spacing w:after="0"/>
              <w:rPr>
                <w:sz w:val="20"/>
                <w:szCs w:val="20"/>
                <w:color w:val="auto"/>
              </w:rPr>
            </w:pPr>
            <w:r>
              <w:rPr>
                <w:rFonts w:ascii="Arial" w:cs="Arial" w:eastAsia="Arial" w:hAnsi="Arial"/>
                <w:sz w:val="18"/>
                <w:szCs w:val="18"/>
                <w:color w:val="auto"/>
              </w:rPr>
              <w:t>50,046</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cost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$ 33,334</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(27,133)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color w:val="auto"/>
        </w:rPr>
        <w:t>The total cost arising from the Company’s postretirement plans for the third quarter and nine months ended October 1, 2006 and October 2, 2005, consists of the following components (in thousands):</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1"/>
              </w:rPr>
              <w:t>Thirteen Weeks Ended</w:t>
            </w:r>
          </w:p>
        </w:tc>
        <w:tc>
          <w:tcPr>
            <w:tcW w:w="100" w:type="dxa"/>
            <w:vAlign w:val="bottom"/>
          </w:tcPr>
          <w:p>
            <w:pPr>
              <w:spacing w:after="0"/>
              <w:rPr>
                <w:sz w:val="14"/>
                <w:szCs w:val="14"/>
                <w:color w:val="auto"/>
              </w:rPr>
            </w:pPr>
          </w:p>
        </w:tc>
        <w:tc>
          <w:tcPr>
            <w:tcW w:w="17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1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October 1,</w:t>
            </w: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October 2,</w:t>
            </w:r>
          </w:p>
        </w:tc>
        <w:tc>
          <w:tcPr>
            <w:tcW w:w="460" w:type="dxa"/>
            <w:vAlign w:val="bottom"/>
          </w:tcPr>
          <w:p>
            <w:pPr>
              <w:spacing w:after="0"/>
              <w:rPr>
                <w:sz w:val="11"/>
                <w:szCs w:val="11"/>
                <w:color w:val="auto"/>
              </w:rPr>
            </w:pPr>
          </w:p>
        </w:tc>
        <w:tc>
          <w:tcPr>
            <w:tcW w:w="11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October 1,</w:t>
            </w: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October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2006</w:t>
            </w: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1,772</w:t>
            </w: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January 1, 2006, the Company reduced it assumption on the expected rate of return on plan assets from 7.5% to 6.5% for its pension plans.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Washington Post implemented a voluntary early retirement program to the Mailers employees in April 2006; pre-tax charges of $1.1 million were recorded in the second quarter of 2006 in connection with this program. In the second quarter of 2006, the Company implemented a voluntary early retirement program to a large group of exempt and Guild-covered employees at The Washington Post and Corporate; the offer included an incentive payment, enhanced retirement benefits and subsidized retiree health insurance. For the nine months ended October 1, 2006, the Company recorded pre-tax charges of $49.0 million in connection with this program. Overall, 198 employees accepted voluntary early retirement offers under these two programs.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9 – Hurricane Losses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cable division was significantly impacted by hurricane Katrina, which hit the Gulf Coast in August 2005. About 94,000 of the cable division’s pre-hurricane subscribers were located on the Gulf Coast of Mississippi, including Gulfport, Biloxi, Pascagoula and other neighboring communities where storm damage was significant.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At December 31, 2005, the Company recorded a $5.0 million receivable for recovery of a portion of cable division hurricane losses through December 31, 2005 under the Company’s property and business interruption insurance program; this recovery was recorded as a reduction of cable division expense in the fourth quarter of 2005. In the second quarter of 2006, $10.4 million in additional insurance recovery amounts were recorded as a reduction of cable division expense in the second quarter of 2006 in connection with a final settlement on cable division Hurricane Katrina insurance claims.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10 – Other Non-Operating Income (Expense)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Company recorded other non-operating income, net, of $4.7 million and $6.9 million for the third quarter of 2006 and 2005, respectively. For the first nine months of 2006 and 2005, the Company recorded other non-operating income, net, of $38.2 million and $10.3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thirty-nine weeks ended October 1, 2006 and October 2, 2005, is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7"/>
              </w:rPr>
              <w:t>Thirteen Weeks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1"/>
              </w:rPr>
              <w:t>Thirty-Nine Weeks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2,</w:t>
            </w:r>
          </w:p>
        </w:tc>
        <w:tc>
          <w:tcPr>
            <w:tcW w:w="30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2006</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2006</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Gains on sale of marketable equity 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12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7</w:t>
            </w:r>
          </w:p>
        </w:tc>
        <w:tc>
          <w:tcPr>
            <w:tcW w:w="6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9</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11: Contingencies.</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Kaplan Inc. is a party to a class action antitrust lawsuit in California filed on April 29, 2005. The suit alleges violations of the Sherman Act. The Company is defending the lawsuit vigorously. Management does not believe that any litigation pending against the Company will have a material adverse effect on its business or financial condition.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12: Recent Accounting Pronouncements.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June 2006, FASB Interpretation No. 48 (FIN 48), “Accounting for Uncertainty in Income Taxes—an Interpretation of FASB Statement No. 109” was issued. FIN 48 prescribes a comprehensive model of how a company should recognize, measure, present, and disclose in its financial statements uncertain tax positions that the company has taken or expects to take on a tax return. The standard is required to be implemented in the first quarter of 2007; the Company is in the process of evaluating the impact of this standard on its financial statements.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September 2006, FASB Statement No. 158 (FAS 158), “Employers’ Accounting for Defined Benefit Pension and Other Postretirement Plans” was issued. FAS 158 requires companies to recognize the funded status of pension and other postretirement benefit plans on their balance sheets as of December 31, 2006. Because the Company’s pension plans are significantly overfunded as of October 1, 2006, the Company expects to record a significant increase to the prepaid pension asset balance in the Company’s consolidated balance sheet at December 31, 2006.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20"/>
        <w:spacing w:after="0" w:line="473" w:lineRule="auto"/>
        <w:rPr>
          <w:sz w:val="20"/>
          <w:szCs w:val="20"/>
          <w:color w:val="auto"/>
        </w:rPr>
      </w:pPr>
      <w:r>
        <w:rPr>
          <w:rFonts w:ascii="Arial" w:cs="Arial" w:eastAsia="Arial" w:hAnsi="Arial"/>
          <w:sz w:val="15"/>
          <w:szCs w:val="15"/>
          <w:b w:val="1"/>
          <w:bCs w:val="1"/>
          <w:color w:val="auto"/>
        </w:rPr>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spacing w:after="0" w:line="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income for the third quarter of 2006 was $73.3 million ($7.60 per share), compared to net income of $66.6 million ($6.89 per share) for the third quarter of last year.</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Results for the third quarter of 2006 included a goodwill impairment charge at PostNewsweek Tech Media, which is part of the magazine publishing segment (after-tax impact of $6.3 million, or $0.65 per share) and gains from the sales of property and marketable securities (after-tax impact of $2.8 million, or $0.29 per share); results also benefited from a lower effective tax rate. Operating results for the cable division in the third quarter of 2005 included the adverse impact of charges and lost revenues associated with Hurricane Katrina estimated at $18.5 million (after-tax impact of $11.2 million, or $1.17 per share); results for the Company in the third quarter of 2005 also included non-operating gains from the sales of marketable securities (after-tax impact of $5.2 million, or $0.54 per share).</w:t>
      </w:r>
    </w:p>
    <w:p>
      <w:pPr>
        <w:spacing w:after="0" w:line="14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Revenue for the third quarter of 2006 was $946.9 million, up 8% from $873.7 million in 2005. The increase is due mostly to significant revenue growth at the education, cable television and television broadcasting divisions, while revenues were down at the newspaper publishing and magazine publishing divisions.</w:t>
      </w:r>
    </w:p>
    <w:p>
      <w:pPr>
        <w:spacing w:after="0" w:line="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Operating income was down 3% for the third quarter of 2006 to $108.6 million, from $112.4 million in 2005, due to a $15.7 million increase in Kaplan stock compensation expense ($5.9 million in the third quarter of 2006, compared to a credit of $9.8 million in the third quarter of 2005), a $9.9 million goodwill impairment charge and a reduction in print advertising revenues at The Washington Post newspaper. These items were offset by improved earnings at the cable division, which suffered from the impact of Hurricane Katrina in the third quarter of 2005, and increased operating income at the television broadcasting division.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2006, net income totaled $228.9 million ($23.71 per share), compared with $211.9 million ($21.93 per share) for the same period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2005. Results for the first nine months of 2006 included charges related to early retirement plan buyouts (after-tax impact of $31.7 million, or $3.30 per share),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goodwill impairment charge (after-tax impact of $6.3 million, or $0.65 per share), nonrecurring transition costs at Kaplan (after-tax impact of $4.8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per share) and a charge for the cumulative effect of a change in accounting for Kaplan equity awards (after-tax impact of $5.1 million, or $0.53 per share)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Company’s adoption of Statement of Financial Accounting Standards No. 123R (SFAS 123R), “Share-Based Payment.” These items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insurance recoveries from cable division losses related to Hurricane Katrina (after-tax impact of $6.4 million, or $0.67 per share), gains from the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marketable securities (after-tax impact of $22.4 million, or $2.33 per share) and a lower effective tax rate. In addition to the adverse impact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hurricane on cable results, results for the first nine months of 2005 also included non-operating gains from the sales of non-operating land and marketable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(after-tax impact of $10.4 million, or $1.08 per share).</w:t>
      </w:r>
    </w:p>
    <w:p>
      <w:pPr>
        <w:spacing w:after="0" w:line="16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Revenue for the first nine months of 2006 was $2,864.2 million, up 10% over revenue of $2,605.2 million for the first nine months of 2005. Operating income declined to $343.6 million, from $358.1 million in 2005, due to $50.9 million in pre-tax charges associated with early retirement plan buyouts; a $9.9 million goodwill impairment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charge; a $10.9 million increase in Kaplan stock compensation expense; and $6.9 million in nonrecurring transition costs at Kaplan. These items were offset by $10.4 million in insurance recoveries recorded during the second quarter of 2006 from cable division losses related to Hurricane Katrina and the adverse impact of the hurricane on operating income in 2005, particularly at the cable division.</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operating income for the third quarter and first nine months of 2006 included $5.3 million and $16.7 million of net pension credits, respectively, compared to $9.9 million and $28.2 million, respectively, for the same periods of 2005, excluding charges related to early retirement programs. At January 1, 2006, the Company reduced its expected return on plan assets from 7.5% to 6.5%. Overall, the pension credit for 2006 is expected to be down by about $16 million, excluding charges related to early retirement programs.</w:t>
      </w:r>
    </w:p>
    <w:p>
      <w:pPr>
        <w:spacing w:after="0" w:line="13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$225.6 million for the third quarter of 2006, a decrease of 4% from $235.5</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third quarter of 2005; division revenue increased 1% to $714.7 million for the first nine months of 2006, from $704.9 million for the first nine months of 2005. Division operating income for the third quarter declined 38% to $17.7 million, from $28.6 million in the third quarter of 2005; operating income decreased to $34.3 million for the first nine months of 2006, compared to $87.0 million for the first nine months of 2005. The decline in operating results for the third quarter is due primarily to a decline in print advertising revenue at The Washington Post newspaper and increased pension expense, offset by a $2.3 million pre-tax gain on the sale of property. The decline in operating income for the first nine months of 2006 is due primarily to $47.1 million in pre-tax charges associated with early retirement plan buyouts at The Washington Post, offset by a modest increase in division revenues, and improved results at the Company’s online publishing activities, both washingtonpost.com and Slate. Operating income at the newspaper division was adversely impacted for the first nine months of 2006 by a 7% increase in newsprint expense for the entire newspaper division; for the third quarter of 2006, newsprint expense decreased 1% due to a decline in newsprint consumption.</w:t>
      </w:r>
    </w:p>
    <w:p>
      <w:pPr>
        <w:spacing w:after="0" w:line="12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Print advertising revenue at The Post in the third quarter decreased 11% to $129.4 million, from $145.3 million in 2005, and decreased 2% to $427.6 million for first nine months of 2006, from $437.6 million in 2005. The decline in the third quarter of 2006 was driven by advertising revenue declines in classified, national and retail. The decline in print advertising revenue for the first nine months of 2006 is due to declines in classified, national and retail, offset by increases in zones and preprints advertising. Classified recruitment advertising revenue declined 23% to $17.0 million for the third quarter of 2006, from $22.1 million in the third quarter of 2005, and was down 12% to $55.6 million in the first nine months of 2006, compared to $63.4 million in the first nine months of 2005.</w:t>
      </w:r>
    </w:p>
    <w:p>
      <w:pPr>
        <w:spacing w:after="0" w:line="1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the first nine months of 2006, Post daily and Sunday circulation declined 2.9% and 3.6%, respectively, compared to the same period of the prior year. For the nine months ended October 1, 2006, average daily circulation at The Post totaled 662,100 and average Sunday circulation totaled 940,000.</w:t>
      </w:r>
    </w:p>
    <w:p>
      <w:pPr>
        <w:spacing w:after="0" w:line="8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24% to $24.5 million for the third quarter of 2006, from $19.8 million in the third quarter of 2005; online revenues increased 31% to $72.7 million for the first nine months of 2006, from $55.5 million in the first nine months of 2005. Display online advertising revenues grew 43% and 52% for the third quarter and first nine months of 2006, respectively. Online classified advertising revenue on washingtonpost.com increased 14% and 21% for the third quarter and first nine months of 2006, respectively. A small portion of the Company’s online publishing revenues is included in the magazine publishing division.</w:t>
      </w:r>
    </w:p>
    <w:p>
      <w:pPr>
        <w:spacing w:after="0" w:line="1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11% in the third quarter of 2006 to $82.2 million, from $74.0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2005, due to an increase of $7.0 million in third quarter 2006 political advertising revenue. For the first nine months of 2006, revenue increased 6% to $257.1 million,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from $241.7 million in 2005, due to $6.3 million in incremental winter Olympics-related advertising at the Company’s NBC affiliates and an increase of $9.2 million in political advertising revenue.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for the third quarter and first nine months of 2006 increased 22% and 10%, respectively, to $32.9 million and $111.0 million, respectively, from $27.0 million and $100.9 million, respectively. The increases in operating income are primarily related to the significant political and Olympics revenue in 2006 discussed above.</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Magazine Publishing Division</w:t>
      </w:r>
      <w:r>
        <w:rPr>
          <w:rFonts w:ascii="Arial" w:cs="Arial" w:eastAsia="Arial" w:hAnsi="Arial"/>
          <w:sz w:val="18"/>
          <w:szCs w:val="18"/>
          <w:color w:val="auto"/>
        </w:rPr>
        <w:t>. Revenue for the magazine publishing division totaled $76.1 million for the third quarter of 2006, a 3% decline from $78.1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third quarter of 2005; division revenue totaled $235.1 million for the first nine months of 2006, a 4% decrease from $245.9 million for the first nine months of 2005. Newsweek experienced a reduction in domestic and international circulation revenues in the third quarter of 2006 due to subscription rate declines at the domestic edition and subscription rate and rate base declines at certain of the international editions; this was offset by a 3% increase in Newsweek advertising revenue due to an increase in ad pages at the domestic and international editions. The decline in revenues for the first nine months of 2006 reflects a decline in Newsweek circulation revenues and revenues at PostNewsweek Tech Media, offset by a 3% increase in Newsweek advertising revenues for the first nine months of 2006.</w:t>
      </w:r>
    </w:p>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Operating income totaled $0.1 million for the third quarter of 2006, down from $11.3 million in the third quarter of 2005. The decrease is due primarily to a $9.9 million goodwill impairment charge at PostNewsweek Tech Media, as well as lower Newsweek circulation revenues and a reduced pension credit, offset by lower operating expenses at Newsweek and a $1.3 million early retirement charge at Newsweek International in the third quarter of 2005. Operating income totaled $10.5 million for the first nine months of 2006, down from $26.2 million for the first nine months of 2005, due primarily to the goodwill impairment charge; revenue reductions at Newsweek and PostNewsweek Tech Media; and a reduced pension credit, offset by lower operating expenses at Newsweek.</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Cable Television Division</w:t>
      </w:r>
      <w:r>
        <w:rPr>
          <w:rFonts w:ascii="Arial" w:cs="Arial" w:eastAsia="Arial" w:hAnsi="Arial"/>
          <w:sz w:val="16"/>
          <w:szCs w:val="16"/>
          <w:color w:val="auto"/>
        </w:rPr>
        <w:t>. Cable division revenue of $142.3 million for the third quarter of 2006 represents a 16% increase over 2005 third quarter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$123.2 million; for the first nine months of 2006, revenue increased 11% to $418.6 million, from $378.7 million in 2005. The 2006 revenue increase is due primarily to continued growth in the division’s cable modem revenues; a $3 monthly rate increase for basic cable service at most of its systems, effective February 1, 2006; and the adverse impact of approximately $6.2 million on third quarter 2005 revenues due to Hurricane Katrina, as a result of lost revenues from a 30-day service credit granted to the division’s 94,000 pre-hurricane Gulf Coast subscribers.</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Cable division operating income increased to $27.9 million in the third quarter of 2006, versus $4.9 million in the third quarter of 2005; cable division operating income for the first nine months of 2006 increased to $93.2 million, from $51.9 million for the first nine months of 2005. The increase in third quarter and year-to-date operating income is due to the division’s revenue growth and the estimated adverse impact of $18.5 million from Hurricane Katrina on the cable division’s results in the third quarter of 2005, in which the Company recorded $9.9 million in estimated losses of property, plant and equipment; incurred an estimated $4.2 million in incremental clean-up, repair and other expenses associated with the hurricane; and experienced an estimated $4.4 million reduction in operating income from granting a 30-day service credit to all its 94,000 pre-hurricane Gulf Coast subscribers. The cable division results for the first nine months also benefited from $10.4 million in insurance recoveries recorded during the second quarter of 2006 resulting from cable division losses related to Hurricane Katrina.</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Cable division results in 2006 continue to include the impact of subscriber losses and expenses as a result of Hurricane Katrina. The Company estimates that lost revenues for the first nine months of 2006 were approximately $10.0 million; variable cost savings offset a portion of the lost revenue impact on the cable division’s operating income. The Company also incurred an estimated $4.1 million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incremental clean-up and repair expense for the first nine months of 2006. At December 31, 2005, the Company recorded a $5.0 million receivable for recovery of a portion of cable division hurricane losses through December 31, 2005 under the Company’s property and business interruption insurance program; this recovery was recorded as a reduction of cable division expense in the fourth quarter of 2005. In the second quarter of 2006, $10.4 million in additional insurance recovery amounts were recorded as a reduction of cable division expense in connection with a final settlement on cable division Hurricane Katrina insurance claims.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September 30, 2006, the Gulf Coast region shows increases in all Revenue Generating Unit (RGU) categories compared to estimated subscriber counts as of September 30, 2005. For all other regions, there is an increase in RGUs due to continued growth in high-speed data subscribers, offset by a decline in basic video and digital video subscriber categories primarily as a result of the $3 monthly basic rate increase implemented in February 2006. The cable division began offering telephone services on a very limited basis in the second quarter of 2006; telephone service is planned to be offered to about half of homes passed by the end of 2006. RGUs include about 7,000 subscribers who receive free basic cable service, primarily local governments, schools and other organizations as required by the various franchise agreements. A summary of RGUs broken down by Gulf Coast and all other regions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8440" w:type="dxa"/>
            <w:vAlign w:val="bottom"/>
            <w:gridSpan w:val="6"/>
          </w:tcPr>
          <w:p>
            <w:pPr>
              <w:ind w:left="460"/>
              <w:spacing w:after="0"/>
              <w:rPr>
                <w:sz w:val="20"/>
                <w:szCs w:val="20"/>
                <w:color w:val="auto"/>
              </w:rPr>
            </w:pPr>
            <w:r>
              <w:rPr>
                <w:rFonts w:ascii="Arial" w:cs="Arial" w:eastAsia="Arial" w:hAnsi="Arial"/>
                <w:sz w:val="14"/>
                <w:szCs w:val="14"/>
                <w:b w:val="1"/>
                <w:bCs w:val="1"/>
                <w:color w:val="auto"/>
              </w:rPr>
              <w:t>Cable Division Subscribers</w:t>
            </w:r>
          </w:p>
        </w:tc>
        <w:tc>
          <w:tcPr>
            <w:tcW w:w="126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0" w:type="dxa"/>
            <w:vAlign w:val="bottom"/>
            <w:vMerge w:val="restart"/>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6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79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Gulf Coast Region</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Basic</w:t>
            </w:r>
          </w:p>
        </w:tc>
        <w:tc>
          <w:tcPr>
            <w:tcW w:w="66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82,848</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72,984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34,446</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ind w:left="460"/>
              <w:spacing w:after="0"/>
              <w:rPr>
                <w:sz w:val="20"/>
                <w:szCs w:val="20"/>
                <w:color w:val="auto"/>
              </w:rPr>
            </w:pPr>
            <w:r>
              <w:rPr>
                <w:rFonts w:ascii="Arial" w:cs="Arial" w:eastAsia="Arial" w:hAnsi="Arial"/>
                <w:sz w:val="18"/>
                <w:szCs w:val="18"/>
                <w:color w:val="auto"/>
              </w:rPr>
              <w:t>All Other Regions</w:t>
            </w: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607,133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gridSpan w:val="4"/>
          </w:tcPr>
          <w:p>
            <w:pPr>
              <w:ind w:left="80"/>
              <w:spacing w:after="0"/>
              <w:rPr>
                <w:sz w:val="20"/>
                <w:szCs w:val="20"/>
                <w:color w:val="auto"/>
              </w:rPr>
            </w:pPr>
            <w:r>
              <w:rPr>
                <w:rFonts w:ascii="Arial" w:cs="Arial" w:eastAsia="Arial" w:hAnsi="Arial"/>
                <w:sz w:val="18"/>
                <w:szCs w:val="18"/>
                <w:color w:val="auto"/>
              </w:rPr>
              <w:t>Digital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179,456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186,894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High-speed data</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241,988</w:t>
            </w: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80" w:type="dxa"/>
            <w:vAlign w:val="bottom"/>
            <w:gridSpan w:val="3"/>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1,028,577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1,000,098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798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EEFF"/>
            </w:tcBorders>
            <w:gridSpan w:val="4"/>
          </w:tcPr>
          <w:p>
            <w:pPr>
              <w:ind w:left="80"/>
              <w:spacing w:after="0"/>
              <w:rPr>
                <w:sz w:val="20"/>
                <w:szCs w:val="20"/>
                <w:color w:val="auto"/>
              </w:rPr>
            </w:pPr>
            <w:r>
              <w:rPr>
                <w:rFonts w:ascii="Arial" w:cs="Arial" w:eastAsia="Arial" w:hAnsi="Arial"/>
                <w:sz w:val="18"/>
                <w:szCs w:val="18"/>
                <w:color w:val="auto"/>
              </w:rPr>
              <w:t>Basic</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689,981</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687,400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276,434</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1,176,935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right="80" w:hanging="212"/>
        <w:spacing w:after="0" w:line="26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Gulf Coast region subscriber figures as of September 30, 2005 are estimated and reflect a 21,200, 8,000 and 6,200 decline in estimated basic, digital and high-speed data subscribers due to Hurricane Katrina.</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Below are details of Cable division capital expenditures for the first nine months of 2006 and 2005, as defined by the NCTA Standard Reporting Categories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5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Commercial</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Line Extensions</w:t>
            </w: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Support Capital</w:t>
            </w:r>
          </w:p>
        </w:tc>
        <w:tc>
          <w:tcPr>
            <w:tcW w:w="4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900" w:type="dxa"/>
            <w:vAlign w:val="bottom"/>
            <w:vMerge w:val="restart"/>
          </w:tcPr>
          <w:p>
            <w:pPr>
              <w:jc w:val="right"/>
              <w:ind w:right="333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$420.6 million for the third quarter of 2006, a 16% increase over revenue of $362.8 million for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2005. Excluding revenue from acquired businesses, education division revenue increased 13% for the third quarter of 2006. Kaplan reported operating income for the third quarter of 2006 of $38.4 million, a 21% decline from $48.5 million in the third quarter of 2005, due to an increase of $15.7 million in Kaplan stock compensation expense in the third quarter of 2006 ($5.9 million in the third quarter of 2006, compared to a credit of $9.8 million in the third quarter of 2005). For the first nine months of 2006, education division revenue totaled $1,238.8 million, a 20% increase over revenue of $1,034.0 million for the same period of 2005. Excluding revenue from acquired businesses, education division revenue increased 14% for the first nine months of 2006. Kaplan reported operating income of $124.9 million for the first nine months of 2006, an increase of 8% from $115.3 million for the first nine months of 2005, due largely to operating income growth in higher education, offset by an increase in Kaplan stock compensation expense of $10.9 million, and $6.9 million in nonrecurring transition costs from recently acquired Kaplan businesses.</w:t>
      </w:r>
    </w:p>
    <w:p>
      <w:pPr>
        <w:spacing w:after="0" w:line="119"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In the second quarter of 2006, Kaplan completed the acquisitions of two businesses: Tribeca Learning Limited, a leading provider of education to the Australian financial services sector, and SpellRead, originator of SpellRead Phonological Auditory Training, a reading intervention program for struggling students. Kaplan incurred $6.9 million in nonrecurring transition costs from these acquired businesses, which are included in the supplemental education results. In October 2006, Kaplan completed the acquisitions of two additional businesses: Aspect Education Limited, a major provider of English-language instruction with schools located in the U.K., Ireland, Australia, New Zealand, Canada and the U.S; and PMBR, a U.S. nationwide provider of test preparation for the Multistate Bar Exam (MBE). These new businesses will be included in the supplemental education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education division operating results for the third quarter and the first nine months of 2006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Third Quarter</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 thousands)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420" w:type="dxa"/>
            <w:vAlign w:val="bottom"/>
            <w:gridSpan w:val="4"/>
          </w:tcPr>
          <w:p>
            <w:pPr>
              <w:spacing w:after="0" w:line="176" w:lineRule="exact"/>
              <w:rPr>
                <w:sz w:val="20"/>
                <w:szCs w:val="20"/>
                <w:color w:val="auto"/>
              </w:rPr>
            </w:pPr>
            <w:r>
              <w:rPr>
                <w:rFonts w:ascii="Arial" w:cs="Arial" w:eastAsia="Arial" w:hAnsi="Arial"/>
                <w:sz w:val="18"/>
                <w:szCs w:val="18"/>
                <w:color w:val="auto"/>
              </w:rPr>
              <w:t>Revenue</w:t>
            </w: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Supplemental education</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203,500</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181,228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598,367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510,272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217,104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181,594</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640,415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523,713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420,604</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362,822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1,238,782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1,033,985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gridSpan w:val="4"/>
            <w:vMerge w:val="continue"/>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Supplemental education</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11,657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58,655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90"/>
              </w:rPr>
              <w:t>Kaplan corporate overhead</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(10,636)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(6,035)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420" w:type="dxa"/>
            <w:vAlign w:val="bottom"/>
            <w:gridSpan w:val="4"/>
          </w:tcPr>
          <w:p>
            <w:pPr>
              <w:ind w:left="440"/>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8,665</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(3,446)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 from acquired businesses, supplemental education revenues grew by 7% in the third quarter of 2006 and 9% for the first nine months of 2006. Test preparation revenue grew by 18% and 21% for the third quarter and first nine months of 2006, respectively, due to strong enrollment in the nursing and English-language course offerings, as well as from the August 2005 acquisition of The Kidum Group, the leading provider of test preparation services in Israel. Also included in supplemental education is FTC Kaplan Limited (FTC). Headquartered in London, FTC primarily provides training services for accountants and financial services professionals, with training centers in the U.K. and Asia. FTC revenues grew by 22% for both the third quarter and first nine months of 2006, largely as a result of higher enrollment and price increases. Supplemental education results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also include professional real estate, insurance, securities and other professional courses, and related products. In April 2005, Kaplan Professional completed the acquisition of BISYS Education Services, a provider of licensing education and compliance solutions for financial services institutions and professionals. Kaplan Professional revenue increased 10% for the first nine months of 2006 due primarily to acquisitions; however, revenue was down 8% in the third quarter of 2006 due to soft market demand for Kaplan Professional’s real estate book publishing and real estate course offerings. The Chartered Financial Analyst courses offered by Kaplan Professional showed growth for both the third quarter and first nine months of 2006. The final component of supplemental education is Score!, which provides academic enrichment to children. Revenues at Score! were down slightly in the third quarter and first nine months of 2006. There were 161 Score! centers at the end of September 2006, compared to 167 at the end of September 2005.</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In May 2005, Kaplan acquired Singapore-based Asia Pacific Management Institute, a private education provider for undergraduate and postgraduate students in Asia. Excluding revenue from acquired businesses, higher education revenues grew by 19% for both the third quarter and first nine months of 2006. Higher education enrollments increased by 11% to 73,600 at September 30, 2006, compared to 66,400 at September 30, 2005, with most of the new enrollment growth occurring in the online programs as well as from acquisitions. Higher education results for the online programs in the first nine months of 2006 benefited from increases in both price and demand, as well as an increase in the number of course offerings.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$5.9 million in the third quarter of 2006, compared to a credit of $9.8 million in the third quarter of 2005. For the first nine months of 2006, the Company recorded expense of $11.2 million, compared to expense of $0.2 million in the first nine months of 2005.</w:t>
      </w:r>
    </w:p>
    <w:p>
      <w:pPr>
        <w:spacing w:after="0" w:line="14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increased to $8.3 million and $30.3 million for the third quarter and first nine months of 2006,</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from $8.0 million and $23.1 million for the third quarter and first nine months of 2005, respectively. The increase is primarily due to $3.8 million in pre-tax charges recorded in the second quarter of 2006 associated with early retirement plan buyouts at the corporate office.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 Earnings (Losses) of Affiliates</w:t>
      </w:r>
      <w:r>
        <w:rPr>
          <w:rFonts w:ascii="Arial" w:cs="Arial" w:eastAsia="Arial" w:hAnsi="Arial"/>
          <w:sz w:val="16"/>
          <w:szCs w:val="16"/>
          <w:color w:val="auto"/>
        </w:rPr>
        <w:t>. The Company’s equity in losses of affiliates for the third quarter of 2006 was $0.6 million, compared to losses of $1.0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third quarter of 2005. For the first nine months of 2006, the Company’s equity in losses of affiliates totaled $1.4 million, compared to losses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 million for the same period of 2005. The Company’s affiliate investments consist of a 49% interest in BrassRing LLC and a 49% interest in Bowater Mersey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Paper Company Limited.</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BrassRing entered into an agreement of sale in September 2006. The Company expects to report a gain on the sale when the transaction closes later in the fourth quarter.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Other Non-Operating Income (Expense). </w:t>
      </w:r>
      <w:r>
        <w:rPr>
          <w:rFonts w:ascii="Arial" w:cs="Arial" w:eastAsia="Arial" w:hAnsi="Arial"/>
          <w:sz w:val="16"/>
          <w:szCs w:val="16"/>
          <w:color w:val="auto"/>
        </w:rPr>
        <w:t>The Company recorded other non-operating income, net, of $4.7 million for the third quarter of 2006,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$6.9 million in the third quarter of 2005. The third quarter 2006 non-operating income, net, includes $2.0 million in pre-tax gains related to sales of marketable securities and $2.9 million in foreign currency gains, offset by other non-operating items. The third quarter 2005 non-operating income, net, includes $8.6 million in pre-tax gains related to the sales of marketable securities, offset by foreign currency losses of $1.6 million and other non-operating items.</w:t>
      </w:r>
    </w:p>
    <w:p>
      <w:pPr>
        <w:spacing w:after="0" w:line="10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recorded other non-operating income, net, of $38.2 million for the first nine months of 2006, compared to $10.3 million for the same period of the prior year. The 2006 non-operating income, net, includes pre-tax gains of $33.6 million related to the sales of marketable securities and foreign currency gains of $5.8 million. The 2005 non-operating income, net, is comprised of pre-tax gains of $17.1 million related to the sales of non-operating land and marketable securities, offset by foreign currency losses of $6.2 million and other non-operating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thirty-nine weeks ended October 1, 2006 and October 2, 2005, is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Gains on sale of marketable equity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w:t>
            </w:r>
          </w:p>
        </w:tc>
        <w:tc>
          <w:tcPr>
            <w:tcW w:w="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(losses), net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222"/>
        </w:trPr>
        <w:tc>
          <w:tcPr>
            <w:tcW w:w="828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38.2</w:t>
            </w:r>
          </w:p>
        </w:tc>
        <w:tc>
          <w:tcPr>
            <w:tcW w:w="4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10.3</w:t>
            </w:r>
          </w:p>
        </w:tc>
        <w:tc>
          <w:tcPr>
            <w:tcW w:w="6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$3.4 million and $12.0 million for the third quarter and first nine months of 2006,</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$6.9 million and $18.7 million for the same periods of 2005. At October 1, 2006, the Company had $407.2 million in borrowings outstanding at an average interest rate of 5.5%.</w:t>
      </w:r>
    </w:p>
    <w:p>
      <w:pPr>
        <w:spacing w:after="0" w:line="132"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third quarter and first nine months of 2006 was 32.9% and 36.5%, respectively, compared to 40.2%</w:t>
      </w:r>
      <w:r>
        <w:rPr>
          <w:rFonts w:ascii="Arial" w:cs="Arial" w:eastAsia="Arial" w:hAnsi="Arial"/>
          <w:sz w:val="18"/>
          <w:szCs w:val="18"/>
          <w:b w:val="1"/>
          <w:bCs w:val="1"/>
          <w:color w:val="auto"/>
        </w:rPr>
        <w:t xml:space="preserve"> </w:t>
      </w:r>
      <w:r>
        <w:rPr>
          <w:rFonts w:ascii="Arial" w:cs="Arial" w:eastAsia="Arial" w:hAnsi="Arial"/>
          <w:sz w:val="18"/>
          <w:szCs w:val="18"/>
          <w:color w:val="auto"/>
        </w:rPr>
        <w:t>and 39.2% for the third quarter and first nine months of 2005. The decline in the 2006 effective tax rate is primarily due to lower state taxes and an increase in foreign earnings subject to lower foreign tax rates.</w:t>
      </w:r>
    </w:p>
    <w:p>
      <w:pPr>
        <w:spacing w:after="0" w:line="132" w:lineRule="exact"/>
        <w:rPr>
          <w:sz w:val="20"/>
          <w:szCs w:val="20"/>
          <w:color w:val="auto"/>
        </w:rPr>
      </w:pPr>
    </w:p>
    <w:p>
      <w:pPr>
        <w:jc w:val="both"/>
        <w:ind w:right="80"/>
        <w:spacing w:after="0" w:line="306" w:lineRule="auto"/>
        <w:rPr>
          <w:sz w:val="20"/>
          <w:szCs w:val="20"/>
          <w:color w:val="auto"/>
        </w:rPr>
      </w:pPr>
      <w:r>
        <w:rPr>
          <w:rFonts w:ascii="Arial" w:cs="Arial" w:eastAsia="Arial" w:hAnsi="Arial"/>
          <w:sz w:val="15"/>
          <w:szCs w:val="15"/>
          <w:b w:val="1"/>
          <w:bCs w:val="1"/>
          <w:color w:val="auto"/>
        </w:rPr>
        <w:t xml:space="preserve">Cumulative Effect of Change in Accounting Principle. </w:t>
      </w:r>
      <w:r>
        <w:rPr>
          <w:rFonts w:ascii="Arial" w:cs="Arial" w:eastAsia="Arial" w:hAnsi="Arial"/>
          <w:sz w:val="15"/>
          <w:szCs w:val="15"/>
          <w:color w:val="auto"/>
        </w:rPr>
        <w:t>In the first quarter of 2006, the Company adopted SFAS 123R, which requires companies to record the</w:t>
      </w:r>
      <w:r>
        <w:rPr>
          <w:rFonts w:ascii="Arial" w:cs="Arial" w:eastAsia="Arial" w:hAnsi="Arial"/>
          <w:sz w:val="15"/>
          <w:szCs w:val="15"/>
          <w:b w:val="1"/>
          <w:bCs w:val="1"/>
          <w:color w:val="auto"/>
        </w:rPr>
        <w:t xml:space="preserve"> </w:t>
      </w:r>
      <w:r>
        <w:rPr>
          <w:rFonts w:ascii="Arial" w:cs="Arial" w:eastAsia="Arial" w:hAnsi="Arial"/>
          <w:sz w:val="15"/>
          <w:szCs w:val="15"/>
          <w:color w:val="auto"/>
        </w:rPr>
        <w:t>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w:t>
      </w:r>
    </w:p>
    <w:p>
      <w:pPr>
        <w:spacing w:after="0" w:line="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0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third quarter and first nine months of 2006 was based on 9,617,000 and 9,612,000</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shares outstanding, respectively, compared to 9,618,000 and 9,616,000, respectively, for the third quarter and first nine months of 2005. The Company made no repurchases of its stock during the first nine months of 2006.</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third quarter of 2006, Kaplan acquired 3 businesses in their professional services division totaling $2.5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2006, Kaplan acquired two businesses in their professional and K12 learning services divisions totaling $59.7 million. These acquisitions included Tribeca, a leading education provider to the Australian financial services sector as well as SpellRead, a provider of reading and writing programs. In the first quarter of 2006, Kaplan acquired two businesses in their professional and higher education divisions; these acquisitions totaled $7.2 million. Most of the purchase price for these acquisitions has been allocated to goodwill and other intangibles on a preliminary basis.</w:t>
      </w:r>
    </w:p>
    <w:p>
      <w:pPr>
        <w:spacing w:after="0" w:line="1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third quarter of 2005, Kaplan acquired two businesses in the test preparation division, totaling $38.4 million, financed with cash. This included the acquisition of The Kidum Group, the leading provider of test preparation services in Israel. In the second quarter of 2005, Kaplan acquired five businesses in their higher education and professional divisions totaling $83.1 million. These acquisitions included BISYS Education Services, a provider of licensing education and compliance solutions for financial services institutions and professionals as well as Asia Pacific Management Institute, a private education provider for undergraduate and postgraduate students in Asia. In the first quarter of 2005, the Company acquired Slate, an online magazine and Kaplan acquired two businesses in their higher education division; these acquisitions totaled $26.5 million.</w:t>
      </w:r>
    </w:p>
    <w:p>
      <w:pPr>
        <w:spacing w:after="0" w:line="12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October 2006, Kaplan completed the acquisitions of two additional businesses: Aspect Education Limited, a major provider of English language instruction with schools located in the U.K., Ireland, Australia, New Zealand, Canada and the U.S; and PMBR, a nationwide provider of test preparation for the Multistate Bar Exam (MBE).</w:t>
      </w:r>
    </w:p>
    <w:p>
      <w:pPr>
        <w:spacing w:after="0" w:line="13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2006, the Company’s capital expenditures totaled $199.3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$260 million to $285 million in 2006.</w:t>
      </w:r>
    </w:p>
    <w:p>
      <w:pPr>
        <w:spacing w:after="0" w:line="120"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declined by $21.2 million, to $407.2 million at October 1, 2006, as compared to borrowings of $428.4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2006</w:t>
      </w:r>
      <w:r>
        <w:rPr>
          <w:rFonts w:ascii="Arial" w:cs="Arial" w:eastAsia="Arial" w:hAnsi="Arial"/>
          <w:sz w:val="18"/>
          <w:szCs w:val="18"/>
          <w:i w:val="1"/>
          <w:iCs w:val="1"/>
          <w:color w:val="auto"/>
        </w:rPr>
        <w:t>.</w:t>
      </w:r>
      <w:r>
        <w:rPr>
          <w:rFonts w:ascii="Arial" w:cs="Arial" w:eastAsia="Arial" w:hAnsi="Arial"/>
          <w:sz w:val="18"/>
          <w:szCs w:val="18"/>
          <w:color w:val="auto"/>
        </w:rPr>
        <w:t xml:space="preserve"> At October 1, 2006, the Company has $321.5 million in cash and cash equivalents, compared to $215.9 million at January 1, 2006. The Company had commercial paper investments of $185.4 million and $59.2 million that are classified as “Cash and cash equivalents” in the Company’s Consolidated Balance Sheet as of October 1, 2006 and January 1, 2006, respectively.</w:t>
      </w:r>
    </w:p>
    <w:p>
      <w:pPr>
        <w:spacing w:after="0" w:line="14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October 1, 2006, the Company had $407.2 million in total debt outstanding, which comprised $399.4 million of 5.5 percent unsecured notes due February 15, 2009 and $7.8 million in other debt.</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third quarter of 2006 and 2005, the Company had average borrowings outstanding of approximately $417.5 million and $433.3 million, respectively, at average annual interest rates of approximately 5.5 percent and 5.4 percent, respectively. During the third quarter of 2006 and 2005, the Company incurred net interest expense of $3.4 million and $6.9 million, respectively.</w:t>
      </w:r>
    </w:p>
    <w:p>
      <w:pPr>
        <w:spacing w:after="0" w:line="14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During the first nine months of 2006 and 2005, the Company had average borrowings outstanding of approximately $422.2 million and $446.0 million, respectively, at average annual interest rates of approximately 5.5 percent and 5.4 percent, respectively. During the first nine months of 2006 and 2005, the Company incurred net interest expense of $12.0 million and $18.7 million, respectively.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October 1, 2006 and January 1, 2006, the Company has working capital of $184.4 million and $123.6 million, respectively. The Company 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In management’s opinion, the Company will have ample liquidity to meet its various cash needs throughout 2006.</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Washington Post implemented a voluntary early retirement program to the Mailers employees in April 2006; pre-tax charges of $1.1 million were recorded in the second quarter of 2006 in connection with this program. In the second quarter of 2006, the Company implemented a voluntary early retirement program to a large group of exempt and Guild-covered employees at The Washington Post and Corporate; the offer included an incentive payment, enhanced retirement benefits and subsidized retiree health insurance. For the nine months ended October 1, 2006, the Company recorded pre-tax charges of $49.0 million in connection with this program. Overall, 198 employees accepted voluntary early retirement offers under these two programs. The cost of these programs are largely being funded from the assets in the Company’s pension plans.</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1, 2006 except as described below.</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8, 2006, The Company entered into a new $500 million five year revolving credit agreement (the “2006 Credit Agreement”) with a group of banks. That facility replaced the Company’s $250 million 364-day revolving credit agreement dated as of August 10, 2005 (the “2005 Credit Agreement”) and its $350 million 5-year revolving credit agreement dated as of August 14, 2002 (the “2002 Credit Agreement”).</w:t>
      </w:r>
    </w:p>
    <w:p>
      <w:pPr>
        <w:spacing w:after="0" w:line="140" w:lineRule="exact"/>
        <w:rPr>
          <w:sz w:val="20"/>
          <w:szCs w:val="20"/>
          <w:color w:val="auto"/>
        </w:rPr>
      </w:pPr>
    </w:p>
    <w:p>
      <w:pPr>
        <w:ind w:right="400"/>
        <w:spacing w:after="0" w:line="305" w:lineRule="auto"/>
        <w:rPr>
          <w:sz w:val="20"/>
          <w:szCs w:val="20"/>
          <w:color w:val="auto"/>
        </w:rPr>
      </w:pPr>
      <w:r>
        <w:rPr>
          <w:rFonts w:ascii="Arial" w:cs="Arial" w:eastAsia="Arial" w:hAnsi="Arial"/>
          <w:sz w:val="15"/>
          <w:szCs w:val="15"/>
          <w:color w:val="auto"/>
        </w:rPr>
        <w:t>Except for the length and the amount of the commitments, the terms of the 2006 Credit Agreement are substantially the same as the terms of the 2005 Credit Agreement. The Company is required to pay a facility fee at an annual rate, which depends on the Company’s long-term debt ratings, of between 0.04% and</w:t>
      </w:r>
    </w:p>
    <w:p>
      <w:pPr>
        <w:spacing w:after="0" w:line="288" w:lineRule="auto"/>
        <w:rPr>
          <w:sz w:val="20"/>
          <w:szCs w:val="20"/>
          <w:color w:val="auto"/>
        </w:rPr>
      </w:pPr>
      <w:r>
        <w:rPr>
          <w:rFonts w:ascii="Arial" w:cs="Arial" w:eastAsia="Arial" w:hAnsi="Arial"/>
          <w:sz w:val="16"/>
          <w:szCs w:val="16"/>
          <w:color w:val="auto"/>
        </w:rPr>
        <w:t>0.10% of the amount of the facility. Any borrowings are made on an unsecured basis and bear interest, at the Company’s option, at Citibank’s base rate or at a rate based on LIBOR plus an applicable margin that also depends on the Company’s long-term debt ratings. The 2006 Credit Agreement will expire on August 8, 2011, unless the Company and the banks agree prior to the second anniversary date to extend the term (which extensions cannot exceed an aggregate of two years). Any outstanding borrowings must be repaid on or prior to the final termination date. The 2006 Credit Agreement supports the issuance of the Company’s commercial paper but the Company may also draw on the facility for general corporate purposes. The 2006 Credit Agreement contains terms and conditions, including remedies in the event of a default by the Company, typical of facilities of this type and, among other things, requires the Company to maintain at least $1 billion of consolidated shareholders’ equity. No borrowings are currently outstanding under the 2006 Credit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October 2006, Kaplan completed the acquisitions of Aspect Education Limited and PMBR, as previously discussed.</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September 2006, the cable division participated in a FCC license auction for wireless spectrum and in October 2006, the cable division completed the purchase of wireless spectrum covering 87% of homes passed in their markets, for $22.1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1, 2006.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2005 Annual Report filed on Form 10-K have not changed significantly.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October 1, 2006.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October 1, 2006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75"/>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3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17"/>
                <w:szCs w:val="17"/>
                <w:color w:val="auto"/>
              </w:rPr>
            </w:pPr>
          </w:p>
        </w:tc>
        <w:tc>
          <w:tcPr>
            <w:tcW w:w="10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Restated Certificate of Incorporation of the Company dated November 13, 2003 (incorporated by reference to Exhibit 3.1 to the Company’s</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Annual Report on Form 10-K for the fiscal year ended December 28, 2003).</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Certificate of Designation for the Company’s Series A Preferred Stock dated September 22, 2003 (incorporated by reference to Exhibit 3.2 to</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By-Laws of the Company as amended and restated through September 22, 2003 (incorporated by reference to Exhibit 3.4 to the Company’s</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Current Report on Form 8-K dated September 22, 2003).</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7"/>
              </w:rPr>
              <w:t>Form of the Company’s 5.50% Notes due February 15, 2009, issued under the Indenture dated as of February 17, 1999, between the Company and</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The First National Bank of Chicago, as Trustee (incorporated by reference to Exhibit 4.2 to the Company’s Annual Report on Form 10-K for the</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fiscal year ended January 3, 1999).</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Indenture dated as of February 17, 1999, between the Company and The First National Bank of Chicago, as Trustee (incorporated by reference to</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Company’s Annual Report on Form 10-K for the fiscal year ended January 3, 1999).</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First Supplemental Indenture dated as of September 22, 2003, among WP Company LLC, the Company and Bank One, NA, as successor to The</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First National Bank of Chicago, as trustee, to the Indenture dated as of February 17, 1999, between The Washington Post Company and The First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National Bank of Chicago, as trustee (incorporated by reference to Exhibit 4.1 to the Company’s Current Report on Form 8-K dated September 22,</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540"/>
              <w:spacing w:after="0"/>
              <w:rPr>
                <w:sz w:val="20"/>
                <w:szCs w:val="20"/>
                <w:color w:val="auto"/>
              </w:rPr>
            </w:pPr>
            <w:r>
              <w:rPr>
                <w:rFonts w:ascii="Arial" w:cs="Arial" w:eastAsia="Arial" w:hAnsi="Arial"/>
                <w:sz w:val="18"/>
                <w:szCs w:val="18"/>
                <w:color w:val="auto"/>
              </w:rPr>
              <w:t>2003).</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Five Year Credit Agreement, dated as of August 8, 2006, among the Company, Citibank, N.A., JPMorgan Chase Bank, N.A., Wachovia Bank,</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National Association, SunTrust Bank, The Bank of New York, PNC Bank, National Association, Bank of America, N.A. and Wells Fargo Bank,</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N.A. (incorporated by reference to Exhibit 4.4 to the Company’s Quarterly Report on Form 10-Q for the quarter ended July 2, 2006).</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9"/>
              </w:rPr>
              <w:t>11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Calculation of earnings per share of common stock.</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of the Chief Executive Officer.</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of the Chief Financial Officer.</w:t>
            </w: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Date: November 6, 2006</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 November 6, 2006</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Exhibit 11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80" w:type="dxa"/>
            <w:vAlign w:val="bottom"/>
          </w:tcPr>
          <w:p>
            <w:pPr>
              <w:jc w:val="center"/>
              <w:ind w:left="3112"/>
              <w:spacing w:after="0"/>
              <w:rPr>
                <w:sz w:val="20"/>
                <w:szCs w:val="20"/>
                <w:color w:val="auto"/>
              </w:rPr>
            </w:pPr>
            <w:r>
              <w:rPr>
                <w:rFonts w:ascii="Arial" w:cs="Arial" w:eastAsia="Arial" w:hAnsi="Arial"/>
                <w:sz w:val="18"/>
                <w:szCs w:val="18"/>
                <w:color w:val="auto"/>
                <w:w w:val="93"/>
              </w:rPr>
              <w:t>THE WASHINGTON POST COMPANY</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180" w:type="dxa"/>
            <w:vAlign w:val="bottom"/>
          </w:tcPr>
          <w:p>
            <w:pPr>
              <w:jc w:val="center"/>
              <w:ind w:left="3112"/>
              <w:spacing w:after="0"/>
              <w:rPr>
                <w:sz w:val="20"/>
                <w:szCs w:val="20"/>
                <w:color w:val="auto"/>
              </w:rPr>
            </w:pPr>
            <w:r>
              <w:rPr>
                <w:rFonts w:ascii="Arial" w:cs="Arial" w:eastAsia="Arial" w:hAnsi="Arial"/>
                <w:sz w:val="18"/>
                <w:szCs w:val="18"/>
                <w:color w:val="auto"/>
                <w:w w:val="94"/>
              </w:rPr>
              <w:t>CALCULATION OF EARNINGS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jc w:val="center"/>
              <w:ind w:left="3132"/>
              <w:spacing w:after="0"/>
              <w:rPr>
                <w:sz w:val="20"/>
                <w:szCs w:val="20"/>
                <w:color w:val="auto"/>
              </w:rPr>
            </w:pPr>
            <w:r>
              <w:rPr>
                <w:rFonts w:ascii="Arial" w:cs="Arial" w:eastAsia="Arial" w:hAnsi="Arial"/>
                <w:sz w:val="18"/>
                <w:szCs w:val="18"/>
                <w:color w:val="auto"/>
                <w:w w:val="92"/>
              </w:rPr>
              <w:t>PER SHARE OF COMMON STOCK</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jc w:val="center"/>
              <w:ind w:left="3132"/>
              <w:spacing w:after="0"/>
              <w:rPr>
                <w:sz w:val="20"/>
                <w:szCs w:val="20"/>
                <w:color w:val="auto"/>
              </w:rPr>
            </w:pPr>
            <w:r>
              <w:rPr>
                <w:rFonts w:ascii="Arial" w:cs="Arial" w:eastAsia="Arial" w:hAnsi="Arial"/>
                <w:sz w:val="18"/>
                <w:szCs w:val="18"/>
                <w:color w:val="auto"/>
                <w:w w:val="86"/>
              </w:rPr>
              <w:t>(In thousands of shares)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Thirteen Weeks Ended</w:t>
            </w:r>
          </w:p>
        </w:tc>
        <w:tc>
          <w:tcPr>
            <w:tcW w:w="220" w:type="dxa"/>
            <w:vAlign w:val="bottom"/>
          </w:tcPr>
          <w:p>
            <w:pPr>
              <w:spacing w:after="0"/>
              <w:rPr>
                <w:sz w:val="24"/>
                <w:szCs w:val="24"/>
                <w:color w:val="auto"/>
              </w:rPr>
            </w:pPr>
          </w:p>
        </w:tc>
        <w:tc>
          <w:tcPr>
            <w:tcW w:w="158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8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October 1,</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October 2,</w:t>
            </w:r>
          </w:p>
        </w:tc>
        <w:tc>
          <w:tcPr>
            <w:tcW w:w="220" w:type="dxa"/>
            <w:vAlign w:val="bottom"/>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1,</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Class A and Class B common stock outstanding at beginning of Period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Issuance of shares of Class B common stock (weighted)</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Adjustment to reflect dilution from common stock and restricted stock equivalents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73,051</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66,313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227,933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210,923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9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2006</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9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2006</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October 1, 2006 (the “Report”), I, Donald E. Graham, Chief Executive Officer (principal executive officer) of the Company, certify, pursuant to 18 U.S.C. Section 1350, as adopted pursuant to Section 906 of the Sarbanes-Oxley Act of 2002, that:</w:t>
      </w:r>
    </w:p>
    <w:p>
      <w:pPr>
        <w:spacing w:after="0" w:line="5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2006</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October 1, 2006 (the “Report”), I, John B. Morse, Jr., Vice President-Finance (principal financial officer) of the Company, certify, pursuant to 18 U.S.C. Section 1350, as adopted pursuant to Section 906 of the Sarbanes-Oxley Act of 2002, that:</w:t>
      </w:r>
    </w:p>
    <w:p>
      <w:pPr>
        <w:spacing w:after="0" w:line="5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2019-12-11T19:09:34Z</dcterms:created>
  <dcterms:modified xsi:type="dcterms:W3CDTF">2019-12-11T19:09:34Z</dcterms:modified>
</cp:coreProperties>
</file>