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2, 2014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1150 15th Street, N.W. Washington, D.C.</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20071</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(202) 334-6000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2, 2014, Graham Holdings Company issued a press release announcing the Company’s earnings for the first quarter ended March 31, 2014.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r>
      <w:tr>
        <w:trPr>
          <w:trHeight w:val="237"/>
        </w:trPr>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May 2, 2014</w:t>
            </w:r>
          </w:p>
        </w:tc>
        <w:tc>
          <w:tcPr>
            <w:tcW w:w="2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120" w:type="dxa"/>
            <w:vAlign w:val="bottom"/>
          </w:tcPr>
          <w:p>
            <w:pPr>
              <w:spacing w:after="0"/>
              <w:rPr>
                <w:sz w:val="24"/>
                <w:szCs w:val="24"/>
                <w:color w:val="auto"/>
              </w:rPr>
            </w:pPr>
          </w:p>
        </w:tc>
      </w:tr>
    </w:tbl>
    <w:p>
      <w:pPr>
        <w:spacing w:after="0" w:line="2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May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(202) 334-6645</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May 2, 2014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FIRST QUARTER EARNINGS</w:t>
      </w:r>
    </w:p>
    <w:p>
      <w:pPr>
        <w:spacing w:after="0" w:line="144"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WASHINGTON – Graham Holdings Company (NYSE: GHC) today reported income from continuing operations attributable to common shares of $131.0 million ($17.65 per share) for the first quarter of 2014, compared to $21.7 million ($2.92 per share) for the first quarter of 2013. Net income attributable to common shares was $132.1 million ($ 17.79 per share) for the first quarter ended March 31, 2014, compared to $ 4.7 million ($0.64 per share) for the first quarter of last year. Net income includes $1.1 million ($0.14 per share) in income and $17.0 million ($2.28 per share) in losses from discontinued operations for the first quarter of 2014 and 2013, respectively. (Refer to “Discontinued Operations” discussion below.)</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among other things, WPLG, the Company's Miami-based television station. The transaction is expected to close in the second or third quarter of 2014. As a result, income from continuing operations excludes WPLG, which has been reclassified to discontinued operations, net of tax, for all periods presented.</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for the first quarter of 2014 and 2013 were affected by a number of items as described in the following paragraphs. Excluding these items, income from continuing operations attributable to common shares was $ 48.8 million ($6.47 per share) for the first quarter of 2014, compared to $30.8 million ($4.18 per share) for the first quarter of 2013.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2014:</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 million in early retirement program expense at the corporate office (after-tax impact of $2.9 million, or $0.39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$5.0 million in non-operating unrealized foreign currency gains (after-tax impact of $3.2 million, or $0.44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2013:</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$9.4 million in severance and restructuring charges at the education division (after-tax impact of $6.1 million, or $0.85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 million in non-operating unrealized foreign currency losses (after-tax impact of $3.0 million, or $0.41 per share).</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quarter of 2014 was $840.6 million, up 2% from $820.6 million in the first quarter of 2013. The Company reported operating income of $79.5 million in the first quarter of 2014, compared to $47.1 million in the first quarter of 2013. Revenues increased at the television broadcasting and cable divisions, while revenues at the education division were flat. Operating results improved in the first quarter at the television broadcasting, cable and education divisions.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Education division revenue totaled $526.2 million for the first quarter of 2014, essentially flat compared with revenue of $527.8 million for the first quarter of 2013. Kaplan reported first quarter 2014 operating income of $2.5 million, compared to an operating loss of $4.1 million in the first quarter of 2013. Operating results for the first quarter of 2013 include restructuring costs of $9.4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summary of Kaplan’s operating results for the first quarter of 2014 compared to 2013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2013</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8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253,779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271,860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67,804</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68,943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202,867</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184,813</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2,604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3"/>
        </w:trPr>
        <w:tc>
          <w:tcPr>
            <w:tcW w:w="78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(290)</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526,174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527,815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13,144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5,101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(6,628)</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(4,345)</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10,882</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6,397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corporate</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(12,632)</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(8,822)</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(2,288)</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(2,518)</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3"/>
        </w:trPr>
        <w:tc>
          <w:tcPr>
            <w:tcW w:w="78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820" w:type="dxa"/>
            <w:vAlign w:val="bottom"/>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2,522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In connection with these and other plans, KHE incurred $9.1 million in restructuring costs in the first quarter of 2013, including accelerated depreciation ($3.6 million), severance ($0.9 million), lease obligation losses ($3.7 million) and other items ($0.9 million). At the end of 2013, the KHE campus closures or mergers had been largely completed, though two campuses remain to be closed in the first half of 2014. In April 2014, KHE announced plans to close two additional ground campuses that will be completed by the end of 2015.</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the first quarter of 2014, KHE revenue declined 7% due largely to declines in average enrollments that reflect weaker market demand over the past year, lower average tuition and the impact of closed campuses. KHE operating income increased in the first quarter of 2014 due largely to expense reductions associated with lower enrollments and recent restructuring efforts, as well as significant restructuring costs recorded in the first quarter of 2013.</w:t>
      </w:r>
    </w:p>
    <w:p>
      <w:pPr>
        <w:spacing w:after="0" w:line="13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New student enrollments at KHE increased 7% in the first quarter of 2014 due to growth at Kaplan University, offset by the impact of closed campuses.</w:t>
      </w:r>
    </w:p>
    <w:p>
      <w:pPr>
        <w:spacing w:after="0" w:line="1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Total students at March 31, 2014, were down 2% compared to March 31, 2013, but increased 9% compared to December 31, 2013. Excluding campuses closed or planned for closure, total students at March 31, 2014, were down 1% compared to March 31, 2013, but up 10% compared to December 31, 2013. A summary of student enrollments is as follows:</w:t>
      </w:r>
    </w:p>
    <w:p>
      <w:pPr>
        <w:spacing w:after="0" w:line="19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Excluding Campuses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26035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420"/>
          </w:cols>
          <w:pgMar w:left="240" w:top="584" w:right="239" w:bottom="260" w:gutter="0" w:footer="0" w:header="0"/>
        </w:sectPr>
      </w:pPr>
    </w:p>
    <w:p>
      <w:pPr>
        <w:spacing w:after="0" w:line="109"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277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03" w:lineRule="exact"/>
        <w:rPr>
          <w:sz w:val="20"/>
          <w:szCs w:val="20"/>
          <w:color w:val="auto"/>
        </w:rPr>
      </w:pPr>
    </w:p>
    <w:p>
      <w:pPr>
        <w:ind w:left="3000"/>
        <w:spacing w:after="0"/>
        <w:tabs>
          <w:tab w:leader="none" w:pos="4360" w:val="left"/>
          <w:tab w:leader="none" w:pos="598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color w:val="auto"/>
        </w:rPr>
        <w:t>December 31,</w:t>
      </w:r>
      <w:r>
        <w:rPr>
          <w:sz w:val="20"/>
          <w:szCs w:val="20"/>
          <w:color w:val="auto"/>
        </w:rPr>
        <w:tab/>
      </w:r>
      <w:r>
        <w:rPr>
          <w:rFonts w:ascii="Arial" w:cs="Arial" w:eastAsia="Arial" w:hAnsi="Arial"/>
          <w:sz w:val="14"/>
          <w:szCs w:val="14"/>
          <w:color w:val="auto"/>
        </w:rPr>
        <w:t>March 31,</w:t>
      </w:r>
    </w:p>
    <w:p>
      <w:pPr>
        <w:spacing w:after="0" w:line="109" w:lineRule="exact"/>
        <w:rPr>
          <w:sz w:val="20"/>
          <w:szCs w:val="20"/>
          <w:color w:val="auto"/>
        </w:rPr>
      </w:pPr>
    </w:p>
    <w:p>
      <w:pPr>
        <w:ind w:left="3180"/>
        <w:spacing w:after="0"/>
        <w:tabs>
          <w:tab w:leader="none" w:pos="4640" w:val="left"/>
          <w:tab w:leader="none" w:pos="61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26035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 w:leader="none" w:pos="29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color w:val="auto"/>
        </w:rPr>
        <w:t>December 31,</w:t>
      </w:r>
      <w:r>
        <w:rPr>
          <w:sz w:val="20"/>
          <w:szCs w:val="20"/>
          <w:color w:val="auto"/>
        </w:rPr>
        <w:tab/>
      </w:r>
      <w:r>
        <w:rPr>
          <w:rFonts w:ascii="Arial" w:cs="Arial" w:eastAsia="Arial" w:hAnsi="Arial"/>
          <w:sz w:val="14"/>
          <w:szCs w:val="14"/>
          <w:color w:val="auto"/>
        </w:rPr>
        <w:t>March 31,</w:t>
      </w:r>
    </w:p>
    <w:p>
      <w:pPr>
        <w:spacing w:after="0" w:line="109" w:lineRule="exact"/>
        <w:rPr>
          <w:sz w:val="20"/>
          <w:szCs w:val="20"/>
          <w:color w:val="auto"/>
        </w:rPr>
      </w:pPr>
    </w:p>
    <w:p>
      <w:pPr>
        <w:ind w:left="180"/>
        <w:spacing w:after="0"/>
        <w:tabs>
          <w:tab w:leader="none" w:pos="1620" w:val="left"/>
          <w:tab w:leader="none" w:pos="30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2013</w:t>
      </w:r>
    </w:p>
    <w:p>
      <w:pPr>
        <w:spacing w:after="0" w:line="91" w:lineRule="exact"/>
        <w:rPr>
          <w:sz w:val="20"/>
          <w:szCs w:val="20"/>
          <w:color w:val="auto"/>
        </w:rPr>
      </w:pPr>
    </w:p>
    <w:p>
      <w:pPr>
        <w:sectPr>
          <w:pgSz w:w="11900" w:h="16838" w:orient="portrait"/>
          <w:cols w:equalWidth="0" w:num="2">
            <w:col w:w="6760" w:space="720"/>
            <w:col w:w="3940"/>
          </w:cols>
          <w:pgMar w:left="240" w:top="584" w:right="239" w:bottom="26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2600" w:type="dxa"/>
            <w:vAlign w:val="bottom"/>
          </w:tcPr>
          <w:p>
            <w:pPr>
              <w:spacing w:after="0"/>
              <w:rPr>
                <w:sz w:val="20"/>
                <w:szCs w:val="20"/>
                <w:color w:val="auto"/>
              </w:rPr>
            </w:pPr>
            <w:r>
              <w:rPr>
                <w:rFonts w:ascii="Arial" w:cs="Arial" w:eastAsia="Arial" w:hAnsi="Arial"/>
                <w:sz w:val="16"/>
                <w:szCs w:val="16"/>
                <w:color w:val="auto"/>
              </w:rPr>
              <w:t>Kaplan University</w:t>
            </w: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47,109</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42,816</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45,788</w:t>
            </w:r>
          </w:p>
        </w:tc>
        <w:tc>
          <w:tcPr>
            <w:tcW w:w="12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47,109</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42,816</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45,788</w:t>
            </w:r>
          </w:p>
        </w:tc>
      </w:tr>
      <w:tr>
        <w:trPr>
          <w:trHeight w:val="283"/>
        </w:trPr>
        <w:tc>
          <w:tcPr>
            <w:tcW w:w="2600" w:type="dxa"/>
            <w:vAlign w:val="bottom"/>
          </w:tcPr>
          <w:p>
            <w:pPr>
              <w:spacing w:after="0"/>
              <w:rPr>
                <w:sz w:val="20"/>
                <w:szCs w:val="20"/>
                <w:color w:val="auto"/>
              </w:rPr>
            </w:pPr>
            <w:r>
              <w:rPr>
                <w:rFonts w:ascii="Arial" w:cs="Arial" w:eastAsia="Arial" w:hAnsi="Arial"/>
                <w:sz w:val="16"/>
                <w:szCs w:val="16"/>
                <w:color w:val="auto"/>
              </w:rPr>
              <w:t>Other Campuses</w:t>
            </w: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18,842</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17,417</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w:t>
            </w:r>
          </w:p>
        </w:tc>
        <w:tc>
          <w:tcPr>
            <w:tcW w:w="120" w:type="dxa"/>
            <w:vAlign w:val="bottom"/>
          </w:tcPr>
          <w:p>
            <w:pPr>
              <w:spacing w:after="0"/>
              <w:rPr>
                <w:sz w:val="24"/>
                <w:szCs w:val="24"/>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18,309</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16,868</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20,002</w:t>
            </w:r>
          </w:p>
        </w:tc>
      </w:tr>
      <w:tr>
        <w:trPr>
          <w:trHeight w:val="264"/>
        </w:trPr>
        <w:tc>
          <w:tcPr>
            <w:tcW w:w="2600" w:type="dxa"/>
            <w:vAlign w:val="bottom"/>
          </w:tcPr>
          <w:p>
            <w:pPr>
              <w:spacing w:after="0"/>
              <w:rPr>
                <w:sz w:val="22"/>
                <w:szCs w:val="22"/>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65,951</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60,233</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67,196</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65,418</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59,684</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65,790</w:t>
            </w:r>
          </w:p>
        </w:tc>
      </w:tr>
      <w:tr>
        <w:trPr>
          <w:trHeight w:val="20"/>
        </w:trPr>
        <w:tc>
          <w:tcPr>
            <w:tcW w:w="2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March 31, 2014 and 2013, by degree and certificate programs,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2013</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21.6%</w:t>
            </w:r>
          </w:p>
        </w:tc>
        <w:tc>
          <w:tcPr>
            <w:tcW w:w="88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30.6%</w:t>
            </w:r>
          </w:p>
        </w:tc>
        <w:tc>
          <w:tcPr>
            <w:tcW w:w="88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32.3%</w:t>
            </w:r>
          </w:p>
        </w:tc>
        <w:tc>
          <w:tcPr>
            <w:tcW w:w="8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15.5%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26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4" w:right="239" w:bottom="260" w:gutter="0" w:footer="0" w:header="0"/>
          <w:type w:val="continuous"/>
        </w:sectPr>
      </w:pPr>
    </w:p>
    <w:bookmarkStart w:id="6" w:name="page7"/>
    <w:bookmarkEnd w:id="6"/>
    <w:p>
      <w:pPr>
        <w:jc w:val="both"/>
        <w:ind w:right="400"/>
        <w:spacing w:after="0" w:line="229"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2% for the first quarter of 2014. Enrollment increased 2% for the first quarter of 2014 due to growth in health and bar review programs, offset by declines in graduate programs. KTP operating results declined in the first three months of 2014 due largely to decreased revenues.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10% in the first quarter of 2014 due to enrollment growth in the pathways programs, English-language and Singapore higher education programs. Kaplan International operating income improved in the first quarter of 2014 due to improved earnings in the pathways and English-language programs.</w:t>
      </w:r>
    </w:p>
    <w:p>
      <w:pPr>
        <w:spacing w:after="0" w:line="135" w:lineRule="exact"/>
        <w:rPr>
          <w:sz w:val="20"/>
          <w:szCs w:val="20"/>
          <w:color w:val="auto"/>
        </w:rPr>
      </w:pPr>
    </w:p>
    <w:p>
      <w:pPr>
        <w:ind w:right="440"/>
        <w:spacing w:after="0" w:line="470" w:lineRule="auto"/>
        <w:rPr>
          <w:sz w:val="20"/>
          <w:szCs w:val="20"/>
          <w:color w:val="auto"/>
        </w:rPr>
      </w:pPr>
      <w:r>
        <w:rPr>
          <w:rFonts w:ascii="Arial" w:cs="Arial" w:eastAsia="Arial" w:hAnsi="Arial"/>
          <w:sz w:val="18"/>
          <w:szCs w:val="18"/>
          <w:color w:val="auto"/>
        </w:rPr>
        <w:t xml:space="preserve">Kaplan corporate represents unallocated expenses of Kaplan, Inc.’s corporate office, other minor businesses and certain shared activities. Kaplan continues to evaluate its cost structure and may develop additional restructuring plans in 2014. </w:t>
      </w:r>
      <w:r>
        <w:rPr>
          <w:rFonts w:ascii="Arial" w:cs="Arial" w:eastAsia="Arial" w:hAnsi="Arial"/>
          <w:sz w:val="18"/>
          <w:szCs w:val="18"/>
          <w:b w:val="1"/>
          <w:bCs w:val="1"/>
          <w:i w:val="1"/>
          <w:iCs w:val="1"/>
          <w:color w:val="auto"/>
        </w:rPr>
        <w:t>Cable</w:t>
      </w:r>
    </w:p>
    <w:p>
      <w:pPr>
        <w:spacing w:after="0" w:line="243"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Cable division revenue increased 2% in the first quarter of 2014 to $203.9 million, from $200.1 million for the first quarter of 2013. The revenue increase for the first three months of 2014 is due to growth of the division's Internet and commercial sales revenues, recent rate increases for many subscribers and a reduction in promotional discounts. The increase was partially offset by a 2% decline in total customers and a 4% decline in total PSUs, as the cable division continues to increase its focus on high-value customers and decrease its focus on marginal customers.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Cable division operating income grew 12% in the first quarter of 2014 to $41.2 million, from $36.6 million in the first quarter of 2013. The division’s operating income improved in the first three months of 2014 due to increased revenues and tight cost controls that resulted in a small reduction in overall operating costs.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At March 31, 2014, total customers were down 2% and Primary Service Units (PSUs) were down 4% due to a decline in video subscribers. A summary of PSUs and total customers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524,563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588,180</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484,168</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463,726</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174,876</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185,717</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1,183,607</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1,237,623</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714,010</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732,010</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at the television broadcasting division increased 24% to $85.7 million in the first quarter of 2014, from $68.9 million in the same period of 2013; operating income for the first quarter of 2014 was up 52% to $44.4 million, from $29.1 million in the same period of 2013. The increase in revenue and operating income is due to a $ 3.1 million increase in political advertising revenue, $9.5 million in incremental winter Olympics-related advertising revenue at the Company's NBC affiliates and $4.7 million in increased retransmission revenues.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As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ind w:right="100"/>
        <w:spacing w:after="0" w:line="229" w:lineRule="auto"/>
        <w:rPr>
          <w:sz w:val="20"/>
          <w:szCs w:val="20"/>
          <w:color w:val="auto"/>
        </w:rPr>
      </w:pPr>
      <w:r>
        <w:rPr>
          <w:rFonts w:ascii="Arial" w:cs="Arial" w:eastAsia="Arial" w:hAnsi="Arial"/>
          <w:sz w:val="18"/>
          <w:szCs w:val="18"/>
          <w:color w:val="auto"/>
        </w:rPr>
        <w:t>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team focused on emerging technologies and new product development.</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will expand Celtic's home health and hospice service areas from Pennsylvania and Maryland to the Missouri and Illinois region.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obligations related to prior business dispositions. In the first quarter of 2014, the corporate office implemented a Separation Incentive Program that resulted in early retirement program expense of $4.5 million, which will be funded from the assets of the Company pension plan. Excluding early retirement program expense, the total pension credit for the Company's traditional defined benefit plan was $22.4 million and $9.2 million in the first quarter of 2014 and 2013,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Company’s equity in earnings of affiliates, net, was $4.1 million for the first quarter of 2014, compared to $3.4 million for the first quarter of 2013.</w:t>
      </w:r>
    </w:p>
    <w:p>
      <w:pPr>
        <w:spacing w:after="0" w:line="135"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On April 1, 2014, the Company received a gross cash distribution of approximately $95 million from Classified Ventures’ sale of apartments.com. In connection with this sale, the Company will record a pre-tax gain of approximately $92 million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 recorded total other non-operating income, net, of $133.3 million for the first quarter of 2014, compared to expense of $4.1 million for the first quarter of 2013. The first quarter 2014 non-operating income, net, included a pre-tax $ 127.7 million gain on the sale of the headquarters building, $5.0 million in unrealized foreign currency gains and other items. The first quarter 2013 non-operating expense, net, included $4.6 million in unrealized foreign currency losses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incurred net interest expense of $8.2 million for the first quarter of 2014, compared to $8.5 million for the first quarter of 2013. At March 31, 2014, the Company had $452.5 million in borrowings outstanding at an average interest rate of 7.0%.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effective tax rate for income from continuing operations for the first quarter of 2014 was 37.1%, compared to 41.5% for the first quarter of 2013. The higher effective tax rate in 2013 results mostly from losses in Australia for which no tax benefit is recorded.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April 11, 2014, the Company and Berkshire Hathaway Inc. announced that they have signed an agreement for Berkshire to acquire a wholly-owned subsidiary of the Company that includes WPLG, the Company's Miami-based television station, a number of Berkshire shares currently held by the Company and cash in exchange for approximately 1.6 million shares of Graham Holdings Class B common stock currently owned by Berkshire. The transaction is expected to close in the second or third quarter of 2014. As a result, income from continuing operations excludes WPLG, which has been reclassified to discontinued operations, net of tax, for all periods presented.</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specific number of shares of each company and the amount of cash will be determined on the closing date based on certain factors, including the market prices of the shares of both companies at that time. The transaction is subject to FCC approval and other customary conditions. In addition, there are certain termination rights relating to minimum trading prices of the stock of each company immediately prior to closing and to a minimum value of the television station for purposes of the transaction on the closing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The calculation of diluted earnings per share for the first quarter of 2014 was based on 7,352,230 weighted average shares outstanding, compared to 7,266,284 for the first quarter of 2013. At March 31, 2014, there were 7,401,499 shares outstanding and the Company had remaining authorization from the Board of Directors to purchase up to 159,219 shares of Class B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562" w:right="519" w:bottom="1440" w:gutter="0" w:footer="0" w:header="0"/>
        </w:sectPr>
      </w:pPr>
    </w:p>
    <w:bookmarkStart w:id="9" w:name="page10"/>
    <w:bookmarkEnd w:id="9"/>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840,561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820,592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704,706</w:t>
            </w:r>
          </w:p>
        </w:tc>
        <w:tc>
          <w:tcPr>
            <w:tcW w:w="28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710,769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53,245</w:t>
            </w:r>
          </w:p>
        </w:tc>
        <w:tc>
          <w:tcPr>
            <w:tcW w:w="28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58,959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3,081</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1"/>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79,529</w:t>
            </w:r>
          </w:p>
        </w:tc>
        <w:tc>
          <w:tcPr>
            <w:tcW w:w="2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47,147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4,052</w:t>
            </w:r>
          </w:p>
        </w:tc>
        <w:tc>
          <w:tcPr>
            <w:tcW w:w="28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3,418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599</w:t>
            </w:r>
          </w:p>
        </w:tc>
        <w:tc>
          <w:tcPr>
            <w:tcW w:w="28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(8,820)</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(8,960)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84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133,273</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208,633</w:t>
            </w:r>
          </w:p>
        </w:tc>
        <w:tc>
          <w:tcPr>
            <w:tcW w:w="2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38,032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77,400</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131,233</w:t>
            </w:r>
          </w:p>
        </w:tc>
        <w:tc>
          <w:tcPr>
            <w:tcW w:w="2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22,232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1,072</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132,305</w:t>
            </w:r>
          </w:p>
        </w:tc>
        <w:tc>
          <w:tcPr>
            <w:tcW w:w="2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5,259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219</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132,524</w:t>
            </w:r>
          </w:p>
        </w:tc>
        <w:tc>
          <w:tcPr>
            <w:tcW w:w="2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(426)</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132,098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131,026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21,691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1,072</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4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132,098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17.71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0.14</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48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48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7,275</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7,227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17.65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48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0.14</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48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8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7,352</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526,174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527,815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203,921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200,138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85,651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68,902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24,913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23,814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840,561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820,592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523,652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531,871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162,759</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163,525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41,265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39,791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35,660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32,356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(2,206)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761,032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773,445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41,162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36,613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44,386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29,111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(10,747)</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(8,542)</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2,206</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79,529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47,147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16,444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22,588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33,787</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33,733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1,994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2,209</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520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500</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53,245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58,959</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2,288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2,518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758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3,081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3,717</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4,143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864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320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1,344</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(17,679)</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(12,188)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38" w:right="239" w:bottom="613"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253,779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271,860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67,804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68,943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202,867</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184,813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2,604</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(290)</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526,174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527,815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240,635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266,759</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74,432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73,288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191,985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178,416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14,646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11,426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2,288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2,518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523,652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531,871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13,144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(6,628)</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(4,345)</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10,882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6,397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(12,632)</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(8,822)</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(2,288)</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7,740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13,439</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3,784</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4,758</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4,708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3,996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212</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16,444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22,588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2,628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722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89</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704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4,143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131,026</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21,691</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Early retirement, severance and restructuring charges</w:t>
            </w:r>
          </w:p>
        </w:tc>
        <w:tc>
          <w:tcPr>
            <w:tcW w:w="22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b w:val="1"/>
                <w:bCs w:val="1"/>
                <w:color w:val="auto"/>
              </w:rPr>
              <w:t>2,878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6,140</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(81,836)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2,953</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48,839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30,784</w:t>
            </w:r>
          </w:p>
        </w:tc>
      </w:tr>
      <w:tr>
        <w:trPr>
          <w:trHeight w:val="49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17.65</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2.92</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Early retirement, severance and restructuring charges</w:t>
            </w:r>
          </w:p>
        </w:tc>
        <w:tc>
          <w:tcPr>
            <w:tcW w:w="22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b w:val="1"/>
                <w:bCs w:val="1"/>
                <w:color w:val="auto"/>
              </w:rPr>
              <w:t>0.39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0.85</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0.41</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6.47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4.18</w:t>
            </w: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2019-12-05T15:26:17Z</dcterms:created>
  <dcterms:modified xsi:type="dcterms:W3CDTF">2019-12-05T15:26:17Z</dcterms:modified>
</cp:coreProperties>
</file>