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This report (including all exhibits)</w:t>
      </w:r>
    </w:p>
    <w:p>
      <w:pPr>
        <w:spacing w:after="0" w:line="5" w:lineRule="exact"/>
        <w:rPr>
          <w:sz w:val="24"/>
          <w:szCs w:val="24"/>
          <w:color w:val="auto"/>
        </w:rPr>
      </w:pPr>
    </w:p>
    <w:p>
      <w:pPr>
        <w:ind w:left="1340" w:right="3619" w:firstLine="309"/>
        <w:spacing w:after="0" w:line="247" w:lineRule="auto"/>
        <w:rPr>
          <w:sz w:val="20"/>
          <w:szCs w:val="20"/>
          <w:color w:val="auto"/>
        </w:rPr>
      </w:pPr>
      <w:r>
        <w:rPr>
          <w:rFonts w:ascii="Courier New" w:cs="Courier New" w:eastAsia="Courier New" w:hAnsi="Courier New"/>
          <w:sz w:val="17"/>
          <w:szCs w:val="17"/>
          <w:color w:val="auto"/>
        </w:rPr>
        <w:t>consists of a total of 12 pages, of which this page is number 1. The exhibit index is on page 10.</w:t>
      </w:r>
    </w:p>
    <w:p>
      <w:pPr>
        <w:spacing w:after="0" w:line="396"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ind w:left="3000"/>
        <w:spacing w:after="0"/>
        <w:tabs>
          <w:tab w:leader="none" w:pos="4620" w:val="left"/>
        </w:tabs>
        <w:rPr>
          <w:sz w:val="20"/>
          <w:szCs w:val="20"/>
          <w:color w:val="auto"/>
        </w:rPr>
      </w:pPr>
      <w:r>
        <w:rPr>
          <w:rFonts w:ascii="Courier New" w:cs="Courier New" w:eastAsia="Courier New" w:hAnsi="Courier New"/>
          <w:sz w:val="17"/>
          <w:szCs w:val="17"/>
          <w:color w:val="auto"/>
        </w:rPr>
        <w:t>WASHINGTON, DC</w:t>
        <w:tab/>
        <w:t>20549</w:t>
      </w:r>
    </w:p>
    <w:p>
      <w:pPr>
        <w:spacing w:after="0" w:line="203"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Quarterly Report Pursuant to Section 13 or 15(d)</w:t>
      </w:r>
    </w:p>
    <w:p>
      <w:pPr>
        <w:spacing w:after="0" w:line="5"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Quarterly</w:t>
      </w:r>
    </w:p>
    <w:p>
      <w:pPr>
        <w:sectPr>
          <w:pgSz w:w="11900" w:h="16838" w:orient="portrait"/>
          <w:cols w:equalWidth="0" w:num="1">
            <w:col w:w="10219"/>
          </w:cols>
          <w:pgMar w:left="240" w:top="247" w:right="1440" w:bottom="1440" w:gutter="0" w:footer="0" w:header="0"/>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Period Ended</w:t>
      </w:r>
    </w:p>
    <w:p>
      <w:pPr>
        <w:spacing w:after="0" w:line="20" w:lineRule="exact"/>
        <w:rPr>
          <w:sz w:val="24"/>
          <w:szCs w:val="24"/>
          <w:color w:val="auto"/>
        </w:rPr>
      </w:pPr>
      <w:r>
        <w:rPr>
          <w:sz w:val="24"/>
          <w:szCs w:val="24"/>
          <w:color w:val="auto"/>
        </w:rPr>
        <w:br w:type="column"/>
      </w:r>
    </w:p>
    <w:p>
      <w:pPr>
        <w:ind w:left="720"/>
        <w:spacing w:after="0"/>
        <w:tabs>
          <w:tab w:leader="none" w:pos="2340" w:val="left"/>
        </w:tabs>
        <w:rPr>
          <w:sz w:val="20"/>
          <w:szCs w:val="20"/>
          <w:color w:val="auto"/>
        </w:rPr>
      </w:pPr>
      <w:r>
        <w:rPr>
          <w:rFonts w:ascii="Courier New" w:cs="Courier New" w:eastAsia="Courier New" w:hAnsi="Courier New"/>
          <w:sz w:val="17"/>
          <w:szCs w:val="17"/>
          <w:color w:val="auto"/>
        </w:rPr>
        <w:t>April 3, 1994</w:t>
        <w:tab/>
        <w:t>Commission File Number 1-6714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1240" w:space="0"/>
            <w:col w:w="8979"/>
          </w:cols>
          <w:pgMar w:left="240" w:top="247" w:right="1440" w:bottom="1440" w:gutter="0" w:footer="0" w:header="0"/>
          <w:type w:val="continuous"/>
        </w:sectPr>
      </w:pPr>
    </w:p>
    <w:p>
      <w:pPr>
        <w:spacing w:after="0" w:line="3"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THE WASHINGTON POST COMPANY</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2160" w:type="dxa"/>
        <w:tblCellMar>
          <w:top w:w="0" w:type="dxa"/>
          <w:left w:w="0" w:type="dxa"/>
          <w:bottom w:w="0" w:type="dxa"/>
          <w:right w:w="0" w:type="dxa"/>
        </w:tblCellMar>
      </w:tblPr>
      <w:tr>
        <w:trPr>
          <w:trHeight w:val="193"/>
        </w:trPr>
        <w:tc>
          <w:tcPr>
            <w:tcW w:w="222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53-0182885</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4"/>
          <w:szCs w:val="24"/>
          <w:color w:val="auto"/>
        </w:rPr>
      </w:pPr>
    </w:p>
    <w:p>
      <w:pPr>
        <w:ind w:left="940" w:right="2999"/>
        <w:spacing w:after="0" w:line="247"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396" w:lineRule="exact"/>
        <w:rPr>
          <w:sz w:val="24"/>
          <w:szCs w:val="24"/>
          <w:color w:val="auto"/>
        </w:rPr>
      </w:pPr>
    </w:p>
    <w:p>
      <w:pPr>
        <w:ind w:left="320"/>
        <w:spacing w:after="0"/>
        <w:tabs>
          <w:tab w:leader="none" w:pos="3800" w:val="left"/>
          <w:tab w:leader="none" w:pos="6780" w:val="left"/>
        </w:tabs>
        <w:rPr>
          <w:sz w:val="20"/>
          <w:szCs w:val="20"/>
          <w:color w:val="auto"/>
        </w:rPr>
      </w:pPr>
      <w:r>
        <w:rPr>
          <w:rFonts w:ascii="Courier New" w:cs="Courier New" w:eastAsia="Courier New" w:hAnsi="Courier New"/>
          <w:sz w:val="17"/>
          <w:szCs w:val="17"/>
          <w:color w:val="auto"/>
        </w:rPr>
        <w:t>1150 15th Street, N.W.</w:t>
      </w:r>
      <w:r>
        <w:rPr>
          <w:sz w:val="20"/>
          <w:szCs w:val="20"/>
          <w:color w:val="auto"/>
        </w:rPr>
        <w:tab/>
      </w: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7"/>
          <w:szCs w:val="17"/>
          <w:color w:val="auto"/>
        </w:rPr>
        <w:t>20071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ind w:left="940"/>
        <w:spacing w:after="0"/>
        <w:tabs>
          <w:tab w:leader="none" w:pos="668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1" w:lineRule="exact"/>
        <w:rPr>
          <w:sz w:val="24"/>
          <w:szCs w:val="24"/>
          <w:color w:val="auto"/>
        </w:rPr>
      </w:pPr>
    </w:p>
    <w:p>
      <w:pPr>
        <w:ind w:left="3300" w:hanging="618"/>
        <w:spacing w:after="0"/>
        <w:tabs>
          <w:tab w:leader="none" w:pos="33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334-6000</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Indicate by check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mark</w:t>
            </w:r>
          </w:p>
        </w:tc>
        <w:tc>
          <w:tcPr>
            <w:tcW w:w="8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whether</w:t>
            </w:r>
          </w:p>
        </w:tc>
        <w:tc>
          <w:tcPr>
            <w:tcW w:w="1900" w:type="dxa"/>
            <w:vAlign w:val="bottom"/>
            <w:gridSpan w:val="6"/>
          </w:tcPr>
          <w:p>
            <w:pPr>
              <w:ind w:left="40"/>
              <w:spacing w:after="0"/>
              <w:rPr>
                <w:sz w:val="20"/>
                <w:szCs w:val="20"/>
                <w:color w:val="auto"/>
              </w:rPr>
            </w:pPr>
            <w:r>
              <w:rPr>
                <w:rFonts w:ascii="Courier New" w:cs="Courier New" w:eastAsia="Courier New" w:hAnsi="Courier New"/>
                <w:sz w:val="17"/>
                <w:szCs w:val="17"/>
                <w:color w:val="auto"/>
              </w:rPr>
              <w:t>the registrant (1)</w:t>
            </w:r>
          </w:p>
        </w:tc>
        <w:tc>
          <w:tcPr>
            <w:tcW w:w="2160" w:type="dxa"/>
            <w:vAlign w:val="bottom"/>
            <w:gridSpan w:val="2"/>
          </w:tcPr>
          <w:p>
            <w:pPr>
              <w:jc w:val="right"/>
              <w:ind w:right="634"/>
              <w:spacing w:after="0"/>
              <w:rPr>
                <w:sz w:val="20"/>
                <w:szCs w:val="20"/>
                <w:color w:val="auto"/>
              </w:rPr>
            </w:pPr>
            <w:r>
              <w:rPr>
                <w:rFonts w:ascii="Courier New" w:cs="Courier New" w:eastAsia="Courier New" w:hAnsi="Courier New"/>
                <w:sz w:val="17"/>
                <w:szCs w:val="17"/>
                <w:color w:val="auto"/>
              </w:rPr>
              <w:t>has filed all</w:t>
            </w:r>
          </w:p>
        </w:tc>
      </w:tr>
      <w:tr>
        <w:trPr>
          <w:trHeight w:val="198"/>
        </w:trPr>
        <w:tc>
          <w:tcPr>
            <w:tcW w:w="2020" w:type="dxa"/>
            <w:vAlign w:val="bottom"/>
            <w:gridSpan w:val="2"/>
          </w:tcPr>
          <w:p>
            <w:pPr>
              <w:spacing w:after="0"/>
              <w:rPr>
                <w:sz w:val="20"/>
                <w:szCs w:val="20"/>
                <w:color w:val="auto"/>
              </w:rPr>
            </w:pPr>
            <w:r>
              <w:rPr>
                <w:rFonts w:ascii="Courier New" w:cs="Courier New" w:eastAsia="Courier New" w:hAnsi="Courier New"/>
                <w:sz w:val="17"/>
                <w:szCs w:val="17"/>
                <w:color w:val="auto"/>
              </w:rPr>
              <w:t>reports required to</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rPr>
              <w:t>be</w:t>
            </w:r>
          </w:p>
        </w:tc>
        <w:tc>
          <w:tcPr>
            <w:tcW w:w="8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filed by</w:t>
            </w:r>
          </w:p>
        </w:tc>
        <w:tc>
          <w:tcPr>
            <w:tcW w:w="8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Section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13</w:t>
            </w:r>
          </w:p>
        </w:tc>
        <w:tc>
          <w:tcPr>
            <w:tcW w:w="118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7"/>
              </w:rPr>
              <w:t>or 15(d) of</w:t>
            </w:r>
          </w:p>
        </w:tc>
        <w:tc>
          <w:tcPr>
            <w:tcW w:w="100" w:type="dxa"/>
            <w:vAlign w:val="bottom"/>
          </w:tcPr>
          <w:p>
            <w:pPr>
              <w:spacing w:after="0"/>
              <w:rPr>
                <w:sz w:val="17"/>
                <w:szCs w:val="17"/>
                <w:color w:val="auto"/>
              </w:rPr>
            </w:pPr>
          </w:p>
        </w:tc>
        <w:tc>
          <w:tcPr>
            <w:tcW w:w="2480" w:type="dxa"/>
            <w:vAlign w:val="bottom"/>
            <w:gridSpan w:val="3"/>
          </w:tcPr>
          <w:p>
            <w:pPr>
              <w:spacing w:after="0"/>
              <w:rPr>
                <w:sz w:val="20"/>
                <w:szCs w:val="20"/>
                <w:color w:val="auto"/>
              </w:rPr>
            </w:pPr>
            <w:r>
              <w:rPr>
                <w:rFonts w:ascii="Courier New" w:cs="Courier New" w:eastAsia="Courier New" w:hAnsi="Courier New"/>
                <w:sz w:val="17"/>
                <w:szCs w:val="17"/>
                <w:color w:val="auto"/>
              </w:rPr>
              <w:t>the Securities Exchange</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Act of</w:t>
            </w:r>
          </w:p>
        </w:tc>
        <w:tc>
          <w:tcPr>
            <w:tcW w:w="17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1934 during the</w:t>
            </w:r>
          </w:p>
        </w:tc>
        <w:tc>
          <w:tcPr>
            <w:tcW w:w="128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preceding 12</w:t>
            </w:r>
          </w:p>
        </w:tc>
        <w:tc>
          <w:tcPr>
            <w:tcW w:w="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months</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(or for</w:t>
            </w:r>
          </w:p>
        </w:tc>
        <w:tc>
          <w:tcPr>
            <w:tcW w:w="4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3"/>
              </w:rPr>
              <w:t>such</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shorter</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w w:val="99"/>
              </w:rPr>
              <w:t>period that the</w:t>
            </w:r>
          </w:p>
        </w:tc>
      </w:tr>
      <w:tr>
        <w:trPr>
          <w:trHeight w:val="198"/>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registrant was required</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to</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file</w:t>
            </w:r>
          </w:p>
        </w:tc>
        <w:tc>
          <w:tcPr>
            <w:tcW w:w="15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such reports),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and</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(2)</w:t>
            </w:r>
          </w:p>
        </w:tc>
        <w:tc>
          <w:tcPr>
            <w:tcW w:w="10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Courier New" w:cs="Courier New" w:eastAsia="Courier New" w:hAnsi="Courier New"/>
                <w:sz w:val="17"/>
                <w:szCs w:val="17"/>
                <w:color w:val="auto"/>
                <w:w w:val="97"/>
              </w:rPr>
              <w:t>has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been</w:t>
            </w: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w w:val="99"/>
              </w:rPr>
              <w:t>subject to such</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filing</w:t>
            </w:r>
          </w:p>
        </w:tc>
        <w:tc>
          <w:tcPr>
            <w:tcW w:w="1340" w:type="dxa"/>
            <w:vAlign w:val="bottom"/>
          </w:tcPr>
          <w:p>
            <w:pPr>
              <w:ind w:left="40"/>
              <w:spacing w:after="0"/>
              <w:rPr>
                <w:sz w:val="20"/>
                <w:szCs w:val="20"/>
                <w:color w:val="auto"/>
              </w:rPr>
            </w:pPr>
            <w:r>
              <w:rPr>
                <w:rFonts w:ascii="Courier New" w:cs="Courier New" w:eastAsia="Courier New" w:hAnsi="Courier New"/>
                <w:sz w:val="17"/>
                <w:szCs w:val="17"/>
                <w:color w:val="auto"/>
              </w:rPr>
              <w:t>requirements</w:t>
            </w:r>
          </w:p>
        </w:tc>
        <w:tc>
          <w:tcPr>
            <w:tcW w:w="360" w:type="dxa"/>
            <w:vAlign w:val="bottom"/>
          </w:tcPr>
          <w:p>
            <w:pPr>
              <w:ind w:left="40"/>
              <w:spacing w:after="0"/>
              <w:rPr>
                <w:sz w:val="20"/>
                <w:szCs w:val="20"/>
                <w:color w:val="auto"/>
              </w:rPr>
            </w:pPr>
            <w:r>
              <w:rPr>
                <w:rFonts w:ascii="Courier New" w:cs="Courier New" w:eastAsia="Courier New" w:hAnsi="Courier New"/>
                <w:sz w:val="17"/>
                <w:szCs w:val="17"/>
                <w:color w:val="auto"/>
                <w:w w:val="97"/>
              </w:rPr>
              <w:t>for</w:t>
            </w:r>
          </w:p>
        </w:tc>
        <w:tc>
          <w:tcPr>
            <w:tcW w:w="12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past 90</w:t>
            </w:r>
          </w:p>
        </w:tc>
        <w:tc>
          <w:tcPr>
            <w:tcW w:w="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days.</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Yes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X</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320" w:type="dxa"/>
            <w:vAlign w:val="bottom"/>
          </w:tcPr>
          <w:p>
            <w:pPr>
              <w:spacing w:after="0"/>
              <w:rPr>
                <w:sz w:val="17"/>
                <w:szCs w:val="17"/>
                <w:color w:val="auto"/>
              </w:rPr>
            </w:pPr>
          </w:p>
        </w:tc>
        <w:tc>
          <w:tcPr>
            <w:tcW w:w="56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87"/>
              </w:rPr>
              <w:t>No</w:t>
            </w:r>
          </w:p>
        </w:tc>
        <w:tc>
          <w:tcPr>
            <w:tcW w:w="1600" w:type="dxa"/>
            <w:vAlign w:val="bottom"/>
          </w:tcPr>
          <w:p>
            <w:pPr>
              <w:jc w:val="right"/>
              <w:ind w:right="1054"/>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4"/>
          <w:szCs w:val="24"/>
          <w:color w:val="auto"/>
        </w:rPr>
      </w:pPr>
    </w:p>
    <w:tbl>
      <w:tblPr>
        <w:tblLayout w:type="fixed"/>
        <w:tblInd w:w="940" w:type="dxa"/>
        <w:tblCellMar>
          <w:top w:w="0" w:type="dxa"/>
          <w:left w:w="0" w:type="dxa"/>
          <w:bottom w:w="0" w:type="dxa"/>
          <w:right w:w="0" w:type="dxa"/>
        </w:tblCellMar>
      </w:tblPr>
      <w:tr>
        <w:trPr>
          <w:trHeight w:val="193"/>
        </w:trPr>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3800" w:type="dxa"/>
            <w:vAlign w:val="bottom"/>
            <w:gridSpan w:val="4"/>
          </w:tcPr>
          <w:p>
            <w:pPr>
              <w:spacing w:after="0"/>
              <w:rPr>
                <w:sz w:val="20"/>
                <w:szCs w:val="20"/>
                <w:color w:val="auto"/>
              </w:rPr>
            </w:pPr>
            <w:r>
              <w:rPr>
                <w:rFonts w:ascii="Courier New" w:cs="Courier New" w:eastAsia="Courier New" w:hAnsi="Courier New"/>
                <w:sz w:val="17"/>
                <w:szCs w:val="17"/>
                <w:color w:val="auto"/>
              </w:rPr>
              <w:t>Shares outstanding at April 30, 1994:</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6"/>
        </w:trPr>
        <w:tc>
          <w:tcPr>
            <w:tcW w:w="1380" w:type="dxa"/>
            <w:vAlign w:val="bottom"/>
          </w:tcPr>
          <w:p>
            <w:pPr>
              <w:ind w:left="820"/>
              <w:spacing w:after="0"/>
              <w:rPr>
                <w:sz w:val="20"/>
                <w:szCs w:val="20"/>
                <w:color w:val="auto"/>
              </w:rPr>
            </w:pPr>
            <w:r>
              <w:rPr>
                <w:rFonts w:ascii="Courier New" w:cs="Courier New" w:eastAsia="Courier New" w:hAnsi="Courier New"/>
                <w:sz w:val="17"/>
                <w:szCs w:val="17"/>
                <w:color w:val="auto"/>
              </w:rPr>
              <w:t>Class</w:t>
            </w:r>
          </w:p>
        </w:tc>
        <w:tc>
          <w:tcPr>
            <w:tcW w:w="200" w:type="dxa"/>
            <w:vAlign w:val="bottom"/>
          </w:tcPr>
          <w:p>
            <w:pPr>
              <w:ind w:left="60"/>
              <w:spacing w:after="0"/>
              <w:rPr>
                <w:sz w:val="20"/>
                <w:szCs w:val="20"/>
                <w:color w:val="auto"/>
              </w:rPr>
            </w:pPr>
            <w:r>
              <w:rPr>
                <w:rFonts w:ascii="Courier New" w:cs="Courier New" w:eastAsia="Courier New" w:hAnsi="Courier New"/>
                <w:sz w:val="17"/>
                <w:szCs w:val="17"/>
                <w:color w:val="auto"/>
              </w:rPr>
              <w:t>A</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Common</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Stock</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1,843,250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r>
      <w:tr>
        <w:trPr>
          <w:trHeight w:val="198"/>
        </w:trPr>
        <w:tc>
          <w:tcPr>
            <w:tcW w:w="1380" w:type="dxa"/>
            <w:vAlign w:val="bottom"/>
          </w:tcPr>
          <w:p>
            <w:pPr>
              <w:ind w:left="820"/>
              <w:spacing w:after="0"/>
              <w:rPr>
                <w:sz w:val="20"/>
                <w:szCs w:val="20"/>
                <w:color w:val="auto"/>
              </w:rPr>
            </w:pPr>
            <w:r>
              <w:rPr>
                <w:rFonts w:ascii="Courier New" w:cs="Courier New" w:eastAsia="Courier New" w:hAnsi="Courier New"/>
                <w:sz w:val="17"/>
                <w:szCs w:val="17"/>
                <w:color w:val="auto"/>
              </w:rPr>
              <w:t>Class</w:t>
            </w:r>
          </w:p>
        </w:tc>
        <w:tc>
          <w:tcPr>
            <w:tcW w:w="200" w:type="dxa"/>
            <w:vAlign w:val="bottom"/>
          </w:tcPr>
          <w:p>
            <w:pPr>
              <w:ind w:left="60"/>
              <w:spacing w:after="0"/>
              <w:rPr>
                <w:sz w:val="20"/>
                <w:szCs w:val="20"/>
                <w:color w:val="auto"/>
              </w:rPr>
            </w:pPr>
            <w:r>
              <w:rPr>
                <w:rFonts w:ascii="Courier New" w:cs="Courier New" w:eastAsia="Courier New" w:hAnsi="Courier New"/>
                <w:sz w:val="17"/>
                <w:szCs w:val="17"/>
                <w:color w:val="auto"/>
              </w:rPr>
              <w:t>B</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Common</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Stock</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9,869,154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r>
    </w:tbl>
    <w:p>
      <w:pPr>
        <w:sectPr>
          <w:pgSz w:w="11900" w:h="16838" w:orient="portrait"/>
          <w:cols w:equalWidth="0" w:num="1">
            <w:col w:w="10219"/>
          </w:cols>
          <w:pgMar w:left="240" w:top="247"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2</w:t>
            </w:r>
          </w:p>
        </w:tc>
        <w:tc>
          <w:tcPr>
            <w:tcW w:w="56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594"/>
        </w:trPr>
        <w:tc>
          <w:tcPr>
            <w:tcW w:w="1040" w:type="dxa"/>
            <w:vAlign w:val="bottom"/>
          </w:tcPr>
          <w:p>
            <w:pPr>
              <w:spacing w:after="0"/>
              <w:rPr>
                <w:sz w:val="24"/>
                <w:szCs w:val="24"/>
                <w:color w:val="auto"/>
              </w:rPr>
            </w:pPr>
          </w:p>
        </w:tc>
        <w:tc>
          <w:tcPr>
            <w:tcW w:w="5660" w:type="dxa"/>
            <w:vAlign w:val="bottom"/>
          </w:tcPr>
          <w:p>
            <w:pPr>
              <w:ind w:left="1640"/>
              <w:spacing w:after="0"/>
              <w:rPr>
                <w:sz w:val="20"/>
                <w:szCs w:val="20"/>
                <w:color w:val="auto"/>
              </w:rPr>
            </w:pPr>
            <w:r>
              <w:rPr>
                <w:rFonts w:ascii="Courier New" w:cs="Courier New" w:eastAsia="Courier New" w:hAnsi="Courier New"/>
                <w:sz w:val="17"/>
                <w:szCs w:val="17"/>
                <w:color w:val="auto"/>
              </w:rPr>
              <w:t>THE WASHINGTON POST COMPANY</w:t>
            </w:r>
          </w:p>
        </w:tc>
        <w:tc>
          <w:tcPr>
            <w:tcW w:w="520" w:type="dxa"/>
            <w:vAlign w:val="bottom"/>
          </w:tcPr>
          <w:p>
            <w:pPr>
              <w:spacing w:after="0"/>
              <w:rPr>
                <w:sz w:val="24"/>
                <w:szCs w:val="24"/>
                <w:color w:val="auto"/>
              </w:rPr>
            </w:pPr>
          </w:p>
        </w:tc>
      </w:tr>
      <w:tr>
        <w:trPr>
          <w:trHeight w:val="396"/>
        </w:trPr>
        <w:tc>
          <w:tcPr>
            <w:tcW w:w="1040" w:type="dxa"/>
            <w:vAlign w:val="bottom"/>
          </w:tcPr>
          <w:p>
            <w:pPr>
              <w:spacing w:after="0"/>
              <w:rPr>
                <w:sz w:val="24"/>
                <w:szCs w:val="24"/>
                <w:color w:val="auto"/>
              </w:rPr>
            </w:pPr>
          </w:p>
        </w:tc>
        <w:tc>
          <w:tcPr>
            <w:tcW w:w="5660" w:type="dxa"/>
            <w:vAlign w:val="bottom"/>
          </w:tcPr>
          <w:p>
            <w:pPr>
              <w:ind w:left="2160"/>
              <w:spacing w:after="0"/>
              <w:rPr>
                <w:sz w:val="20"/>
                <w:szCs w:val="20"/>
                <w:color w:val="auto"/>
              </w:rPr>
            </w:pPr>
            <w:r>
              <w:rPr>
                <w:rFonts w:ascii="Courier New" w:cs="Courier New" w:eastAsia="Courier New" w:hAnsi="Courier New"/>
                <w:sz w:val="17"/>
                <w:szCs w:val="17"/>
                <w:color w:val="auto"/>
              </w:rPr>
              <w:t>INDEX TO FORM 10-Q</w:t>
            </w:r>
          </w:p>
        </w:tc>
        <w:tc>
          <w:tcPr>
            <w:tcW w:w="520" w:type="dxa"/>
            <w:vAlign w:val="bottom"/>
          </w:tcPr>
          <w:p>
            <w:pPr>
              <w:spacing w:after="0"/>
              <w:rPr>
                <w:sz w:val="24"/>
                <w:szCs w:val="24"/>
                <w:color w:val="auto"/>
              </w:rPr>
            </w:pPr>
          </w:p>
        </w:tc>
      </w:tr>
      <w:tr>
        <w:trPr>
          <w:trHeight w:val="792"/>
        </w:trPr>
        <w:tc>
          <w:tcPr>
            <w:tcW w:w="10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594"/>
        </w:trPr>
        <w:tc>
          <w:tcPr>
            <w:tcW w:w="104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520" w:type="dxa"/>
            <w:vAlign w:val="bottom"/>
          </w:tcPr>
          <w:p>
            <w:pPr>
              <w:spacing w:after="0"/>
              <w:rPr>
                <w:sz w:val="24"/>
                <w:szCs w:val="24"/>
                <w:color w:val="auto"/>
              </w:rPr>
            </w:pP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520" w:type="dxa"/>
            <w:vAlign w:val="bottom"/>
          </w:tcPr>
          <w:p>
            <w:pPr>
              <w:spacing w:after="0"/>
              <w:rPr>
                <w:sz w:val="24"/>
                <w:szCs w:val="24"/>
                <w:color w:val="auto"/>
              </w:rPr>
            </w:pPr>
          </w:p>
        </w:tc>
      </w:tr>
      <w:tr>
        <w:trPr>
          <w:trHeight w:val="396"/>
        </w:trPr>
        <w:tc>
          <w:tcPr>
            <w:tcW w:w="1040" w:type="dxa"/>
            <w:vAlign w:val="bottom"/>
          </w:tcPr>
          <w:p>
            <w:pPr>
              <w:spacing w:after="0"/>
              <w:rPr>
                <w:sz w:val="24"/>
                <w:szCs w:val="24"/>
                <w:color w:val="auto"/>
              </w:rPr>
            </w:pP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Income</w:t>
            </w:r>
          </w:p>
        </w:tc>
        <w:tc>
          <w:tcPr>
            <w:tcW w:w="52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5660" w:type="dxa"/>
            <w:vAlign w:val="bottom"/>
          </w:tcPr>
          <w:p>
            <w:pPr>
              <w:ind w:left="820"/>
              <w:spacing w:after="0"/>
              <w:rPr>
                <w:sz w:val="20"/>
                <w:szCs w:val="20"/>
                <w:color w:val="auto"/>
              </w:rPr>
            </w:pPr>
            <w:r>
              <w:rPr>
                <w:rFonts w:ascii="Courier New" w:cs="Courier New" w:eastAsia="Courier New" w:hAnsi="Courier New"/>
                <w:sz w:val="17"/>
                <w:szCs w:val="17"/>
                <w:color w:val="auto"/>
              </w:rPr>
              <w:t>(Unaudited) for the Thirteen Weeks</w:t>
            </w:r>
          </w:p>
        </w:tc>
        <w:tc>
          <w:tcPr>
            <w:tcW w:w="520" w:type="dxa"/>
            <w:vAlign w:val="bottom"/>
          </w:tcPr>
          <w:p>
            <w:pPr>
              <w:spacing w:after="0"/>
              <w:rPr>
                <w:sz w:val="17"/>
                <w:szCs w:val="17"/>
                <w:color w:val="auto"/>
              </w:rPr>
            </w:pPr>
          </w:p>
        </w:tc>
      </w:tr>
      <w:tr>
        <w:trPr>
          <w:trHeight w:val="198"/>
        </w:trPr>
        <w:tc>
          <w:tcPr>
            <w:tcW w:w="1040" w:type="dxa"/>
            <w:vAlign w:val="bottom"/>
          </w:tcPr>
          <w:p>
            <w:pPr>
              <w:spacing w:after="0"/>
              <w:rPr>
                <w:sz w:val="17"/>
                <w:szCs w:val="17"/>
                <w:color w:val="auto"/>
              </w:rPr>
            </w:pPr>
          </w:p>
        </w:tc>
        <w:tc>
          <w:tcPr>
            <w:tcW w:w="5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Ended April 3, 1994 and April 4, 1993.........</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w:t>
            </w:r>
          </w:p>
        </w:tc>
      </w:tr>
      <w:tr>
        <w:trPr>
          <w:trHeight w:val="396"/>
        </w:trPr>
        <w:tc>
          <w:tcPr>
            <w:tcW w:w="1040" w:type="dxa"/>
            <w:vAlign w:val="bottom"/>
          </w:tcPr>
          <w:p>
            <w:pPr>
              <w:spacing w:after="0"/>
              <w:rPr>
                <w:sz w:val="24"/>
                <w:szCs w:val="24"/>
                <w:color w:val="auto"/>
              </w:rPr>
            </w:pP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Balance Sheets (Unaudited)</w:t>
            </w:r>
          </w:p>
        </w:tc>
        <w:tc>
          <w:tcPr>
            <w:tcW w:w="52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5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at April 3, 1994 and January 2, 1994..........</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w:t>
            </w:r>
          </w:p>
        </w:tc>
      </w:tr>
      <w:tr>
        <w:trPr>
          <w:trHeight w:val="396"/>
        </w:trPr>
        <w:tc>
          <w:tcPr>
            <w:tcW w:w="1040" w:type="dxa"/>
            <w:vAlign w:val="bottom"/>
          </w:tcPr>
          <w:p>
            <w:pPr>
              <w:spacing w:after="0"/>
              <w:rPr>
                <w:sz w:val="24"/>
                <w:szCs w:val="24"/>
                <w:color w:val="auto"/>
              </w:rPr>
            </w:pP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Cash Flows</w:t>
            </w:r>
          </w:p>
        </w:tc>
        <w:tc>
          <w:tcPr>
            <w:tcW w:w="52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5660" w:type="dxa"/>
            <w:vAlign w:val="bottom"/>
          </w:tcPr>
          <w:p>
            <w:pPr>
              <w:ind w:left="820"/>
              <w:spacing w:after="0"/>
              <w:rPr>
                <w:sz w:val="20"/>
                <w:szCs w:val="20"/>
                <w:color w:val="auto"/>
              </w:rPr>
            </w:pPr>
            <w:r>
              <w:rPr>
                <w:rFonts w:ascii="Courier New" w:cs="Courier New" w:eastAsia="Courier New" w:hAnsi="Courier New"/>
                <w:sz w:val="17"/>
                <w:szCs w:val="17"/>
                <w:color w:val="auto"/>
              </w:rPr>
              <w:t>(Unaudited) for the Thirteen Weeks Ended</w:t>
            </w:r>
          </w:p>
        </w:tc>
        <w:tc>
          <w:tcPr>
            <w:tcW w:w="520" w:type="dxa"/>
            <w:vAlign w:val="bottom"/>
          </w:tcPr>
          <w:p>
            <w:pPr>
              <w:spacing w:after="0"/>
              <w:rPr>
                <w:sz w:val="17"/>
                <w:szCs w:val="17"/>
                <w:color w:val="auto"/>
              </w:rPr>
            </w:pPr>
          </w:p>
        </w:tc>
      </w:tr>
      <w:tr>
        <w:trPr>
          <w:trHeight w:val="198"/>
        </w:trPr>
        <w:tc>
          <w:tcPr>
            <w:tcW w:w="1040" w:type="dxa"/>
            <w:vAlign w:val="bottom"/>
          </w:tcPr>
          <w:p>
            <w:pPr>
              <w:spacing w:after="0"/>
              <w:rPr>
                <w:sz w:val="17"/>
                <w:szCs w:val="17"/>
                <w:color w:val="auto"/>
              </w:rPr>
            </w:pPr>
          </w:p>
        </w:tc>
        <w:tc>
          <w:tcPr>
            <w:tcW w:w="5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April 3, 1994 and April 4, 1993...............</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w:t>
            </w:r>
          </w:p>
        </w:tc>
      </w:tr>
      <w:tr>
        <w:trPr>
          <w:trHeight w:val="396"/>
        </w:trPr>
        <w:tc>
          <w:tcPr>
            <w:tcW w:w="1040" w:type="dxa"/>
            <w:vAlign w:val="bottom"/>
          </w:tcPr>
          <w:p>
            <w:pPr>
              <w:spacing w:after="0"/>
              <w:rPr>
                <w:sz w:val="24"/>
                <w:szCs w:val="24"/>
                <w:color w:val="auto"/>
              </w:rPr>
            </w:pP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Notes to Condensed Consolidated Financial Statements</w:t>
            </w:r>
          </w:p>
        </w:tc>
        <w:tc>
          <w:tcPr>
            <w:tcW w:w="52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5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(Unaudited)...................................</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52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5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Condition and Results of Operations...........</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520" w:type="dxa"/>
            <w:vAlign w:val="bottom"/>
          </w:tcPr>
          <w:p>
            <w:pPr>
              <w:spacing w:after="0"/>
              <w:rPr>
                <w:sz w:val="24"/>
                <w:szCs w:val="24"/>
                <w:color w:val="auto"/>
              </w:rPr>
            </w:pP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566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Signatures</w:t>
            </w:r>
          </w:p>
        </w:tc>
        <w:tc>
          <w:tcPr>
            <w:tcW w:w="5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11</w:t>
            </w:r>
          </w:p>
        </w:tc>
      </w:tr>
      <w:tr>
        <w:trPr>
          <w:trHeight w:val="396"/>
        </w:trPr>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Exhibit 11</w:t>
            </w:r>
          </w:p>
        </w:tc>
        <w:tc>
          <w:tcPr>
            <w:tcW w:w="5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w:t>
            </w:r>
          </w:p>
        </w:tc>
      </w:tr>
      <w:tr>
        <w:trPr>
          <w:trHeight w:val="594"/>
        </w:trPr>
        <w:tc>
          <w:tcPr>
            <w:tcW w:w="1040" w:type="dxa"/>
            <w:vAlign w:val="bottom"/>
          </w:tcPr>
          <w:p>
            <w:pPr>
              <w:spacing w:after="0"/>
              <w:rPr>
                <w:sz w:val="24"/>
                <w:szCs w:val="24"/>
                <w:color w:val="auto"/>
              </w:rPr>
            </w:pPr>
          </w:p>
        </w:tc>
        <w:tc>
          <w:tcPr>
            <w:tcW w:w="5660" w:type="dxa"/>
            <w:vAlign w:val="bottom"/>
          </w:tcPr>
          <w:p>
            <w:pPr>
              <w:ind w:left="2260"/>
              <w:spacing w:after="0"/>
              <w:rPr>
                <w:sz w:val="20"/>
                <w:szCs w:val="20"/>
                <w:color w:val="auto"/>
              </w:rPr>
            </w:pPr>
            <w:r>
              <w:rPr>
                <w:rFonts w:ascii="Courier New" w:cs="Courier New" w:eastAsia="Courier New" w:hAnsi="Courier New"/>
                <w:sz w:val="17"/>
                <w:szCs w:val="17"/>
                <w:color w:val="auto"/>
              </w:rPr>
              <w:t>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313"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FINANCIAL INFORMATION</w:t>
            </w: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5720" w:type="dxa"/>
            <w:vAlign w:val="bottom"/>
          </w:tcPr>
          <w:p>
            <w:pPr>
              <w:ind w:left="60"/>
              <w:spacing w:after="0"/>
              <w:rPr>
                <w:sz w:val="20"/>
                <w:szCs w:val="20"/>
                <w:color w:val="auto"/>
              </w:rPr>
            </w:pPr>
            <w:r>
              <w:rPr>
                <w:rFonts w:ascii="Courier New" w:cs="Courier New" w:eastAsia="Courier New" w:hAnsi="Courier New"/>
                <w:sz w:val="17"/>
                <w:szCs w:val="17"/>
                <w:color w:val="auto"/>
              </w:rPr>
              <w:t>Financial Statements</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The Washington Post Company</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Consolidated Statements of Income (Unaudited)</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594"/>
        </w:trPr>
        <w:tc>
          <w:tcPr>
            <w:tcW w:w="8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Thirteen Weeks Ended</w:t>
            </w:r>
          </w:p>
        </w:tc>
        <w:tc>
          <w:tcPr>
            <w:tcW w:w="700" w:type="dxa"/>
            <w:vAlign w:val="bottom"/>
          </w:tcPr>
          <w:p>
            <w:pPr>
              <w:spacing w:after="0"/>
              <w:rPr>
                <w:sz w:val="24"/>
                <w:szCs w:val="24"/>
                <w:color w:val="auto"/>
              </w:rPr>
            </w:pP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4920" w:type="dxa"/>
            <w:vAlign w:val="bottom"/>
            <w:gridSpan w:val="4"/>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April 3,</w:t>
            </w:r>
          </w:p>
        </w:tc>
        <w:tc>
          <w:tcPr>
            <w:tcW w:w="168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April 4,</w:t>
            </w:r>
          </w:p>
        </w:tc>
      </w:tr>
      <w:tr>
        <w:trPr>
          <w:trHeight w:val="198"/>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(In thousands, except per share amounts)</w:t>
            </w:r>
          </w:p>
        </w:tc>
        <w:tc>
          <w:tcPr>
            <w:tcW w:w="3240" w:type="dxa"/>
            <w:vAlign w:val="bottom"/>
            <w:gridSpan w:val="2"/>
          </w:tcPr>
          <w:p>
            <w:pPr>
              <w:ind w:left="1740"/>
              <w:spacing w:after="0"/>
              <w:rPr>
                <w:sz w:val="20"/>
                <w:szCs w:val="20"/>
                <w:color w:val="auto"/>
              </w:rPr>
            </w:pPr>
            <w:r>
              <w:rPr>
                <w:rFonts w:ascii="Courier New" w:cs="Courier New" w:eastAsia="Courier New" w:hAnsi="Courier New"/>
                <w:sz w:val="17"/>
                <w:szCs w:val="17"/>
                <w:color w:val="auto"/>
              </w:rPr>
              <w:t>1994</w:t>
            </w:r>
          </w:p>
        </w:tc>
        <w:tc>
          <w:tcPr>
            <w:tcW w:w="168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1993</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7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Operating revenues</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Advertising</w:t>
            </w: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$212,195</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$214,602</w:t>
            </w: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Circulation and subscriber</w:t>
            </w: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109,165</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113,428</w:t>
            </w:r>
          </w:p>
        </w:tc>
      </w:tr>
      <w:tr>
        <w:trPr>
          <w:trHeight w:val="198"/>
        </w:trPr>
        <w:tc>
          <w:tcPr>
            <w:tcW w:w="88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5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37,094</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33,676</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358,454</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361,706</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Operating</w:t>
            </w: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199,553</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195,083</w:t>
            </w: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Selling, general and administrative</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88,957</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97,783</w:t>
            </w: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Depreciation and amortization of property,</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8"/>
        </w:trPr>
        <w:tc>
          <w:tcPr>
            <w:tcW w:w="6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plant and equipment</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14,710</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14,982</w:t>
            </w: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Amortization of goodwill and other intangibles</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4,031</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4,067</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307,251</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311,915</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Income from operations</w:t>
            </w:r>
          </w:p>
        </w:tc>
        <w:tc>
          <w:tcPr>
            <w:tcW w:w="1840" w:type="dxa"/>
            <w:vAlign w:val="bottom"/>
          </w:tcPr>
          <w:p>
            <w:pPr>
              <w:spacing w:after="0"/>
              <w:rPr>
                <w:sz w:val="24"/>
                <w:szCs w:val="24"/>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51,203</w:t>
            </w:r>
          </w:p>
        </w:tc>
        <w:tc>
          <w:tcPr>
            <w:tcW w:w="9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49,791</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Other income (expense)</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Equity in losses of affiliates</w:t>
            </w:r>
          </w:p>
        </w:tc>
        <w:tc>
          <w:tcPr>
            <w:tcW w:w="1840" w:type="dxa"/>
            <w:vAlign w:val="bottom"/>
          </w:tcPr>
          <w:p>
            <w:pPr>
              <w:spacing w:after="0"/>
              <w:rPr>
                <w:sz w:val="17"/>
                <w:szCs w:val="17"/>
                <w:color w:val="auto"/>
              </w:rPr>
            </w:pPr>
          </w:p>
        </w:tc>
        <w:tc>
          <w:tcPr>
            <w:tcW w:w="14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(5,385)</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(1,795)</w:t>
            </w: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Interest income</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3,565</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2,606</w:t>
            </w: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Interest expense</w:t>
            </w:r>
          </w:p>
        </w:tc>
        <w:tc>
          <w:tcPr>
            <w:tcW w:w="1840" w:type="dxa"/>
            <w:vAlign w:val="bottom"/>
          </w:tcPr>
          <w:p>
            <w:pPr>
              <w:spacing w:after="0"/>
              <w:rPr>
                <w:sz w:val="17"/>
                <w:szCs w:val="17"/>
                <w:color w:val="auto"/>
              </w:rPr>
            </w:pPr>
          </w:p>
        </w:tc>
        <w:tc>
          <w:tcPr>
            <w:tcW w:w="14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(1,435)</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(1,446)</w:t>
            </w:r>
          </w:p>
        </w:tc>
      </w:tr>
      <w:tr>
        <w:trPr>
          <w:trHeight w:val="198"/>
        </w:trPr>
        <w:tc>
          <w:tcPr>
            <w:tcW w:w="88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5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2,604</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Income before income taxes and cumulative</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effect of change in accounting principle</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50,552</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49,105</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Provision for income taxes</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Current</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22,962</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20,991</w:t>
            </w: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Deferred</w:t>
            </w:r>
          </w:p>
        </w:tc>
        <w:tc>
          <w:tcPr>
            <w:tcW w:w="1840" w:type="dxa"/>
            <w:vAlign w:val="bottom"/>
          </w:tcPr>
          <w:p>
            <w:pPr>
              <w:spacing w:after="0"/>
              <w:rPr>
                <w:sz w:val="17"/>
                <w:szCs w:val="17"/>
                <w:color w:val="auto"/>
              </w:rPr>
            </w:pPr>
          </w:p>
        </w:tc>
        <w:tc>
          <w:tcPr>
            <w:tcW w:w="14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(1,222)</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(391)</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21,740</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20,600</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Income before cumulative effect of change in</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accounting principle</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28,812</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28,505</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Cumulative effect of change in method of</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accounting for income taxes</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11,600</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$ 28,812</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40,105</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324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Earnings per share:</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Before cumulative effect of change in</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8"/>
        </w:trPr>
        <w:tc>
          <w:tcPr>
            <w:tcW w:w="6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accounting principle</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$2.46</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$2.42</w:t>
            </w:r>
          </w:p>
        </w:tc>
      </w:tr>
      <w:tr>
        <w:trPr>
          <w:trHeight w:val="396"/>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Cumulative effect of change in</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8"/>
        </w:trPr>
        <w:tc>
          <w:tcPr>
            <w:tcW w:w="660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accounting principle</w:t>
            </w: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6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Net income</w:t>
            </w:r>
          </w:p>
        </w:tc>
        <w:tc>
          <w:tcPr>
            <w:tcW w:w="1840" w:type="dxa"/>
            <w:vAlign w:val="bottom"/>
          </w:tcPr>
          <w:p>
            <w:pPr>
              <w:ind w:left="1740"/>
              <w:spacing w:after="0"/>
              <w:rPr>
                <w:sz w:val="20"/>
                <w:szCs w:val="20"/>
                <w:color w:val="auto"/>
              </w:rPr>
            </w:pPr>
            <w:r>
              <w:rPr>
                <w:rFonts w:ascii="Courier New" w:cs="Courier New" w:eastAsia="Courier New" w:hAnsi="Courier New"/>
                <w:sz w:val="17"/>
                <w:szCs w:val="17"/>
                <w:color w:val="auto"/>
                <w:w w:val="77"/>
              </w:rPr>
              <w:t>$</w:t>
            </w: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2.46</w:t>
            </w:r>
          </w:p>
        </w:tc>
        <w:tc>
          <w:tcPr>
            <w:tcW w:w="980" w:type="dxa"/>
            <w:vAlign w:val="bottom"/>
          </w:tcPr>
          <w:p>
            <w:pPr>
              <w:ind w:left="88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3.40</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Dividends declared per share</w:t>
            </w:r>
          </w:p>
        </w:tc>
        <w:tc>
          <w:tcPr>
            <w:tcW w:w="1840" w:type="dxa"/>
            <w:vAlign w:val="bottom"/>
          </w:tcPr>
          <w:p>
            <w:pPr>
              <w:ind w:left="1740"/>
              <w:spacing w:after="0"/>
              <w:rPr>
                <w:sz w:val="20"/>
                <w:szCs w:val="20"/>
                <w:color w:val="auto"/>
              </w:rPr>
            </w:pPr>
            <w:r>
              <w:rPr>
                <w:rFonts w:ascii="Courier New" w:cs="Courier New" w:eastAsia="Courier New" w:hAnsi="Courier New"/>
                <w:sz w:val="17"/>
                <w:szCs w:val="17"/>
                <w:color w:val="auto"/>
                <w:w w:val="77"/>
              </w:rPr>
              <w:t>$</w:t>
            </w: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2.10</w:t>
            </w:r>
          </w:p>
        </w:tc>
        <w:tc>
          <w:tcPr>
            <w:tcW w:w="980" w:type="dxa"/>
            <w:vAlign w:val="bottom"/>
          </w:tcPr>
          <w:p>
            <w:pPr>
              <w:ind w:left="88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2.10</w:t>
            </w:r>
          </w:p>
        </w:tc>
      </w:tr>
      <w:tr>
        <w:trPr>
          <w:trHeight w:val="198"/>
        </w:trPr>
        <w:tc>
          <w:tcPr>
            <w:tcW w:w="8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600" w:type="dxa"/>
            <w:vAlign w:val="bottom"/>
            <w:gridSpan w:val="2"/>
          </w:tcPr>
          <w:p>
            <w:pPr>
              <w:spacing w:after="0"/>
              <w:rPr>
                <w:sz w:val="20"/>
                <w:szCs w:val="20"/>
                <w:color w:val="auto"/>
              </w:rPr>
            </w:pPr>
            <w:r>
              <w:rPr>
                <w:rFonts w:ascii="Courier New" w:cs="Courier New" w:eastAsia="Courier New" w:hAnsi="Courier New"/>
                <w:sz w:val="17"/>
                <w:szCs w:val="17"/>
                <w:color w:val="auto"/>
              </w:rPr>
              <w:t>Average number of shares outstanding</w:t>
            </w:r>
          </w:p>
        </w:tc>
        <w:tc>
          <w:tcPr>
            <w:tcW w:w="1840" w:type="dxa"/>
            <w:vAlign w:val="bottom"/>
          </w:tcPr>
          <w:p>
            <w:pPr>
              <w:spacing w:after="0"/>
              <w:rPr>
                <w:sz w:val="24"/>
                <w:szCs w:val="24"/>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11,720</w:t>
            </w:r>
          </w:p>
        </w:tc>
        <w:tc>
          <w:tcPr>
            <w:tcW w:w="9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7"/>
              </w:rPr>
              <w:t>11,796</w:t>
            </w:r>
          </w:p>
        </w:tc>
      </w:tr>
    </w:tbl>
    <w:p>
      <w:pPr>
        <w:sectPr>
          <w:pgSz w:w="11900" w:h="16838" w:orient="portrait"/>
          <w:cols w:equalWidth="0" w:num="1">
            <w:col w:w="11520"/>
          </w:cols>
          <w:pgMar w:left="240" w:top="313" w:right="139" w:bottom="0" w:gutter="0" w:footer="0" w:header="0"/>
        </w:sectPr>
      </w:pPr>
    </w:p>
    <w:bookmarkStart w:id="3" w:name="page4"/>
    <w:bookmarkEnd w:id="3"/>
    <w:p>
      <w:pPr>
        <w:ind w:left="41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4</w:t>
            </w: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92"/>
        </w:trPr>
        <w:tc>
          <w:tcPr>
            <w:tcW w:w="6600" w:type="dxa"/>
            <w:vAlign w:val="bottom"/>
          </w:tcPr>
          <w:p>
            <w:pPr>
              <w:spacing w:after="0"/>
              <w:rPr>
                <w:sz w:val="20"/>
                <w:szCs w:val="20"/>
                <w:color w:val="auto"/>
              </w:rPr>
            </w:pPr>
            <w:r>
              <w:rPr>
                <w:rFonts w:ascii="Courier New" w:cs="Courier New" w:eastAsia="Courier New" w:hAnsi="Courier New"/>
                <w:sz w:val="17"/>
                <w:szCs w:val="17"/>
                <w:color w:val="auto"/>
              </w:rPr>
              <w:t>The Washington Post Company</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6600" w:type="dxa"/>
            <w:vAlign w:val="bottom"/>
          </w:tcPr>
          <w:p>
            <w:pPr>
              <w:spacing w:after="0"/>
              <w:rPr>
                <w:sz w:val="20"/>
                <w:szCs w:val="20"/>
                <w:color w:val="auto"/>
              </w:rPr>
            </w:pPr>
            <w:r>
              <w:rPr>
                <w:rFonts w:ascii="Courier New" w:cs="Courier New" w:eastAsia="Courier New" w:hAnsi="Courier New"/>
                <w:sz w:val="17"/>
                <w:szCs w:val="17"/>
                <w:color w:val="auto"/>
              </w:rPr>
              <w:t>Consolidated Balance Sheets (Unaudited)</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94"/>
        </w:trPr>
        <w:tc>
          <w:tcPr>
            <w:tcW w:w="6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7"/>
              </w:rPr>
              <w:t>April 3,</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w w:val="99"/>
              </w:rPr>
              <w:t>January 2,</w:t>
            </w:r>
          </w:p>
        </w:tc>
      </w:tr>
      <w:tr>
        <w:trPr>
          <w:trHeight w:val="198"/>
        </w:trPr>
        <w:tc>
          <w:tcPr>
            <w:tcW w:w="660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640" w:type="dxa"/>
            <w:vAlign w:val="bottom"/>
          </w:tcPr>
          <w:p>
            <w:pPr>
              <w:spacing w:after="0"/>
              <w:rPr>
                <w:sz w:val="17"/>
                <w:szCs w:val="17"/>
                <w:color w:val="auto"/>
              </w:rPr>
            </w:pP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1994</w:t>
            </w:r>
          </w:p>
        </w:tc>
        <w:tc>
          <w:tcPr>
            <w:tcW w:w="620" w:type="dxa"/>
            <w:vAlign w:val="bottom"/>
          </w:tcPr>
          <w:p>
            <w:pPr>
              <w:spacing w:after="0"/>
              <w:rPr>
                <w:sz w:val="17"/>
                <w:szCs w:val="17"/>
                <w:color w:val="auto"/>
              </w:rPr>
            </w:pP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1994</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6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66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6"/>
        </w:trPr>
        <w:tc>
          <w:tcPr>
            <w:tcW w:w="66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377,891</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171,512</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Marketable securities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76,870</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258,412</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 less estimated returns,</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600" w:type="dxa"/>
            <w:vAlign w:val="bottom"/>
          </w:tcPr>
          <w:p>
            <w:pPr>
              <w:ind w:left="620"/>
              <w:spacing w:after="0"/>
              <w:rPr>
                <w:sz w:val="20"/>
                <w:szCs w:val="20"/>
                <w:color w:val="auto"/>
              </w:rPr>
            </w:pPr>
            <w:r>
              <w:rPr>
                <w:rFonts w:ascii="Courier New" w:cs="Courier New" w:eastAsia="Courier New" w:hAnsi="Courier New"/>
                <w:sz w:val="17"/>
                <w:szCs w:val="17"/>
                <w:color w:val="auto"/>
              </w:rPr>
              <w:t>doubtful accounts and allowances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126,004</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140,518</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Inventories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20,678</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16,419</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Program rights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14,564</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15,460</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Other current assets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17,451</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23,253</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633,458</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625,574</w:t>
            </w:r>
          </w:p>
        </w:tc>
      </w:tr>
      <w:tr>
        <w:trPr>
          <w:trHeight w:val="396"/>
        </w:trPr>
        <w:tc>
          <w:tcPr>
            <w:tcW w:w="6600" w:type="dxa"/>
            <w:vAlign w:val="bottom"/>
          </w:tcPr>
          <w:p>
            <w:pPr>
              <w:spacing w:after="0"/>
              <w:rPr>
                <w:sz w:val="20"/>
                <w:szCs w:val="20"/>
                <w:color w:val="auto"/>
              </w:rPr>
            </w:pPr>
            <w:r>
              <w:rPr>
                <w:rFonts w:ascii="Courier New" w:cs="Courier New" w:eastAsia="Courier New" w:hAnsi="Courier New"/>
                <w:sz w:val="17"/>
                <w:szCs w:val="17"/>
                <w:color w:val="auto"/>
              </w:rPr>
              <w:t>Investments in affiliates</w:t>
            </w:r>
          </w:p>
        </w:tc>
        <w:tc>
          <w:tcPr>
            <w:tcW w:w="1640" w:type="dxa"/>
            <w:vAlign w:val="bottom"/>
          </w:tcPr>
          <w:p>
            <w:pPr>
              <w:spacing w:after="0"/>
              <w:rPr>
                <w:sz w:val="24"/>
                <w:szCs w:val="24"/>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158,845</w:t>
            </w:r>
          </w:p>
        </w:tc>
        <w:tc>
          <w:tcPr>
            <w:tcW w:w="6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155,251</w:t>
            </w:r>
          </w:p>
        </w:tc>
      </w:tr>
      <w:tr>
        <w:trPr>
          <w:trHeight w:val="396"/>
        </w:trPr>
        <w:tc>
          <w:tcPr>
            <w:tcW w:w="66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Buildings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170,159</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166,433</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Machinery, equipment and fixtures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582,030</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579,423</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Leasehold improvements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29,452</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29,287</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781,641</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775,143</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640" w:type="dxa"/>
            <w:vAlign w:val="bottom"/>
          </w:tcPr>
          <w:p>
            <w:pPr>
              <w:spacing w:after="0"/>
              <w:rPr>
                <w:sz w:val="17"/>
                <w:szCs w:val="17"/>
                <w:color w:val="auto"/>
              </w:rPr>
            </w:pPr>
          </w:p>
        </w:tc>
        <w:tc>
          <w:tcPr>
            <w:tcW w:w="154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(482,015)</w:t>
            </w: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(469,359)</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299,626</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305,784</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Land</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28,841</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28,799</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Construction in progress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43,269</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29,135</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371,736</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363,718</w:t>
            </w:r>
          </w:p>
        </w:tc>
      </w:tr>
      <w:tr>
        <w:trPr>
          <w:trHeight w:val="198"/>
        </w:trPr>
        <w:tc>
          <w:tcPr>
            <w:tcW w:w="660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intangibles,</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less accumulated amortization</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304,898</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309,157</w:t>
            </w:r>
          </w:p>
        </w:tc>
      </w:tr>
      <w:tr>
        <w:trPr>
          <w:trHeight w:val="396"/>
        </w:trPr>
        <w:tc>
          <w:tcPr>
            <w:tcW w:w="6600" w:type="dxa"/>
            <w:vAlign w:val="bottom"/>
          </w:tcPr>
          <w:p>
            <w:pPr>
              <w:spacing w:after="0"/>
              <w:rPr>
                <w:sz w:val="20"/>
                <w:szCs w:val="20"/>
                <w:color w:val="auto"/>
              </w:rPr>
            </w:pPr>
            <w:r>
              <w:rPr>
                <w:rFonts w:ascii="Courier New" w:cs="Courier New" w:eastAsia="Courier New" w:hAnsi="Courier New"/>
                <w:sz w:val="17"/>
                <w:szCs w:val="17"/>
                <w:color w:val="auto"/>
              </w:rPr>
              <w:t>Deferred charges and other assets</w:t>
            </w:r>
          </w:p>
        </w:tc>
        <w:tc>
          <w:tcPr>
            <w:tcW w:w="1640" w:type="dxa"/>
            <w:vAlign w:val="bottom"/>
          </w:tcPr>
          <w:p>
            <w:pPr>
              <w:spacing w:after="0"/>
              <w:rPr>
                <w:sz w:val="24"/>
                <w:szCs w:val="24"/>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190,675</w:t>
            </w:r>
          </w:p>
        </w:tc>
        <w:tc>
          <w:tcPr>
            <w:tcW w:w="6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168,804</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1,659,612</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1,622,504</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6"/>
        </w:trPr>
        <w:tc>
          <w:tcPr>
            <w:tcW w:w="66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 and accrued liabilities</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147,639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163,553</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Federal and state income taxes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36,912</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15,726</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Deferred subscription revenue</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80,779</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79,254</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Dividends declared</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12,299</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277,629</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258,533</w:t>
            </w:r>
          </w:p>
        </w:tc>
      </w:tr>
      <w:tr>
        <w:trPr>
          <w:trHeight w:val="198"/>
        </w:trPr>
        <w:tc>
          <w:tcPr>
            <w:tcW w:w="660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195,610</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191,088</w:t>
            </w:r>
          </w:p>
        </w:tc>
      </w:tr>
      <w:tr>
        <w:trPr>
          <w:trHeight w:val="396"/>
        </w:trPr>
        <w:tc>
          <w:tcPr>
            <w:tcW w:w="660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640" w:type="dxa"/>
            <w:vAlign w:val="bottom"/>
          </w:tcPr>
          <w:p>
            <w:pPr>
              <w:spacing w:after="0"/>
              <w:rPr>
                <w:sz w:val="24"/>
                <w:szCs w:val="24"/>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50,350</w:t>
            </w:r>
          </w:p>
        </w:tc>
        <w:tc>
          <w:tcPr>
            <w:tcW w:w="6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51,768</w:t>
            </w:r>
          </w:p>
        </w:tc>
      </w:tr>
      <w:tr>
        <w:trPr>
          <w:trHeight w:val="396"/>
        </w:trPr>
        <w:tc>
          <w:tcPr>
            <w:tcW w:w="660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640" w:type="dxa"/>
            <w:vAlign w:val="bottom"/>
          </w:tcPr>
          <w:p>
            <w:pPr>
              <w:spacing w:after="0"/>
              <w:rPr>
                <w:sz w:val="24"/>
                <w:szCs w:val="24"/>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37,415</w:t>
            </w:r>
          </w:p>
        </w:tc>
        <w:tc>
          <w:tcPr>
            <w:tcW w:w="6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33,696</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561,004</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535,085</w:t>
            </w:r>
          </w:p>
        </w:tc>
      </w:tr>
      <w:tr>
        <w:trPr>
          <w:trHeight w:val="198"/>
        </w:trPr>
        <w:tc>
          <w:tcPr>
            <w:tcW w:w="66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6"/>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Capital stock</w:t>
            </w:r>
          </w:p>
        </w:tc>
        <w:tc>
          <w:tcPr>
            <w:tcW w:w="1640" w:type="dxa"/>
            <w:vAlign w:val="bottom"/>
          </w:tcPr>
          <w:p>
            <w:pPr>
              <w:spacing w:after="0"/>
              <w:rPr>
                <w:sz w:val="24"/>
                <w:szCs w:val="24"/>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20,000</w:t>
            </w:r>
          </w:p>
        </w:tc>
        <w:tc>
          <w:tcPr>
            <w:tcW w:w="6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20,000</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Capital in excess of par value</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21,322</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21,354</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Retained earnings</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1,574,759</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1,570,546</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Unrealized gain on available-for-sale</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600" w:type="dxa"/>
            <w:vAlign w:val="bottom"/>
          </w:tcPr>
          <w:p>
            <w:pPr>
              <w:ind w:left="620"/>
              <w:spacing w:after="0"/>
              <w:rPr>
                <w:sz w:val="20"/>
                <w:szCs w:val="20"/>
                <w:color w:val="auto"/>
              </w:rPr>
            </w:pPr>
            <w:r>
              <w:rPr>
                <w:rFonts w:ascii="Courier New" w:cs="Courier New" w:eastAsia="Courier New" w:hAnsi="Courier New"/>
                <w:sz w:val="17"/>
                <w:szCs w:val="17"/>
                <w:color w:val="auto"/>
              </w:rPr>
              <w:t>securities (Note 3)</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6,285</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Cumulative foreign currency translation</w:t>
            </w: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600" w:type="dxa"/>
            <w:vAlign w:val="bottom"/>
          </w:tcPr>
          <w:p>
            <w:pPr>
              <w:ind w:left="620"/>
              <w:spacing w:after="0"/>
              <w:rPr>
                <w:sz w:val="20"/>
                <w:szCs w:val="20"/>
                <w:color w:val="auto"/>
              </w:rPr>
            </w:pPr>
            <w:r>
              <w:rPr>
                <w:rFonts w:ascii="Courier New" w:cs="Courier New" w:eastAsia="Courier New" w:hAnsi="Courier New"/>
                <w:sz w:val="17"/>
                <w:szCs w:val="17"/>
                <w:color w:val="auto"/>
              </w:rPr>
              <w:t>adjustment</w:t>
            </w: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3,645</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2,908</w:t>
            </w:r>
          </w:p>
        </w:tc>
      </w:tr>
      <w:tr>
        <w:trPr>
          <w:trHeight w:val="198"/>
        </w:trPr>
        <w:tc>
          <w:tcPr>
            <w:tcW w:w="6600" w:type="dxa"/>
            <w:vAlign w:val="bottom"/>
          </w:tcPr>
          <w:p>
            <w:pPr>
              <w:ind w:left="320"/>
              <w:spacing w:after="0"/>
              <w:rPr>
                <w:sz w:val="20"/>
                <w:szCs w:val="20"/>
                <w:color w:val="auto"/>
              </w:rPr>
            </w:pPr>
            <w:r>
              <w:rPr>
                <w:rFonts w:ascii="Courier New" w:cs="Courier New" w:eastAsia="Courier New" w:hAnsi="Courier New"/>
                <w:sz w:val="17"/>
                <w:szCs w:val="17"/>
                <w:color w:val="auto"/>
              </w:rPr>
              <w:t>Cost of class B common stock held in Treasury</w:t>
            </w:r>
          </w:p>
        </w:tc>
        <w:tc>
          <w:tcPr>
            <w:tcW w:w="1640" w:type="dxa"/>
            <w:vAlign w:val="bottom"/>
          </w:tcPr>
          <w:p>
            <w:pPr>
              <w:spacing w:after="0"/>
              <w:rPr>
                <w:sz w:val="17"/>
                <w:szCs w:val="17"/>
                <w:color w:val="auto"/>
              </w:rPr>
            </w:pPr>
          </w:p>
        </w:tc>
        <w:tc>
          <w:tcPr>
            <w:tcW w:w="154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(527,403)</w:t>
            </w: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(527,389)</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1,098,608</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1,087,419</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1,659,612</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1,622,504</w:t>
            </w:r>
          </w:p>
        </w:tc>
      </w:tr>
      <w:tr>
        <w:trPr>
          <w:trHeight w:val="198"/>
        </w:trPr>
        <w:tc>
          <w:tcPr>
            <w:tcW w:w="6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1440"/>
          </w:cols>
          <w:pgMar w:left="240" w:top="313" w:right="219" w:bottom="0" w:gutter="0" w:footer="0" w:header="0"/>
        </w:sectPr>
      </w:pPr>
    </w:p>
    <w:p>
      <w:pPr>
        <w:spacing w:after="0" w:line="20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440"/>
          </w:cols>
          <w:pgMar w:left="240" w:top="313" w:right="21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5</w:t>
            </w:r>
          </w:p>
        </w:tc>
        <w:tc>
          <w:tcPr>
            <w:tcW w:w="2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92"/>
        </w:trPr>
        <w:tc>
          <w:tcPr>
            <w:tcW w:w="5920" w:type="dxa"/>
            <w:vAlign w:val="bottom"/>
          </w:tcPr>
          <w:p>
            <w:pPr>
              <w:spacing w:after="0"/>
              <w:rPr>
                <w:sz w:val="20"/>
                <w:szCs w:val="20"/>
                <w:color w:val="auto"/>
              </w:rPr>
            </w:pPr>
            <w:r>
              <w:rPr>
                <w:rFonts w:ascii="Courier New" w:cs="Courier New" w:eastAsia="Courier New" w:hAnsi="Courier New"/>
                <w:sz w:val="17"/>
                <w:szCs w:val="17"/>
                <w:color w:val="auto"/>
              </w:rPr>
              <w:t>The Washington Post Company</w:t>
            </w: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Consolidated Statements of Cash Flows (Unaudited)</w:t>
            </w: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94"/>
        </w:trPr>
        <w:tc>
          <w:tcPr>
            <w:tcW w:w="5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0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Thirteen Weeks Ended</w:t>
            </w:r>
          </w:p>
        </w:tc>
      </w:tr>
      <w:tr>
        <w:trPr>
          <w:trHeight w:val="198"/>
        </w:trPr>
        <w:tc>
          <w:tcPr>
            <w:tcW w:w="5920" w:type="dxa"/>
            <w:vAlign w:val="bottom"/>
          </w:tcPr>
          <w:p>
            <w:pPr>
              <w:spacing w:after="0"/>
              <w:rPr>
                <w:sz w:val="17"/>
                <w:szCs w:val="17"/>
                <w:color w:val="auto"/>
              </w:rPr>
            </w:pPr>
          </w:p>
        </w:tc>
        <w:tc>
          <w:tcPr>
            <w:tcW w:w="552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spacing w:after="0"/>
              <w:rPr>
                <w:sz w:val="17"/>
                <w:szCs w:val="17"/>
                <w:color w:val="auto"/>
              </w:rPr>
            </w:pPr>
          </w:p>
        </w:tc>
        <w:tc>
          <w:tcPr>
            <w:tcW w:w="3920" w:type="dxa"/>
            <w:vAlign w:val="bottom"/>
            <w:gridSpan w:val="2"/>
          </w:tcPr>
          <w:p>
            <w:pPr>
              <w:jc w:val="right"/>
              <w:ind w:right="694"/>
              <w:spacing w:after="0"/>
              <w:rPr>
                <w:sz w:val="20"/>
                <w:szCs w:val="20"/>
                <w:color w:val="auto"/>
              </w:rPr>
            </w:pPr>
            <w:r>
              <w:rPr>
                <w:rFonts w:ascii="Courier New" w:cs="Courier New" w:eastAsia="Courier New" w:hAnsi="Courier New"/>
                <w:sz w:val="17"/>
                <w:szCs w:val="17"/>
                <w:color w:val="auto"/>
              </w:rPr>
              <w:t>April 3,</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April 4,</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2420" w:type="dxa"/>
            <w:vAlign w:val="bottom"/>
          </w:tcPr>
          <w:p>
            <w:pPr>
              <w:spacing w:after="0"/>
              <w:rPr>
                <w:sz w:val="17"/>
                <w:szCs w:val="17"/>
                <w:color w:val="auto"/>
              </w:rPr>
            </w:pPr>
          </w:p>
        </w:tc>
        <w:tc>
          <w:tcPr>
            <w:tcW w:w="150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1994</w:t>
            </w:r>
          </w:p>
        </w:tc>
        <w:tc>
          <w:tcPr>
            <w:tcW w:w="660" w:type="dxa"/>
            <w:vAlign w:val="bottom"/>
          </w:tcPr>
          <w:p>
            <w:pPr>
              <w:spacing w:after="0"/>
              <w:rPr>
                <w:sz w:val="17"/>
                <w:szCs w:val="17"/>
                <w:color w:val="auto"/>
              </w:rPr>
            </w:pPr>
          </w:p>
        </w:tc>
        <w:tc>
          <w:tcPr>
            <w:tcW w:w="9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1993</w:t>
            </w:r>
          </w:p>
        </w:tc>
      </w:tr>
      <w:tr>
        <w:trPr>
          <w:trHeight w:val="198"/>
        </w:trPr>
        <w:tc>
          <w:tcPr>
            <w:tcW w:w="5920" w:type="dxa"/>
            <w:vAlign w:val="bottom"/>
          </w:tcPr>
          <w:p>
            <w:pPr>
              <w:spacing w:after="0"/>
              <w:rPr>
                <w:sz w:val="17"/>
                <w:szCs w:val="17"/>
                <w:color w:val="auto"/>
              </w:rPr>
            </w:pPr>
          </w:p>
        </w:tc>
        <w:tc>
          <w:tcPr>
            <w:tcW w:w="3920" w:type="dxa"/>
            <w:vAlign w:val="bottom"/>
            <w:gridSpan w:val="2"/>
          </w:tcPr>
          <w:p>
            <w:pPr>
              <w:ind w:left="232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2420" w:type="dxa"/>
            <w:vAlign w:val="bottom"/>
          </w:tcPr>
          <w:p>
            <w:pPr>
              <w:ind w:left="232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28,812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40,105</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provided by operating activities:</w:t>
            </w: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Cumulative effect of change in accounting</w:t>
            </w: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principle</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(11,600)</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 of property, plant</w:t>
            </w: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and equipment</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14,710</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14,982</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goodwill and other intangibles</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4,031</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4,067</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program rights</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4,661</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4,795</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Provision for doubtful accounts</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15,276</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14,319</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Increase in interest and income taxes payable</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17,437</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11,047</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Provision for deferred income taxes</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(1,222)</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(391)</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Change in assets and liabilities:</w:t>
            </w: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(Increase) in accounts receivable</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(937)</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(33,879)</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(Increase) in inventories</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(4,259)</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(1,557)</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(Decrease) in accounts payable and accrued</w:t>
            </w: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920" w:type="dxa"/>
            <w:vAlign w:val="bottom"/>
          </w:tcPr>
          <w:p>
            <w:pPr>
              <w:ind w:left="820"/>
              <w:spacing w:after="0"/>
              <w:rPr>
                <w:sz w:val="20"/>
                <w:szCs w:val="20"/>
                <w:color w:val="auto"/>
              </w:rPr>
            </w:pPr>
            <w:r>
              <w:rPr>
                <w:rFonts w:ascii="Courier New" w:cs="Courier New" w:eastAsia="Courier New" w:hAnsi="Courier New"/>
                <w:sz w:val="17"/>
                <w:szCs w:val="17"/>
                <w:color w:val="auto"/>
              </w:rPr>
              <w:t>liabilities</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(11,905)</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(8,634)</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5,202</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6,281</w:t>
            </w:r>
          </w:p>
        </w:tc>
      </w:tr>
      <w:tr>
        <w:trPr>
          <w:trHeight w:val="198"/>
        </w:trPr>
        <w:tc>
          <w:tcPr>
            <w:tcW w:w="5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420" w:type="dxa"/>
            <w:vAlign w:val="bottom"/>
          </w:tcPr>
          <w:p>
            <w:pPr>
              <w:spacing w:after="0"/>
              <w:rPr>
                <w:sz w:val="24"/>
                <w:szCs w:val="24"/>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71,806</w:t>
            </w:r>
          </w:p>
        </w:tc>
        <w:tc>
          <w:tcPr>
            <w:tcW w:w="66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39,535</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Purchases of property, plant and equipment</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(22,894)</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(17,673)</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Purchases of marketable securities</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(103,965)</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sales of marketable securities</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182,587</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124,200</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Investments in certain businesses</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(8,750)</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Payments for program rights</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(4,526)</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(5,361)</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456</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w:t>
            </w:r>
          </w:p>
        </w:tc>
      </w:tr>
      <w:tr>
        <w:trPr>
          <w:trHeight w:val="198"/>
        </w:trPr>
        <w:tc>
          <w:tcPr>
            <w:tcW w:w="5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Net cash provided (used) by investing activities</w:t>
            </w:r>
          </w:p>
        </w:tc>
        <w:tc>
          <w:tcPr>
            <w:tcW w:w="2420" w:type="dxa"/>
            <w:vAlign w:val="bottom"/>
          </w:tcPr>
          <w:p>
            <w:pPr>
              <w:spacing w:after="0"/>
              <w:rPr>
                <w:sz w:val="24"/>
                <w:szCs w:val="24"/>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146,873</w:t>
            </w: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(2,781)</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Dividends paid</w:t>
            </w:r>
          </w:p>
        </w:tc>
        <w:tc>
          <w:tcPr>
            <w:tcW w:w="2420" w:type="dxa"/>
            <w:vAlign w:val="bottom"/>
          </w:tcPr>
          <w:p>
            <w:pPr>
              <w:spacing w:after="0"/>
              <w:rPr>
                <w:sz w:val="17"/>
                <w:szCs w:val="17"/>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(12,300)</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(12,404)</w:t>
            </w: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Common shares repurchased</w:t>
            </w: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(14,947)</w:t>
            </w:r>
          </w:p>
        </w:tc>
      </w:tr>
      <w:tr>
        <w:trPr>
          <w:trHeight w:val="198"/>
        </w:trPr>
        <w:tc>
          <w:tcPr>
            <w:tcW w:w="5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Net cash (used) by financing activities</w:t>
            </w:r>
          </w:p>
        </w:tc>
        <w:tc>
          <w:tcPr>
            <w:tcW w:w="2420" w:type="dxa"/>
            <w:vAlign w:val="bottom"/>
          </w:tcPr>
          <w:p>
            <w:pPr>
              <w:spacing w:after="0"/>
              <w:rPr>
                <w:sz w:val="24"/>
                <w:szCs w:val="24"/>
                <w:color w:val="auto"/>
              </w:rPr>
            </w:pPr>
          </w:p>
        </w:tc>
        <w:tc>
          <w:tcPr>
            <w:tcW w:w="15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(12,300)</w:t>
            </w: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(27,351)</w:t>
            </w:r>
          </w:p>
        </w:tc>
      </w:tr>
      <w:tr>
        <w:trPr>
          <w:trHeight w:val="198"/>
        </w:trPr>
        <w:tc>
          <w:tcPr>
            <w:tcW w:w="5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Net increase in cash and cash equivalents</w:t>
            </w:r>
          </w:p>
        </w:tc>
        <w:tc>
          <w:tcPr>
            <w:tcW w:w="2420" w:type="dxa"/>
            <w:vAlign w:val="bottom"/>
          </w:tcPr>
          <w:p>
            <w:pPr>
              <w:spacing w:after="0"/>
              <w:rPr>
                <w:sz w:val="24"/>
                <w:szCs w:val="24"/>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206,379</w:t>
            </w:r>
          </w:p>
        </w:tc>
        <w:tc>
          <w:tcPr>
            <w:tcW w:w="66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9,403</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Beginning cash and cash equivalents</w:t>
            </w:r>
          </w:p>
        </w:tc>
        <w:tc>
          <w:tcPr>
            <w:tcW w:w="2420" w:type="dxa"/>
            <w:vAlign w:val="bottom"/>
          </w:tcPr>
          <w:p>
            <w:pPr>
              <w:spacing w:after="0"/>
              <w:rPr>
                <w:sz w:val="24"/>
                <w:szCs w:val="24"/>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171,512</w:t>
            </w:r>
          </w:p>
        </w:tc>
        <w:tc>
          <w:tcPr>
            <w:tcW w:w="66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86,840</w:t>
            </w:r>
          </w:p>
        </w:tc>
      </w:tr>
      <w:tr>
        <w:trPr>
          <w:trHeight w:val="198"/>
        </w:trPr>
        <w:tc>
          <w:tcPr>
            <w:tcW w:w="5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Ending cash and cash equivalents</w:t>
            </w:r>
          </w:p>
        </w:tc>
        <w:tc>
          <w:tcPr>
            <w:tcW w:w="2420" w:type="dxa"/>
            <w:vAlign w:val="bottom"/>
          </w:tcPr>
          <w:p>
            <w:pPr>
              <w:ind w:left="2320"/>
              <w:spacing w:after="0"/>
              <w:rPr>
                <w:sz w:val="20"/>
                <w:szCs w:val="20"/>
                <w:color w:val="auto"/>
              </w:rPr>
            </w:pPr>
            <w:r>
              <w:rPr>
                <w:rFonts w:ascii="Courier New" w:cs="Courier New" w:eastAsia="Courier New" w:hAnsi="Courier New"/>
                <w:sz w:val="17"/>
                <w:szCs w:val="17"/>
                <w:color w:val="auto"/>
                <w:w w:val="77"/>
              </w:rPr>
              <w:t>$</w:t>
            </w: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377,891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96,243</w:t>
            </w:r>
          </w:p>
        </w:tc>
      </w:tr>
      <w:tr>
        <w:trPr>
          <w:trHeight w:val="198"/>
        </w:trPr>
        <w:tc>
          <w:tcPr>
            <w:tcW w:w="59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7"/>
              </w:rPr>
              <w:t>========</w:t>
            </w:r>
          </w:p>
        </w:tc>
        <w:tc>
          <w:tcPr>
            <w:tcW w:w="6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5920" w:type="dxa"/>
            <w:vAlign w:val="bottom"/>
          </w:tcPr>
          <w:p>
            <w:pPr>
              <w:spacing w:after="0"/>
              <w:rPr>
                <w:sz w:val="24"/>
                <w:szCs w:val="24"/>
                <w:color w:val="auto"/>
              </w:rPr>
            </w:pPr>
          </w:p>
        </w:tc>
        <w:tc>
          <w:tcPr>
            <w:tcW w:w="2420" w:type="dxa"/>
            <w:vAlign w:val="bottom"/>
          </w:tcPr>
          <w:p>
            <w:pPr>
              <w:jc w:val="right"/>
              <w:ind w:right="1874"/>
              <w:spacing w:after="0"/>
              <w:rPr>
                <w:sz w:val="20"/>
                <w:szCs w:val="20"/>
                <w:color w:val="auto"/>
              </w:rPr>
            </w:pPr>
            <w:r>
              <w:rPr>
                <w:rFonts w:ascii="Courier New" w:cs="Courier New" w:eastAsia="Courier New" w:hAnsi="Courier New"/>
                <w:sz w:val="17"/>
                <w:szCs w:val="17"/>
                <w:color w:val="auto"/>
              </w:rPr>
              <w:t>5</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40"/>
          </w:cols>
          <w:pgMar w:left="240" w:top="313" w:right="21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395"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Note 2: Summarized combined (unaudited) results of operations for the first quarters of 1994 and 1993 for the company's affiliates are as follows (in thousands):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Pr>
          <w:p>
            <w:pPr>
              <w:spacing w:after="0"/>
              <w:rPr>
                <w:sz w:val="16"/>
                <w:szCs w:val="16"/>
                <w:color w:val="auto"/>
              </w:rPr>
            </w:pPr>
          </w:p>
        </w:tc>
        <w:tc>
          <w:tcPr>
            <w:tcW w:w="428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First Quarter</w:t>
            </w:r>
          </w:p>
        </w:tc>
      </w:tr>
      <w:tr>
        <w:trPr>
          <w:trHeight w:val="198"/>
        </w:trPr>
        <w:tc>
          <w:tcPr>
            <w:tcW w:w="3660" w:type="dxa"/>
            <w:vAlign w:val="bottom"/>
          </w:tcPr>
          <w:p>
            <w:pPr>
              <w:spacing w:after="0"/>
              <w:rPr>
                <w:sz w:val="17"/>
                <w:szCs w:val="17"/>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660" w:type="dxa"/>
            <w:vAlign w:val="bottom"/>
          </w:tcPr>
          <w:p>
            <w:pPr>
              <w:spacing w:after="0"/>
              <w:rPr>
                <w:sz w:val="17"/>
                <w:szCs w:val="17"/>
                <w:color w:val="auto"/>
              </w:rPr>
            </w:pPr>
          </w:p>
        </w:tc>
        <w:tc>
          <w:tcPr>
            <w:tcW w:w="30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1994</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1993</w:t>
            </w:r>
          </w:p>
        </w:tc>
      </w:tr>
      <w:tr>
        <w:trPr>
          <w:trHeight w:val="198"/>
        </w:trPr>
        <w:tc>
          <w:tcPr>
            <w:tcW w:w="3660" w:type="dxa"/>
            <w:vAlign w:val="bottom"/>
          </w:tcPr>
          <w:p>
            <w:pPr>
              <w:spacing w:after="0"/>
              <w:rPr>
                <w:sz w:val="17"/>
                <w:szCs w:val="17"/>
                <w:color w:val="auto"/>
              </w:rPr>
            </w:pPr>
          </w:p>
        </w:tc>
        <w:tc>
          <w:tcPr>
            <w:tcW w:w="3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6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3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$167,142</w:t>
            </w:r>
          </w:p>
        </w:tc>
        <w:tc>
          <w:tcPr>
            <w:tcW w:w="12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$162,301</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0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2,454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(4,129)</w:t>
            </w:r>
          </w:p>
        </w:tc>
      </w:tr>
      <w:tr>
        <w:trPr>
          <w:trHeight w:val="198"/>
        </w:trPr>
        <w:tc>
          <w:tcPr>
            <w:tcW w:w="36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3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(4,204)</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(3,323)</w:t>
            </w:r>
          </w:p>
        </w:tc>
      </w:tr>
    </w:tbl>
    <w:p>
      <w:pPr>
        <w:spacing w:after="0" w:line="200" w:lineRule="exact"/>
        <w:rPr>
          <w:sz w:val="20"/>
          <w:szCs w:val="20"/>
          <w:color w:val="auto"/>
        </w:rPr>
      </w:pPr>
    </w:p>
    <w:p>
      <w:pPr>
        <w:spacing w:after="0" w:line="399"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Note 3: Effective January 3, 1994, the company adopted Statement of Financial Accounting Standards No. 115, "Accounting for Certain Investments in Debt and Equity Securities" (SFAS No. 115). The adoption of SFAS No. 115 requires that certain investments in equity securities held by the company be classified as "available-for-sale" and measured at fair value. At April 3, 1994, the fair value of such equity securities was $14,341,000, which exceeded cost by approximately $11,026,000. The unrealized gain, net of deferred taxes of $4,741,000, is included as a separate item in shareholders' equity.</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3"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399"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7"/>
          <w:szCs w:val="17"/>
          <w:color w:val="auto"/>
        </w:rPr>
        <w:t>Item 2. Management's Discussion and Analysis of Results of Operations and Financial Condition</w:t>
      </w:r>
    </w:p>
    <w:p>
      <w:pPr>
        <w:spacing w:after="0" w:line="198" w:lineRule="exact"/>
        <w:rPr>
          <w:sz w:val="20"/>
          <w:szCs w:val="20"/>
          <w:color w:val="auto"/>
        </w:rPr>
      </w:pPr>
    </w:p>
    <w:p>
      <w:pPr>
        <w:ind w:right="2999" w:firstLine="515"/>
        <w:spacing w:after="0" w:line="247" w:lineRule="auto"/>
        <w:rPr>
          <w:sz w:val="20"/>
          <w:szCs w:val="20"/>
          <w:color w:val="auto"/>
        </w:rPr>
      </w:pPr>
      <w:r>
        <w:rPr>
          <w:rFonts w:ascii="Courier New" w:cs="Courier New" w:eastAsia="Courier New" w:hAnsi="Courier New"/>
          <w:sz w:val="17"/>
          <w:szCs w:val="17"/>
          <w:color w:val="auto"/>
        </w:rPr>
        <w:t>This analysis should be read in conjunction with the consolidated financial statements and the notes thereto.</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Revenues and expenses in the first and third quarters are customarily lower than those in the second and fourth quarters because of significant fluctuations in advertising volume. For that reason, the results of operations for each quarter are compared with those of the corresponding quarter in the preceding year.</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Net income for the first quarter of 1994 was $28.8 million ($2.46 per share), a decrease of 28 percent from net income of $40.1 million ($3.40 per share) last year. First quarter 1993 earnings included a one-time credit of $11.6 million ($.98 per share) resulting from the adoption of Statement of Financial Accounting Standards No. 109, "Accounting for Income Taxes." Excluding this credit, net income in the first quarter of 1993 was $28.5 million ($2.42 per share).</w:t>
      </w:r>
    </w:p>
    <w:p>
      <w:pPr>
        <w:spacing w:after="0" w:line="202" w:lineRule="exact"/>
        <w:rPr>
          <w:sz w:val="20"/>
          <w:szCs w:val="20"/>
          <w:color w:val="auto"/>
        </w:rPr>
      </w:pPr>
    </w:p>
    <w:p>
      <w:pPr>
        <w:jc w:val="both"/>
        <w:ind w:right="2899" w:firstLine="515"/>
        <w:spacing w:after="0" w:line="246" w:lineRule="auto"/>
        <w:rPr>
          <w:sz w:val="20"/>
          <w:szCs w:val="20"/>
          <w:color w:val="auto"/>
        </w:rPr>
      </w:pPr>
      <w:r>
        <w:rPr>
          <w:rFonts w:ascii="Courier New" w:cs="Courier New" w:eastAsia="Courier New" w:hAnsi="Courier New"/>
          <w:sz w:val="17"/>
          <w:szCs w:val="17"/>
          <w:color w:val="auto"/>
        </w:rPr>
        <w:t>Revenues for the first three months of 1994 were $358.5 million, a decrease of 1 percent from $361.7 million in the same period last year. Advertising revenues declined 1 percent and circulation revenues fell 4 percent, while other revenues increased 10 percent.</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Costs and expenses for the first quarter of 1994 decreased 1.5 percent</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to $307.3 million, from $311.9 million in the first quarter of 1993. Operating expenses increased 2 percent, while selling, general and administrative expenses decreased 9 percent compared with the first three months of 1993. Normal increases in fixed costs, such as payroll and fringe benefits, were more than offset by newsprint and magazine paper expenses and other circulation related expenses, which declined due to lower consumption. In the first quarter of 1994 operating income rose to $51.2 million, a 3 percent increase over $49.8 million in 1993.</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Newspaper Division. At the newspaper division revenues decreased 2 percent in the first three months of 1994. Advertising revenues for the division fell 2 percent, primarily due to a 3.5 percent decline in advertising volume at The Washington Post. Retail linage at The Post decreased 8.5 percent and classified volume was down 1 percent. A soft market continues to affect the real estate category, while recruitment advertising remains strong.</w:t>
      </w:r>
    </w:p>
    <w:p>
      <w:pPr>
        <w:spacing w:after="0" w:line="4"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General linage increased 4 percent and preprint volume was even with the same period last year. Circulation revenues were flat when compared with the first quarter of 1993. Daily circulation at The Post declined slightly in the quarter as a result of</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3"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adverse weather conditions in January and February in the Washington, D.C., area; Sunday circulation was even with the same period last year.</w:t>
      </w:r>
    </w:p>
    <w:p>
      <w:pPr>
        <w:spacing w:after="0" w:line="19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Broadcast Division. Revenues at the broadcast division increased 13 percent over the first quarter of 1993. Local advertising revenues increased 15 percent and national advertising revenues rose 12 percent in the first quarter of 1994. The major factor contributing to this improvement was an increase in automotive advertising.</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Magazine Division. Newsweek revenues in the first quarter of 1994 decreased 8 percent, principally due to a 12 percent decline in advertising revenues.</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Fewer pages and lower rates at the domestic edition were the major contributors to the decrease. Circulation revenues fell 3 percent at Newsweek, primarily due to lower volume at both the domestic and international divisions. In the first quarter of 1994 Newsweek published the same number of weekly (13) and special (1) issues as in 1993.</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Cable Division. At the cable division first quarter 1994 revenues were 3 percent lower than 1993, including operations in the United Kingdom, which were subsequently sold during 1993. Excluding foreign operations, cable division revenues were even with the first three months of 1993. A 2 percent increase in basic subscribers was offset by a decrease in subscriber rates attributable to the rate freeze and reductions enacted in the 1992 Cable Act.</w:t>
      </w:r>
    </w:p>
    <w:p>
      <w:pPr>
        <w:spacing w:after="0" w:line="202"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Other Businesses. In the first quarter of 1994, revenues from other businesses, principally Stanley H. Kaplan Educational Center, Pro Am Sports System (PASS), and Legi-Slate, increased 10 percent. Revenues at Kaplan increased 7 percent over the first three months of 1993, and enrollments increased 8 percent.</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Equity in Earnings and Losses of Affiliates. The company's equity in earnings of affiliates in the first quarter of 1994 was a loss of $5.4 million, compared with a loss of $1.8 million in the first quarter of 1993. Lower results at the company's affiliated newsprint mills, which included a large gain on the sale of land in the first three months of 1993, were the major reason for the decrease.</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Non-operating Items. Interest income, net of interest expense, was $2.1 million, compared with $1.2 million in the same period last year. The increase was attributable to higher invested cash balances.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Other income in the first quarter of 1994 was $2.6 million, compared</w:t>
      </w:r>
    </w:p>
    <w:p>
      <w:pPr>
        <w:spacing w:after="0" w:line="5" w:lineRule="exact"/>
        <w:rPr>
          <w:sz w:val="20"/>
          <w:szCs w:val="20"/>
          <w:color w:val="auto"/>
        </w:rPr>
      </w:pPr>
    </w:p>
    <w:p>
      <w:pPr>
        <w:spacing w:after="0"/>
        <w:tabs>
          <w:tab w:leader="none" w:pos="6680" w:val="left"/>
        </w:tabs>
        <w:rPr>
          <w:sz w:val="20"/>
          <w:szCs w:val="20"/>
          <w:color w:val="auto"/>
        </w:rPr>
      </w:pPr>
      <w:r>
        <w:rPr>
          <w:rFonts w:ascii="Courier New" w:cs="Courier New" w:eastAsia="Courier New" w:hAnsi="Courier New"/>
          <w:sz w:val="17"/>
          <w:szCs w:val="17"/>
          <w:color w:val="auto"/>
        </w:rPr>
        <w:t>with other expense of $.1 million in the first quarter of 1993.</w:t>
        <w:tab/>
        <w:t>In 1994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included a gain of $2.5 million resulting from a change in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ownership interest in one of its affiliates.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3"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In January 1994 American PCS, L.P. (known as American Personal Communications or APC), a limited partnership in which the company has a 70 percent interest, filed an application for a PCS authorization with the Federal Communications Commission (FCC). APC has begun some operations, and immediately following receipt of authorization from the FCC, the company expects to substantially increase the level of its capital investment in the business.</w:t>
      </w:r>
    </w:p>
    <w:p>
      <w:pPr>
        <w:spacing w:after="0" w:line="395"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In February 1994 the FCC issued new rules related to pricing and the reregulation of the cable industry. The company has evaluated the rules and does not expect them to have a material effect on consolidated financial results.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April 1994 the company purchased the assets of two television stations in Houston and San Antonio, Texas, for $253 million in cash and the assumption of approximately $4 million in liabilities related to the operations of the two stations.</w:t>
      </w:r>
    </w:p>
    <w:p>
      <w:pPr>
        <w:spacing w:after="0" w:line="200" w:lineRule="exact"/>
        <w:rPr>
          <w:sz w:val="20"/>
          <w:szCs w:val="20"/>
          <w:color w:val="auto"/>
        </w:rPr>
      </w:pPr>
    </w:p>
    <w:p>
      <w:pPr>
        <w:ind w:right="3219" w:firstLine="515"/>
        <w:spacing w:after="0" w:line="247" w:lineRule="auto"/>
        <w:rPr>
          <w:sz w:val="20"/>
          <w:szCs w:val="20"/>
          <w:color w:val="auto"/>
        </w:rPr>
      </w:pPr>
      <w:r>
        <w:rPr>
          <w:rFonts w:ascii="Courier New" w:cs="Courier New" w:eastAsia="Courier New" w:hAnsi="Courier New"/>
          <w:sz w:val="17"/>
          <w:szCs w:val="17"/>
          <w:color w:val="auto"/>
        </w:rPr>
        <w:t>The company has experienced no other significant changes in its financial condition since the end of 1993.</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3"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39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PART II -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Exhibits and Reports on Form 8-K.</w:t>
      </w:r>
    </w:p>
    <w:p>
      <w:pPr>
        <w:spacing w:after="0" w:line="200" w:lineRule="exact"/>
        <w:rPr>
          <w:sz w:val="20"/>
          <w:szCs w:val="20"/>
          <w:color w:val="auto"/>
        </w:rPr>
      </w:pPr>
    </w:p>
    <w:p>
      <w:pPr>
        <w:spacing w:after="0" w:line="201" w:lineRule="exact"/>
        <w:rPr>
          <w:sz w:val="20"/>
          <w:szCs w:val="20"/>
          <w:color w:val="auto"/>
        </w:rPr>
      </w:pPr>
    </w:p>
    <w:p>
      <w:pPr>
        <w:ind w:left="1040" w:hanging="520"/>
        <w:spacing w:after="0"/>
        <w:tabs>
          <w:tab w:leader="none" w:pos="10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documents are filed as exhibits to this report:</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FILING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w:t>
      </w:r>
    </w:p>
    <w:p>
      <w:pPr>
        <w:spacing w:after="0" w:line="211" w:lineRule="exact"/>
        <w:rPr>
          <w:sz w:val="20"/>
          <w:szCs w:val="20"/>
          <w:color w:val="auto"/>
        </w:rPr>
      </w:pPr>
    </w:p>
    <w:p>
      <w:pPr>
        <w:sectPr>
          <w:pgSz w:w="11900" w:h="16838" w:orient="portrait"/>
          <w:cols w:equalWidth="0" w:num="3">
            <w:col w:w="2280" w:space="720"/>
            <w:col w:w="3500" w:space="720"/>
            <w:col w:w="2999"/>
          </w:cols>
          <w:pgMar w:left="240" w:top="313" w:right="1440" w:bottom="1440" w:gutter="0" w:footer="0" w:header="0"/>
          <w:type w:val="continuous"/>
        </w:sect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Calculation of average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outstanding..........................</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w:t>
      </w:r>
    </w:p>
    <w:p>
      <w:pPr>
        <w:spacing w:after="0" w:line="211" w:lineRule="exact"/>
        <w:rPr>
          <w:sz w:val="20"/>
          <w:szCs w:val="20"/>
          <w:color w:val="auto"/>
        </w:rPr>
      </w:pPr>
    </w:p>
    <w:p>
      <w:pPr>
        <w:sectPr>
          <w:pgSz w:w="11900" w:h="16838" w:orient="portrait"/>
          <w:cols w:equalWidth="0" w:num="3">
            <w:col w:w="1440" w:space="720"/>
            <w:col w:w="4740" w:space="720"/>
            <w:col w:w="2599"/>
          </w:cols>
          <w:pgMar w:left="240" w:top="313" w:right="1440" w:bottom="1440" w:gutter="0" w:footer="0" w:header="0"/>
          <w:type w:val="continuous"/>
        </w:sectPr>
      </w:pPr>
    </w:p>
    <w:p>
      <w:pPr>
        <w:spacing w:after="0" w:line="201"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(b)</w:t>
        <w:tab/>
        <w:t>No reports on Form 8-K were filed during the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period covered by this report.</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3"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399"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400" w:type="dxa"/>
            <w:vAlign w:val="bottom"/>
          </w:tcPr>
          <w:p>
            <w:pPr>
              <w:ind w:left="1180"/>
              <w:spacing w:after="0"/>
              <w:rPr>
                <w:sz w:val="20"/>
                <w:szCs w:val="20"/>
                <w:color w:val="auto"/>
              </w:rPr>
            </w:pPr>
            <w:r>
              <w:rPr>
                <w:rFonts w:ascii="Courier New" w:cs="Courier New" w:eastAsia="Courier New" w:hAnsi="Courier New"/>
                <w:sz w:val="17"/>
                <w:szCs w:val="17"/>
                <w:color w:val="auto"/>
              </w:rPr>
              <w:t>THE WASHINGTON POST COMPANY</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2000"/>
              <w:spacing w:after="0"/>
              <w:rPr>
                <w:sz w:val="20"/>
                <w:szCs w:val="20"/>
                <w:color w:val="auto"/>
              </w:rPr>
            </w:pPr>
            <w:r>
              <w:rPr>
                <w:rFonts w:ascii="Courier New" w:cs="Courier New" w:eastAsia="Courier New" w:hAnsi="Courier New"/>
                <w:sz w:val="17"/>
                <w:szCs w:val="17"/>
                <w:color w:val="auto"/>
              </w:rPr>
              <w:t>(Registrant)</w:t>
            </w:r>
          </w:p>
        </w:tc>
      </w:tr>
      <w:tr>
        <w:trPr>
          <w:trHeight w:val="792"/>
        </w:trPr>
        <w:tc>
          <w:tcPr>
            <w:tcW w:w="62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220" w:type="dxa"/>
            <w:vAlign w:val="bottom"/>
          </w:tcPr>
          <w:p>
            <w:pPr>
              <w:ind w:left="100"/>
              <w:spacing w:after="0"/>
              <w:rPr>
                <w:sz w:val="20"/>
                <w:szCs w:val="20"/>
                <w:color w:val="auto"/>
              </w:rPr>
            </w:pPr>
            <w:r>
              <w:rPr>
                <w:rFonts w:ascii="Courier New" w:cs="Courier New" w:eastAsia="Courier New" w:hAnsi="Courier New"/>
                <w:sz w:val="17"/>
                <w:szCs w:val="17"/>
                <w:color w:val="auto"/>
              </w:rPr>
              <w:t>May 18, 1994</w:t>
            </w:r>
          </w:p>
        </w:tc>
        <w:tc>
          <w:tcPr>
            <w:tcW w:w="5400" w:type="dxa"/>
            <w:vAlign w:val="bottom"/>
          </w:tcPr>
          <w:p>
            <w:pPr>
              <w:ind w:left="1380"/>
              <w:spacing w:after="0"/>
              <w:rPr>
                <w:sz w:val="20"/>
                <w:szCs w:val="20"/>
                <w:color w:val="auto"/>
              </w:rPr>
            </w:pPr>
            <w:r>
              <w:rPr>
                <w:rFonts w:ascii="Courier New" w:cs="Courier New" w:eastAsia="Courier New" w:hAnsi="Courier New"/>
                <w:sz w:val="17"/>
                <w:szCs w:val="17"/>
                <w:color w:val="auto"/>
              </w:rPr>
              <w:t>/s/ Donald E. Graham</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1080"/>
              <w:spacing w:after="0"/>
              <w:rPr>
                <w:sz w:val="20"/>
                <w:szCs w:val="20"/>
                <w:color w:val="auto"/>
              </w:rPr>
            </w:pPr>
            <w:r>
              <w:rPr>
                <w:rFonts w:ascii="Courier New" w:cs="Courier New" w:eastAsia="Courier New" w:hAnsi="Courier New"/>
                <w:sz w:val="17"/>
                <w:szCs w:val="17"/>
                <w:color w:val="auto"/>
              </w:rPr>
              <w:t>-------------------------------------</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1380"/>
              <w:spacing w:after="0"/>
              <w:rPr>
                <w:sz w:val="20"/>
                <w:szCs w:val="20"/>
                <w:color w:val="auto"/>
              </w:rPr>
            </w:pPr>
            <w:r>
              <w:rPr>
                <w:rFonts w:ascii="Courier New" w:cs="Courier New" w:eastAsia="Courier New" w:hAnsi="Courier New"/>
                <w:sz w:val="17"/>
                <w:szCs w:val="17"/>
                <w:color w:val="auto"/>
              </w:rPr>
              <w:t>Donald E. Graham, Chairman &amp;</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1700"/>
              <w:spacing w:after="0"/>
              <w:rPr>
                <w:sz w:val="20"/>
                <w:szCs w:val="20"/>
                <w:color w:val="auto"/>
              </w:rPr>
            </w:pPr>
            <w:r>
              <w:rPr>
                <w:rFonts w:ascii="Courier New" w:cs="Courier New" w:eastAsia="Courier New" w:hAnsi="Courier New"/>
                <w:sz w:val="17"/>
                <w:szCs w:val="17"/>
                <w:color w:val="auto"/>
              </w:rPr>
              <w:t>Chief Executive Officer</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1380"/>
              <w:spacing w:after="0"/>
              <w:rPr>
                <w:sz w:val="20"/>
                <w:szCs w:val="20"/>
                <w:color w:val="auto"/>
              </w:rPr>
            </w:pPr>
            <w:r>
              <w:rPr>
                <w:rFonts w:ascii="Courier New" w:cs="Courier New" w:eastAsia="Courier New" w:hAnsi="Courier New"/>
                <w:sz w:val="17"/>
                <w:szCs w:val="17"/>
                <w:color w:val="auto"/>
              </w:rPr>
              <w:t>(Principal Executive Officer)</w:t>
            </w:r>
          </w:p>
        </w:tc>
      </w:tr>
      <w:tr>
        <w:trPr>
          <w:trHeight w:val="990"/>
        </w:trPr>
        <w:tc>
          <w:tcPr>
            <w:tcW w:w="62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220" w:type="dxa"/>
            <w:vAlign w:val="bottom"/>
          </w:tcPr>
          <w:p>
            <w:pPr>
              <w:ind w:left="100"/>
              <w:spacing w:after="0"/>
              <w:rPr>
                <w:sz w:val="20"/>
                <w:szCs w:val="20"/>
                <w:color w:val="auto"/>
              </w:rPr>
            </w:pPr>
            <w:r>
              <w:rPr>
                <w:rFonts w:ascii="Courier New" w:cs="Courier New" w:eastAsia="Courier New" w:hAnsi="Courier New"/>
                <w:sz w:val="17"/>
                <w:szCs w:val="17"/>
                <w:color w:val="auto"/>
              </w:rPr>
              <w:t>May 18, 1994</w:t>
            </w:r>
          </w:p>
        </w:tc>
        <w:tc>
          <w:tcPr>
            <w:tcW w:w="5400" w:type="dxa"/>
            <w:vAlign w:val="bottom"/>
          </w:tcPr>
          <w:p>
            <w:pPr>
              <w:ind w:left="1380"/>
              <w:spacing w:after="0"/>
              <w:rPr>
                <w:sz w:val="20"/>
                <w:szCs w:val="20"/>
                <w:color w:val="auto"/>
              </w:rPr>
            </w:pPr>
            <w:r>
              <w:rPr>
                <w:rFonts w:ascii="Courier New" w:cs="Courier New" w:eastAsia="Courier New" w:hAnsi="Courier New"/>
                <w:sz w:val="17"/>
                <w:szCs w:val="17"/>
                <w:color w:val="auto"/>
              </w:rPr>
              <w:t>/s/ John B. Morse, Jr.</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1080"/>
              <w:spacing w:after="0"/>
              <w:rPr>
                <w:sz w:val="20"/>
                <w:szCs w:val="20"/>
                <w:color w:val="auto"/>
              </w:rPr>
            </w:pPr>
            <w:r>
              <w:rPr>
                <w:rFonts w:ascii="Courier New" w:cs="Courier New" w:eastAsia="Courier New" w:hAnsi="Courier New"/>
                <w:sz w:val="17"/>
                <w:szCs w:val="17"/>
                <w:color w:val="auto"/>
              </w:rPr>
              <w:t>-------------------------------------</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1080"/>
              <w:spacing w:after="0"/>
              <w:rPr>
                <w:sz w:val="20"/>
                <w:szCs w:val="20"/>
                <w:color w:val="auto"/>
              </w:rPr>
            </w:pPr>
            <w:r>
              <w:rPr>
                <w:rFonts w:ascii="Courier New" w:cs="Courier New" w:eastAsia="Courier New" w:hAnsi="Courier New"/>
                <w:sz w:val="17"/>
                <w:szCs w:val="17"/>
                <w:color w:val="auto"/>
              </w:rPr>
              <w:t>John B. Morse, Jr., Vice President-Finance</w:t>
            </w:r>
          </w:p>
        </w:tc>
      </w:tr>
      <w:tr>
        <w:trPr>
          <w:trHeight w:val="198"/>
        </w:trPr>
        <w:tc>
          <w:tcPr>
            <w:tcW w:w="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tcPr>
          <w:p>
            <w:pPr>
              <w:ind w:left="1800"/>
              <w:spacing w:after="0"/>
              <w:rPr>
                <w:sz w:val="20"/>
                <w:szCs w:val="20"/>
                <w:color w:val="auto"/>
              </w:rPr>
            </w:pPr>
            <w:r>
              <w:rPr>
                <w:rFonts w:ascii="Courier New" w:cs="Courier New" w:eastAsia="Courier New" w:hAnsi="Courier New"/>
                <w:sz w:val="17"/>
                <w:szCs w:val="17"/>
                <w:color w:val="auto"/>
              </w:rPr>
              <w:t>(Principal Financial Officer)</w:t>
            </w:r>
          </w:p>
        </w:tc>
      </w:tr>
      <w:tr>
        <w:trPr>
          <w:trHeight w:val="396"/>
        </w:trPr>
        <w:tc>
          <w:tcPr>
            <w:tcW w:w="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0" w:type="dxa"/>
            <w:vAlign w:val="bottom"/>
          </w:tcPr>
          <w:p>
            <w:pPr>
              <w:ind w:left="880"/>
              <w:spacing w:after="0"/>
              <w:rPr>
                <w:sz w:val="20"/>
                <w:szCs w:val="20"/>
                <w:color w:val="auto"/>
              </w:rPr>
            </w:pPr>
            <w:r>
              <w:rPr>
                <w:rFonts w:ascii="Courier New" w:cs="Courier New" w:eastAsia="Courier New" w:hAnsi="Courier New"/>
                <w:sz w:val="17"/>
                <w:szCs w:val="17"/>
                <w:color w:val="auto"/>
              </w:rPr>
              <w:t>11</w:t>
            </w:r>
          </w:p>
        </w:tc>
      </w:tr>
    </w:tbl>
    <w:p>
      <w:pPr>
        <w:sectPr>
          <w:pgSz w:w="11900" w:h="16838" w:orient="portrait"/>
          <w:cols w:equalWidth="0" w:num="1">
            <w:col w:w="10219"/>
          </w:cols>
          <w:pgMar w:left="240" w:top="313"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99"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Exhibit 11</w:t>
      </w:r>
    </w:p>
    <w:p>
      <w:pPr>
        <w:spacing w:after="0" w:line="200" w:lineRule="exact"/>
        <w:rPr>
          <w:sz w:val="20"/>
          <w:szCs w:val="20"/>
          <w:color w:val="auto"/>
        </w:r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CALCULATION OF AVERAGE</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NUMBER OF SHARES OUTSTANDING</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(In thousands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376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Thirteen Weeks Ended</w:t>
            </w:r>
          </w:p>
        </w:tc>
      </w:tr>
      <w:tr>
        <w:trPr>
          <w:trHeight w:val="198"/>
        </w:trPr>
        <w:tc>
          <w:tcPr>
            <w:tcW w:w="3140" w:type="dxa"/>
            <w:vAlign w:val="bottom"/>
          </w:tcPr>
          <w:p>
            <w:pPr>
              <w:spacing w:after="0"/>
              <w:rPr>
                <w:sz w:val="17"/>
                <w:szCs w:val="17"/>
                <w:color w:val="auto"/>
              </w:rPr>
            </w:pPr>
          </w:p>
        </w:tc>
        <w:tc>
          <w:tcPr>
            <w:tcW w:w="3760" w:type="dxa"/>
            <w:vAlign w:val="bottom"/>
            <w:gridSpan w:val="2"/>
          </w:tcPr>
          <w:p>
            <w:pPr>
              <w:ind w:left="1180"/>
              <w:spacing w:after="0"/>
              <w:rPr>
                <w:sz w:val="20"/>
                <w:szCs w:val="20"/>
                <w:color w:val="auto"/>
              </w:rPr>
            </w:pPr>
            <w:r>
              <w:rPr>
                <w:rFonts w:ascii="Courier New" w:cs="Courier New" w:eastAsia="Courier New" w:hAnsi="Courier New"/>
                <w:sz w:val="17"/>
                <w:szCs w:val="17"/>
                <w:color w:val="auto"/>
              </w:rPr>
              <w:t>--------------------</w:t>
            </w:r>
          </w:p>
        </w:tc>
      </w:tr>
      <w:tr>
        <w:trPr>
          <w:trHeight w:val="198"/>
        </w:trPr>
        <w:tc>
          <w:tcPr>
            <w:tcW w:w="3140" w:type="dxa"/>
            <w:vAlign w:val="bottom"/>
          </w:tcPr>
          <w:p>
            <w:pPr>
              <w:spacing w:after="0"/>
              <w:rPr>
                <w:sz w:val="17"/>
                <w:szCs w:val="17"/>
                <w:color w:val="auto"/>
              </w:rPr>
            </w:pPr>
          </w:p>
        </w:tc>
        <w:tc>
          <w:tcPr>
            <w:tcW w:w="238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April 3,</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April 4,</w:t>
            </w:r>
          </w:p>
        </w:tc>
      </w:tr>
      <w:tr>
        <w:trPr>
          <w:trHeight w:val="198"/>
        </w:trPr>
        <w:tc>
          <w:tcPr>
            <w:tcW w:w="3140" w:type="dxa"/>
            <w:vAlign w:val="bottom"/>
          </w:tcPr>
          <w:p>
            <w:pPr>
              <w:spacing w:after="0"/>
              <w:rPr>
                <w:sz w:val="17"/>
                <w:szCs w:val="17"/>
                <w:color w:val="auto"/>
              </w:rPr>
            </w:pPr>
          </w:p>
        </w:tc>
        <w:tc>
          <w:tcPr>
            <w:tcW w:w="2380" w:type="dxa"/>
            <w:vAlign w:val="bottom"/>
          </w:tcPr>
          <w:p>
            <w:pPr>
              <w:ind w:left="1180"/>
              <w:spacing w:after="0"/>
              <w:rPr>
                <w:sz w:val="20"/>
                <w:szCs w:val="20"/>
                <w:color w:val="auto"/>
              </w:rPr>
            </w:pPr>
            <w:r>
              <w:rPr>
                <w:rFonts w:ascii="Courier New" w:cs="Courier New" w:eastAsia="Courier New" w:hAnsi="Courier New"/>
                <w:sz w:val="17"/>
                <w:szCs w:val="17"/>
                <w:color w:val="auto"/>
              </w:rPr>
              <w:t>1994</w:t>
            </w: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1993</w:t>
            </w:r>
          </w:p>
        </w:tc>
      </w:tr>
      <w:tr>
        <w:trPr>
          <w:trHeight w:val="198"/>
        </w:trPr>
        <w:tc>
          <w:tcPr>
            <w:tcW w:w="3140" w:type="dxa"/>
            <w:vAlign w:val="bottom"/>
          </w:tcPr>
          <w:p>
            <w:pPr>
              <w:spacing w:after="0"/>
              <w:rPr>
                <w:sz w:val="17"/>
                <w:szCs w:val="17"/>
                <w:color w:val="auto"/>
              </w:rPr>
            </w:pPr>
          </w:p>
        </w:tc>
        <w:tc>
          <w:tcPr>
            <w:tcW w:w="238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3140" w:type="dxa"/>
            <w:vAlign w:val="bottom"/>
          </w:tcPr>
          <w:p>
            <w:pPr>
              <w:spacing w:after="0"/>
              <w:rPr>
                <w:sz w:val="20"/>
                <w:szCs w:val="20"/>
                <w:color w:val="auto"/>
              </w:rPr>
            </w:pPr>
            <w:r>
              <w:rPr>
                <w:rFonts w:ascii="Courier New" w:cs="Courier New" w:eastAsia="Courier New" w:hAnsi="Courier New"/>
                <w:sz w:val="17"/>
                <w:szCs w:val="17"/>
                <w:color w:val="auto"/>
              </w:rPr>
              <w:t>Number of shares of</w:t>
            </w: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Class A and Class B</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stock outstanding</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at beginning of</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period</w:t>
            </w:r>
          </w:p>
        </w:tc>
        <w:tc>
          <w:tcPr>
            <w:tcW w:w="238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11,713</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11,798</w:t>
            </w:r>
          </w:p>
        </w:tc>
      </w:tr>
      <w:tr>
        <w:trPr>
          <w:trHeight w:val="396"/>
        </w:trPr>
        <w:tc>
          <w:tcPr>
            <w:tcW w:w="3140" w:type="dxa"/>
            <w:vAlign w:val="bottom"/>
          </w:tcPr>
          <w:p>
            <w:pPr>
              <w:spacing w:after="0"/>
              <w:rPr>
                <w:sz w:val="20"/>
                <w:szCs w:val="20"/>
                <w:color w:val="auto"/>
              </w:rPr>
            </w:pPr>
            <w:r>
              <w:rPr>
                <w:rFonts w:ascii="Courier New" w:cs="Courier New" w:eastAsia="Courier New" w:hAnsi="Courier New"/>
                <w:sz w:val="17"/>
                <w:szCs w:val="17"/>
                <w:color w:val="auto"/>
              </w:rPr>
              <w:t>Issuance of shares of</w:t>
            </w: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Class B common stock</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(weighted), net of</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forfeiture of re-</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stricted stock awards</w:t>
            </w:r>
          </w:p>
        </w:tc>
        <w:tc>
          <w:tcPr>
            <w:tcW w:w="238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w:t>
            </w:r>
          </w:p>
        </w:tc>
      </w:tr>
      <w:tr>
        <w:trPr>
          <w:trHeight w:val="396"/>
        </w:trPr>
        <w:tc>
          <w:tcPr>
            <w:tcW w:w="3140" w:type="dxa"/>
            <w:vAlign w:val="bottom"/>
          </w:tcPr>
          <w:p>
            <w:pPr>
              <w:spacing w:after="0"/>
              <w:rPr>
                <w:sz w:val="20"/>
                <w:szCs w:val="20"/>
                <w:color w:val="auto"/>
              </w:rPr>
            </w:pPr>
            <w:r>
              <w:rPr>
                <w:rFonts w:ascii="Courier New" w:cs="Courier New" w:eastAsia="Courier New" w:hAnsi="Courier New"/>
                <w:sz w:val="17"/>
                <w:szCs w:val="17"/>
                <w:color w:val="auto"/>
              </w:rPr>
              <w:t>Repurchase of Class B</w:t>
            </w: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common stock (weighted)</w:t>
            </w:r>
          </w:p>
        </w:tc>
        <w:tc>
          <w:tcPr>
            <w:tcW w:w="238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396"/>
        </w:trPr>
        <w:tc>
          <w:tcPr>
            <w:tcW w:w="3140" w:type="dxa"/>
            <w:vAlign w:val="bottom"/>
          </w:tcPr>
          <w:p>
            <w:pPr>
              <w:spacing w:after="0"/>
              <w:rPr>
                <w:sz w:val="20"/>
                <w:szCs w:val="20"/>
                <w:color w:val="auto"/>
              </w:rPr>
            </w:pPr>
            <w:r>
              <w:rPr>
                <w:rFonts w:ascii="Courier New" w:cs="Courier New" w:eastAsia="Courier New" w:hAnsi="Courier New"/>
                <w:sz w:val="17"/>
                <w:szCs w:val="17"/>
                <w:color w:val="auto"/>
              </w:rPr>
              <w:t>Unexercised stock option</w:t>
            </w: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equivalent shares com-</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puted under the "treasury</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stock method"</w:t>
            </w:r>
          </w:p>
        </w:tc>
        <w:tc>
          <w:tcPr>
            <w:tcW w:w="238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7</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w:t>
            </w:r>
          </w:p>
        </w:tc>
      </w:tr>
      <w:tr>
        <w:trPr>
          <w:trHeight w:val="198"/>
        </w:trPr>
        <w:tc>
          <w:tcPr>
            <w:tcW w:w="3140" w:type="dxa"/>
            <w:vAlign w:val="bottom"/>
          </w:tcPr>
          <w:p>
            <w:pPr>
              <w:spacing w:after="0"/>
              <w:rPr>
                <w:sz w:val="17"/>
                <w:szCs w:val="17"/>
                <w:color w:val="auto"/>
              </w:rPr>
            </w:pPr>
          </w:p>
        </w:tc>
        <w:tc>
          <w:tcPr>
            <w:tcW w:w="238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3140" w:type="dxa"/>
            <w:vAlign w:val="bottom"/>
          </w:tcPr>
          <w:p>
            <w:pPr>
              <w:spacing w:after="0"/>
              <w:rPr>
                <w:sz w:val="20"/>
                <w:szCs w:val="20"/>
                <w:color w:val="auto"/>
              </w:rPr>
            </w:pPr>
            <w:r>
              <w:rPr>
                <w:rFonts w:ascii="Courier New" w:cs="Courier New" w:eastAsia="Courier New" w:hAnsi="Courier New"/>
                <w:sz w:val="17"/>
                <w:szCs w:val="17"/>
                <w:color w:val="auto"/>
              </w:rPr>
              <w:t>Average number of</w:t>
            </w: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shares outstanding</w:t>
            </w:r>
          </w:p>
        </w:tc>
        <w:tc>
          <w:tcPr>
            <w:tcW w:w="2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during the period</w:t>
            </w:r>
          </w:p>
        </w:tc>
        <w:tc>
          <w:tcPr>
            <w:tcW w:w="238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11,720</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11,796</w:t>
            </w:r>
          </w:p>
        </w:tc>
      </w:tr>
      <w:tr>
        <w:trPr>
          <w:trHeight w:val="198"/>
        </w:trPr>
        <w:tc>
          <w:tcPr>
            <w:tcW w:w="3140" w:type="dxa"/>
            <w:vAlign w:val="bottom"/>
          </w:tcPr>
          <w:p>
            <w:pPr>
              <w:spacing w:after="0"/>
              <w:rPr>
                <w:sz w:val="17"/>
                <w:szCs w:val="17"/>
                <w:color w:val="auto"/>
              </w:rPr>
            </w:pPr>
          </w:p>
        </w:tc>
        <w:tc>
          <w:tcPr>
            <w:tcW w:w="238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792"/>
        </w:trPr>
        <w:tc>
          <w:tcPr>
            <w:tcW w:w="3140" w:type="dxa"/>
            <w:vAlign w:val="bottom"/>
          </w:tcPr>
          <w:p>
            <w:pPr>
              <w:spacing w:after="0"/>
              <w:rPr>
                <w:sz w:val="24"/>
                <w:szCs w:val="24"/>
                <w:color w:val="auto"/>
              </w:rPr>
            </w:pPr>
          </w:p>
        </w:tc>
        <w:tc>
          <w:tcPr>
            <w:tcW w:w="238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12</w:t>
            </w:r>
          </w:p>
        </w:tc>
        <w:tc>
          <w:tcPr>
            <w:tcW w:w="13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202"/>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2019-12-13T07:54:26Z</dcterms:created>
  <dcterms:modified xsi:type="dcterms:W3CDTF">2019-12-13T07:54:26Z</dcterms:modified>
</cp:coreProperties>
</file>