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72390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October 1, 2020</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3820" w:type="dxa"/>
            <w:vAlign w:val="bottom"/>
          </w:tcPr>
          <w:p>
            <w:pPr>
              <w:jc w:val="center"/>
              <w:ind w:right="201"/>
              <w:spacing w:after="0"/>
              <w:rPr>
                <w:sz w:val="20"/>
                <w:szCs w:val="20"/>
                <w:color w:val="auto"/>
              </w:rPr>
            </w:pPr>
            <w:r>
              <w:rPr>
                <w:rFonts w:ascii="Arial" w:cs="Arial" w:eastAsia="Arial" w:hAnsi="Arial"/>
                <w:sz w:val="18"/>
                <w:szCs w:val="18"/>
                <w:b w:val="1"/>
                <w:bCs w:val="1"/>
                <w:color w:val="auto"/>
                <w:w w:val="98"/>
              </w:rPr>
              <w:t>Delaware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(State or other jurisdiction of</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incorporation)</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r>
      <w:tr>
        <w:trPr>
          <w:trHeight w:val="512"/>
        </w:trPr>
        <w:tc>
          <w:tcPr>
            <w:tcW w:w="3820" w:type="dxa"/>
            <w:vAlign w:val="bottom"/>
          </w:tcPr>
          <w:p>
            <w:pPr>
              <w:jc w:val="center"/>
              <w:ind w:right="181"/>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780" w:type="dxa"/>
            <w:vAlign w:val="bottom"/>
          </w:tcPr>
          <w:p>
            <w:pPr>
              <w:spacing w:after="0"/>
              <w:rPr>
                <w:sz w:val="24"/>
                <w:szCs w:val="24"/>
                <w:color w:val="auto"/>
              </w:rPr>
            </w:pPr>
          </w:p>
        </w:tc>
        <w:tc>
          <w:tcPr>
            <w:tcW w:w="214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3820" w:type="dxa"/>
            <w:vAlign w:val="bottom"/>
          </w:tcPr>
          <w:p>
            <w:pPr>
              <w:jc w:val="center"/>
              <w:ind w:right="181"/>
              <w:spacing w:after="0"/>
              <w:rPr>
                <w:sz w:val="20"/>
                <w:szCs w:val="20"/>
                <w:color w:val="auto"/>
              </w:rPr>
            </w:pPr>
            <w:r>
              <w:rPr>
                <w:rFonts w:ascii="Arial" w:cs="Arial" w:eastAsia="Arial" w:hAnsi="Arial"/>
                <w:sz w:val="14"/>
                <w:szCs w:val="14"/>
                <w:b w:val="1"/>
                <w:bCs w:val="1"/>
                <w:color w:val="auto"/>
              </w:rPr>
              <w:t>(Address of principal executive offices)</w:t>
            </w:r>
          </w:p>
        </w:tc>
        <w:tc>
          <w:tcPr>
            <w:tcW w:w="2780" w:type="dxa"/>
            <w:vAlign w:val="bottom"/>
          </w:tcPr>
          <w:p>
            <w:pPr>
              <w:spacing w:after="0"/>
              <w:rPr>
                <w:sz w:val="18"/>
                <w:szCs w:val="18"/>
                <w:color w:val="auto"/>
              </w:rPr>
            </w:pP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(Zip Code)</w:t>
            </w:r>
          </w:p>
        </w:tc>
      </w:tr>
      <w:tr>
        <w:trPr>
          <w:trHeight w:val="430"/>
        </w:trPr>
        <w:tc>
          <w:tcPr>
            <w:tcW w:w="3820" w:type="dxa"/>
            <w:vAlign w:val="bottom"/>
          </w:tcPr>
          <w:p>
            <w:pPr>
              <w:spacing w:after="0"/>
              <w:rPr>
                <w:sz w:val="24"/>
                <w:szCs w:val="24"/>
                <w:color w:val="auto"/>
              </w:rPr>
            </w:pPr>
          </w:p>
        </w:tc>
        <w:tc>
          <w:tcPr>
            <w:tcW w:w="2780" w:type="dxa"/>
            <w:vAlign w:val="bottom"/>
          </w:tcPr>
          <w:p>
            <w:pPr>
              <w:jc w:val="right"/>
              <w:ind w:right="1199"/>
              <w:spacing w:after="0"/>
              <w:rPr>
                <w:sz w:val="20"/>
                <w:szCs w:val="20"/>
                <w:color w:val="auto"/>
              </w:rPr>
            </w:pPr>
            <w:r>
              <w:rPr>
                <w:rFonts w:ascii="Arial" w:cs="Arial" w:eastAsia="Arial" w:hAnsi="Arial"/>
                <w:sz w:val="18"/>
                <w:szCs w:val="18"/>
                <w:b w:val="1"/>
                <w:bCs w:val="1"/>
                <w:color w:val="auto"/>
              </w:rPr>
              <w:t>(703) 345-6300</w:t>
            </w:r>
          </w:p>
        </w:tc>
        <w:tc>
          <w:tcPr>
            <w:tcW w:w="2140" w:type="dxa"/>
            <w:vAlign w:val="bottom"/>
          </w:tcPr>
          <w:p>
            <w:pPr>
              <w:spacing w:after="0"/>
              <w:rPr>
                <w:sz w:val="24"/>
                <w:szCs w:val="24"/>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388"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8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32"/>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23"/>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62"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784860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8" w:right="359" w:bottom="1440" w:gutter="0" w:footer="0" w:header="0"/>
        </w:sectPr>
      </w:pPr>
    </w:p>
    <w:bookmarkStart w:id="1" w:name="page2"/>
    <w:bookmarkEnd w:id="1"/>
    <w:p>
      <w:pPr>
        <w:ind w:right="72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215" w:lineRule="exact"/>
        <w:rPr>
          <w:sz w:val="20"/>
          <w:szCs w:val="20"/>
          <w:color w:val="auto"/>
        </w:rPr>
      </w:pPr>
    </w:p>
    <w:p>
      <w:pPr>
        <w:ind w:firstLine="8"/>
        <w:spacing w:after="0" w:line="237"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212529"/>
        </w:rPr>
        <w:t xml:space="preserve">In response to the impacts of COVID-19 on the business of Graham Holdings Company (the “Company”), </w:t>
      </w:r>
      <w:r>
        <w:rPr>
          <w:rFonts w:ascii="Arial" w:cs="Arial" w:eastAsia="Arial" w:hAnsi="Arial"/>
          <w:sz w:val="18"/>
          <w:szCs w:val="18"/>
          <w:color w:val="000000"/>
        </w:rPr>
        <w:t>a voluntary reduction ranging</w:t>
      </w:r>
      <w:r>
        <w:rPr>
          <w:rFonts w:ascii="Arial" w:cs="Arial" w:eastAsia="Arial" w:hAnsi="Arial"/>
          <w:sz w:val="18"/>
          <w:szCs w:val="18"/>
          <w:color w:val="212529"/>
        </w:rPr>
        <w:t xml:space="preserve"> </w:t>
      </w:r>
      <w:r>
        <w:rPr>
          <w:rFonts w:ascii="Arial" w:cs="Arial" w:eastAsia="Arial" w:hAnsi="Arial"/>
          <w:sz w:val="18"/>
          <w:szCs w:val="18"/>
          <w:color w:val="000000"/>
        </w:rPr>
        <w:t xml:space="preserve">from 20% to 50% of the annual base salary of each of the Company’s named executive officers (as defined in the proxy statement for the Company’s 2020 annual meeting of shareholders, filed with the Securities and Exchange Commission on March 26, 2020) and the Company’s Senior Vice President-Planning and Development became effective as of April 1, 2020. </w:t>
      </w:r>
      <w:r>
        <w:rPr>
          <w:rFonts w:ascii="Arial" w:cs="Arial" w:eastAsia="Arial" w:hAnsi="Arial"/>
          <w:sz w:val="18"/>
          <w:szCs w:val="18"/>
          <w:color w:val="212529"/>
        </w:rPr>
        <w:t>Effective October 1, 2020, in light of</w:t>
      </w:r>
      <w:r>
        <w:rPr>
          <w:rFonts w:ascii="Arial" w:cs="Arial" w:eastAsia="Arial" w:hAnsi="Arial"/>
          <w:sz w:val="18"/>
          <w:szCs w:val="18"/>
          <w:color w:val="000000"/>
        </w:rPr>
        <w:t xml:space="preserve"> </w:t>
      </w:r>
      <w:r>
        <w:rPr>
          <w:rFonts w:ascii="Arial" w:cs="Arial" w:eastAsia="Arial" w:hAnsi="Arial"/>
          <w:sz w:val="18"/>
          <w:szCs w:val="18"/>
          <w:color w:val="212529"/>
        </w:rPr>
        <w:t>improved clarity of the impact of COVID-19 on the Company's business, the full amount of base salary payable immediately prior to the reductions was restored for the Company’s Chief Executive Officer, Chief Financial Officer, Chief Human Resources Officer, General Counsel and Senior Vice President-Planning and Development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532130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October 2, 2020</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1035050</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1200"/>
      </w:cols>
      <w:pgMar w:left="320" w:top="10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2020-10-02T16:05:32Z</dcterms:created>
  <dcterms:modified xsi:type="dcterms:W3CDTF">2020-10-02T16:05:32Z</dcterms:modified>
</cp:coreProperties>
</file>