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12/31/15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6629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629400"/>
                    </a:xfrm>
                    <a:prstGeom prst="rect">
                      <a:avLst/>
                    </a:prstGeom>
                    <a:noFill/>
                  </pic:spPr>
                </pic:pic>
              </a:graphicData>
            </a:graphic>
          </wp:anchor>
        </w:drawing>
      </w:r>
    </w:p>
    <w:p>
      <w:pPr>
        <w:spacing w:after="0" w:line="3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3"/>
        </w:numPr>
        <w:rPr>
          <w:rFonts w:ascii="Times New Roman" w:cs="Times New Roman" w:eastAsia="Times New Roman" w:hAnsi="Times New Roman"/>
          <w:sz w:val="57"/>
          <w:szCs w:val="57"/>
          <w:b w:val="1"/>
          <w:bCs w:val="1"/>
          <w:color w:val="auto"/>
          <w:vertAlign w:val="subscript"/>
        </w:rPr>
      </w:pPr>
      <w:r>
        <w:rPr>
          <w:rFonts w:ascii="Times New Roman" w:cs="Times New Roman" w:eastAsia="Times New Roman" w:hAnsi="Times New Roman"/>
          <w:sz w:val="17"/>
          <w:szCs w:val="17"/>
          <w:b w:val="1"/>
          <w:bCs w:val="1"/>
          <w:color w:val="auto"/>
        </w:rPr>
        <w:t>I.R.S. IDENTIFICATION NOS. OF ABOVE PERSONS (ENTITIES ONLY) Schroder Investment Management Ltd</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ind w:left="1420" w:hanging="797"/>
        <w:spacing w:after="0" w:line="322" w:lineRule="exact"/>
        <w:tabs>
          <w:tab w:leader="none" w:pos="142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36" w:lineRule="exact"/>
        <w:rPr>
          <w:rFonts w:ascii="Times New Roman" w:cs="Times New Roman" w:eastAsia="Times New Roman" w:hAnsi="Times New Roman"/>
          <w:sz w:val="32"/>
          <w:szCs w:val="32"/>
          <w:b w:val="1"/>
          <w:bCs w:val="1"/>
          <w:color w:val="auto"/>
        </w:rPr>
      </w:pPr>
    </w:p>
    <w:p>
      <w:pPr>
        <w:ind w:left="1420"/>
        <w:spacing w:after="0" w:line="207" w:lineRule="exact"/>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51" w:lineRule="exact"/>
        <w:rPr>
          <w:rFonts w:ascii="Times New Roman" w:cs="Times New Roman" w:eastAsia="Times New Roman" w:hAnsi="Times New Roman"/>
          <w:sz w:val="32"/>
          <w:szCs w:val="32"/>
          <w:b w:val="1"/>
          <w:bCs w:val="1"/>
          <w:color w:val="auto"/>
        </w:rPr>
      </w:pPr>
    </w:p>
    <w:p>
      <w:pPr>
        <w:ind w:left="14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b w:val="1"/>
          <w:bCs w:val="1"/>
          <w:color w:val="auto"/>
        </w:rPr>
        <w:t>SEC USE ONLY</w:t>
      </w:r>
    </w:p>
    <w:p>
      <w:pPr>
        <w:ind w:left="62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b w:val="1"/>
          <w:bCs w:val="1"/>
          <w:color w:val="auto"/>
        </w:rPr>
        <w:t>United Kingdom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130,174</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8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38"/>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130,174</w:t>
            </w: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130,174</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0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10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0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2.229% of outstanding shares</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0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w:t>
            </w:r>
          </w:p>
        </w:tc>
        <w:tc>
          <w:tcPr>
            <w:tcW w:w="6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8"/>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44"/>
        </w:trPr>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6629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629400"/>
                    </a:xfrm>
                    <a:prstGeom prst="rect">
                      <a:avLst/>
                    </a:prstGeom>
                    <a:noFill/>
                  </pic:spPr>
                </pic:pic>
              </a:graphicData>
            </a:graphic>
          </wp:anchor>
        </w:drawing>
      </w:r>
    </w:p>
    <w:p>
      <w:pPr>
        <w:spacing w:after="0" w:line="3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63" w:lineRule="exact"/>
        <w:rPr>
          <w:sz w:val="20"/>
          <w:szCs w:val="20"/>
          <w:color w:val="auto"/>
        </w:rPr>
      </w:pPr>
    </w:p>
    <w:p>
      <w:pPr>
        <w:ind w:left="1440" w:right="4100" w:hanging="817"/>
        <w:spacing w:after="0" w:line="181" w:lineRule="auto"/>
        <w:tabs>
          <w:tab w:leader="none" w:pos="1431" w:val="left"/>
        </w:tabs>
        <w:numPr>
          <w:ilvl w:val="0"/>
          <w:numId w:val="6"/>
        </w:numPr>
        <w:rPr>
          <w:rFonts w:ascii="Times New Roman" w:cs="Times New Roman" w:eastAsia="Times New Roman" w:hAnsi="Times New Roman"/>
          <w:sz w:val="57"/>
          <w:szCs w:val="57"/>
          <w:b w:val="1"/>
          <w:bCs w:val="1"/>
          <w:color w:val="auto"/>
          <w:vertAlign w:val="subscript"/>
        </w:rPr>
      </w:pPr>
      <w:r>
        <w:rPr>
          <w:rFonts w:ascii="Times New Roman" w:cs="Times New Roman" w:eastAsia="Times New Roman" w:hAnsi="Times New Roman"/>
          <w:sz w:val="17"/>
          <w:szCs w:val="17"/>
          <w:b w:val="1"/>
          <w:bCs w:val="1"/>
          <w:color w:val="auto"/>
        </w:rPr>
        <w:t>I.R.S. IDENTIFICATION NOS. OF ABOVE PERSONS (ENTITIES ONLY) Schroder Investment Management North America Inc.</w:t>
      </w:r>
    </w:p>
    <w:p>
      <w:pPr>
        <w:spacing w:after="0" w:line="1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ind w:left="1420" w:hanging="797"/>
        <w:spacing w:after="0" w:line="322" w:lineRule="exact"/>
        <w:tabs>
          <w:tab w:leader="none" w:pos="1420" w:val="left"/>
        </w:tabs>
        <w:numPr>
          <w:ilvl w:val="0"/>
          <w:numId w:val="7"/>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36" w:lineRule="exact"/>
        <w:rPr>
          <w:rFonts w:ascii="Times New Roman" w:cs="Times New Roman" w:eastAsia="Times New Roman" w:hAnsi="Times New Roman"/>
          <w:sz w:val="32"/>
          <w:szCs w:val="32"/>
          <w:b w:val="1"/>
          <w:bCs w:val="1"/>
          <w:color w:val="auto"/>
        </w:rPr>
      </w:pPr>
    </w:p>
    <w:p>
      <w:pPr>
        <w:ind w:left="1420"/>
        <w:spacing w:after="0" w:line="207" w:lineRule="exact"/>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51" w:lineRule="exact"/>
        <w:rPr>
          <w:rFonts w:ascii="Times New Roman" w:cs="Times New Roman" w:eastAsia="Times New Roman" w:hAnsi="Times New Roman"/>
          <w:sz w:val="32"/>
          <w:szCs w:val="32"/>
          <w:b w:val="1"/>
          <w:bCs w:val="1"/>
          <w:color w:val="auto"/>
        </w:rPr>
      </w:pPr>
    </w:p>
    <w:p>
      <w:pPr>
        <w:ind w:left="14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b w:val="1"/>
          <w:bCs w:val="1"/>
          <w:color w:val="auto"/>
        </w:rPr>
        <w:t>SEC USE ONLY</w:t>
      </w:r>
    </w:p>
    <w:p>
      <w:pPr>
        <w:ind w:left="62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440" w:hanging="817"/>
        <w:spacing w:after="0" w:line="182" w:lineRule="auto"/>
        <w:tabs>
          <w:tab w:leader="none" w:pos="1440" w:val="left"/>
        </w:tabs>
        <w:numPr>
          <w:ilvl w:val="0"/>
          <w:numId w:val="8"/>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b w:val="1"/>
          <w:bCs w:val="1"/>
          <w:color w:val="auto"/>
        </w:rPr>
        <w:t>United States of America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102,700</w:t>
            </w:r>
          </w:p>
        </w:tc>
        <w:tc>
          <w:tcPr>
            <w:tcW w:w="0" w:type="dxa"/>
            <w:vAlign w:val="bottom"/>
          </w:tcPr>
          <w:p>
            <w:pPr>
              <w:spacing w:after="0"/>
              <w:rPr>
                <w:sz w:val="1"/>
                <w:szCs w:val="1"/>
                <w:color w:val="auto"/>
              </w:rPr>
            </w:pPr>
          </w:p>
        </w:tc>
      </w:tr>
      <w:tr>
        <w:trPr>
          <w:trHeight w:val="162"/>
        </w:trPr>
        <w:tc>
          <w:tcPr>
            <w:tcW w:w="20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1"/>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8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80" w:type="dxa"/>
            <w:vAlign w:val="bottom"/>
            <w:tcBorders>
              <w:right w:val="single" w:sz="8" w:color="auto"/>
            </w:tcBorders>
            <w:vMerge w:val="continue"/>
          </w:tcPr>
          <w:p>
            <w:pPr>
              <w:spacing w:after="0"/>
              <w:rPr>
                <w:sz w:val="20"/>
                <w:szCs w:val="20"/>
                <w:color w:val="auto"/>
              </w:rPr>
            </w:pPr>
          </w:p>
        </w:tc>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102,700</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1440" w:hanging="817"/>
        <w:spacing w:after="0" w:line="208" w:lineRule="auto"/>
        <w:tabs>
          <w:tab w:leader="none" w:pos="1440" w:val="left"/>
        </w:tabs>
        <w:numPr>
          <w:ilvl w:val="0"/>
          <w:numId w:val="9"/>
        </w:numPr>
        <w:rPr>
          <w:rFonts w:ascii="Times New Roman" w:cs="Times New Roman" w:eastAsia="Times New Roman" w:hAnsi="Times New Roman"/>
          <w:sz w:val="65"/>
          <w:szCs w:val="65"/>
          <w:b w:val="1"/>
          <w:bCs w:val="1"/>
          <w:color w:val="auto"/>
          <w:vertAlign w:val="superscript"/>
        </w:rPr>
      </w:pPr>
      <w:r>
        <w:rPr>
          <w:rFonts w:ascii="Times New Roman" w:cs="Times New Roman" w:eastAsia="Times New Roman" w:hAnsi="Times New Roman"/>
          <w:sz w:val="18"/>
          <w:szCs w:val="18"/>
          <w:b w:val="1"/>
          <w:bCs w:val="1"/>
          <w:color w:val="auto"/>
        </w:rPr>
        <w:t>102,700</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40"/>
        <w:spacing w:after="0" w:line="379" w:lineRule="exact"/>
        <w:tabs>
          <w:tab w:leader="none" w:pos="140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Times New Roman" w:cs="Times New Roman" w:eastAsia="Times New Roman" w:hAnsi="Times New Roman"/>
          <w:sz w:val="27"/>
          <w:szCs w:val="27"/>
          <w:b w:val="1"/>
          <w:bCs w:val="1"/>
          <w:color w:val="auto"/>
          <w:vertAlign w:val="superscript"/>
        </w:rPr>
        <w:t>11</w:t>
      </w:r>
      <w:r>
        <w:rPr>
          <w:sz w:val="20"/>
          <w:szCs w:val="20"/>
          <w:color w:val="auto"/>
        </w:rPr>
        <w:tab/>
      </w:r>
      <w:r>
        <w:rPr>
          <w:rFonts w:ascii="Times New Roman" w:cs="Times New Roman" w:eastAsia="Times New Roman" w:hAnsi="Times New Roman"/>
          <w:sz w:val="14"/>
          <w:szCs w:val="14"/>
          <w:b w:val="1"/>
          <w:bCs w:val="1"/>
          <w:color w:val="auto"/>
        </w:rPr>
        <w:t>1.758% of outstanding shares</w:t>
      </w:r>
    </w:p>
    <w:p>
      <w:pPr>
        <w:spacing w:after="0" w:line="3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42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36"/>
          <w:szCs w:val="36"/>
          <w:b w:val="1"/>
          <w:bCs w:val="1"/>
          <w:color w:val="auto"/>
          <w:vertAlign w:val="subscript"/>
        </w:rPr>
        <w:t>IA</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Graham Holdings Company (COM)</w:t>
      </w:r>
    </w:p>
    <w:p>
      <w:pPr>
        <w:spacing w:after="0" w:line="22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-207010</wp:posOffset>
            </wp:positionV>
            <wp:extent cx="644461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238125</wp:posOffset>
            </wp:positionV>
            <wp:extent cx="644461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4615" cy="387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Schroder Investment Management North America Inc.</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ind w:left="1300" w:right="8040"/>
        <w:spacing w:after="0" w:line="2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875 Third Ave, 22</w:t>
      </w:r>
      <w:r>
        <w:rPr>
          <w:rFonts w:ascii="Times New Roman" w:cs="Times New Roman" w:eastAsia="Times New Roman" w:hAnsi="Times New Roman"/>
          <w:sz w:val="28"/>
          <w:szCs w:val="28"/>
          <w:b w:val="1"/>
          <w:bCs w:val="1"/>
          <w:color w:val="auto"/>
          <w:vertAlign w:val="superscript"/>
        </w:rPr>
        <w:t>nd</w:t>
      </w:r>
      <w:r>
        <w:rPr>
          <w:rFonts w:ascii="Times New Roman" w:cs="Times New Roman" w:eastAsia="Times New Roman" w:hAnsi="Times New Roman"/>
          <w:sz w:val="17"/>
          <w:szCs w:val="17"/>
          <w:b w:val="1"/>
          <w:bCs w:val="1"/>
          <w:color w:val="auto"/>
        </w:rPr>
        <w:t xml:space="preserve"> Floor New York, NY 10022</w:t>
      </w:r>
    </w:p>
    <w:p>
      <w:pPr>
        <w:spacing w:after="0" w:line="2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USA</w:t>
      </w:r>
    </w:p>
    <w:p>
      <w:pPr>
        <w:spacing w:after="0" w:line="22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-1771015</wp:posOffset>
            </wp:positionV>
            <wp:extent cx="644461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-1213485</wp:posOffset>
            </wp:positionV>
            <wp:extent cx="644461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-784860</wp:posOffset>
            </wp:positionV>
            <wp:extent cx="644461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-364490</wp:posOffset>
            </wp:positionV>
            <wp:extent cx="644461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55245</wp:posOffset>
            </wp:positionV>
            <wp:extent cx="644461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4615" cy="387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8" w:lineRule="exact"/>
        <w:rPr>
          <w:sz w:val="20"/>
          <w:szCs w:val="20"/>
          <w:color w:val="auto"/>
        </w:rPr>
      </w:pPr>
    </w:p>
    <w:p>
      <w:pPr>
        <w:ind w:left="1400" w:hanging="420"/>
        <w:spacing w:after="0" w:line="207" w:lineRule="exact"/>
        <w:tabs>
          <w:tab w:leader="none" w:pos="14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420" w:hanging="440"/>
        <w:spacing w:after="0" w:line="207" w:lineRule="exact"/>
        <w:tabs>
          <w:tab w:leader="none" w:pos="14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400" w:hanging="420"/>
        <w:spacing w:after="0" w:line="207" w:lineRule="exact"/>
        <w:tabs>
          <w:tab w:leader="none" w:pos="14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420" w:hanging="440"/>
        <w:spacing w:after="0" w:line="207" w:lineRule="exact"/>
        <w:tabs>
          <w:tab w:leader="none" w:pos="14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400" w:hanging="420"/>
        <w:spacing w:after="0" w:line="207" w:lineRule="exact"/>
        <w:tabs>
          <w:tab w:leader="none" w:pos="14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440" w:hanging="460"/>
        <w:spacing w:after="0" w:line="207" w:lineRule="exact"/>
        <w:tabs>
          <w:tab w:leader="none" w:pos="14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420" w:hanging="440"/>
        <w:spacing w:after="0" w:line="207" w:lineRule="exact"/>
        <w:tabs>
          <w:tab w:leader="none" w:pos="14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420" w:hanging="440"/>
        <w:spacing w:after="0" w:line="207" w:lineRule="exact"/>
        <w:tabs>
          <w:tab w:leader="none" w:pos="14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800" w:hanging="820"/>
        <w:spacing w:after="0" w:line="239" w:lineRule="exact"/>
        <w:tabs>
          <w:tab w:leader="none" w:pos="1429"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420" w:hanging="440"/>
        <w:spacing w:after="0" w:line="207" w:lineRule="exact"/>
        <w:tabs>
          <w:tab w:leader="none" w:pos="14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Group,in accordance with §240.13d-1(b)(1)(ii)(J).</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4" w:name="page5"/>
    <w:bookmarkEnd w:id="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232,874</w:t>
      </w:r>
    </w:p>
    <w:p>
      <w:pPr>
        <w:spacing w:after="0" w:line="2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3.987% of outstanding shares</w:t>
      </w:r>
    </w:p>
    <w:p>
      <w:pPr>
        <w:spacing w:after="0" w:line="2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1800" w:right="6820" w:hanging="495"/>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75" w:lineRule="exact"/>
        <w:rPr>
          <w:rFonts w:ascii="Times New Roman" w:cs="Times New Roman" w:eastAsia="Times New Roman" w:hAnsi="Times New Roman"/>
          <w:sz w:val="18"/>
          <w:szCs w:val="18"/>
          <w:color w:val="auto"/>
        </w:rPr>
      </w:pPr>
    </w:p>
    <w:p>
      <w:pPr>
        <w:ind w:left="1800" w:right="6640" w:hanging="495"/>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232,874</w:t>
      </w:r>
    </w:p>
    <w:p>
      <w:pPr>
        <w:spacing w:after="0" w:line="188" w:lineRule="exact"/>
        <w:rPr>
          <w:rFonts w:ascii="Times New Roman" w:cs="Times New Roman" w:eastAsia="Times New Roman" w:hAnsi="Times New Roman"/>
          <w:sz w:val="18"/>
          <w:szCs w:val="18"/>
          <w:color w:val="auto"/>
        </w:rPr>
      </w:pPr>
    </w:p>
    <w:p>
      <w:pPr>
        <w:ind w:left="1800" w:right="5920" w:hanging="495"/>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75" w:lineRule="exact"/>
        <w:rPr>
          <w:rFonts w:ascii="Times New Roman" w:cs="Times New Roman" w:eastAsia="Times New Roman" w:hAnsi="Times New Roman"/>
          <w:sz w:val="18"/>
          <w:szCs w:val="18"/>
          <w:color w:val="auto"/>
        </w:rPr>
      </w:pPr>
    </w:p>
    <w:p>
      <w:pPr>
        <w:ind w:left="1800" w:right="5740" w:hanging="495"/>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232,874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-2442845</wp:posOffset>
            </wp:positionV>
            <wp:extent cx="644461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-2133600</wp:posOffset>
            </wp:positionV>
            <wp:extent cx="644461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4615" cy="3873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-1824990</wp:posOffset>
            </wp:positionV>
            <wp:extent cx="642747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7470" cy="3873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-1233170</wp:posOffset>
            </wp:positionV>
            <wp:extent cx="61360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6005" cy="3873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-813435</wp:posOffset>
            </wp:positionV>
            <wp:extent cx="61360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6005" cy="3873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-393065</wp:posOffset>
            </wp:positionV>
            <wp:extent cx="613600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6005" cy="3873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34925</wp:posOffset>
            </wp:positionV>
            <wp:extent cx="61360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6005" cy="38735"/>
                    </a:xfrm>
                    <a:prstGeom prst="rect">
                      <a:avLst/>
                    </a:prstGeom>
                    <a:noFill/>
                  </pic:spPr>
                </pic:pic>
              </a:graphicData>
            </a:graphic>
          </wp:anchor>
        </w:drawing>
      </w:r>
    </w:p>
    <w:p>
      <w:pPr>
        <w:spacing w:after="0" w:line="39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Schroder Investment Management Ltd., and Schroder Investment Management North America Inc., are registered investment adviser with their respective home country regulator and under common control with the adviser. Schroder Investment Management Ltd. is located in the United Kingdom at 31 Gresham Street, London EC2V 7QA. Schroder Investment Management North America Inc. is located in the United States at 875 Third Avenue, New York, NY 10022. Schroder Investment Management North America Inc. disclaims the existence of a group.</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February 10, 2016</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Karl Dasher**</w:t>
      </w:r>
    </w:p>
    <w:p>
      <w:pPr>
        <w:spacing w:after="0" w:line="27"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5"/>
              </w:rPr>
              <w:t>Name:</w:t>
            </w:r>
          </w:p>
        </w:tc>
        <w:tc>
          <w:tcPr>
            <w:tcW w:w="170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Karl Dasher**</w:t>
            </w:r>
          </w:p>
        </w:tc>
        <w:tc>
          <w:tcPr>
            <w:tcW w:w="24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Schroder Investment Management North America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Authorized by Power of Attorney to sign on behalf of the following</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Advisor: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Schroder Investment Management Ltd</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2019-12-05T11:36:36Z</dcterms:created>
  <dcterms:modified xsi:type="dcterms:W3CDTF">2019-12-05T11:36:36Z</dcterms:modified>
</cp:coreProperties>
</file>