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 xml:space="preserve">Graham Holding Company </w:t>
      </w:r>
      <w:r>
        <w:rPr>
          <w:rFonts w:ascii="Arial" w:cs="Arial" w:eastAsia="Arial" w:hAnsi="Arial"/>
          <w:sz w:val="21"/>
          <w:szCs w:val="21"/>
          <w:color w:val="auto"/>
        </w:rPr>
        <w:t>(Formerly 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384637104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440" w:hanging="207"/>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4" w:lineRule="exact"/>
        <w:rPr>
          <w:rFonts w:ascii="MS PGothic" w:cs="MS PGothic" w:eastAsia="MS PGothic" w:hAnsi="MS PGothic"/>
          <w:sz w:val="18"/>
          <w:szCs w:val="18"/>
          <w:color w:val="auto"/>
        </w:rPr>
      </w:pPr>
    </w:p>
    <w:p>
      <w:pPr>
        <w:ind w:left="440" w:hanging="207"/>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4"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939640108</w:t>
            </w:r>
          </w:p>
        </w:tc>
        <w:tc>
          <w:tcPr>
            <w:tcW w:w="6160" w:type="dxa"/>
            <w:vAlign w:val="bottom"/>
          </w:tcPr>
          <w:p>
            <w:pPr>
              <w:spacing w:after="0"/>
              <w:rPr>
                <w:sz w:val="19"/>
                <w:szCs w:val="19"/>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Page</w:t>
            </w:r>
          </w:p>
        </w:tc>
        <w:tc>
          <w:tcPr>
            <w:tcW w:w="42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6 pages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4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International Value Advisers, LLC</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74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74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93,630</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BY 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110,465</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110,465</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w w:val="96"/>
              </w:rPr>
              <w:t>CHECK IF THE AGGREGATE AMOUNT IN ROW (9) EXCLUDES CERTAIN SHARES (SEE INSTRUCTIONS)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Graham Holding Company</w:t>
      </w:r>
    </w:p>
    <w:p>
      <w:pPr>
        <w:spacing w:after="0" w:line="225" w:lineRule="exact"/>
        <w:rPr>
          <w:rFonts w:ascii="Arial" w:cs="Arial" w:eastAsia="Arial" w:hAnsi="Arial"/>
          <w:sz w:val="18"/>
          <w:szCs w:val="18"/>
          <w:color w:val="auto"/>
        </w:rPr>
      </w:pPr>
    </w:p>
    <w:p>
      <w:pPr>
        <w:ind w:left="4200" w:right="4920" w:hanging="3760"/>
        <w:spacing w:after="0" w:line="342" w:lineRule="auto"/>
        <w:tabs>
          <w:tab w:leader="none" w:pos="756"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Issuer’s Principal Executive Offices 1150 15TH STREET NW WASHINGTON, D.C. 20071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 International Value Advisers, LLC</w:t>
      </w:r>
    </w:p>
    <w:p>
      <w:pPr>
        <w:spacing w:after="0" w:line="225" w:lineRule="exact"/>
        <w:rPr>
          <w:rFonts w:ascii="Arial" w:cs="Arial" w:eastAsia="Arial" w:hAnsi="Arial"/>
          <w:sz w:val="18"/>
          <w:szCs w:val="18"/>
          <w:color w:val="auto"/>
        </w:rPr>
      </w:pPr>
    </w:p>
    <w:p>
      <w:pPr>
        <w:ind w:left="5120" w:right="4060" w:hanging="4680"/>
        <w:spacing w:after="0" w:line="308" w:lineRule="auto"/>
        <w:tabs>
          <w:tab w:leader="none" w:pos="758"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 717 Fifth Avenue, 10th Floor New York, NY 10022</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Delaware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 Class B Common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939640108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7" w:lineRule="exact"/>
        <w:rPr>
          <w:sz w:val="20"/>
          <w:szCs w:val="20"/>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3(a)(l9) of the Act (15 U.S.C. 78c).</w:t>
      </w:r>
    </w:p>
    <w:p>
      <w:pPr>
        <w:spacing w:after="0" w:line="225"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§240.l3d-l(b)(l)(ii)(E);</w:t>
      </w:r>
    </w:p>
    <w:p>
      <w:pPr>
        <w:spacing w:after="0" w:line="225"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§240.13d-l(b)(1)(ii)(F);</w:t>
      </w:r>
    </w:p>
    <w:p>
      <w:pPr>
        <w:spacing w:after="0" w:line="225"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240.13d-l(b)(1)(ii)(G);</w:t>
      </w:r>
    </w:p>
    <w:p>
      <w:pPr>
        <w:spacing w:after="0" w:line="225"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80" w:hanging="640"/>
        <w:spacing w:after="0" w:line="239" w:lineRule="exact"/>
        <w:tabs>
          <w:tab w:leader="none" w:pos="756"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§240.l3d-l(b)(1)(ii)(J).</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110,465.</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2.3%.</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93,630.</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110,465.</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firstLine="225"/>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931" w:right="719" w:bottom="1440" w:gutter="0" w:footer="0" w:header="0"/>
        </w:sectPr>
      </w:pPr>
    </w:p>
    <w:bookmarkStart w:id="4" w:name="page5"/>
    <w:bookmarkEnd w:id="4"/>
    <w:p>
      <w:pPr>
        <w:jc w:val="both"/>
        <w:ind w:left="7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February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Michael Malafronte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Name/Title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8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200"/>
      </w:cols>
      <w:pgMar w:left="46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2019-12-05T16:57:17Z</dcterms:created>
  <dcterms:modified xsi:type="dcterms:W3CDTF">2019-12-05T16:57:17Z</dcterms:modified>
</cp:coreProperties>
</file>