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60" w:type="dxa"/>
            <w:vAlign w:val="bottom"/>
          </w:tcPr>
          <w:p>
            <w:pPr>
              <w:jc w:val="center"/>
              <w:ind w:right="173"/>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-652145</wp:posOffset>
            </wp:positionV>
            <wp:extent cx="59690" cy="6654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5480"/>
                    </a:xfrm>
                    <a:prstGeom prst="rect">
                      <a:avLst/>
                    </a:prstGeom>
                    <a:noFill/>
                  </pic:spPr>
                </pic:pic>
              </a:graphicData>
            </a:graphic>
          </wp:anchor>
        </w:drawing>
        <w:drawing>
          <wp:anchor simplePos="0" relativeHeight="251657728" behindDoc="1" locked="0" layoutInCell="0" allowOverlap="1">
            <wp:simplePos x="0" y="0"/>
            <wp:positionH relativeFrom="column">
              <wp:posOffset>4150360</wp:posOffset>
            </wp:positionH>
            <wp:positionV relativeFrom="paragraph">
              <wp:posOffset>-652145</wp:posOffset>
            </wp:positionV>
            <wp:extent cx="59690" cy="665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548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-1696085</wp:posOffset>
            </wp:positionH>
            <wp:positionV relativeFrom="paragraph">
              <wp:posOffset>20955</wp:posOffset>
            </wp:positionV>
            <wp:extent cx="7322820" cy="6282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282690"/>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60" w:space="300"/>
            <w:col w:w="886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O'Shaughnessy Timothy J</w:t>
        </w:r>
      </w:hyperlink>
    </w:p>
    <w:p>
      <w:pPr>
        <w:spacing w:after="0" w:line="314"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20"/>
        <w:spacing w:after="0" w:line="364" w:lineRule="auto"/>
        <w:rPr>
          <w:sz w:val="20"/>
          <w:szCs w:val="20"/>
          <w:color w:val="auto"/>
        </w:rPr>
      </w:pPr>
      <w:r>
        <w:rPr>
          <w:rFonts w:ascii="Arial" w:cs="Arial" w:eastAsia="Arial" w:hAnsi="Arial"/>
          <w:sz w:val="16"/>
          <w:szCs w:val="16"/>
          <w:color w:val="0000FF"/>
        </w:rPr>
        <w:t>C/O GRAHAM HOLDINGS COMPANY 1300 NORTH 17TH STREET, SUITE 1700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Graham Holdings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GHC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7"/>
          <w:szCs w:val="17"/>
          <w:color w:val="0000FF"/>
        </w:rPr>
        <w:t>07/24/2017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6" w:right="640" w:firstLine="6"/>
        <w:spacing w:after="0" w:line="256"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9" w:lineRule="exact"/>
        <w:rPr>
          <w:sz w:val="24"/>
          <w:szCs w:val="24"/>
          <w:color w:val="auto"/>
        </w:rPr>
      </w:pPr>
    </w:p>
    <w:tbl>
      <w:tblPr>
        <w:tblLayout w:type="fixed"/>
        <w:tblInd w:w="214" w:type="dxa"/>
        <w:tblCellMar>
          <w:top w:w="0" w:type="dxa"/>
          <w:left w:w="0" w:type="dxa"/>
          <w:bottom w:w="0" w:type="dxa"/>
          <w:right w:w="0" w:type="dxa"/>
        </w:tblCellMar>
      </w:tblPr>
      <w:tr>
        <w:trPr>
          <w:trHeight w:val="222"/>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3"/>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74"/>
        <w:spacing w:after="0"/>
        <w:rPr>
          <w:sz w:val="20"/>
          <w:szCs w:val="20"/>
          <w:color w:val="auto"/>
        </w:rPr>
      </w:pPr>
      <w:r>
        <w:rPr>
          <w:rFonts w:ascii="Arial" w:cs="Arial" w:eastAsia="Arial" w:hAnsi="Arial"/>
          <w:sz w:val="17"/>
          <w:szCs w:val="17"/>
          <w:color w:val="0000FF"/>
        </w:rPr>
        <w:t>President and CEO</w:t>
      </w:r>
    </w:p>
    <w:p>
      <w:pPr>
        <w:spacing w:after="0" w:line="430" w:lineRule="exact"/>
        <w:rPr>
          <w:sz w:val="24"/>
          <w:szCs w:val="24"/>
          <w:color w:val="auto"/>
        </w:rPr>
      </w:pPr>
    </w:p>
    <w:p>
      <w:pPr>
        <w:sectPr>
          <w:pgSz w:w="11900" w:h="16838" w:orient="portrait"/>
          <w:cols w:equalWidth="0" w:num="3">
            <w:col w:w="3340" w:space="720"/>
            <w:col w:w="3266" w:space="720"/>
            <w:col w:w="3474"/>
          </w:cols>
          <w:pgMar w:left="240" w:top="226" w:right="139" w:bottom="1440" w:gutter="0" w:footer="0" w:header="0"/>
          <w:type w:val="continuous"/>
        </w:sectPr>
      </w:pPr>
    </w:p>
    <w:p>
      <w:pPr>
        <w:spacing w:after="0" w:line="21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41"/>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ARLINGTON</w:t>
            </w:r>
          </w:p>
        </w:tc>
        <w:tc>
          <w:tcPr>
            <w:tcW w:w="980" w:type="dxa"/>
            <w:vAlign w:val="bottom"/>
          </w:tcPr>
          <w:p>
            <w:pPr>
              <w:ind w:left="140"/>
              <w:spacing w:after="0"/>
              <w:rPr>
                <w:sz w:val="20"/>
                <w:szCs w:val="20"/>
                <w:color w:val="auto"/>
              </w:rPr>
            </w:pPr>
            <w:r>
              <w:rPr>
                <w:rFonts w:ascii="Arial" w:cs="Arial" w:eastAsia="Arial" w:hAnsi="Arial"/>
                <w:sz w:val="17"/>
                <w:szCs w:val="17"/>
                <w:color w:val="0000FF"/>
              </w:rPr>
              <w:t>VA</w:t>
            </w:r>
          </w:p>
        </w:tc>
        <w:tc>
          <w:tcPr>
            <w:tcW w:w="1660" w:type="dxa"/>
            <w:vAlign w:val="bottom"/>
          </w:tcPr>
          <w:p>
            <w:pPr>
              <w:ind w:left="420"/>
              <w:spacing w:after="0"/>
              <w:rPr>
                <w:sz w:val="20"/>
                <w:szCs w:val="20"/>
                <w:color w:val="auto"/>
              </w:rPr>
            </w:pPr>
            <w:r>
              <w:rPr>
                <w:rFonts w:ascii="Arial" w:cs="Arial" w:eastAsia="Arial" w:hAnsi="Arial"/>
                <w:sz w:val="17"/>
                <w:szCs w:val="17"/>
                <w:color w:val="0000FF"/>
              </w:rPr>
              <w:t>22209</w:t>
            </w:r>
          </w:p>
        </w:tc>
      </w:tr>
      <w:tr>
        <w:trPr>
          <w:trHeight w:val="157"/>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40"/>
              <w:spacing w:after="0"/>
              <w:rPr>
                <w:sz w:val="20"/>
                <w:szCs w:val="20"/>
                <w:color w:val="auto"/>
              </w:rPr>
            </w:pPr>
            <w:r>
              <w:rPr>
                <w:rFonts w:ascii="Arial" w:cs="Arial" w:eastAsia="Arial" w:hAnsi="Arial"/>
                <w:sz w:val="13"/>
                <w:szCs w:val="13"/>
                <w:color w:val="auto"/>
              </w:rPr>
              <w:t>(State)</w:t>
            </w:r>
          </w:p>
        </w:tc>
        <w:tc>
          <w:tcPr>
            <w:tcW w:w="166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6"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4"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70" w:lineRule="exact"/>
        <w:rPr>
          <w:sz w:val="24"/>
          <w:szCs w:val="24"/>
          <w:color w:val="auto"/>
        </w:rPr>
      </w:pPr>
    </w:p>
    <w:p>
      <w:pPr>
        <w:sectPr>
          <w:pgSz w:w="11900" w:h="16838" w:orient="portrait"/>
          <w:cols w:equalWidth="0" w:num="2">
            <w:col w:w="3900" w:space="160"/>
            <w:col w:w="746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1"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5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580" w:type="dxa"/>
            <w:vAlign w:val="bottom"/>
          </w:tcPr>
          <w:p>
            <w:pPr>
              <w:spacing w:after="0"/>
              <w:rPr>
                <w:sz w:val="11"/>
                <w:szCs w:val="11"/>
                <w:color w:val="auto"/>
              </w:rPr>
            </w:pPr>
          </w:p>
        </w:tc>
        <w:tc>
          <w:tcPr>
            <w:tcW w:w="1840" w:type="dxa"/>
            <w:vAlign w:val="bottom"/>
          </w:tcPr>
          <w:p>
            <w:pPr>
              <w:ind w:left="78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9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580" w:type="dxa"/>
            <w:vAlign w:val="bottom"/>
          </w:tcPr>
          <w:p>
            <w:pPr>
              <w:spacing w:after="0"/>
              <w:rPr>
                <w:sz w:val="11"/>
                <w:szCs w:val="11"/>
                <w:color w:val="auto"/>
              </w:rPr>
            </w:pPr>
          </w:p>
        </w:tc>
        <w:tc>
          <w:tcPr>
            <w:tcW w:w="1840" w:type="dxa"/>
            <w:vAlign w:val="bottom"/>
          </w:tcPr>
          <w:p>
            <w:pPr>
              <w:ind w:left="7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9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5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58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9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5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5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58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58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580" w:type="dxa"/>
            <w:vAlign w:val="bottom"/>
          </w:tcPr>
          <w:p>
            <w:pPr>
              <w:ind w:left="60"/>
              <w:spacing w:after="0"/>
              <w:rPr>
                <w:sz w:val="20"/>
                <w:szCs w:val="20"/>
                <w:color w:val="auto"/>
              </w:rPr>
            </w:pPr>
            <w:r>
              <w:rPr>
                <w:rFonts w:ascii="Arial" w:cs="Arial" w:eastAsia="Arial" w:hAnsi="Arial"/>
                <w:sz w:val="17"/>
                <w:szCs w:val="17"/>
                <w:color w:val="0000FF"/>
              </w:rPr>
              <w:t>Class B Common Stock</w:t>
            </w:r>
          </w:p>
        </w:tc>
        <w:tc>
          <w:tcPr>
            <w:tcW w:w="18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0000FF"/>
                <w:w w:val="93"/>
              </w:rPr>
              <w:t>8,892</w:t>
            </w:r>
          </w:p>
        </w:tc>
        <w:tc>
          <w:tcPr>
            <w:tcW w:w="980" w:type="dxa"/>
            <w:vAlign w:val="bottom"/>
          </w:tcPr>
          <w:p>
            <w:pPr>
              <w:ind w:left="460"/>
              <w:spacing w:after="0"/>
              <w:rPr>
                <w:sz w:val="20"/>
                <w:szCs w:val="20"/>
                <w:color w:val="auto"/>
              </w:rPr>
            </w:pPr>
            <w:r>
              <w:rPr>
                <w:rFonts w:ascii="Arial" w:cs="Arial" w:eastAsia="Arial" w:hAnsi="Arial"/>
                <w:sz w:val="17"/>
                <w:szCs w:val="17"/>
                <w:color w:val="0000FF"/>
              </w:rPr>
              <w:t>D</w:t>
            </w: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58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580" w:type="dxa"/>
            <w:vAlign w:val="bottom"/>
          </w:tcPr>
          <w:p>
            <w:pPr>
              <w:ind w:left="60"/>
              <w:spacing w:after="0"/>
              <w:rPr>
                <w:sz w:val="20"/>
                <w:szCs w:val="20"/>
                <w:color w:val="auto"/>
              </w:rPr>
            </w:pPr>
            <w:r>
              <w:rPr>
                <w:rFonts w:ascii="Arial" w:cs="Arial" w:eastAsia="Arial" w:hAnsi="Arial"/>
                <w:sz w:val="17"/>
                <w:szCs w:val="17"/>
                <w:color w:val="0000FF"/>
              </w:rPr>
              <w:t>Class B Common Stock</w:t>
            </w:r>
          </w:p>
        </w:tc>
        <w:tc>
          <w:tcPr>
            <w:tcW w:w="18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0000FF"/>
                <w:w w:val="93"/>
              </w:rPr>
              <w:t>2,782</w:t>
            </w:r>
          </w:p>
        </w:tc>
        <w:tc>
          <w:tcPr>
            <w:tcW w:w="980" w:type="dxa"/>
            <w:vAlign w:val="bottom"/>
          </w:tcPr>
          <w:p>
            <w:pPr>
              <w:ind w:left="480"/>
              <w:spacing w:after="0"/>
              <w:rPr>
                <w:sz w:val="20"/>
                <w:szCs w:val="20"/>
                <w:color w:val="auto"/>
              </w:rPr>
            </w:pPr>
            <w:r>
              <w:rPr>
                <w:rFonts w:ascii="Arial" w:cs="Arial" w:eastAsia="Arial" w:hAnsi="Arial"/>
                <w:sz w:val="17"/>
                <w:szCs w:val="17"/>
                <w:color w:val="0000FF"/>
              </w:rPr>
              <w:t>I</w:t>
            </w:r>
          </w:p>
        </w:tc>
        <w:tc>
          <w:tcPr>
            <w:tcW w:w="900" w:type="dxa"/>
            <w:vAlign w:val="bottom"/>
          </w:tcPr>
          <w:p>
            <w:pPr>
              <w:ind w:left="80"/>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62"/>
        </w:trPr>
        <w:tc>
          <w:tcPr>
            <w:tcW w:w="258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580" w:type="dxa"/>
            <w:vAlign w:val="bottom"/>
            <w:vMerge w:val="restart"/>
          </w:tcPr>
          <w:p>
            <w:pPr>
              <w:ind w:left="60"/>
              <w:spacing w:after="0"/>
              <w:rPr>
                <w:sz w:val="20"/>
                <w:szCs w:val="20"/>
                <w:color w:val="auto"/>
              </w:rPr>
            </w:pPr>
            <w:r>
              <w:rPr>
                <w:rFonts w:ascii="Arial" w:cs="Arial" w:eastAsia="Arial" w:hAnsi="Arial"/>
                <w:sz w:val="17"/>
                <w:szCs w:val="17"/>
                <w:color w:val="0000FF"/>
              </w:rPr>
              <w:t>Class B Common Stock</w:t>
            </w:r>
          </w:p>
        </w:tc>
        <w:tc>
          <w:tcPr>
            <w:tcW w:w="18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vMerge w:val="restart"/>
          </w:tcPr>
          <w:p>
            <w:pPr>
              <w:jc w:val="center"/>
              <w:spacing w:after="0"/>
              <w:rPr>
                <w:sz w:val="20"/>
                <w:szCs w:val="20"/>
                <w:color w:val="auto"/>
              </w:rPr>
            </w:pPr>
            <w:r>
              <w:rPr>
                <w:rFonts w:ascii="Arial" w:cs="Arial" w:eastAsia="Arial" w:hAnsi="Arial"/>
                <w:sz w:val="17"/>
                <w:szCs w:val="17"/>
                <w:color w:val="0000FF"/>
                <w:w w:val="91"/>
              </w:rPr>
              <w:t>900</w:t>
            </w:r>
          </w:p>
        </w:tc>
        <w:tc>
          <w:tcPr>
            <w:tcW w:w="980" w:type="dxa"/>
            <w:vAlign w:val="bottom"/>
            <w:vMerge w:val="restart"/>
          </w:tcPr>
          <w:p>
            <w:pPr>
              <w:ind w:left="480"/>
              <w:spacing w:after="0"/>
              <w:rPr>
                <w:sz w:val="20"/>
                <w:szCs w:val="20"/>
                <w:color w:val="auto"/>
              </w:rPr>
            </w:pPr>
            <w:r>
              <w:rPr>
                <w:rFonts w:ascii="Arial" w:cs="Arial" w:eastAsia="Arial" w:hAnsi="Arial"/>
                <w:sz w:val="17"/>
                <w:szCs w:val="17"/>
                <w:color w:val="0000FF"/>
              </w:rPr>
              <w:t>I</w:t>
            </w:r>
          </w:p>
        </w:tc>
        <w:tc>
          <w:tcPr>
            <w:tcW w:w="900" w:type="dxa"/>
            <w:vAlign w:val="bottom"/>
          </w:tcPr>
          <w:p>
            <w:pPr>
              <w:ind w:left="80"/>
              <w:spacing w:after="0"/>
              <w:rPr>
                <w:sz w:val="20"/>
                <w:szCs w:val="20"/>
                <w:color w:val="auto"/>
              </w:rPr>
            </w:pPr>
            <w:r>
              <w:rPr>
                <w:rFonts w:ascii="Arial" w:cs="Arial" w:eastAsia="Arial" w:hAnsi="Arial"/>
                <w:sz w:val="17"/>
                <w:szCs w:val="17"/>
                <w:color w:val="0000FF"/>
              </w:rPr>
              <w:t>Trust for</w:t>
            </w:r>
          </w:p>
        </w:tc>
        <w:tc>
          <w:tcPr>
            <w:tcW w:w="0" w:type="dxa"/>
            <w:vAlign w:val="bottom"/>
          </w:tcPr>
          <w:p>
            <w:pPr>
              <w:spacing w:after="0"/>
              <w:rPr>
                <w:sz w:val="1"/>
                <w:szCs w:val="1"/>
                <w:color w:val="auto"/>
              </w:rPr>
            </w:pPr>
          </w:p>
        </w:tc>
      </w:tr>
      <w:tr>
        <w:trPr>
          <w:trHeight w:val="114"/>
        </w:trPr>
        <w:tc>
          <w:tcPr>
            <w:tcW w:w="2580" w:type="dxa"/>
            <w:vAlign w:val="bottom"/>
            <w:vMerge w:val="continue"/>
          </w:tcPr>
          <w:p>
            <w:pPr>
              <w:spacing w:after="0"/>
              <w:rPr>
                <w:sz w:val="9"/>
                <w:szCs w:val="9"/>
                <w:color w:val="auto"/>
              </w:rPr>
            </w:pPr>
          </w:p>
        </w:tc>
        <w:tc>
          <w:tcPr>
            <w:tcW w:w="18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900" w:type="dxa"/>
            <w:vAlign w:val="bottom"/>
            <w:vMerge w:val="restart"/>
          </w:tcPr>
          <w:p>
            <w:pPr>
              <w:ind w:left="80"/>
              <w:spacing w:after="0"/>
              <w:rPr>
                <w:sz w:val="20"/>
                <w:szCs w:val="20"/>
                <w:color w:val="auto"/>
              </w:rPr>
            </w:pPr>
            <w:r>
              <w:rPr>
                <w:rFonts w:ascii="Arial" w:cs="Arial" w:eastAsia="Arial" w:hAnsi="Arial"/>
                <w:sz w:val="17"/>
                <w:szCs w:val="17"/>
                <w:color w:val="0000FF"/>
              </w:rPr>
              <w:t>Spouse</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170"/>
        </w:trPr>
        <w:tc>
          <w:tcPr>
            <w:tcW w:w="2580" w:type="dxa"/>
            <w:vAlign w:val="bottom"/>
            <w:tcBorders>
              <w:bottom w:val="single" w:sz="8" w:color="2C2C2C"/>
            </w:tcBorders>
          </w:tcPr>
          <w:p>
            <w:pPr>
              <w:spacing w:after="0"/>
              <w:rPr>
                <w:sz w:val="14"/>
                <w:szCs w:val="14"/>
                <w:color w:val="auto"/>
              </w:rPr>
            </w:pPr>
          </w:p>
        </w:tc>
        <w:tc>
          <w:tcPr>
            <w:tcW w:w="18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5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ind w:left="80"/>
              <w:spacing w:after="0"/>
              <w:rPr>
                <w:sz w:val="20"/>
                <w:szCs w:val="20"/>
                <w:color w:val="auto"/>
              </w:rPr>
            </w:pPr>
            <w:r>
              <w:rPr>
                <w:rFonts w:ascii="Arial" w:cs="Arial" w:eastAsia="Arial" w:hAnsi="Arial"/>
                <w:sz w:val="17"/>
                <w:szCs w:val="17"/>
                <w:color w:val="0000FF"/>
              </w:rPr>
              <w:t>Trust for</w:t>
            </w:r>
          </w:p>
        </w:tc>
        <w:tc>
          <w:tcPr>
            <w:tcW w:w="0" w:type="dxa"/>
            <w:vAlign w:val="bottom"/>
          </w:tcPr>
          <w:p>
            <w:pPr>
              <w:spacing w:after="0"/>
              <w:rPr>
                <w:sz w:val="1"/>
                <w:szCs w:val="1"/>
                <w:color w:val="auto"/>
              </w:rPr>
            </w:pPr>
          </w:p>
        </w:tc>
      </w:tr>
      <w:tr>
        <w:trPr>
          <w:trHeight w:val="215"/>
        </w:trPr>
        <w:tc>
          <w:tcPr>
            <w:tcW w:w="2580" w:type="dxa"/>
            <w:vAlign w:val="bottom"/>
            <w:vMerge w:val="restart"/>
          </w:tcPr>
          <w:p>
            <w:pPr>
              <w:ind w:left="60"/>
              <w:spacing w:after="0"/>
              <w:rPr>
                <w:sz w:val="20"/>
                <w:szCs w:val="20"/>
                <w:color w:val="auto"/>
              </w:rPr>
            </w:pPr>
            <w:r>
              <w:rPr>
                <w:rFonts w:ascii="Arial" w:cs="Arial" w:eastAsia="Arial" w:hAnsi="Arial"/>
                <w:sz w:val="17"/>
                <w:szCs w:val="17"/>
                <w:color w:val="0000FF"/>
              </w:rPr>
              <w:t>Class B Common Stock</w:t>
            </w:r>
          </w:p>
        </w:tc>
        <w:tc>
          <w:tcPr>
            <w:tcW w:w="1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vMerge w:val="restart"/>
          </w:tcPr>
          <w:p>
            <w:pPr>
              <w:jc w:val="center"/>
              <w:spacing w:after="0"/>
              <w:rPr>
                <w:sz w:val="20"/>
                <w:szCs w:val="20"/>
                <w:color w:val="auto"/>
              </w:rPr>
            </w:pPr>
            <w:r>
              <w:rPr>
                <w:rFonts w:ascii="Arial" w:cs="Arial" w:eastAsia="Arial" w:hAnsi="Arial"/>
                <w:sz w:val="17"/>
                <w:szCs w:val="17"/>
                <w:color w:val="0000FF"/>
                <w:w w:val="93"/>
              </w:rPr>
              <w:t>3,800</w:t>
            </w:r>
          </w:p>
        </w:tc>
        <w:tc>
          <w:tcPr>
            <w:tcW w:w="980" w:type="dxa"/>
            <w:vAlign w:val="bottom"/>
            <w:vMerge w:val="restart"/>
          </w:tcPr>
          <w:p>
            <w:pPr>
              <w:ind w:left="480"/>
              <w:spacing w:after="0"/>
              <w:rPr>
                <w:sz w:val="20"/>
                <w:szCs w:val="20"/>
                <w:color w:val="auto"/>
              </w:rPr>
            </w:pPr>
            <w:r>
              <w:rPr>
                <w:rFonts w:ascii="Arial" w:cs="Arial" w:eastAsia="Arial" w:hAnsi="Arial"/>
                <w:sz w:val="17"/>
                <w:szCs w:val="17"/>
                <w:color w:val="0000FF"/>
              </w:rPr>
              <w:t>I</w:t>
            </w:r>
          </w:p>
        </w:tc>
        <w:tc>
          <w:tcPr>
            <w:tcW w:w="900" w:type="dxa"/>
            <w:vAlign w:val="bottom"/>
          </w:tcPr>
          <w:p>
            <w:pPr>
              <w:ind w:left="80"/>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114"/>
        </w:trPr>
        <w:tc>
          <w:tcPr>
            <w:tcW w:w="2580" w:type="dxa"/>
            <w:vAlign w:val="bottom"/>
            <w:vMerge w:val="continue"/>
          </w:tcPr>
          <w:p>
            <w:pPr>
              <w:spacing w:after="0"/>
              <w:rPr>
                <w:sz w:val="9"/>
                <w:szCs w:val="9"/>
                <w:color w:val="auto"/>
              </w:rPr>
            </w:pPr>
          </w:p>
        </w:tc>
        <w:tc>
          <w:tcPr>
            <w:tcW w:w="18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900" w:type="dxa"/>
            <w:vAlign w:val="bottom"/>
            <w:vMerge w:val="restart"/>
          </w:tcPr>
          <w:p>
            <w:pPr>
              <w:ind w:left="80"/>
              <w:spacing w:after="0"/>
              <w:rPr>
                <w:sz w:val="20"/>
                <w:szCs w:val="20"/>
                <w:color w:val="auto"/>
              </w:rPr>
            </w:pPr>
            <w:r>
              <w:rPr>
                <w:rFonts w:ascii="Arial" w:cs="Arial" w:eastAsia="Arial" w:hAnsi="Arial"/>
                <w:sz w:val="17"/>
                <w:szCs w:val="17"/>
                <w:color w:val="0000FF"/>
              </w:rPr>
              <w:t>and</w:t>
            </w:r>
          </w:p>
        </w:tc>
        <w:tc>
          <w:tcPr>
            <w:tcW w:w="0" w:type="dxa"/>
            <w:vAlign w:val="bottom"/>
          </w:tcPr>
          <w:p>
            <w:pPr>
              <w:spacing w:after="0"/>
              <w:rPr>
                <w:sz w:val="1"/>
                <w:szCs w:val="1"/>
                <w:color w:val="auto"/>
              </w:rPr>
            </w:pPr>
          </w:p>
        </w:tc>
      </w:tr>
      <w:tr>
        <w:trPr>
          <w:trHeight w:val="108"/>
        </w:trPr>
        <w:tc>
          <w:tcPr>
            <w:tcW w:w="25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580"/>
        <w:spacing w:after="0"/>
        <w:rPr>
          <w:sz w:val="20"/>
          <w:szCs w:val="20"/>
          <w:color w:val="auto"/>
        </w:rPr>
      </w:pPr>
      <w:r>
        <w:rPr>
          <w:rFonts w:ascii="Arial" w:cs="Arial" w:eastAsia="Arial" w:hAnsi="Arial"/>
          <w:sz w:val="17"/>
          <w:szCs w:val="17"/>
          <w:color w:val="0000FF"/>
        </w:rPr>
        <w:t>Children</w:t>
      </w:r>
      <w:r>
        <w:rPr>
          <w:rFonts w:ascii="Arial" w:cs="Arial" w:eastAsia="Arial" w:hAnsi="Arial"/>
          <w:sz w:val="22"/>
          <w:szCs w:val="22"/>
          <w:color w:val="008000"/>
          <w:vertAlign w:val="superscript"/>
        </w:rPr>
        <w:t>(2)</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8"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720" w:type="dxa"/>
            <w:vAlign w:val="bottom"/>
          </w:tcPr>
          <w:p>
            <w:pPr>
              <w:ind w:left="60"/>
              <w:spacing w:after="0"/>
              <w:rPr>
                <w:sz w:val="20"/>
                <w:szCs w:val="20"/>
                <w:color w:val="auto"/>
              </w:rPr>
            </w:pPr>
            <w:r>
              <w:rPr>
                <w:rFonts w:ascii="Arial" w:cs="Arial" w:eastAsia="Arial" w:hAnsi="Arial"/>
                <w:sz w:val="13"/>
                <w:szCs w:val="13"/>
                <w:color w:val="0000FF"/>
              </w:rPr>
              <w:t>Class A</w:t>
            </w: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P</w:t>
            </w:r>
            <w:r>
              <w:rPr>
                <w:rFonts w:ascii="Arial" w:cs="Arial" w:eastAsia="Arial" w:hAnsi="Arial"/>
                <w:sz w:val="11"/>
                <w:szCs w:val="11"/>
                <w:color w:val="008000"/>
              </w:rPr>
              <w:t>(4)</w:t>
            </w: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(3)</w:t>
            </w:r>
          </w:p>
        </w:tc>
        <w:tc>
          <w:tcPr>
            <w:tcW w:w="700" w:type="dxa"/>
            <w:vAlign w:val="bottom"/>
          </w:tcPr>
          <w:p>
            <w:pPr>
              <w:ind w:left="120"/>
              <w:spacing w:after="0"/>
              <w:rPr>
                <w:sz w:val="20"/>
                <w:szCs w:val="20"/>
                <w:color w:val="auto"/>
              </w:rPr>
            </w:pPr>
            <w:r>
              <w:rPr>
                <w:rFonts w:ascii="Arial" w:cs="Arial" w:eastAsia="Arial" w:hAnsi="Arial"/>
                <w:sz w:val="13"/>
                <w:szCs w:val="13"/>
                <w:color w:val="0000FF"/>
              </w:rPr>
              <w:t>Class B</w:t>
            </w:r>
          </w:p>
        </w:tc>
        <w:tc>
          <w:tcPr>
            <w:tcW w:w="540" w:type="dxa"/>
            <w:vAlign w:val="bottom"/>
            <w:vMerge w:val="restart"/>
          </w:tcPr>
          <w:p>
            <w:pPr>
              <w:ind w:left="18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596.7</w:t>
            </w:r>
            <w:r>
              <w:rPr>
                <w:rFonts w:ascii="Arial" w:cs="Arial" w:eastAsia="Arial" w:hAnsi="Arial"/>
                <w:sz w:val="22"/>
                <w:szCs w:val="22"/>
                <w:color w:val="008000"/>
                <w:vertAlign w:val="superscript"/>
              </w:rPr>
              <w:t>(4)</w:t>
            </w: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Common</w:t>
            </w:r>
          </w:p>
        </w:tc>
        <w:tc>
          <w:tcPr>
            <w:tcW w:w="820" w:type="dxa"/>
            <w:vAlign w:val="bottom"/>
            <w:vMerge w:val="continue"/>
          </w:tcPr>
          <w:p>
            <w:pPr>
              <w:spacing w:after="0"/>
              <w:rPr>
                <w:sz w:val="12"/>
                <w:szCs w:val="12"/>
                <w:color w:val="auto"/>
              </w:rPr>
            </w:pPr>
          </w:p>
        </w:tc>
        <w:tc>
          <w:tcPr>
            <w:tcW w:w="1120" w:type="dxa"/>
            <w:vAlign w:val="bottom"/>
          </w:tcPr>
          <w:p>
            <w:pPr>
              <w:jc w:val="right"/>
              <w:ind w:right="198"/>
              <w:spacing w:after="0" w:line="148" w:lineRule="exact"/>
              <w:rPr>
                <w:sz w:val="20"/>
                <w:szCs w:val="20"/>
                <w:color w:val="auto"/>
              </w:rPr>
            </w:pPr>
            <w:r>
              <w:rPr>
                <w:rFonts w:ascii="Arial" w:cs="Arial" w:eastAsia="Arial" w:hAnsi="Arial"/>
                <w:sz w:val="13"/>
                <w:szCs w:val="13"/>
                <w:color w:val="0000FF"/>
              </w:rPr>
              <w:t>07/24/2017</w:t>
            </w:r>
          </w:p>
        </w:tc>
        <w:tc>
          <w:tcPr>
            <w:tcW w:w="1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520" w:type="dxa"/>
            <w:vAlign w:val="bottom"/>
          </w:tcPr>
          <w:p>
            <w:pPr>
              <w:ind w:left="80"/>
              <w:spacing w:after="0" w:line="148" w:lineRule="exact"/>
              <w:rPr>
                <w:sz w:val="20"/>
                <w:szCs w:val="20"/>
                <w:color w:val="auto"/>
              </w:rPr>
            </w:pPr>
            <w:r>
              <w:rPr>
                <w:rFonts w:ascii="Arial" w:cs="Arial" w:eastAsia="Arial" w:hAnsi="Arial"/>
                <w:sz w:val="13"/>
                <w:szCs w:val="13"/>
                <w:color w:val="0000FF"/>
              </w:rPr>
              <w:t>10,188</w:t>
            </w:r>
          </w:p>
        </w:tc>
        <w:tc>
          <w:tcPr>
            <w:tcW w:w="3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00" w:type="dxa"/>
            <w:vAlign w:val="bottom"/>
          </w:tcPr>
          <w:p>
            <w:pPr>
              <w:ind w:left="80"/>
              <w:spacing w:after="0" w:line="148"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980" w:type="dxa"/>
            <w:vAlign w:val="bottom"/>
          </w:tcPr>
          <w:p>
            <w:pPr>
              <w:ind w:left="320"/>
              <w:spacing w:after="0" w:line="148" w:lineRule="exact"/>
              <w:rPr>
                <w:sz w:val="20"/>
                <w:szCs w:val="20"/>
                <w:color w:val="auto"/>
              </w:rPr>
            </w:pPr>
            <w:r>
              <w:rPr>
                <w:rFonts w:ascii="Arial" w:cs="Arial" w:eastAsia="Arial" w:hAnsi="Arial"/>
                <w:sz w:val="13"/>
                <w:szCs w:val="13"/>
                <w:color w:val="0000FF"/>
              </w:rPr>
              <w:t>20,055</w:t>
            </w:r>
          </w:p>
        </w:tc>
        <w:tc>
          <w:tcPr>
            <w:tcW w:w="760" w:type="dxa"/>
            <w:vAlign w:val="bottom"/>
          </w:tcPr>
          <w:p>
            <w:pPr>
              <w:ind w:left="360"/>
              <w:spacing w:after="0" w:line="148" w:lineRule="exact"/>
              <w:rPr>
                <w:sz w:val="20"/>
                <w:szCs w:val="20"/>
                <w:color w:val="auto"/>
              </w:rPr>
            </w:pPr>
            <w:r>
              <w:rPr>
                <w:rFonts w:ascii="Arial" w:cs="Arial" w:eastAsia="Arial" w:hAnsi="Arial"/>
                <w:sz w:val="13"/>
                <w:szCs w:val="13"/>
                <w:color w:val="0000FF"/>
              </w:rPr>
              <w:t>I</w:t>
            </w:r>
          </w:p>
        </w:tc>
        <w:tc>
          <w:tcPr>
            <w:tcW w:w="780" w:type="dxa"/>
            <w:vAlign w:val="bottom"/>
          </w:tcPr>
          <w:p>
            <w:pPr>
              <w:ind w:left="80"/>
              <w:spacing w:after="0" w:line="148" w:lineRule="exact"/>
              <w:rPr>
                <w:sz w:val="20"/>
                <w:szCs w:val="20"/>
                <w:color w:val="auto"/>
              </w:rPr>
            </w:pPr>
            <w:r>
              <w:rPr>
                <w:rFonts w:ascii="Arial" w:cs="Arial" w:eastAsia="Arial" w:hAnsi="Arial"/>
                <w:sz w:val="13"/>
                <w:szCs w:val="13"/>
                <w:color w:val="0000FF"/>
              </w:rPr>
              <w:t>Spouse</w:t>
            </w:r>
          </w:p>
        </w:tc>
        <w:tc>
          <w:tcPr>
            <w:tcW w:w="0" w:type="dxa"/>
            <w:vAlign w:val="bottom"/>
          </w:tcPr>
          <w:p>
            <w:pPr>
              <w:spacing w:after="0"/>
              <w:rPr>
                <w:sz w:val="1"/>
                <w:szCs w:val="1"/>
                <w:color w:val="auto"/>
              </w:rPr>
            </w:pPr>
          </w:p>
        </w:tc>
      </w:tr>
      <w:tr>
        <w:trPr>
          <w:trHeight w:val="172"/>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is not a beneficiary of such trust. The reporting person disclaims beneficial ownership of the reported securities.</w:t>
      </w:r>
    </w:p>
    <w:p>
      <w:pPr>
        <w:spacing w:after="0" w:line="52"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is a trustee of the trust that owns the reported securities, but he is not a beneficiary of such trust. The reporting person disclaims beneficial ownership of the reported securities.</w:t>
      </w:r>
    </w:p>
    <w:p>
      <w:pPr>
        <w:spacing w:after="0" w:line="52"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of Class A Common Stock are convertible into shares of Class B Common Stock at any time on a one-for-one basis and have no expiration date.</w:t>
      </w:r>
    </w:p>
    <w:p>
      <w:pPr>
        <w:spacing w:after="0" w:line="52" w:lineRule="exact"/>
        <w:rPr>
          <w:rFonts w:ascii="Arial" w:cs="Arial" w:eastAsia="Arial" w:hAnsi="Arial"/>
          <w:sz w:val="13"/>
          <w:szCs w:val="13"/>
          <w:color w:val="008000"/>
        </w:rPr>
      </w:pPr>
    </w:p>
    <w:p>
      <w:pPr>
        <w:ind w:left="40" w:right="180" w:firstLine="8"/>
        <w:spacing w:after="0" w:line="249"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July 24, 2017, a trust for the benefit of the reporting person's wife privately purchased Class A Common Stock from Donald Graham for the equivalent value of Cable One, Inc. Common Stock, with fractional shares of Class A Common Stock being settled in cash. The value of Class A Common Stock for the purpose of this transaction was based on the mean of the high and the low price of Class B Common Stock on July 24, 2017 and the value of Cable One, Inc. Common Stock was based on the mean of the high and the low price of Cable One, Inc. Common Stock on July 24, 2017. The reporting person disclaims beneficial ownership of the reported securities.</w:t>
      </w:r>
    </w:p>
    <w:p>
      <w:pPr>
        <w:spacing w:after="0" w:line="42"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Arial" w:cs="Arial" w:eastAsia="Arial" w:hAnsi="Arial"/>
                <w:sz w:val="17"/>
                <w:szCs w:val="17"/>
                <w:color w:val="0000FF"/>
              </w:rPr>
              <w:t>/s/ Nicole M. Maddrey for</w:t>
            </w:r>
          </w:p>
        </w:tc>
        <w:tc>
          <w:tcPr>
            <w:tcW w:w="960" w:type="dxa"/>
            <w:vAlign w:val="bottom"/>
            <w:gridSpan w:val="2"/>
            <w:vMerge w:val="restart"/>
          </w:tcPr>
          <w:p>
            <w:pPr>
              <w:ind w:left="160"/>
              <w:spacing w:after="0"/>
              <w:rPr>
                <w:sz w:val="20"/>
                <w:szCs w:val="20"/>
                <w:color w:val="auto"/>
              </w:rPr>
            </w:pPr>
            <w:r>
              <w:rPr>
                <w:rFonts w:ascii="Arial" w:cs="Arial" w:eastAsia="Arial" w:hAnsi="Arial"/>
                <w:sz w:val="17"/>
                <w:szCs w:val="17"/>
                <w:color w:val="0000FF"/>
                <w:w w:val="91"/>
              </w:rPr>
              <w:t>08/21/2017</w:t>
            </w:r>
          </w:p>
        </w:tc>
        <w:tc>
          <w:tcPr>
            <w:tcW w:w="0" w:type="dxa"/>
            <w:vAlign w:val="bottom"/>
          </w:tcPr>
          <w:p>
            <w:pPr>
              <w:spacing w:after="0"/>
              <w:rPr>
                <w:sz w:val="1"/>
                <w:szCs w:val="1"/>
                <w:color w:val="auto"/>
              </w:rPr>
            </w:pPr>
          </w:p>
        </w:tc>
      </w:tr>
      <w:tr>
        <w:trPr>
          <w:trHeight w:val="20"/>
        </w:trPr>
        <w:tc>
          <w:tcPr>
            <w:tcW w:w="1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120" w:type="dxa"/>
            <w:vAlign w:val="bottom"/>
            <w:gridSpan w:val="3"/>
            <w:vMerge w:val="restart"/>
          </w:tcPr>
          <w:p>
            <w:pPr>
              <w:spacing w:after="0"/>
              <w:rPr>
                <w:sz w:val="20"/>
                <w:szCs w:val="20"/>
                <w:color w:val="auto"/>
              </w:rPr>
            </w:pPr>
            <w:r>
              <w:rPr>
                <w:rFonts w:ascii="Arial" w:cs="Arial" w:eastAsia="Arial" w:hAnsi="Arial"/>
                <w:sz w:val="17"/>
                <w:szCs w:val="17"/>
                <w:color w:val="0000FF"/>
              </w:rPr>
              <w:t>Timothy J. O'Shaughnessy</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6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2"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21362" TargetMode="External"/><Relationship Id="rId13" Type="http://schemas.openxmlformats.org/officeDocument/2006/relationships/hyperlink" Target="http://www.sec.gov/cgi-bin/browse-edgar?action=getcompany&amp;CIK=00001048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2019-12-03T23:32:30Z</dcterms:created>
  <dcterms:modified xsi:type="dcterms:W3CDTF">2019-12-03T23:32:30Z</dcterms:modified>
</cp:coreProperties>
</file>