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1"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001-06714</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5"/>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82"/>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8"/>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5"/>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9"/>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9"/>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3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24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rPr>
              <w:t>Class B Common Stock, par value $1.00 per share</w:t>
            </w:r>
          </w:p>
        </w:tc>
        <w:tc>
          <w:tcPr>
            <w:tcW w:w="2520" w:type="dxa"/>
            <w:vAlign w:val="bottom"/>
            <w:gridSpan w:val="3"/>
          </w:tcPr>
          <w:p>
            <w:pPr>
              <w:jc w:val="center"/>
              <w:ind w:right="520"/>
              <w:spacing w:after="0"/>
              <w:rPr>
                <w:sz w:val="20"/>
                <w:szCs w:val="20"/>
                <w:color w:val="auto"/>
              </w:rPr>
            </w:pPr>
            <w:r>
              <w:rPr>
                <w:rFonts w:ascii="Arial" w:cs="Arial" w:eastAsia="Arial" w:hAnsi="Arial"/>
                <w:sz w:val="16"/>
                <w:szCs w:val="16"/>
                <w:color w:val="auto"/>
              </w:rPr>
              <w:t>GHC</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8" w:lineRule="exact"/>
        <w:rPr>
          <w:sz w:val="24"/>
          <w:szCs w:val="24"/>
          <w:color w:val="auto"/>
        </w:rPr>
      </w:pPr>
    </w:p>
    <w:p>
      <w:pPr>
        <w:jc w:val="both"/>
        <w:ind w:right="4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2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0"/>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right="1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27, 2023:</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1"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3,580,335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3"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Comprehensive (Loss)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 Vehicle Floor Plan Payable, Accounts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(Loss) 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25</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44</w:t>
      </w:r>
    </w:p>
    <w:p>
      <w:pPr>
        <w:sectPr>
          <w:pgSz w:w="11900" w:h="16838" w:orient="portrait"/>
          <w:cols w:equalWidth="0" w:num="2">
            <w:col w:w="10280" w:space="720"/>
            <w:col w:w="180"/>
          </w:cols>
          <w:pgMar w:left="340" w:top="940"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6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20" w:type="dxa"/>
            <w:vAlign w:val="bottom"/>
          </w:tcPr>
          <w:p>
            <w:pPr>
              <w:ind w:left="220"/>
              <w:spacing w:after="0"/>
              <w:rPr>
                <w:sz w:val="20"/>
                <w:szCs w:val="20"/>
                <w:color w:val="auto"/>
              </w:rPr>
            </w:pPr>
            <w:r>
              <w:rPr>
                <w:rFonts w:ascii="Arial" w:cs="Arial" w:eastAsia="Arial" w:hAnsi="Arial"/>
                <w:sz w:val="16"/>
                <w:szCs w:val="16"/>
                <w:color w:val="auto"/>
              </w:rPr>
              <w:t>Sales of services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633,535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588,166</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1,845,617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1,708,848</w:t>
            </w:r>
          </w:p>
        </w:tc>
        <w:tc>
          <w:tcPr>
            <w:tcW w:w="0" w:type="dxa"/>
            <w:vAlign w:val="bottom"/>
          </w:tcPr>
          <w:p>
            <w:pPr>
              <w:spacing w:after="0"/>
              <w:rPr>
                <w:sz w:val="1"/>
                <w:szCs w:val="1"/>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Sales of goods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477,984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424,272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1,402,447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1,151,613</w:t>
            </w:r>
          </w:p>
        </w:tc>
        <w:tc>
          <w:tcPr>
            <w:tcW w:w="0" w:type="dxa"/>
            <w:vAlign w:val="bottom"/>
          </w:tcPr>
          <w:p>
            <w:pPr>
              <w:spacing w:after="0"/>
              <w:rPr>
                <w:sz w:val="1"/>
                <w:szCs w:val="1"/>
                <w:color w:val="auto"/>
              </w:rPr>
            </w:pPr>
          </w:p>
        </w:tc>
      </w:tr>
      <w:tr>
        <w:trPr>
          <w:trHeight w:val="224"/>
        </w:trPr>
        <w:tc>
          <w:tcPr>
            <w:tcW w:w="6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1,111,519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1,012,438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3,248,064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2,860,461</w:t>
            </w:r>
          </w:p>
        </w:tc>
        <w:tc>
          <w:tcPr>
            <w:tcW w:w="0" w:type="dxa"/>
            <w:vAlign w:val="bottom"/>
          </w:tcPr>
          <w:p>
            <w:pPr>
              <w:spacing w:after="0"/>
              <w:rPr>
                <w:sz w:val="1"/>
                <w:szCs w:val="1"/>
                <w:color w:val="auto"/>
              </w:rPr>
            </w:pPr>
          </w:p>
        </w:tc>
      </w:tr>
      <w:tr>
        <w:trPr>
          <w:trHeight w:val="218"/>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tcPr>
          <w:p>
            <w:pPr>
              <w:spacing w:after="0"/>
              <w:rPr>
                <w:sz w:val="18"/>
                <w:szCs w:val="18"/>
                <w:color w:val="auto"/>
              </w:rPr>
            </w:pP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373,784</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1,093,756</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Cost of services sold (exclusive of items shown below)</w:t>
            </w: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342,138</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996,821</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Cost of goods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407,803</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352,619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1,182,899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945,265</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254,757</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223,857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741,402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676,563</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22,207</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19,657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63,335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58,545</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11,759</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14,635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39,007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44,436</w:t>
            </w:r>
          </w:p>
        </w:tc>
        <w:tc>
          <w:tcPr>
            <w:tcW w:w="0" w:type="dxa"/>
            <w:vAlign w:val="bottom"/>
          </w:tcPr>
          <w:p>
            <w:pPr>
              <w:spacing w:after="0"/>
              <w:rPr>
                <w:sz w:val="1"/>
                <w:szCs w:val="1"/>
                <w:color w:val="auto"/>
              </w:rPr>
            </w:pPr>
          </w:p>
        </w:tc>
      </w:tr>
      <w:tr>
        <w:trPr>
          <w:trHeight w:val="233"/>
        </w:trPr>
        <w:tc>
          <w:tcPr>
            <w:tcW w:w="602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98,321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99,066</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1,168,631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952,906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3,219,465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2,721,630</w:t>
            </w:r>
          </w:p>
        </w:tc>
        <w:tc>
          <w:tcPr>
            <w:tcW w:w="0" w:type="dxa"/>
            <w:vAlign w:val="bottom"/>
          </w:tcPr>
          <w:p>
            <w:pPr>
              <w:spacing w:after="0"/>
              <w:rPr>
                <w:sz w:val="1"/>
                <w:szCs w:val="1"/>
                <w:color w:val="auto"/>
              </w:rPr>
            </w:pPr>
          </w:p>
        </w:tc>
      </w:tr>
      <w:tr>
        <w:trPr>
          <w:trHeight w:val="221"/>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(Loss) Income from Operations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(57,112)</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59,532</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28,599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138,831</w:t>
            </w:r>
          </w:p>
        </w:tc>
        <w:tc>
          <w:tcPr>
            <w:tcW w:w="0" w:type="dxa"/>
            <w:vAlign w:val="bottom"/>
          </w:tcPr>
          <w:p>
            <w:pPr>
              <w:spacing w:after="0"/>
              <w:rPr>
                <w:sz w:val="1"/>
                <w:szCs w:val="1"/>
                <w:color w:val="auto"/>
              </w:rPr>
            </w:pPr>
          </w:p>
        </w:tc>
      </w:tr>
      <w:tr>
        <w:trPr>
          <w:trHeight w:val="227"/>
        </w:trPr>
        <w:tc>
          <w:tcPr>
            <w:tcW w:w="602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(2,245)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1,986</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803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4,738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2,214</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(11,810)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(11,579)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(37,878)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(38,969)</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35,653</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50,687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97,313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152,063</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16,759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(54,250)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113,429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(172,878)</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3,581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2,358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22,458</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6,410</w:t>
            </w:r>
          </w:p>
        </w:tc>
        <w:tc>
          <w:tcPr>
            <w:tcW w:w="0" w:type="dxa"/>
            <w:vAlign w:val="bottom"/>
          </w:tcPr>
          <w:p>
            <w:pPr>
              <w:spacing w:after="0"/>
              <w:rPr>
                <w:sz w:val="1"/>
                <w:szCs w:val="1"/>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(11,734)</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46,440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226,414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90,591</w:t>
            </w:r>
          </w:p>
        </w:tc>
        <w:tc>
          <w:tcPr>
            <w:tcW w:w="0" w:type="dxa"/>
            <w:vAlign w:val="bottom"/>
          </w:tcPr>
          <w:p>
            <w:pPr>
              <w:spacing w:after="0"/>
              <w:rPr>
                <w:sz w:val="1"/>
                <w:szCs w:val="1"/>
                <w:color w:val="auto"/>
              </w:rPr>
            </w:pPr>
          </w:p>
        </w:tc>
      </w:tr>
      <w:tr>
        <w:trPr>
          <w:trHeight w:val="228"/>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9,400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70,400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26,800</w:t>
            </w:r>
          </w:p>
        </w:tc>
        <w:tc>
          <w:tcPr>
            <w:tcW w:w="0" w:type="dxa"/>
            <w:vAlign w:val="bottom"/>
          </w:tcPr>
          <w:p>
            <w:pPr>
              <w:spacing w:after="0"/>
              <w:rPr>
                <w:sz w:val="1"/>
                <w:szCs w:val="1"/>
                <w:color w:val="auto"/>
              </w:rPr>
            </w:pPr>
          </w:p>
        </w:tc>
      </w:tr>
      <w:tr>
        <w:trPr>
          <w:trHeight w:val="225"/>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(21,134)</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33,840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156,014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63,791</w:t>
            </w:r>
          </w:p>
        </w:tc>
        <w:tc>
          <w:tcPr>
            <w:tcW w:w="0" w:type="dxa"/>
            <w:vAlign w:val="bottom"/>
          </w:tcPr>
          <w:p>
            <w:pPr>
              <w:spacing w:after="0"/>
              <w:rPr>
                <w:sz w:val="1"/>
                <w:szCs w:val="1"/>
                <w:color w:val="auto"/>
              </w:rPr>
            </w:pPr>
          </w:p>
        </w:tc>
      </w:tr>
      <w:tr>
        <w:trPr>
          <w:trHeight w:val="228"/>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0" w:type="dxa"/>
            <w:vAlign w:val="bottom"/>
          </w:tcPr>
          <w:p>
            <w:pPr>
              <w:spacing w:after="0"/>
              <w:rPr>
                <w:sz w:val="1"/>
                <w:szCs w:val="1"/>
                <w:color w:val="auto"/>
              </w:rPr>
            </w:pPr>
          </w:p>
        </w:tc>
      </w:tr>
      <w:tr>
        <w:trPr>
          <w:trHeight w:val="157"/>
        </w:trPr>
        <w:tc>
          <w:tcPr>
            <w:tcW w:w="60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Net (Loss) Income Attributable to Graham Holdings Company Common</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(23,031)</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32,780</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152,029</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60,919</w:t>
            </w:r>
          </w:p>
        </w:tc>
        <w:tc>
          <w:tcPr>
            <w:tcW w:w="0" w:type="dxa"/>
            <w:vAlign w:val="bottom"/>
          </w:tcPr>
          <w:p>
            <w:pPr>
              <w:spacing w:after="0"/>
              <w:rPr>
                <w:sz w:val="1"/>
                <w:szCs w:val="1"/>
                <w:color w:val="auto"/>
              </w:rPr>
            </w:pPr>
          </w:p>
        </w:tc>
      </w:tr>
      <w:tr>
        <w:trPr>
          <w:trHeight w:val="212"/>
        </w:trPr>
        <w:tc>
          <w:tcPr>
            <w:tcW w:w="602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2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Basic net (loss) income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6.78</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32.23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12.51</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4,602</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4,808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4,686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4,841</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6"/>
                <w:szCs w:val="16"/>
                <w:color w:val="auto"/>
              </w:rPr>
              <w:t>Diluted net (loss) income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6.76</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32.14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4,602</w:t>
            </w:r>
          </w:p>
        </w:tc>
        <w:tc>
          <w:tcPr>
            <w:tcW w:w="3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4,820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4,700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4,853</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2"/>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7100" w:type="dxa"/>
            <w:vAlign w:val="bottom"/>
          </w:tcPr>
          <w:p>
            <w:pPr>
              <w:spacing w:after="0"/>
              <w:rPr>
                <w:sz w:val="18"/>
                <w:szCs w:val="18"/>
                <w:color w:val="auto"/>
              </w:rPr>
            </w:pPr>
          </w:p>
        </w:tc>
        <w:tc>
          <w:tcPr>
            <w:tcW w:w="206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20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September 30</w:t>
            </w:r>
          </w:p>
        </w:tc>
      </w:tr>
      <w:tr>
        <w:trPr>
          <w:trHeight w:val="200"/>
        </w:trPr>
        <w:tc>
          <w:tcPr>
            <w:tcW w:w="7100" w:type="dxa"/>
            <w:vAlign w:val="bottom"/>
          </w:tcPr>
          <w:p>
            <w:pPr>
              <w:spacing w:after="0"/>
              <w:rPr>
                <w:sz w:val="20"/>
                <w:szCs w:val="20"/>
                <w:color w:val="auto"/>
              </w:rPr>
            </w:pPr>
            <w:r>
              <w:rPr>
                <w:rFonts w:ascii="Arial" w:cs="Arial" w:eastAsia="Arial" w:hAnsi="Arial"/>
                <w:sz w:val="14"/>
                <w:szCs w:val="14"/>
                <w:color w:val="auto"/>
              </w:rPr>
              <w:t>(in thousands)</w:t>
            </w: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2022</w:t>
            </w: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900"/>
        <w:spacing w:after="0" w:line="328" w:lineRule="auto"/>
        <w:rPr>
          <w:sz w:val="20"/>
          <w:szCs w:val="20"/>
          <w:color w:val="auto"/>
        </w:rPr>
      </w:pPr>
      <w:r>
        <w:rPr>
          <w:rFonts w:ascii="Arial" w:cs="Arial" w:eastAsia="Arial" w:hAnsi="Arial"/>
          <w:sz w:val="16"/>
          <w:szCs w:val="16"/>
          <w:color w:val="auto"/>
        </w:rPr>
        <w:t>Amortization of net prior service cost included in net income Amortization of net actuarial gain included in net income</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(losses) gains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(Loss) Income</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(Loss) Income Attributable to Graham Holdings Company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40" w:hanging="320"/>
        <w:spacing w:after="0"/>
        <w:tabs>
          <w:tab w:leader="none" w:pos="3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(21,134)  </w:t>
      </w:r>
      <w:r>
        <w:rPr>
          <w:rFonts w:ascii="Arial" w:cs="Arial" w:eastAsia="Arial" w:hAnsi="Arial"/>
          <w:sz w:val="16"/>
          <w:szCs w:val="16"/>
          <w:color w:val="auto"/>
        </w:rPr>
        <w:t>$   33,840</w:t>
      </w:r>
      <w:r>
        <w:rPr>
          <w:rFonts w:ascii="Arial" w:cs="Arial" w:eastAsia="Arial" w:hAnsi="Arial"/>
          <w:sz w:val="16"/>
          <w:szCs w:val="16"/>
          <w:b w:val="1"/>
          <w:bCs w:val="1"/>
          <w:color w:val="auto"/>
        </w:rPr>
        <w:t xml:space="preserve">  $  156,014  </w:t>
      </w:r>
      <w:r>
        <w:rPr>
          <w:rFonts w:ascii="Arial" w:cs="Arial" w:eastAsia="Arial" w:hAnsi="Arial"/>
          <w:sz w:val="16"/>
          <w:szCs w:val="16"/>
          <w:color w:val="auto"/>
        </w:rPr>
        <w:t>$   63,791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(19,474)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(44,260)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(8,096)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(86,926)</w:t>
            </w:r>
          </w:p>
        </w:tc>
      </w:tr>
      <w:tr>
        <w:trPr>
          <w:trHeight w:val="459"/>
        </w:trPr>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410</w:t>
            </w:r>
          </w:p>
        </w:tc>
        <w:tc>
          <w:tcPr>
            <w:tcW w:w="28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716</w:t>
            </w:r>
          </w:p>
        </w:tc>
        <w:tc>
          <w:tcPr>
            <w:tcW w:w="2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1,230</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2,148</w:t>
            </w:r>
          </w:p>
        </w:tc>
      </w:tr>
      <w:tr>
        <w:trPr>
          <w:trHeight w:val="23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(10,473)</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(31,673)</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(53,939)</w:t>
            </w:r>
          </w:p>
        </w:tc>
      </w:tr>
      <w:tr>
        <w:trPr>
          <w:trHeight w:val="222"/>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(10,063)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(17,367)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(30,443)</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(51,791)</w:t>
            </w:r>
          </w:p>
        </w:tc>
      </w:tr>
      <w:tr>
        <w:trPr>
          <w:trHeight w:val="230"/>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2,202</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(3,566)</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r>
      <w:tr>
        <w:trPr>
          <w:trHeight w:val="222"/>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(33,361)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(59,425)</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(42,105)</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(133,782)</w:t>
            </w:r>
          </w:p>
        </w:tc>
      </w:tr>
      <w:tr>
        <w:trPr>
          <w:trHeight w:val="230"/>
        </w:trPr>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3,468</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3,970</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8,651</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12,213</w:t>
            </w:r>
          </w:p>
        </w:tc>
      </w:tr>
      <w:tr>
        <w:trPr>
          <w:trHeight w:val="225"/>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(29,893)</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(55,455)</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(33,454)</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(121,569)</w:t>
            </w:r>
          </w:p>
        </w:tc>
      </w:tr>
      <w:tr>
        <w:trPr>
          <w:trHeight w:val="220"/>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(51,027)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(21,615)</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122,560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(57,778)</w:t>
            </w:r>
          </w:p>
        </w:tc>
      </w:tr>
      <w:tr>
        <w:trPr>
          <w:trHeight w:val="230"/>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(1,897)</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(3,985)</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r>
      <w:tr>
        <w:trPr>
          <w:trHeight w:val="225"/>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(52,924)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(22,675)</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118,575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(60,650)</w:t>
            </w:r>
          </w:p>
        </w:tc>
      </w:tr>
      <w:tr>
        <w:trPr>
          <w:trHeight w:val="22"/>
        </w:trPr>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00" w:space="720"/>
            <w:col w:w="4120"/>
          </w:cols>
          <w:pgMar w:left="320" w:top="940"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320" w:type="dxa"/>
            <w:vAlign w:val="bottom"/>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1"/>
        </w:trPr>
        <w:tc>
          <w:tcPr>
            <w:tcW w:w="8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159,981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169,319</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40,657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20,467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672,346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622,408</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541,670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560,779</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279,211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226,811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100,746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97,450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1,592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9,313</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1,893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25"/>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1,798,096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1,708,094</w:t>
            </w:r>
          </w:p>
        </w:tc>
        <w:tc>
          <w:tcPr>
            <w:tcW w:w="0" w:type="dxa"/>
            <w:vAlign w:val="bottom"/>
          </w:tcPr>
          <w:p>
            <w:pPr>
              <w:spacing w:after="0"/>
              <w:rPr>
                <w:sz w:val="1"/>
                <w:szCs w:val="1"/>
                <w:color w:val="auto"/>
              </w:rPr>
            </w:pPr>
          </w:p>
        </w:tc>
      </w:tr>
      <w:tr>
        <w:trPr>
          <w:trHeight w:val="227"/>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539,924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503,000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406,527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429,403</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191,408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186,419</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1,499,707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1,560,953</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185,711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178,934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122,847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161,422</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1,703,216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1,658,046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6,810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$0 and $646 of restricted cash)</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234,943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189,132</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6,689,189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6,582,215</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vehicle floor plan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629,725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563,005</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414,525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381,416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12,572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3,766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65,591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70,007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21,880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155,813</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7,555</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1,151,848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1,174,007</w:t>
            </w:r>
          </w:p>
        </w:tc>
        <w:tc>
          <w:tcPr>
            <w:tcW w:w="0" w:type="dxa"/>
            <w:vAlign w:val="bottom"/>
          </w:tcPr>
          <w:p>
            <w:pPr>
              <w:spacing w:after="0"/>
              <w:rPr>
                <w:sz w:val="1"/>
                <w:szCs w:val="1"/>
                <w:color w:val="auto"/>
              </w:rPr>
            </w:pPr>
          </w:p>
        </w:tc>
      </w:tr>
      <w:tr>
        <w:trPr>
          <w:trHeight w:val="227"/>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133,057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134,921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35,971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37,506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482,420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466,275</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32,043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372,021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393,626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739,806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570,547</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2,947,166</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2,807,727</w:t>
            </w:r>
          </w:p>
        </w:tc>
        <w:tc>
          <w:tcPr>
            <w:tcW w:w="0" w:type="dxa"/>
            <w:vAlign w:val="bottom"/>
          </w:tcPr>
          <w:p>
            <w:pPr>
              <w:spacing w:after="0"/>
              <w:rPr>
                <w:sz w:val="1"/>
                <w:szCs w:val="1"/>
                <w:color w:val="auto"/>
              </w:rPr>
            </w:pPr>
          </w:p>
        </w:tc>
      </w:tr>
      <w:tr>
        <w:trPr>
          <w:trHeight w:val="207"/>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27,882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21,827</w:t>
            </w:r>
          </w:p>
        </w:tc>
        <w:tc>
          <w:tcPr>
            <w:tcW w:w="0" w:type="dxa"/>
            <w:vAlign w:val="bottom"/>
          </w:tcPr>
          <w:p>
            <w:pPr>
              <w:spacing w:after="0"/>
              <w:rPr>
                <w:sz w:val="1"/>
                <w:szCs w:val="1"/>
                <w:color w:val="auto"/>
              </w:rPr>
            </w:pPr>
          </w:p>
        </w:tc>
      </w:tr>
      <w:tr>
        <w:trPr>
          <w:trHeight w:val="227"/>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180" w:type="dxa"/>
            <w:vAlign w:val="bottom"/>
          </w:tcPr>
          <w:p>
            <w:pPr>
              <w:spacing w:after="0"/>
              <w:rPr>
                <w:sz w:val="18"/>
                <w:szCs w:val="18"/>
                <w:color w:val="auto"/>
              </w:rPr>
            </w:pPr>
          </w:p>
        </w:tc>
        <w:tc>
          <w:tcPr>
            <w:tcW w:w="13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387,039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390,438</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7,284,165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7,163,128</w:t>
            </w:r>
          </w:p>
        </w:tc>
        <w:tc>
          <w:tcPr>
            <w:tcW w:w="0" w:type="dxa"/>
            <w:vAlign w:val="bottom"/>
          </w:tcPr>
          <w:p>
            <w:pPr>
              <w:spacing w:after="0"/>
              <w:rPr>
                <w:sz w:val="1"/>
                <w:szCs w:val="1"/>
                <w:color w:val="auto"/>
              </w:rPr>
            </w:pPr>
          </w:p>
        </w:tc>
      </w:tr>
      <w:tr>
        <w:trPr>
          <w:trHeight w:val="217"/>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(62,734)</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(54,638)</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365,979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388,591</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(548)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2,198</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(4,305,400)</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(4,178,334)</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3,688,501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3,731,383</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25,640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21,278</w:t>
            </w:r>
          </w:p>
        </w:tc>
        <w:tc>
          <w:tcPr>
            <w:tcW w:w="0" w:type="dxa"/>
            <w:vAlign w:val="bottom"/>
          </w:tcPr>
          <w:p>
            <w:pPr>
              <w:spacing w:after="0"/>
              <w:rPr>
                <w:sz w:val="1"/>
                <w:szCs w:val="1"/>
                <w:color w:val="auto"/>
              </w:rPr>
            </w:pPr>
          </w:p>
        </w:tc>
      </w:tr>
      <w:tr>
        <w:trPr>
          <w:trHeight w:val="224"/>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3,714,141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3,752,661</w:t>
            </w:r>
          </w:p>
        </w:tc>
        <w:tc>
          <w:tcPr>
            <w:tcW w:w="0" w:type="dxa"/>
            <w:vAlign w:val="bottom"/>
          </w:tcPr>
          <w:p>
            <w:pPr>
              <w:spacing w:after="0"/>
              <w:rPr>
                <w:sz w:val="1"/>
                <w:szCs w:val="1"/>
                <w:color w:val="auto"/>
              </w:rPr>
            </w:pPr>
          </w:p>
        </w:tc>
      </w:tr>
      <w:tr>
        <w:trPr>
          <w:trHeight w:val="224"/>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6,689,189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6,582,215</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67" w:right="359" w:bottom="1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7" w:right="359" w:bottom="183"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2"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5"/>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156,014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63,791</w:t>
            </w:r>
          </w:p>
        </w:tc>
        <w:tc>
          <w:tcPr>
            <w:tcW w:w="0" w:type="dxa"/>
            <w:vAlign w:val="bottom"/>
          </w:tcPr>
          <w:p>
            <w:pPr>
              <w:spacing w:after="0"/>
              <w:rPr>
                <w:sz w:val="1"/>
                <w:szCs w:val="1"/>
                <w:color w:val="auto"/>
              </w:rPr>
            </w:pPr>
          </w:p>
        </w:tc>
      </w:tr>
      <w:tr>
        <w:trPr>
          <w:trHeight w:val="218"/>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long-lived asset impairments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201,408</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102,981</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50,181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51,344</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(73,852)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(136,411)</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(116,533)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172,318</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of business,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(11,785)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4,312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5,026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4,552</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(gain) loss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(1,820)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15,516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5,167</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25,696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9,189</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Accretion expense and change in fair value of contingent consideration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(4,301)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(3,898)</w:t>
            </w:r>
          </w:p>
        </w:tc>
        <w:tc>
          <w:tcPr>
            <w:tcW w:w="0" w:type="dxa"/>
            <w:vAlign w:val="bottom"/>
          </w:tcPr>
          <w:p>
            <w:pPr>
              <w:spacing w:after="0"/>
              <w:rPr>
                <w:sz w:val="1"/>
                <w:szCs w:val="1"/>
                <w:color w:val="auto"/>
              </w:rPr>
            </w:pPr>
          </w:p>
        </w:tc>
      </w:tr>
      <w:tr>
        <w:trPr>
          <w:trHeight w:val="218"/>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15,629</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58,940</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(47,164)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(47,486)</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(6,878)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(33,994)</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44,822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36,676</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16,367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(7,495)</w:t>
            </w:r>
          </w:p>
        </w:tc>
        <w:tc>
          <w:tcPr>
            <w:tcW w:w="0" w:type="dxa"/>
            <w:vAlign w:val="bottom"/>
          </w:tcPr>
          <w:p>
            <w:pPr>
              <w:spacing w:after="0"/>
              <w:rPr>
                <w:sz w:val="1"/>
                <w:szCs w:val="1"/>
                <w:color w:val="auto"/>
              </w:rPr>
            </w:pP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(53,924)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(59,612)</w:t>
            </w:r>
          </w:p>
        </w:tc>
        <w:tc>
          <w:tcPr>
            <w:tcW w:w="0" w:type="dxa"/>
            <w:vAlign w:val="bottom"/>
          </w:tcPr>
          <w:p>
            <w:pPr>
              <w:spacing w:after="0"/>
              <w:rPr>
                <w:sz w:val="1"/>
                <w:szCs w:val="1"/>
                <w:color w:val="auto"/>
              </w:rPr>
            </w:pP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(13,638)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(19,698)</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(2,550)</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4,674</w:t>
            </w:r>
          </w:p>
        </w:tc>
        <w:tc>
          <w:tcPr>
            <w:tcW w:w="0" w:type="dxa"/>
            <w:vAlign w:val="bottom"/>
          </w:tcPr>
          <w:p>
            <w:pPr>
              <w:spacing w:after="0"/>
              <w:rPr>
                <w:sz w:val="1"/>
                <w:szCs w:val="1"/>
                <w:color w:val="auto"/>
              </w:rPr>
            </w:pPr>
          </w:p>
        </w:tc>
      </w:tr>
      <w:tr>
        <w:trPr>
          <w:trHeight w:val="227"/>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202,526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203,665</w:t>
            </w:r>
          </w:p>
        </w:tc>
        <w:tc>
          <w:tcPr>
            <w:tcW w:w="0" w:type="dxa"/>
            <w:vAlign w:val="bottom"/>
          </w:tcPr>
          <w:p>
            <w:pPr>
              <w:spacing w:after="0"/>
              <w:rPr>
                <w:sz w:val="1"/>
                <w:szCs w:val="1"/>
                <w:color w:val="auto"/>
              </w:rPr>
            </w:pPr>
          </w:p>
        </w:tc>
      </w:tr>
      <w:tr>
        <w:trPr>
          <w:trHeight w:val="218"/>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(77,004)</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(130,177)</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61,979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74,233</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(61,156)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(57,097)</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Loan to related party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(30,000)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(12,839)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(30,075)</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(6,162)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(35,070)</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3,712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5,580</w:t>
            </w:r>
          </w:p>
        </w:tc>
        <w:tc>
          <w:tcPr>
            <w:tcW w:w="0" w:type="dxa"/>
            <w:vAlign w:val="bottom"/>
          </w:tcPr>
          <w:p>
            <w:pPr>
              <w:spacing w:after="0"/>
              <w:rPr>
                <w:sz w:val="1"/>
                <w:szCs w:val="1"/>
                <w:color w:val="auto"/>
              </w:rPr>
            </w:pPr>
          </w:p>
        </w:tc>
      </w:tr>
      <w:tr>
        <w:trPr>
          <w:trHeight w:val="231"/>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2,039</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27"/>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(119,431)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(171,645)</w:t>
            </w:r>
          </w:p>
        </w:tc>
        <w:tc>
          <w:tcPr>
            <w:tcW w:w="0" w:type="dxa"/>
            <w:vAlign w:val="bottom"/>
          </w:tcPr>
          <w:p>
            <w:pPr>
              <w:spacing w:after="0"/>
              <w:rPr>
                <w:sz w:val="1"/>
                <w:szCs w:val="1"/>
                <w:color w:val="auto"/>
              </w:rPr>
            </w:pPr>
          </w:p>
        </w:tc>
      </w:tr>
      <w:tr>
        <w:trPr>
          <w:trHeight w:val="218"/>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293,387</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77,299</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(140,000)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(132,248)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(54,581)</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(117,792)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(10,564)</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vehicle floor plan 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52,623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11,688</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(23,534)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(23,122)</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3,824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4,391</w:t>
            </w:r>
          </w:p>
        </w:tc>
        <w:tc>
          <w:tcPr>
            <w:tcW w:w="0" w:type="dxa"/>
            <w:vAlign w:val="bottom"/>
          </w:tcPr>
          <w:p>
            <w:pPr>
              <w:spacing w:after="0"/>
              <w:rPr>
                <w:sz w:val="1"/>
                <w:szCs w:val="1"/>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(3,786)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(4,731)</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1,306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(3,485)</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27"/>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(69,705)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(8,184)</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(11,824)</w:t>
            </w:r>
          </w:p>
        </w:tc>
        <w:tc>
          <w:tcPr>
            <w:tcW w:w="0" w:type="dxa"/>
            <w:vAlign w:val="bottom"/>
          </w:tcPr>
          <w:p>
            <w:pPr>
              <w:spacing w:after="0"/>
              <w:rPr>
                <w:sz w:val="1"/>
                <w:szCs w:val="1"/>
                <w:color w:val="auto"/>
              </w:rPr>
            </w:pPr>
          </w:p>
        </w:tc>
      </w:tr>
      <w:tr>
        <w:trPr>
          <w:trHeight w:val="221"/>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10,206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12,012</w:t>
            </w:r>
          </w:p>
        </w:tc>
        <w:tc>
          <w:tcPr>
            <w:tcW w:w="0" w:type="dxa"/>
            <w:vAlign w:val="bottom"/>
          </w:tcPr>
          <w:p>
            <w:pPr>
              <w:spacing w:after="0"/>
              <w:rPr>
                <w:sz w:val="1"/>
                <w:szCs w:val="1"/>
                <w:color w:val="auto"/>
              </w:rPr>
            </w:pP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190,432</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158,843</w:t>
            </w:r>
          </w:p>
        </w:tc>
        <w:tc>
          <w:tcPr>
            <w:tcW w:w="0" w:type="dxa"/>
            <w:vAlign w:val="bottom"/>
          </w:tcPr>
          <w:p>
            <w:pPr>
              <w:spacing w:after="0"/>
              <w:rPr>
                <w:sz w:val="1"/>
                <w:szCs w:val="1"/>
                <w:color w:val="auto"/>
              </w:rPr>
            </w:pP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200,638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170,855</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0" w:right="359"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0" w:right="35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80" w:type="dxa"/>
            <w:vAlign w:val="bottom"/>
            <w:vMerge w:val="restart"/>
          </w:tcPr>
          <w:p>
            <w:pPr>
              <w:jc w:val="right"/>
              <w:ind w:right="19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1"/>
        </w:trPr>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3"/>
                <w:szCs w:val="13"/>
                <w:color w:val="auto"/>
              </w:rPr>
            </w:pPr>
          </w:p>
        </w:tc>
        <w:tc>
          <w:tcPr>
            <w:tcW w:w="780" w:type="dxa"/>
            <w:vAlign w:val="bottom"/>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40" w:type="dxa"/>
            <w:vAlign w:val="bottom"/>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Pr>
          <w:p>
            <w:pPr>
              <w:spacing w:after="0"/>
              <w:rPr>
                <w:sz w:val="13"/>
                <w:szCs w:val="13"/>
                <w:color w:val="auto"/>
              </w:rPr>
            </w:pPr>
          </w:p>
        </w:tc>
        <w:tc>
          <w:tcPr>
            <w:tcW w:w="860" w:type="dxa"/>
            <w:vAlign w:val="bottom"/>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36"/>
        </w:trPr>
        <w:tc>
          <w:tcPr>
            <w:tcW w:w="3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390,438</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7,163,128</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336,151</w:t>
            </w: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(4,178,334)</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21,278</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3,752,661</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21,827</w:t>
            </w:r>
          </w:p>
        </w:tc>
        <w:tc>
          <w:tcPr>
            <w:tcW w:w="0" w:type="dxa"/>
            <w:vAlign w:val="bottom"/>
          </w:tcPr>
          <w:p>
            <w:pPr>
              <w:spacing w:after="0"/>
              <w:rPr>
                <w:sz w:val="1"/>
                <w:szCs w:val="1"/>
                <w:color w:val="auto"/>
              </w:rPr>
            </w:pPr>
          </w:p>
        </w:tc>
      </w:tr>
      <w:tr>
        <w:trPr>
          <w:trHeight w:val="193"/>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52,977</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52,977</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(55)</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9"/>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520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 to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(15,812)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(15,812)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(23,439)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(23,439)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(4,067)</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4,494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1,802</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1,802</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585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Arial" w:cs="Arial" w:eastAsia="Arial" w:hAnsi="Arial"/>
                <w:sz w:val="13"/>
                <w:szCs w:val="13"/>
                <w:color w:val="auto"/>
              </w:rPr>
              <w:t>As of March 31,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388,173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7,199,588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336,736</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(4,197,279)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22,512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3,769,730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21,882</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124,171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124,171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(574)</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(574)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179"/>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(4,550)</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(4,499)</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4,604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(324)</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(324)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(7,722)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(7,722)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(45,643)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(45,643)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460" w:type="dxa"/>
            <w:vAlign w:val="bottom"/>
          </w:tcPr>
          <w:p>
            <w:pPr>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16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(183)</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1,715</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1,715</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(4,146)</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(4,146)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20"/>
                <w:szCs w:val="20"/>
                <w:color w:val="auto"/>
              </w:rPr>
            </w:pPr>
            <w:r>
              <w:rPr>
                <w:rFonts w:ascii="Arial" w:cs="Arial" w:eastAsia="Arial" w:hAnsi="Arial"/>
                <w:sz w:val="13"/>
                <w:szCs w:val="13"/>
                <w:color w:val="auto"/>
              </w:rPr>
              <w:t>As of June 30,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385,399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7,314,654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332,590</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(4,243,166)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23,048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3,832,525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26,999</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20"/>
                <w:szCs w:val="20"/>
                <w:color w:val="auto"/>
              </w:rPr>
            </w:pPr>
            <w:r>
              <w:rPr>
                <w:rFonts w:ascii="Arial" w:cs="Arial" w:eastAsia="Arial" w:hAnsi="Arial"/>
                <w:sz w:val="13"/>
                <w:szCs w:val="13"/>
                <w:b w:val="1"/>
                <w:bCs w:val="1"/>
                <w:color w:val="auto"/>
              </w:rPr>
              <w:t>Net loss for the period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(21,134)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(21,134)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(1,034)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1,034</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(863)</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(863)</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863</w:t>
            </w:r>
          </w:p>
        </w:tc>
        <w:tc>
          <w:tcPr>
            <w:tcW w:w="0" w:type="dxa"/>
            <w:vAlign w:val="bottom"/>
          </w:tcPr>
          <w:p>
            <w:pPr>
              <w:spacing w:after="0"/>
              <w:rPr>
                <w:sz w:val="1"/>
                <w:szCs w:val="1"/>
                <w:color w:val="auto"/>
              </w:rPr>
            </w:pPr>
          </w:p>
        </w:tc>
      </w:tr>
      <w:tr>
        <w:trPr>
          <w:trHeight w:val="188"/>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44</w:t>
            </w: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44</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52</w:t>
            </w:r>
          </w:p>
        </w:tc>
        <w:tc>
          <w:tcPr>
            <w:tcW w:w="0" w:type="dxa"/>
            <w:vAlign w:val="bottom"/>
          </w:tcPr>
          <w:p>
            <w:pPr>
              <w:spacing w:after="0"/>
              <w:rPr>
                <w:sz w:val="1"/>
                <w:szCs w:val="1"/>
                <w:color w:val="auto"/>
              </w:rPr>
            </w:pPr>
          </w:p>
        </w:tc>
      </w:tr>
      <w:tr>
        <w:trPr>
          <w:trHeight w:val="188"/>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3,000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3,000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(1,486)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(1,486)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(32)</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(7,458)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(7,458)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(63,166)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(63,166)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(52)</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932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880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1,692</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1,692</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loss, net of income taxes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(29,893)</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(29,893)</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September 30,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387,039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7,284,165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302,697</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(4,305,400)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25,640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3,714,141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27,882</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163830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ind w:right="96"/>
              <w:spacing w:after="0" w:line="108" w:lineRule="exact"/>
              <w:rPr>
                <w:sz w:val="20"/>
                <w:szCs w:val="20"/>
                <w:color w:val="auto"/>
              </w:rPr>
            </w:pPr>
            <w:r>
              <w:rPr>
                <w:rFonts w:ascii="Arial" w:cs="Arial" w:eastAsia="Arial" w:hAnsi="Arial"/>
                <w:sz w:val="11"/>
                <w:szCs w:val="11"/>
                <w:color w:val="auto"/>
                <w:w w:val="98"/>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5"/>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1"/>
        </w:trPr>
        <w:tc>
          <w:tcPr>
            <w:tcW w:w="35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3"/>
                <w:szCs w:val="13"/>
                <w:color w:val="auto"/>
              </w:rPr>
            </w:pPr>
          </w:p>
        </w:tc>
        <w:tc>
          <w:tcPr>
            <w:tcW w:w="780" w:type="dxa"/>
            <w:vAlign w:val="bottom"/>
          </w:tcPr>
          <w:p>
            <w:pPr>
              <w:jc w:val="right"/>
              <w:ind w:right="194"/>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40" w:type="dxa"/>
            <w:vAlign w:val="bottom"/>
          </w:tcPr>
          <w:p>
            <w:pPr>
              <w:jc w:val="right"/>
              <w:ind w:right="296"/>
              <w:spacing w:after="0"/>
              <w:rPr>
                <w:sz w:val="20"/>
                <w:szCs w:val="20"/>
                <w:color w:val="auto"/>
              </w:rPr>
            </w:pPr>
            <w:r>
              <w:rPr>
                <w:rFonts w:ascii="Arial" w:cs="Arial" w:eastAsia="Arial" w:hAnsi="Arial"/>
                <w:sz w:val="11"/>
                <w:szCs w:val="11"/>
                <w:color w:val="auto"/>
              </w:rPr>
              <w:t>Income</w:t>
            </w:r>
          </w:p>
        </w:tc>
        <w:tc>
          <w:tcPr>
            <w:tcW w:w="180" w:type="dxa"/>
            <w:vAlign w:val="bottom"/>
          </w:tcPr>
          <w:p>
            <w:pPr>
              <w:spacing w:after="0"/>
              <w:rPr>
                <w:sz w:val="13"/>
                <w:szCs w:val="13"/>
                <w:color w:val="auto"/>
              </w:rPr>
            </w:pPr>
          </w:p>
        </w:tc>
        <w:tc>
          <w:tcPr>
            <w:tcW w:w="840" w:type="dxa"/>
            <w:vAlign w:val="bottom"/>
          </w:tcPr>
          <w:p>
            <w:pPr>
              <w:jc w:val="right"/>
              <w:ind w:right="315"/>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4"/>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22"/>
        </w:trPr>
        <w:tc>
          <w:tcPr>
            <w:tcW w:w="3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2021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389,456</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7,126,761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971,388</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(4,108,022)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12,086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4,411,669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14,311</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96,566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96,566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986</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(357)</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(357)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(15,497)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(15,497)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(9,527)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(9,527)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1,437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1,437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1,677</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(13,135)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(13,135)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391,133</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7,206,888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958,253</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(4,116,112)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12,779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4,472,941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14,331</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(66,615)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(66,615)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Acquisition of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512</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512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929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2,164</w:t>
            </w: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59</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(872)</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(872)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(7,656)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(7,656)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(24,776)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(24,776)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2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(877)</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2,302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2,302</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(52,979)</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(52,979)</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392,973</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7,131,747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905,274</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(4,141,303)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13,552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4,322,243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33,840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33,840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2,960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2,960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Redeemable 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w:t>
            </w: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61</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(369)</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(369)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(7,575)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(7,575)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(20,278)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(20,278)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(203)</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1,748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1,748</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(55,455)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(55,455)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As of September 30,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394,609</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7,156,952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849,819</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(4,161,672)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4,276,961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17,625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8"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 television broadcasting– online, podcast, print and local TV news; manufacturing; home health and hospice care; automotive dealerships; and other businesses. The Company’s Kaplan subsidiary provides a wide variety of educational services, both domestically and outside the United States (U.S.). The Company’s television broadcast segment owns and operates seven television broadcasting stations. The Company’s manufacturing</w:t>
      </w:r>
    </w:p>
    <w:p>
      <w:pPr>
        <w:spacing w:after="0" w:line="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companies comprise the ownership of a supplier of pressure treated wood, a manufacturer of electrical solutions, a manufacturer of lifting solutions, and a supplier of parts used in electric utilities and industrial systems. The Company’s healthcare segment provides home health, hospice and palliative services, in-home specialty pharmacy infusion therapies, applied behavior analysis (ABA) therapy, physician services for allergy, asthma and immunology patients, in-home aesthetics, and healthcare software-as-a-service technology. The Company’s</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automotive business comprises seven dealerships and valet repair services. The Company’s other businesses include a consumer internet company; restaurants; a custom framing company; a marketing solutions provider; a customer data and analytics software company; website and print magazines; and a daily local news podcast and newsletter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4" w:lineRule="exact"/>
        <w:rPr>
          <w:sz w:val="20"/>
          <w:szCs w:val="20"/>
          <w:color w:val="auto"/>
        </w:rPr>
      </w:pPr>
    </w:p>
    <w:p>
      <w:pPr>
        <w:ind w:right="40" w:firstLine="8"/>
        <w:spacing w:after="0" w:line="232"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nine months ended September 30, 2023 and 2022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2022.</w:t>
      </w:r>
    </w:p>
    <w:p>
      <w:pPr>
        <w:spacing w:after="0" w:line="1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(see Note 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w:t>
      </w:r>
    </w:p>
    <w:p>
      <w:pPr>
        <w:ind w:right="60"/>
        <w:spacing w:after="0" w:line="226" w:lineRule="auto"/>
        <w:rPr>
          <w:sz w:val="20"/>
          <w:szCs w:val="20"/>
          <w:color w:val="auto"/>
        </w:rPr>
      </w:pPr>
      <w:r>
        <w:rPr>
          <w:rFonts w:ascii="Arial" w:cs="Arial" w:eastAsia="Arial" w:hAnsi="Arial"/>
          <w:sz w:val="18"/>
          <w:szCs w:val="18"/>
          <w:color w:val="auto"/>
        </w:rPr>
        <w:t>reported herein. Management bases its estimates and assumptions on historical experience and on various other factors that are believed to be reasonable under the circumstances. Due to the inherent uncertainty involved in making estimates, actual results reported in future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periods may be affected by changes in those estimates.</w:t>
      </w:r>
    </w:p>
    <w:p>
      <w:pPr>
        <w:spacing w:after="0" w:line="13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color w:val="auto"/>
        </w:rPr>
        <w:t xml:space="preserve">Recently Adopted and Issued Accounting Pronouncements </w:t>
      </w:r>
      <w:r>
        <w:rPr>
          <w:rFonts w:ascii="Arial" w:cs="Arial" w:eastAsia="Arial" w:hAnsi="Arial"/>
          <w:sz w:val="17"/>
          <w:szCs w:val="17"/>
          <w:color w:val="auto"/>
        </w:rPr>
        <w:t>– In September 2022, the Financial Accounting Standards Board issued new</w:t>
      </w:r>
      <w:r>
        <w:rPr>
          <w:rFonts w:ascii="Arial" w:cs="Arial" w:eastAsia="Arial" w:hAnsi="Arial"/>
          <w:sz w:val="17"/>
          <w:szCs w:val="17"/>
          <w:b w:val="1"/>
          <w:bCs w:val="1"/>
          <w:color w:val="auto"/>
        </w:rPr>
        <w:t xml:space="preserve"> </w:t>
      </w:r>
      <w:r>
        <w:rPr>
          <w:rFonts w:ascii="Arial" w:cs="Arial" w:eastAsia="Arial" w:hAnsi="Arial"/>
          <w:sz w:val="17"/>
          <w:szCs w:val="17"/>
          <w:color w:val="auto"/>
        </w:rPr>
        <w:t>guidance that requires a buyer in a supplier finance program to disclose certain qualitative and quantitative information about the program’s</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nature, activity during the period, changes from period to period, and potential magnitude. The standard was adopted by the Company in the first quarter of 2023 and did not have a significant impact on its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During 2023, the Company acquired four businesses: two in healthcare, one in automotive, and one in other businesses for</w:t>
      </w:r>
    </w:p>
    <w:p>
      <w:pPr>
        <w:spacing w:after="0" w:line="1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$82.3 million in cash and contingent consideration and the assumption of floor plan payables. The assets and liabilities of the companies acquired were recorded at their estimated fair values at the date of acquisition.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2023, the Company’s automotive subsidiary acquired a Toyota automotive dealership, including the real property for the</w:t>
      </w:r>
    </w:p>
    <w:p>
      <w:pPr>
        <w:spacing w:after="0" w:line="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dealership operations. In addition to a cash payment and the assumption of $2.2 million in floor plan payables, the automotive subsidiary borrowed $37.0 million to finance the acquisition. The dealership is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ind w:right="860"/>
        <w:spacing w:after="0" w:line="260" w:lineRule="auto"/>
        <w:rPr>
          <w:sz w:val="20"/>
          <w:szCs w:val="20"/>
          <w:color w:val="auto"/>
        </w:rPr>
      </w:pPr>
      <w:r>
        <w:rPr>
          <w:rFonts w:ascii="Arial" w:cs="Arial" w:eastAsia="Arial" w:hAnsi="Arial"/>
          <w:sz w:val="18"/>
          <w:szCs w:val="18"/>
          <w:color w:val="auto"/>
        </w:rPr>
        <w:t>operated and managed by an entity affiliated with Christopher J. Ourisman, a member of the Ourisman Automotive Group family of dealerships. This acquisition expands the Company’s automotive business operations and is included in automotive.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In July 2023, the Company acquired a small business which is included in 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Graham Healthcare Group (GHG) acquired two small businesses which are included in healthcare.</w:t>
      </w:r>
    </w:p>
    <w:p>
      <w:pPr>
        <w:spacing w:after="0" w:line="158"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During 2022, the Company acquired seven businesses: five in healthcare and two in automotive, for $143.2 million in cash and contingent consideration and the assumption of floor plan payables. The assets and liabilities of the companies acquired were recorded at their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values at the date of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May 2022, GHG acquired two small businesses which are included in healthcare.</w:t>
      </w:r>
    </w:p>
    <w:p>
      <w:pPr>
        <w:spacing w:after="0" w:line="144"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On July 5, 2022, the Company’s automotive subsidiary acquired two automotive dealerships, including the real property for the dealership operations. In addition to a cash payment and the assumption of $10.9 million in floor plan payables, the automotive subsidiary borrowed</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$77.4 million to finance the acquisition. The dealerships are operated and managed by an entity affiliated with Christopher J. Ourisman, a member of the Ourisman Automotive Group family of dealerships. These acquisitions expand the Company’s automotive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are included in automotive.</w:t>
      </w:r>
    </w:p>
    <w:p>
      <w:pPr>
        <w:spacing w:after="0" w:line="146" w:lineRule="exact"/>
        <w:rPr>
          <w:sz w:val="20"/>
          <w:szCs w:val="20"/>
          <w:color w:val="auto"/>
        </w:rPr>
      </w:pPr>
    </w:p>
    <w:p>
      <w:pPr>
        <w:ind w:right="580"/>
        <w:spacing w:after="0" w:line="244" w:lineRule="auto"/>
        <w:rPr>
          <w:sz w:val="20"/>
          <w:szCs w:val="20"/>
          <w:color w:val="auto"/>
        </w:rPr>
      </w:pPr>
      <w:r>
        <w:rPr>
          <w:rFonts w:ascii="Arial" w:cs="Arial" w:eastAsia="Arial" w:hAnsi="Arial"/>
          <w:sz w:val="18"/>
          <w:szCs w:val="18"/>
          <w:color w:val="auto"/>
        </w:rPr>
        <w:t>In July 2022, GHG acquired a 100% interest in a multi-state provider of ABA clinics. The acquisition is expected to expand the product offerings of the healthcare division and is included in healthcare.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GHG acquired two small businesses which are included in healthcare.</w:t>
      </w:r>
    </w:p>
    <w:p>
      <w:pPr>
        <w:spacing w:after="0" w:line="158"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Acquisition-related costs for acquisitions that closed during the first nine months of 2023 and 2022 were $1.2 million and $1.6 million, respectively. The aggregate purchase price of the 2023 and 2022 acquisitions was allocated as follows (2023 on a preliminary basis), based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acquisition date fair values to the following assets and liabilities: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4"/>
                <w:szCs w:val="14"/>
                <w:b w:val="1"/>
                <w:bCs w:val="1"/>
                <w:color w:val="auto"/>
              </w:rPr>
              <w:t>Purchase Price Allocation</w:t>
            </w:r>
          </w:p>
        </w:tc>
      </w:tr>
      <w:tr>
        <w:trPr>
          <w:trHeight w:val="200"/>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jc w:val="right"/>
              <w:ind w:right="301"/>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7"/>
                <w:szCs w:val="17"/>
                <w:color w:val="auto"/>
              </w:rPr>
            </w:pPr>
          </w:p>
        </w:tc>
        <w:tc>
          <w:tcPr>
            <w:tcW w:w="1860" w:type="dxa"/>
            <w:vAlign w:val="bottom"/>
          </w:tcPr>
          <w:p>
            <w:pPr>
              <w:jc w:val="right"/>
              <w:ind w:right="580"/>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December 31, 2022</w:t>
            </w:r>
          </w:p>
        </w:tc>
      </w:tr>
      <w:tr>
        <w:trPr>
          <w:trHeight w:val="225"/>
        </w:trPr>
        <w:tc>
          <w:tcPr>
            <w:tcW w:w="70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68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3,172</w:t>
            </w:r>
          </w:p>
        </w:tc>
      </w:tr>
      <w:tr>
        <w:trPr>
          <w:trHeight w:val="227"/>
        </w:trPr>
        <w:tc>
          <w:tcPr>
            <w:tcW w:w="70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5,224</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21,278</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29,859</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36,255</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4,773</w:t>
            </w:r>
          </w:p>
        </w:tc>
      </w:tr>
      <w:tr>
        <w:trPr>
          <w:trHeight w:val="229"/>
        </w:trPr>
        <w:tc>
          <w:tcPr>
            <w:tcW w:w="7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44,968</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53,946</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6,300</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41,800</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235</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4</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29"/>
        </w:trPr>
        <w:tc>
          <w:tcPr>
            <w:tcW w:w="70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2,535</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(2,215)</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(10,908)</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(3,798)</w:t>
            </w:r>
          </w:p>
        </w:tc>
      </w:tr>
      <w:tr>
        <w:trPr>
          <w:trHeight w:val="230"/>
        </w:trPr>
        <w:tc>
          <w:tcPr>
            <w:tcW w:w="700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(1,184)</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(5,865)</w:t>
            </w:r>
          </w:p>
        </w:tc>
      </w:tr>
      <w:tr>
        <w:trPr>
          <w:trHeight w:val="229"/>
        </w:trPr>
        <w:tc>
          <w:tcPr>
            <w:tcW w:w="70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Pr>
          <w:p>
            <w:pPr>
              <w:spacing w:after="0"/>
              <w:rPr>
                <w:sz w:val="19"/>
                <w:szCs w:val="19"/>
                <w:color w:val="auto"/>
              </w:rPr>
            </w:pPr>
          </w:p>
        </w:tc>
        <w:tc>
          <w:tcPr>
            <w:tcW w:w="18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(2,164)</w:t>
            </w:r>
          </w:p>
        </w:tc>
      </w:tr>
      <w:tr>
        <w:trPr>
          <w:trHeight w:val="233"/>
        </w:trPr>
        <w:tc>
          <w:tcPr>
            <w:tcW w:w="70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27"/>
        </w:trPr>
        <w:tc>
          <w:tcPr>
            <w:tcW w:w="700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82,324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142,116</w:t>
            </w: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2023 fair values recorded were based upon preliminary valuations and the estimates and assumptions used in such valuations are</w:t>
      </w:r>
    </w:p>
    <w:p>
      <w:pPr>
        <w:spacing w:after="0" w:line="8"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subject to change within the measurement period (up to one year from the acquisition date). The recording of the amounts of residual goodwill and other intangibles are not yet finalized. Goodwill is calculated as the excess of the consideration transferred over the net assets</w:t>
      </w:r>
    </w:p>
    <w:p>
      <w:pPr>
        <w:spacing w:after="0" w:line="236" w:lineRule="auto"/>
        <w:rPr>
          <w:sz w:val="20"/>
          <w:szCs w:val="20"/>
          <w:color w:val="auto"/>
        </w:rPr>
      </w:pPr>
      <w:r>
        <w:rPr>
          <w:rFonts w:ascii="Arial" w:cs="Arial" w:eastAsia="Arial" w:hAnsi="Arial"/>
          <w:sz w:val="18"/>
          <w:szCs w:val="18"/>
          <w:color w:val="auto"/>
        </w:rPr>
        <w:t>recognized and represents the estimated future economic benefits arising from other assets acquired that could not be individually identified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and separately recognized. The goodwill recorded due to these acquisitions is attributable to the assembled workforces of the acquired companies and expected synergies. The Company expects to deduct $44.0 million and $39.7 million of goodwill for income tax purposes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acquisitions completed in 2023 and 2022, respectively.</w:t>
      </w:r>
    </w:p>
    <w:p>
      <w:pPr>
        <w:spacing w:after="0" w:line="146" w:lineRule="exact"/>
        <w:rPr>
          <w:sz w:val="20"/>
          <w:szCs w:val="20"/>
          <w:color w:val="auto"/>
        </w:rPr>
      </w:pPr>
    </w:p>
    <w:p>
      <w:pPr>
        <w:ind w:right="520"/>
        <w:spacing w:after="0" w:line="233"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for the third quarter of 2023 include aggregate revenues and operating</w:t>
      </w:r>
    </w:p>
    <w:p>
      <w:pPr>
        <w:spacing w:after="0" w:line="236" w:lineRule="auto"/>
        <w:rPr>
          <w:sz w:val="20"/>
          <w:szCs w:val="20"/>
          <w:color w:val="auto"/>
        </w:rPr>
      </w:pPr>
      <w:r>
        <w:rPr>
          <w:rFonts w:ascii="Arial" w:cs="Arial" w:eastAsia="Arial" w:hAnsi="Arial"/>
          <w:sz w:val="18"/>
          <w:szCs w:val="18"/>
          <w:color w:val="auto"/>
        </w:rPr>
        <w:t>losses for the companies acquired in 2023 of $2.4 million and $0.1 million, respectively. The Company’s Condensed Consolidated</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Statements of Operations include aggregate revenues and operating losses of $3.5 million and $0.1 million, respectively, for the nine months ended</w:t>
      </w:r>
    </w:p>
    <w:p>
      <w:pPr>
        <w:sectPr>
          <w:pgSz w:w="11900" w:h="16838" w:orient="portrait"/>
          <w:cols w:equalWidth="0" w:num="1">
            <w:col w:w="11240"/>
          </w:cols>
          <w:pgMar w:left="320" w:top="93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September 30, 2023. The following unaudited pro forma financial information presents the Company’s results as if the current year</w:t>
      </w:r>
    </w:p>
    <w:p>
      <w:pPr>
        <w:spacing w:after="0" w:line="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acquisitions had occurred at the beginning of 2022. The unaudited pro forma also includes the 2022 acquisitions as if they occurred at the beginning of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4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204"/>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2022</w:t>
            </w:r>
          </w:p>
        </w:tc>
      </w:tr>
      <w:tr>
        <w:trPr>
          <w:trHeight w:val="225"/>
        </w:trPr>
        <w:tc>
          <w:tcPr>
            <w:tcW w:w="54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4"/>
              <w:spacing w:after="0"/>
              <w:rPr>
                <w:sz w:val="20"/>
                <w:szCs w:val="20"/>
                <w:color w:val="auto"/>
              </w:rPr>
            </w:pPr>
            <w:r>
              <w:rPr>
                <w:rFonts w:ascii="Arial" w:cs="Arial" w:eastAsia="Arial" w:hAnsi="Arial"/>
                <w:sz w:val="16"/>
                <w:szCs w:val="16"/>
                <w:b w:val="1"/>
                <w:bCs w:val="1"/>
                <w:color w:val="auto"/>
              </w:rPr>
              <w:t>1,150,953</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1,053,162</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3,363,004</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3,148,090</w:t>
            </w:r>
          </w:p>
        </w:tc>
      </w:tr>
      <w:tr>
        <w:trPr>
          <w:trHeight w:val="227"/>
        </w:trPr>
        <w:tc>
          <w:tcPr>
            <w:tcW w:w="540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b w:val="1"/>
                <w:bCs w:val="1"/>
                <w:color w:val="auto"/>
              </w:rPr>
              <w:t>(18,235)</w:t>
            </w:r>
          </w:p>
        </w:tc>
        <w:tc>
          <w:tcPr>
            <w:tcW w:w="54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36,255</w:t>
            </w:r>
          </w:p>
        </w:tc>
        <w:tc>
          <w:tcPr>
            <w:tcW w:w="40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162,653</w:t>
            </w:r>
          </w:p>
        </w:tc>
        <w:tc>
          <w:tcPr>
            <w:tcW w:w="56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78,704</w:t>
            </w:r>
          </w:p>
        </w:tc>
      </w:tr>
    </w:tbl>
    <w:p>
      <w:pPr>
        <w:spacing w:after="0" w:line="238"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236" w:lineRule="auto"/>
        <w:rPr>
          <w:sz w:val="20"/>
          <w:szCs w:val="20"/>
          <w:color w:val="auto"/>
        </w:rPr>
      </w:pPr>
      <w:r>
        <w:rPr>
          <w:rFonts w:ascii="Arial" w:cs="Arial" w:eastAsia="Arial" w:hAnsi="Arial"/>
          <w:sz w:val="18"/>
          <w:szCs w:val="18"/>
          <w:color w:val="auto"/>
        </w:rPr>
        <w:t>acquisition transaction related expenses incurred by the Company and the acquired entities. The pro forma information does not include</w:t>
      </w:r>
    </w:p>
    <w:p>
      <w:pPr>
        <w:ind w:right="140"/>
        <w:spacing w:after="0"/>
        <w:rPr>
          <w:sz w:val="20"/>
          <w:szCs w:val="20"/>
          <w:color w:val="auto"/>
        </w:rPr>
      </w:pPr>
      <w:r>
        <w:rPr>
          <w:rFonts w:ascii="Arial" w:cs="Arial" w:eastAsia="Arial" w:hAnsi="Arial"/>
          <w:sz w:val="17"/>
          <w:szCs w:val="17"/>
          <w:color w:val="auto"/>
        </w:rPr>
        <w:t>efficiencies, cost reductions and synergies expected to result from the acquisitions. They are not the results that would have been realized had these entities been part of the Company during the periods presented and are not necessarily indicative of the Company’s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in future periods.</w:t>
      </w:r>
    </w:p>
    <w:p>
      <w:pPr>
        <w:spacing w:after="0" w:line="136"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b w:val="1"/>
          <w:bCs w:val="1"/>
          <w:color w:val="auto"/>
        </w:rPr>
        <w:t xml:space="preserve">Disposition of Businesses. </w:t>
      </w:r>
      <w:r>
        <w:rPr>
          <w:rFonts w:ascii="Arial" w:cs="Arial" w:eastAsia="Arial" w:hAnsi="Arial"/>
          <w:sz w:val="17"/>
          <w:szCs w:val="17"/>
          <w:color w:val="auto"/>
        </w:rPr>
        <w:t>In June 2023, the Company entered into an agreement to merge the Pinna business with Realm of Possibility,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Inc. (Realm) in return for an additional noncontrolling financial interest in Realm (the Pinna transaction). The Company deconsolidated the</w:t>
      </w:r>
    </w:p>
    <w:p>
      <w:pPr>
        <w:spacing w:after="0" w:line="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Pinna subsidiary, which was included in other businesses, and continues to account for its interest in Realm under the equity method of accounting (see Notes 3 and 12).</w:t>
      </w:r>
    </w:p>
    <w:p>
      <w:pPr>
        <w:spacing w:after="0" w:line="117" w:lineRule="exact"/>
        <w:rPr>
          <w:sz w:val="20"/>
          <w:szCs w:val="20"/>
          <w:color w:val="auto"/>
        </w:rPr>
      </w:pPr>
    </w:p>
    <w:p>
      <w:pPr>
        <w:ind w:right="440"/>
        <w:spacing w:after="0" w:line="255" w:lineRule="auto"/>
        <w:rPr>
          <w:sz w:val="20"/>
          <w:szCs w:val="20"/>
          <w:color w:val="auto"/>
        </w:rPr>
      </w:pPr>
      <w:r>
        <w:rPr>
          <w:rFonts w:ascii="Arial" w:cs="Arial" w:eastAsia="Arial" w:hAnsi="Arial"/>
          <w:sz w:val="17"/>
          <w:szCs w:val="17"/>
          <w:color w:val="auto"/>
        </w:rPr>
        <w:t>In October 2022, the Company entered into an agreement to merge the CyberVista business with CyberWire, Inc. in return for a noncontrolling financial interest in the merged entity, N2K Networks, Inc. (the CyberVista transaction). The Company deconsolidated the</w:t>
      </w:r>
    </w:p>
    <w:p>
      <w:pPr>
        <w:spacing w:after="0" w:line="2"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CyberVista subsidiary, which was included in other businesses, and accounts for its continuing interest in N2K Networks under the equity method of accounting (see Note 3).</w:t>
      </w:r>
    </w:p>
    <w:p>
      <w:pPr>
        <w:spacing w:after="0" w:line="126"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November 2022, a CSI Pharmacy Holdings Company, LLC (CSI) minority shareholder put some shares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which had a redemption value of $1.2 million. Following the redemption, the Company owns 76.5% of CSI.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September 30, 2023 and December 31, 2022, the Company had money market investments of $39.7</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and $7.7 million, respectively, that are classified as cash and cash equivalents in the Company’s Condensed Consolidated Balance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80" w:type="dxa"/>
            <w:vAlign w:val="bottom"/>
          </w:tcPr>
          <w:p>
            <w:pPr>
              <w:jc w:val="right"/>
              <w:ind w:right="16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1"/>
        </w:trPr>
        <w:tc>
          <w:tcPr>
            <w:tcW w:w="83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9"/>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225,971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270,764</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140" w:type="dxa"/>
            <w:vAlign w:val="bottom"/>
          </w:tcPr>
          <w:p>
            <w:pPr>
              <w:spacing w:after="0"/>
              <w:rPr>
                <w:sz w:val="19"/>
                <w:szCs w:val="19"/>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b w:val="1"/>
                <w:bCs w:val="1"/>
                <w:color w:val="auto"/>
              </w:rPr>
              <w:t>447,394</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363,147</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(7,851)</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(23,990)</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665,514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609,921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the Company owned 55,430 shares in Markel Group Inc. (Markel) valued at $81.6 million</w:t>
      </w:r>
    </w:p>
    <w:p>
      <w:pPr>
        <w:spacing w:after="0" w:line="8"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and $73.0 million, respectively. The Chief Executive Officer of Markel, Mr. Thomas S. Gayner, is a member of the Company’s Board of Directors. As of September 30, 2023, the Company owned 422 Class A and 482,945 Class B shares in Berkshire Hathaway valued at $393.5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which exceeded 5% of the Company’s total assets.</w:t>
      </w:r>
    </w:p>
    <w:p>
      <w:pPr>
        <w:spacing w:after="0" w:line="146"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The Company purchased $4.6 million of marketable equity securities during the first nine months of 2023. The Company purchased $35.1 million of marketable equity securities during the first nine months of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2023, the gross cumulative realized net gains from the sales of marketable equity securities were $13.0</w:t>
      </w:r>
    </w:p>
    <w:p>
      <w:pPr>
        <w:spacing w:after="0" w:line="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million. The total proceeds from such sales were $62.0 million. During the first nine months of 2022, the gross cumulative realized gains from the sales of marketable equity securities were $39.5 million. The total proceeds from such sales were $74.2 million.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0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4"/>
              <w:spacing w:after="0"/>
              <w:rPr>
                <w:sz w:val="20"/>
                <w:szCs w:val="20"/>
                <w:color w:val="auto"/>
              </w:rPr>
            </w:pPr>
            <w:r>
              <w:rPr>
                <w:rFonts w:ascii="Arial" w:cs="Arial" w:eastAsia="Arial" w:hAnsi="Arial"/>
                <w:sz w:val="16"/>
                <w:szCs w:val="16"/>
                <w:b w:val="1"/>
                <w:bCs w:val="1"/>
                <w:color w:val="auto"/>
              </w:rPr>
              <w:t>16,759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(54,250)</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b w:val="1"/>
                <w:bCs w:val="1"/>
                <w:color w:val="auto"/>
              </w:rPr>
              <w:t>113,429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(172,878)</w:t>
            </w:r>
          </w:p>
        </w:tc>
        <w:tc>
          <w:tcPr>
            <w:tcW w:w="0" w:type="dxa"/>
            <w:vAlign w:val="bottom"/>
          </w:tcPr>
          <w:p>
            <w:pPr>
              <w:spacing w:after="0"/>
              <w:rPr>
                <w:sz w:val="1"/>
                <w:szCs w:val="1"/>
                <w:color w:val="auto"/>
              </w:rPr>
            </w:pP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(5,475)</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10,742</w:t>
            </w:r>
          </w:p>
        </w:tc>
        <w:tc>
          <w:tcPr>
            <w:tcW w:w="0" w:type="dxa"/>
            <w:vAlign w:val="bottom"/>
          </w:tcPr>
          <w:p>
            <w:pPr>
              <w:spacing w:after="0"/>
              <w:rPr>
                <w:sz w:val="1"/>
                <w:szCs w:val="1"/>
                <w:color w:val="auto"/>
              </w:rPr>
            </w:pPr>
          </w:p>
        </w:tc>
      </w:tr>
      <w:tr>
        <w:trPr>
          <w:trHeight w:val="157"/>
        </w:trPr>
        <w:tc>
          <w:tcPr>
            <w:tcW w:w="664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Net unrealized gains (losses) in earnings from marketable equity securities still held</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16,759</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(54,113)</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107,954</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(162,136)</w:t>
            </w:r>
          </w:p>
        </w:tc>
        <w:tc>
          <w:tcPr>
            <w:tcW w:w="0" w:type="dxa"/>
            <w:vAlign w:val="bottom"/>
          </w:tcPr>
          <w:p>
            <w:pPr>
              <w:spacing w:after="0"/>
              <w:rPr>
                <w:sz w:val="1"/>
                <w:szCs w:val="1"/>
                <w:color w:val="auto"/>
              </w:rPr>
            </w:pPr>
          </w:p>
        </w:tc>
      </w:tr>
      <w:tr>
        <w:trPr>
          <w:trHeight w:val="212"/>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at the end of the period</w:t>
            </w:r>
          </w:p>
        </w:tc>
        <w:tc>
          <w:tcPr>
            <w:tcW w:w="2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In June 2023, the Company entered into an agreement to merge the Pinna business with Realm in return for an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noncontrolling financial interest in Realm. The Company held an equity interest in Realm prior to the merger transaction, which</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was accounted for under the equity method. Following the merger transaction, the Company’s convertible note in Realm converted into equity and the Company also made an additional investment in Realm. As of September 30, 2023, the Company held a 42.3% interest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Realm on a fully diluted basis, and continues to account for its investment under the equity method.</w:t>
      </w:r>
    </w:p>
    <w:p>
      <w:pPr>
        <w:spacing w:after="0" w:line="146"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As of September 30, 2023, the Company held a 49.9% interest in N2K Networks on a fully diluted basis, and accounts for its investment under the equity method. The Company holds two of the five seats of N2K Networks’ governing board with the other shareholders retaining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substantive participation rights to control the financial and operating decisions of N2K Networks through representation on the board.</w:t>
      </w:r>
    </w:p>
    <w:p>
      <w:pPr>
        <w:spacing w:after="0" w:line="146"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As of September 30, 2023, the Company held an approximate 18% interest in Intersection Holdings, LLC (Intersection), and accounts for its investment under the equity method. The Company holds two of the ten seats of Intersection’s governing board, which allows the Company</w:t>
      </w:r>
    </w:p>
    <w:p>
      <w:pPr>
        <w:spacing w:after="0" w:line="236" w:lineRule="auto"/>
        <w:rPr>
          <w:sz w:val="20"/>
          <w:szCs w:val="20"/>
          <w:color w:val="auto"/>
        </w:rPr>
      </w:pPr>
      <w:r>
        <w:rPr>
          <w:rFonts w:ascii="Arial" w:cs="Arial" w:eastAsia="Arial" w:hAnsi="Arial"/>
          <w:sz w:val="18"/>
          <w:szCs w:val="18"/>
          <w:color w:val="auto"/>
        </w:rPr>
        <w:t>to exercise significant influence over Intersection. In April 2023, the Company entered into a term note agreement to loan Intersection $30.0</w:t>
      </w:r>
    </w:p>
    <w:p>
      <w:pPr>
        <w:ind w:right="220"/>
        <w:spacing w:after="0" w:line="235" w:lineRule="auto"/>
        <w:rPr>
          <w:sz w:val="20"/>
          <w:szCs w:val="20"/>
          <w:color w:val="auto"/>
        </w:rPr>
      </w:pPr>
      <w:r>
        <w:rPr>
          <w:rFonts w:ascii="Arial" w:cs="Arial" w:eastAsia="Arial" w:hAnsi="Arial"/>
          <w:sz w:val="18"/>
          <w:szCs w:val="18"/>
          <w:color w:val="auto"/>
        </w:rPr>
        <w:t>million at an interest rate of 9% per annum. The principal and interest on the note are payable in monthly installments over 5 years with the final payment due by May 2028. The outstanding balance on this loan was $29.3 million as of September 30, 2023.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also held investments in several other affiliates; GHG held a 40% interest in Residential Home</w:t>
      </w:r>
    </w:p>
    <w:p>
      <w:pPr>
        <w:spacing w:after="0" w:line="8"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Health Illinois, a 40% interest in Residential Hospice Illinois, a 40% interest in the joint venture formed between GHG and a Michigan hospital, and a 40% interest in the joint venture formed between GHG and Allegheny Health Network (AHN). During the first quarter of 2022,</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GHG invested an additional $18.5 million in the Residential Home Health Illinois and Residential Hospice Illinois affiliates to fund their acquisition of certain home health and hospice assets of the NorthShore University HealthSystem. The transaction diluted GHG’s interest in</w:t>
      </w:r>
    </w:p>
    <w:p>
      <w:pPr>
        <w:spacing w:after="0" w:line="236" w:lineRule="auto"/>
        <w:rPr>
          <w:sz w:val="20"/>
          <w:szCs w:val="20"/>
          <w:color w:val="auto"/>
        </w:rPr>
      </w:pPr>
      <w:r>
        <w:rPr>
          <w:rFonts w:ascii="Arial" w:cs="Arial" w:eastAsia="Arial" w:hAnsi="Arial"/>
          <w:sz w:val="18"/>
          <w:szCs w:val="18"/>
          <w:color w:val="auto"/>
        </w:rPr>
        <w:t>Residential Hospice Illinois resulting in a $0.6 million gain on the sale of investment in affiliate (see Note 12). For the three and nine months</w:t>
      </w:r>
    </w:p>
    <w:p>
      <w:pPr>
        <w:spacing w:after="0" w:line="1"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ended September 30, 2023, the Company recorded $4.1 million and $11.5 million, respectively, in revenue for services provided to the affiliates of GHG. For the three and nine months ended September 30, 2022, the Company recorded $3.5 million and $10.5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 in revenue for services provided to the affiliates of GHG.</w:t>
      </w:r>
    </w:p>
    <w:p>
      <w:pPr>
        <w:spacing w:after="0" w:line="146" w:lineRule="exact"/>
        <w:rPr>
          <w:sz w:val="20"/>
          <w:szCs w:val="20"/>
          <w:color w:val="auto"/>
        </w:rPr>
      </w:pPr>
    </w:p>
    <w:p>
      <w:pPr>
        <w:ind w:right="980"/>
        <w:spacing w:after="0" w:line="244" w:lineRule="auto"/>
        <w:rPr>
          <w:sz w:val="20"/>
          <w:szCs w:val="20"/>
          <w:color w:val="auto"/>
        </w:rPr>
      </w:pPr>
      <w:r>
        <w:rPr>
          <w:rFonts w:ascii="Arial" w:cs="Arial" w:eastAsia="Arial" w:hAnsi="Arial"/>
          <w:sz w:val="18"/>
          <w:szCs w:val="18"/>
          <w:color w:val="auto"/>
        </w:rPr>
        <w:t>The Company had $40.8 million and $49.1 million in its investment account that represents cumulative undistributed income in its investments in affiliates as of September 30, 2023 and December 31, 2022,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w:t>
      </w:r>
    </w:p>
    <w:p>
      <w:pPr>
        <w:spacing w:after="0" w:line="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joint venture £22 million, which loan is repayable over 25 years at an interest rate of 7% and guaranteed by the University of York. The outstanding balance on this loan was £19.9 million as of September 30, 2023. The loan is repayable by December 2041.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p>
    <w:p>
      <w:pPr>
        <w:spacing w:after="0" w:line="18"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$73.6 million and $66.7 million as of</w:t>
      </w:r>
    </w:p>
    <w:p>
      <w:pPr>
        <w:spacing w:after="0" w:line="236" w:lineRule="auto"/>
        <w:rPr>
          <w:sz w:val="20"/>
          <w:szCs w:val="20"/>
          <w:color w:val="auto"/>
        </w:rPr>
      </w:pPr>
      <w:r>
        <w:rPr>
          <w:rFonts w:ascii="Arial" w:cs="Arial" w:eastAsia="Arial" w:hAnsi="Arial"/>
          <w:sz w:val="18"/>
          <w:szCs w:val="18"/>
          <w:color w:val="auto"/>
        </w:rPr>
        <w:t>September 30, 2023 and December 31, 2022, respectively. During the first nine months ended September 30, 2023, the Company recorded</w:t>
      </w:r>
    </w:p>
    <w:p>
      <w:pPr>
        <w:spacing w:after="0" w:line="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gains of $ 3.1 million to those equity securities based on observable transactions. During the three and nine months ended September 30, 2022, the Company recorded gains of $0.6 million to those equity securities based on observable transactions.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2" w:name="page13"/>
    <w:bookmarkEnd w:id="12"/>
    <w:p>
      <w:pPr>
        <w:ind w:right="1400"/>
        <w:spacing w:after="0" w:line="451" w:lineRule="auto"/>
        <w:rPr>
          <w:sz w:val="20"/>
          <w:szCs w:val="20"/>
          <w:color w:val="auto"/>
        </w:rPr>
      </w:pPr>
      <w:r>
        <w:rPr>
          <w:rFonts w:ascii="Arial" w:cs="Arial" w:eastAsia="Arial" w:hAnsi="Arial"/>
          <w:sz w:val="18"/>
          <w:szCs w:val="18"/>
          <w:b w:val="1"/>
          <w:bCs w:val="1"/>
          <w:color w:val="auto"/>
        </w:rPr>
        <w:t xml:space="preserve">4. ACCOUNTS RECEIVABLE, ACCOUNTS PAYABLE, VEHICLE FLOOR PLAN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1"/>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9"/>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$22,598 and $21,387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4"/>
              <w:spacing w:after="0"/>
              <w:rPr>
                <w:sz w:val="20"/>
                <w:szCs w:val="20"/>
                <w:color w:val="auto"/>
              </w:rPr>
            </w:pPr>
            <w:r>
              <w:rPr>
                <w:rFonts w:ascii="Arial" w:cs="Arial" w:eastAsia="Arial" w:hAnsi="Arial"/>
                <w:sz w:val="16"/>
                <w:szCs w:val="16"/>
                <w:b w:val="1"/>
                <w:bCs w:val="1"/>
                <w:color w:val="auto"/>
              </w:rPr>
              <w:t>513,747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533,622</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27,923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27,157</w:t>
            </w:r>
          </w:p>
        </w:tc>
        <w:tc>
          <w:tcPr>
            <w:tcW w:w="0" w:type="dxa"/>
            <w:vAlign w:val="bottom"/>
          </w:tcPr>
          <w:p>
            <w:pPr>
              <w:spacing w:after="0"/>
              <w:rPr>
                <w:sz w:val="1"/>
                <w:szCs w:val="1"/>
                <w:color w:val="auto"/>
              </w:rPr>
            </w:pPr>
          </w:p>
        </w:tc>
      </w:tr>
      <w:tr>
        <w:trPr>
          <w:trHeight w:val="225"/>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541,670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560,779</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Credit loss expense was $2.4 million and $0.6 million for the three months ended September 30, 2023 and 2022, respectively. Credit loss expense was $4.3 million and $2.8 million for the nine months ended September 30, 2023 and 2022,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1"/>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9"/>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136,468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136,186</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126,869</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69,756</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137,232</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149,823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229,156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207,240</w:t>
            </w:r>
          </w:p>
        </w:tc>
        <w:tc>
          <w:tcPr>
            <w:tcW w:w="0" w:type="dxa"/>
            <w:vAlign w:val="bottom"/>
          </w:tcPr>
          <w:p>
            <w:pPr>
              <w:spacing w:after="0"/>
              <w:rPr>
                <w:sz w:val="1"/>
                <w:szCs w:val="1"/>
                <w:color w:val="auto"/>
              </w:rPr>
            </w:pPr>
          </w:p>
        </w:tc>
      </w:tr>
      <w:tr>
        <w:trPr>
          <w:trHeight w:val="225"/>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629,725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563,005</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660"/>
        <w:spacing w:after="0" w:line="244" w:lineRule="auto"/>
        <w:rPr>
          <w:sz w:val="20"/>
          <w:szCs w:val="20"/>
          <w:color w:val="auto"/>
        </w:rPr>
      </w:pPr>
      <w:r>
        <w:rPr>
          <w:rFonts w:ascii="Arial" w:cs="Arial" w:eastAsia="Arial" w:hAnsi="Arial"/>
          <w:sz w:val="18"/>
          <w:szCs w:val="18"/>
          <w:color w:val="auto"/>
        </w:rPr>
        <w:t>Cash overdrafts of $4.3 million and $0.5 million are included in accounts payable as of September 30, 2023 and December 31, 2022,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 finances new, used and service loaner vehicle inventory through standardized floor plan facilities with Truist Bank and Toyota</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Motor Credit Corporation (Truist and Toyota floor plan facility) and Ford Motor Credit Company (Ford floor plan facility). On September 26, 2023, the Company entered into a credit agreement with Truist Bank (see Note 7) to, among other things, establish a new revolving floor plan</w:t>
      </w:r>
    </w:p>
    <w:p>
      <w:pPr>
        <w:spacing w:after="0" w:line="236" w:lineRule="auto"/>
        <w:rPr>
          <w:sz w:val="20"/>
          <w:szCs w:val="20"/>
          <w:color w:val="auto"/>
        </w:rPr>
      </w:pPr>
      <w:r>
        <w:rPr>
          <w:rFonts w:ascii="Arial" w:cs="Arial" w:eastAsia="Arial" w:hAnsi="Arial"/>
          <w:sz w:val="18"/>
          <w:szCs w:val="18"/>
          <w:color w:val="auto"/>
        </w:rPr>
        <w:t>credit facility with an aggregate capacity of $115.0 million. The Truist and Toyota floor plan facility bears interest at variable rates that are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based on Secured Overnight Financing Rate (SOFR) plus 1.25% per annum. In connection with the establishment of the Truist and Toyota floor plan facility, the previous Truist floor plan facility, dated July 5, 2022, was repaid and terminated. At September 30, 2023, the floor plan</w:t>
      </w:r>
    </w:p>
    <w:p>
      <w:pPr>
        <w:spacing w:after="0" w:line="235" w:lineRule="auto"/>
        <w:rPr>
          <w:sz w:val="20"/>
          <w:szCs w:val="20"/>
          <w:color w:val="auto"/>
        </w:rPr>
      </w:pPr>
      <w:r>
        <w:rPr>
          <w:rFonts w:ascii="Arial" w:cs="Arial" w:eastAsia="Arial" w:hAnsi="Arial"/>
          <w:sz w:val="18"/>
          <w:szCs w:val="18"/>
          <w:color w:val="auto"/>
        </w:rPr>
        <w:t>facilities bore interest at variable rates that are based on the SOFR and prime-based interest rates. The weighted average interest rate for</w:t>
      </w:r>
    </w:p>
    <w:p>
      <w:pPr>
        <w:ind w:right="260"/>
        <w:spacing w:after="0"/>
        <w:rPr>
          <w:sz w:val="20"/>
          <w:szCs w:val="20"/>
          <w:color w:val="auto"/>
        </w:rPr>
      </w:pPr>
      <w:r>
        <w:rPr>
          <w:rFonts w:ascii="Arial" w:cs="Arial" w:eastAsia="Arial" w:hAnsi="Arial"/>
          <w:sz w:val="17"/>
          <w:szCs w:val="17"/>
          <w:color w:val="auto"/>
        </w:rPr>
        <w:t>the floor plan facilities was 6.6% and 3.5% for the three months ended September 30, 2023 and 2022, respectively. The weighted average interest rate for the floor plan facilities was 6.0% and 2.6% for the nine months ended September 30, 2023 and 2022, respectively. As of</w:t>
      </w:r>
    </w:p>
    <w:p>
      <w:pPr>
        <w:spacing w:after="0" w:line="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September 30, 2023, the aggregate capacity under the floor plan facilities was $142.9 million. Changes in the vehicle floor plan payable are reported as cash flows from financing activities in the Condensed Consolidated Statements of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w:t>
      </w:r>
    </w:p>
    <w:p>
      <w:pPr>
        <w:spacing w:after="0" w:line="8"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covenants, including, among others, covenants restricting the dealership subsidiary with respect to the creation of liens and changes in ownership, officers and key management personnel. The Company was in compliance with all of these restrictive covenants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146"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spacing w:after="0" w:line="236" w:lineRule="auto"/>
        <w:rPr>
          <w:sz w:val="20"/>
          <w:szCs w:val="20"/>
          <w:color w:val="auto"/>
        </w:rPr>
      </w:pPr>
      <w:r>
        <w:rPr>
          <w:rFonts w:ascii="Arial" w:cs="Arial" w:eastAsia="Arial" w:hAnsi="Arial"/>
          <w:sz w:val="18"/>
          <w:szCs w:val="18"/>
          <w:color w:val="auto"/>
        </w:rPr>
        <w:t>Operations when the associated inventory is sold. For the three months ended September 30, 2023 and 2022, the Company recognized a</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reduction in cost of goods sold of $1.6 million and $1.4 million, respectively, related to manufacturer floor plan assistance. For the nine months ended September 30, 2023 and 2022, the Company recognized a reduction in cost of goods sold of $4.5 million and $3.4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 related to manufacturer floor plan assistance.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1"/>
        </w:trPr>
        <w:tc>
          <w:tcPr>
            <w:tcW w:w="8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9"/>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64,354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68,494</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15,670</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15,718</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b w:val="1"/>
                <w:bCs w:val="1"/>
                <w:color w:val="auto"/>
              </w:rPr>
              <w:t>196,541</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140,548</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2,646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25"/>
        </w:trPr>
        <w:tc>
          <w:tcPr>
            <w:tcW w:w="8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279,211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226,811</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68" w:lineRule="exact"/>
        <w:rPr>
          <w:sz w:val="20"/>
          <w:szCs w:val="20"/>
          <w:color w:val="auto"/>
        </w:rPr>
      </w:pPr>
    </w:p>
    <w:p>
      <w:pPr>
        <w:ind w:right="440"/>
        <w:spacing w:after="0" w:line="233" w:lineRule="auto"/>
        <w:rPr>
          <w:sz w:val="20"/>
          <w:szCs w:val="20"/>
          <w:color w:val="auto"/>
        </w:rPr>
      </w:pPr>
      <w:r>
        <w:rPr>
          <w:rFonts w:ascii="Arial" w:cs="Arial" w:eastAsia="Arial" w:hAnsi="Arial"/>
          <w:sz w:val="18"/>
          <w:szCs w:val="18"/>
          <w:color w:val="auto"/>
        </w:rPr>
        <w:t>In the third quarter of 2023, due to continued sustained weakness in demand for certain Dekko power and data products primarily in the commercial office space market, the Company performed an interim review of the goodwill of the Dekko reporting unit. As a result of the</w:t>
      </w:r>
    </w:p>
    <w:p>
      <w:pPr>
        <w:spacing w:after="0" w:line="236" w:lineRule="auto"/>
        <w:rPr>
          <w:sz w:val="20"/>
          <w:szCs w:val="20"/>
          <w:color w:val="auto"/>
        </w:rPr>
      </w:pPr>
      <w:r>
        <w:rPr>
          <w:rFonts w:ascii="Arial" w:cs="Arial" w:eastAsia="Arial" w:hAnsi="Arial"/>
          <w:sz w:val="18"/>
          <w:szCs w:val="18"/>
          <w:color w:val="auto"/>
        </w:rPr>
        <w:t>impairment review, the Company recorded a $47.8 million goodwill impairment charge. Also in the third quarter of 2023, as a result of the</w:t>
      </w:r>
    </w:p>
    <w:p>
      <w:pPr>
        <w:spacing w:after="0" w:line="1"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substantial digital advertising revenue declines and continued significant operating losses at World of Good Brands (WGB, formerly Leaf Media), the Company performed an interim review of the goodwill of the WGB reporting unit. As a result of the impairment review, the</w:t>
      </w:r>
    </w:p>
    <w:p>
      <w:pPr>
        <w:spacing w:after="0" w:line="235" w:lineRule="auto"/>
        <w:rPr>
          <w:sz w:val="20"/>
          <w:szCs w:val="20"/>
          <w:color w:val="auto"/>
        </w:rPr>
      </w:pPr>
      <w:r>
        <w:rPr>
          <w:rFonts w:ascii="Arial" w:cs="Arial" w:eastAsia="Arial" w:hAnsi="Arial"/>
          <w:sz w:val="18"/>
          <w:szCs w:val="18"/>
          <w:color w:val="auto"/>
        </w:rPr>
        <w:t>Company recorded a $50.2 million goodwill impairment charge. The Company estimated the fair value of the reporting units by utilizing a</w:t>
      </w:r>
    </w:p>
    <w:p>
      <w:pPr>
        <w:ind w:right="220"/>
        <w:spacing w:after="0"/>
        <w:rPr>
          <w:sz w:val="20"/>
          <w:szCs w:val="20"/>
          <w:color w:val="auto"/>
        </w:rPr>
      </w:pPr>
      <w:r>
        <w:rPr>
          <w:rFonts w:ascii="Arial" w:cs="Arial" w:eastAsia="Arial" w:hAnsi="Arial"/>
          <w:sz w:val="17"/>
          <w:szCs w:val="17"/>
          <w:color w:val="auto"/>
        </w:rPr>
        <w:t>discounted cash flow model. The carrying value of the reporting units exceeded their estimated fair values, resulting in goodwill impairment charges for the amount by which the carrying values exceeded their estimated fair values after taking into account the effect of deferred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 taxes. Dekko is included in manufacturing and WGB is included in other businesses.</w:t>
      </w:r>
    </w:p>
    <w:p>
      <w:pPr>
        <w:spacing w:after="0" w:line="14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Amortization of intangible assets for the three months ended September 30, 2023 and 2022, was $11.8 million and $14.6 million, respectively. Amortization of intangible assets for the nine months ended September 30, 2023 and 2022, was $39.0 million and $44.4 million,</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respectively. Amortization of intangible assets is estimated to be approximately $11 million for the remainder of 2023, $37 million in 2024, $29 million in 2025, $20 million in 2026, $6 million in 2027 and $20 million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Healthcare</w:t>
            </w:r>
          </w:p>
        </w:tc>
        <w:tc>
          <w:tcPr>
            <w:tcW w:w="18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20"/>
              <w:spacing w:after="0" w:line="174"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42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1,145,502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135,870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84,697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2,043,093</w:t>
            </w:r>
          </w:p>
        </w:tc>
        <w:tc>
          <w:tcPr>
            <w:tcW w:w="0" w:type="dxa"/>
            <w:vAlign w:val="bottom"/>
          </w:tcPr>
          <w:p>
            <w:pPr>
              <w:spacing w:after="0"/>
              <w:rPr>
                <w:sz w:val="1"/>
                <w:szCs w:val="1"/>
                <w:color w:val="auto"/>
              </w:rPr>
            </w:pPr>
          </w:p>
        </w:tc>
      </w:tr>
      <w:tr>
        <w:trPr>
          <w:trHeight w:val="198"/>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(116,687)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(482,140)</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814,351</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135,870</w:t>
            </w:r>
          </w:p>
        </w:tc>
        <w:tc>
          <w:tcPr>
            <w:tcW w:w="18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84,697</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134,529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1,560,953</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Measurement period</w:t>
            </w:r>
          </w:p>
        </w:tc>
        <w:tc>
          <w:tcPr>
            <w:tcW w:w="180" w:type="dxa"/>
            <w:vAlign w:val="bottom"/>
          </w:tcPr>
          <w:p>
            <w:pPr>
              <w:spacing w:after="0"/>
              <w:rPr>
                <w:sz w:val="16"/>
                <w:szCs w:val="16"/>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(2,217)</w:t>
            </w:r>
          </w:p>
        </w:tc>
        <w:tc>
          <w:tcPr>
            <w:tcW w:w="180" w:type="dxa"/>
            <w:vAlign w:val="bottom"/>
          </w:tcPr>
          <w:p>
            <w:pPr>
              <w:spacing w:after="0"/>
              <w:rPr>
                <w:sz w:val="16"/>
                <w:szCs w:val="16"/>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(2,217)</w:t>
            </w:r>
          </w:p>
        </w:tc>
        <w:tc>
          <w:tcPr>
            <w:tcW w:w="0" w:type="dxa"/>
            <w:vAlign w:val="bottom"/>
          </w:tcPr>
          <w:p>
            <w:pPr>
              <w:spacing w:after="0"/>
              <w:rPr>
                <w:sz w:val="1"/>
                <w:szCs w:val="1"/>
                <w:color w:val="auto"/>
              </w:rPr>
            </w:pPr>
          </w:p>
        </w:tc>
      </w:tr>
      <w:tr>
        <w:trPr>
          <w:trHeight w:val="227"/>
        </w:trPr>
        <w:tc>
          <w:tcPr>
            <w:tcW w:w="2420" w:type="dxa"/>
            <w:vAlign w:val="bottom"/>
          </w:tcPr>
          <w:p>
            <w:pPr>
              <w:jc w:val="center"/>
              <w:ind w:right="1020"/>
              <w:spacing w:after="0"/>
              <w:rPr>
                <w:sz w:val="20"/>
                <w:szCs w:val="20"/>
                <w:color w:val="auto"/>
              </w:rPr>
            </w:pPr>
            <w:r>
              <w:rPr>
                <w:rFonts w:ascii="Arial" w:cs="Arial" w:eastAsia="Arial" w:hAnsi="Arial"/>
                <w:sz w:val="16"/>
                <w:szCs w:val="16"/>
                <w:b w:val="1"/>
                <w:bCs w:val="1"/>
                <w:color w:val="auto"/>
              </w:rPr>
              <w:t>adjustments</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385</w:t>
            </w:r>
          </w:p>
        </w:tc>
        <w:tc>
          <w:tcPr>
            <w:tcW w:w="18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44,583</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44,968</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Impairments</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(47,760)</w:t>
            </w:r>
          </w:p>
        </w:tc>
        <w:tc>
          <w:tcPr>
            <w:tcW w:w="1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(50,239)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(97,999)</w:t>
            </w: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(5,998)</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(5,998)</w:t>
            </w:r>
          </w:p>
        </w:tc>
        <w:tc>
          <w:tcPr>
            <w:tcW w:w="0" w:type="dxa"/>
            <w:vAlign w:val="bottom"/>
          </w:tcPr>
          <w:p>
            <w:pPr>
              <w:spacing w:after="0"/>
              <w:rPr>
                <w:sz w:val="1"/>
                <w:szCs w:val="1"/>
                <w:color w:val="auto"/>
              </w:rPr>
            </w:pPr>
          </w:p>
        </w:tc>
      </w:tr>
      <w:tr>
        <w:trPr>
          <w:trHeight w:val="228"/>
        </w:trPr>
        <w:tc>
          <w:tcPr>
            <w:tcW w:w="2420" w:type="dxa"/>
            <w:vAlign w:val="bottom"/>
          </w:tcPr>
          <w:p>
            <w:pPr>
              <w:jc w:val="center"/>
              <w:ind w:right="9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4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Balance as of September 30,</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1,139,504</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134,038</w:t>
            </w:r>
          </w:p>
        </w:tc>
        <w:tc>
          <w:tcPr>
            <w:tcW w:w="18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2,079,846</w:t>
            </w:r>
          </w:p>
        </w:tc>
        <w:tc>
          <w:tcPr>
            <w:tcW w:w="0" w:type="dxa"/>
            <w:vAlign w:val="bottom"/>
          </w:tcPr>
          <w:p>
            <w:pPr>
              <w:spacing w:after="0"/>
              <w:rPr>
                <w:sz w:val="1"/>
                <w:szCs w:val="1"/>
                <w:color w:val="auto"/>
              </w:rPr>
            </w:pPr>
          </w:p>
        </w:tc>
      </w:tr>
      <w:tr>
        <w:trPr>
          <w:trHeight w:val="178"/>
        </w:trPr>
        <w:tc>
          <w:tcPr>
            <w:tcW w:w="2420" w:type="dxa"/>
            <w:vAlign w:val="bottom"/>
          </w:tcPr>
          <w:p>
            <w:pPr>
              <w:ind w:left="220"/>
              <w:spacing w:after="0" w:line="178"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9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(166,926)</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(580,139)</w:t>
            </w:r>
          </w:p>
        </w:tc>
        <w:tc>
          <w:tcPr>
            <w:tcW w:w="0" w:type="dxa"/>
            <w:vAlign w:val="bottom"/>
          </w:tcPr>
          <w:p>
            <w:pPr>
              <w:spacing w:after="0"/>
              <w:rPr>
                <w:sz w:val="1"/>
                <w:szCs w:val="1"/>
                <w:color w:val="auto"/>
              </w:rPr>
            </w:pPr>
          </w:p>
        </w:tc>
      </w:tr>
      <w:tr>
        <w:trPr>
          <w:trHeight w:val="230"/>
        </w:trPr>
        <w:tc>
          <w:tcPr>
            <w:tcW w:w="2420" w:type="dxa"/>
            <w:vAlign w:val="bottom"/>
          </w:tcPr>
          <w:p>
            <w:pPr>
              <w:jc w:val="center"/>
              <w:ind w:right="104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808,353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134,038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84,290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1,499,707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579,561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391,377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1,145,502</w:t>
            </w:r>
          </w:p>
        </w:tc>
        <w:tc>
          <w:tcPr>
            <w:tcW w:w="0" w:type="dxa"/>
            <w:vAlign w:val="bottom"/>
          </w:tcPr>
          <w:p>
            <w:pPr>
              <w:spacing w:after="0"/>
              <w:rPr>
                <w:sz w:val="1"/>
                <w:szCs w:val="1"/>
                <w:color w:val="auto"/>
              </w:rPr>
            </w:pPr>
          </w:p>
        </w:tc>
      </w:tr>
      <w:tr>
        <w:trPr>
          <w:trHeight w:val="242"/>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579,561</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171,550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814,351</w:t>
            </w:r>
          </w:p>
        </w:tc>
        <w:tc>
          <w:tcPr>
            <w:tcW w:w="0" w:type="dxa"/>
            <w:vAlign w:val="bottom"/>
          </w:tcPr>
          <w:p>
            <w:pPr>
              <w:spacing w:after="0"/>
              <w:rPr>
                <w:sz w:val="1"/>
                <w:szCs w:val="1"/>
                <w:color w:val="auto"/>
              </w:rPr>
            </w:pPr>
          </w:p>
        </w:tc>
      </w:tr>
      <w:tr>
        <w:trPr>
          <w:trHeight w:val="24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(6,009)</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(5,998)</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573,552</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391,388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1,139,504</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5"/>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573,552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171,561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808,353</w:t>
            </w:r>
          </w:p>
        </w:tc>
        <w:tc>
          <w:tcPr>
            <w:tcW w:w="0" w:type="dxa"/>
            <w:vAlign w:val="bottom"/>
          </w:tcPr>
          <w:p>
            <w:pPr>
              <w:spacing w:after="0"/>
              <w:rPr>
                <w:sz w:val="1"/>
                <w:szCs w:val="1"/>
                <w:color w:val="auto"/>
              </w:rPr>
            </w:pPr>
          </w:p>
        </w:tc>
      </w:tr>
      <w:tr>
        <w:trPr>
          <w:trHeight w:val="22"/>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As of September 30, 2023</w:t>
            </w: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2022</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3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9"/>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281,838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231,161</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50,677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297,766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230,429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67,337</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142,812</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86,534</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56,278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148,102</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81,078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67,024</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12,603</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4,797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10,367</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36,087</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34,871</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1,216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36,216</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32,219</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18</w:t>
            </w:r>
          </w:p>
        </w:tc>
        <w:tc>
          <w:tcPr>
            <w:tcW w:w="260" w:type="dxa"/>
            <w:vAlign w:val="bottom"/>
          </w:tcPr>
          <w:p>
            <w:pPr>
              <w:spacing w:after="0"/>
              <w:rPr>
                <w:sz w:val="19"/>
                <w:szCs w:val="19"/>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995</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41,327</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31,450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9,877</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27,618</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16,026</w:t>
            </w:r>
          </w:p>
        </w:tc>
        <w:tc>
          <w:tcPr>
            <w:tcW w:w="0" w:type="dxa"/>
            <w:vAlign w:val="bottom"/>
          </w:tcPr>
          <w:p>
            <w:pPr>
              <w:spacing w:after="0"/>
              <w:rPr>
                <w:sz w:val="1"/>
                <w:szCs w:val="1"/>
                <w:color w:val="auto"/>
              </w:rPr>
            </w:pPr>
          </w:p>
        </w:tc>
      </w:tr>
      <w:tr>
        <w:trPr>
          <w:trHeight w:val="224"/>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519,484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396,637</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122,847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544,128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382,706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161,422</w:t>
            </w:r>
          </w:p>
        </w:tc>
        <w:tc>
          <w:tcPr>
            <w:tcW w:w="0" w:type="dxa"/>
            <w:vAlign w:val="bottom"/>
          </w:tcPr>
          <w:p>
            <w:pPr>
              <w:spacing w:after="0"/>
              <w:rPr>
                <w:sz w:val="1"/>
                <w:szCs w:val="1"/>
                <w:color w:val="auto"/>
              </w:rPr>
            </w:pPr>
          </w:p>
        </w:tc>
      </w:tr>
      <w:tr>
        <w:trPr>
          <w:trHeight w:val="23"/>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92,158</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85,858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82,382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81,905</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185,711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178,934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00" w:type="dxa"/>
            <w:vAlign w:val="bottom"/>
          </w:tcPr>
          <w:p>
            <w:pPr>
              <w:spacing w:after="0"/>
              <w:rPr>
                <w:sz w:val="14"/>
                <w:szCs w:val="14"/>
                <w:color w:val="auto"/>
              </w:rPr>
            </w:pPr>
          </w:p>
        </w:tc>
        <w:tc>
          <w:tcPr>
            <w:tcW w:w="1420" w:type="dxa"/>
            <w:vAlign w:val="bottom"/>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340" w:type="dxa"/>
            <w:vAlign w:val="bottom"/>
          </w:tcPr>
          <w:p>
            <w:pPr>
              <w:jc w:val="right"/>
              <w:ind w:right="2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1"/>
        </w:trPr>
        <w:tc>
          <w:tcPr>
            <w:tcW w:w="28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9"/>
        </w:trPr>
        <w:tc>
          <w:tcPr>
            <w:tcW w:w="2840" w:type="dxa"/>
            <w:vAlign w:val="bottom"/>
          </w:tcPr>
          <w:p>
            <w:pPr>
              <w:ind w:left="20"/>
              <w:spacing w:after="0" w:line="220"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398,085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397,548</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4.80% - 8.88%</w:t>
            </w:r>
          </w:p>
        </w:tc>
        <w:tc>
          <w:tcPr>
            <w:tcW w:w="1780" w:type="dxa"/>
            <w:vAlign w:val="bottom"/>
          </w:tcPr>
          <w:p>
            <w:pPr>
              <w:jc w:val="center"/>
              <w:spacing w:after="0"/>
              <w:rPr>
                <w:sz w:val="20"/>
                <w:szCs w:val="20"/>
                <w:color w:val="auto"/>
              </w:rPr>
            </w:pPr>
            <w:r>
              <w:rPr>
                <w:rFonts w:ascii="Arial" w:cs="Arial" w:eastAsia="Arial" w:hAnsi="Arial"/>
                <w:sz w:val="16"/>
                <w:szCs w:val="16"/>
                <w:color w:val="auto"/>
              </w:rPr>
              <w:t>6.19%</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60,895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200,236</w:t>
            </w:r>
          </w:p>
        </w:tc>
        <w:tc>
          <w:tcPr>
            <w:tcW w:w="0" w:type="dxa"/>
            <w:vAlign w:val="bottom"/>
          </w:tcPr>
          <w:p>
            <w:pPr>
              <w:spacing w:after="0"/>
              <w:rPr>
                <w:sz w:val="1"/>
                <w:szCs w:val="1"/>
                <w:color w:val="auto"/>
              </w:rPr>
            </w:pPr>
          </w:p>
        </w:tc>
      </w:tr>
      <w:tr>
        <w:trPr>
          <w:trHeight w:val="232"/>
        </w:trPr>
        <w:tc>
          <w:tcPr>
            <w:tcW w:w="2840" w:type="dxa"/>
            <w:vAlign w:val="bottom"/>
          </w:tcPr>
          <w:p>
            <w:pPr>
              <w:ind w:left="20"/>
              <w:spacing w:after="0" w:line="23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7.17% - 7.25%</w:t>
            </w:r>
          </w:p>
        </w:tc>
        <w:tc>
          <w:tcPr>
            <w:tcW w:w="1780" w:type="dxa"/>
            <w:vAlign w:val="bottom"/>
          </w:tcPr>
          <w:p>
            <w:pPr>
              <w:jc w:val="center"/>
              <w:spacing w:after="0"/>
              <w:rPr>
                <w:sz w:val="20"/>
                <w:szCs w:val="20"/>
                <w:color w:val="auto"/>
              </w:rPr>
            </w:pPr>
            <w:r>
              <w:rPr>
                <w:rFonts w:ascii="Arial" w:cs="Arial" w:eastAsia="Arial" w:hAnsi="Arial"/>
                <w:sz w:val="16"/>
                <w:szCs w:val="16"/>
                <w:color w:val="auto"/>
              </w:rPr>
              <w:t>7.31%</w:t>
            </w:r>
          </w:p>
        </w:tc>
        <w:tc>
          <w:tcPr>
            <w:tcW w:w="20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149,303</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7.07%</w:t>
            </w:r>
          </w:p>
        </w:tc>
        <w:tc>
          <w:tcPr>
            <w:tcW w:w="1780" w:type="dxa"/>
            <w:vAlign w:val="bottom"/>
          </w:tcPr>
          <w:p>
            <w:pPr>
              <w:jc w:val="center"/>
              <w:spacing w:after="0"/>
              <w:rPr>
                <w:sz w:val="20"/>
                <w:szCs w:val="20"/>
                <w:color w:val="auto"/>
              </w:rPr>
            </w:pPr>
            <w:r>
              <w:rPr>
                <w:rFonts w:ascii="Arial" w:cs="Arial" w:eastAsia="Arial" w:hAnsi="Arial"/>
                <w:sz w:val="16"/>
                <w:szCs w:val="16"/>
                <w:color w:val="auto"/>
              </w:rPr>
              <w:t>7.17%</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75,165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7.32%</w:t>
            </w:r>
          </w:p>
        </w:tc>
        <w:tc>
          <w:tcPr>
            <w:tcW w:w="1780" w:type="dxa"/>
            <w:vAlign w:val="bottom"/>
          </w:tcPr>
          <w:p>
            <w:pPr>
              <w:jc w:val="center"/>
              <w:spacing w:after="0"/>
              <w:rPr>
                <w:sz w:val="20"/>
                <w:szCs w:val="20"/>
                <w:color w:val="auto"/>
              </w:rPr>
            </w:pPr>
            <w:r>
              <w:rPr>
                <w:rFonts w:ascii="Arial" w:cs="Arial" w:eastAsia="Arial" w:hAnsi="Arial"/>
                <w:sz w:val="16"/>
                <w:szCs w:val="16"/>
                <w:color w:val="auto"/>
              </w:rPr>
              <w:t>7.42%</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64,137</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(5)</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2031</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6.10% - 7.10%</w:t>
            </w:r>
          </w:p>
        </w:tc>
        <w:tc>
          <w:tcPr>
            <w:tcW w:w="1780" w:type="dxa"/>
            <w:vAlign w:val="bottom"/>
          </w:tcPr>
          <w:p>
            <w:pPr>
              <w:jc w:val="center"/>
              <w:spacing w:after="0"/>
              <w:rPr>
                <w:sz w:val="20"/>
                <w:szCs w:val="20"/>
                <w:color w:val="auto"/>
              </w:rPr>
            </w:pPr>
            <w:r>
              <w:rPr>
                <w:rFonts w:ascii="Arial" w:cs="Arial" w:eastAsia="Arial" w:hAnsi="Arial"/>
                <w:sz w:val="16"/>
                <w:szCs w:val="16"/>
                <w:color w:val="auto"/>
              </w:rPr>
              <w:t>6.68%</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23,522</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6.38% - 7.38%</w:t>
            </w:r>
          </w:p>
        </w:tc>
        <w:tc>
          <w:tcPr>
            <w:tcW w:w="1780" w:type="dxa"/>
            <w:vAlign w:val="bottom"/>
          </w:tcPr>
          <w:p>
            <w:pPr>
              <w:jc w:val="center"/>
              <w:spacing w:after="0"/>
              <w:rPr>
                <w:sz w:val="20"/>
                <w:szCs w:val="20"/>
                <w:color w:val="auto"/>
              </w:rPr>
            </w:pPr>
            <w:r>
              <w:rPr>
                <w:rFonts w:ascii="Arial" w:cs="Arial" w:eastAsia="Arial" w:hAnsi="Arial"/>
                <w:sz w:val="16"/>
                <w:szCs w:val="16"/>
                <w:color w:val="auto"/>
              </w:rPr>
              <w:t>6.90%</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66,513</w:t>
            </w:r>
          </w:p>
        </w:tc>
        <w:tc>
          <w:tcPr>
            <w:tcW w:w="0" w:type="dxa"/>
            <w:vAlign w:val="bottom"/>
          </w:tcPr>
          <w:p>
            <w:pPr>
              <w:spacing w:after="0"/>
              <w:rPr>
                <w:sz w:val="1"/>
                <w:szCs w:val="1"/>
                <w:color w:val="auto"/>
              </w:rPr>
            </w:pPr>
          </w:p>
        </w:tc>
      </w:tr>
      <w:tr>
        <w:trPr>
          <w:trHeight w:val="232"/>
        </w:trPr>
        <w:tc>
          <w:tcPr>
            <w:tcW w:w="2840" w:type="dxa"/>
            <w:vAlign w:val="bottom"/>
          </w:tcPr>
          <w:p>
            <w:pPr>
              <w:ind w:left="20"/>
              <w:spacing w:after="0" w:line="232"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(6)</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6.13% - 7.13%</w:t>
            </w:r>
          </w:p>
        </w:tc>
        <w:tc>
          <w:tcPr>
            <w:tcW w:w="1780" w:type="dxa"/>
            <w:vAlign w:val="bottom"/>
          </w:tcPr>
          <w:p>
            <w:pPr>
              <w:jc w:val="center"/>
              <w:spacing w:after="0"/>
              <w:rPr>
                <w:sz w:val="20"/>
                <w:szCs w:val="20"/>
                <w:color w:val="auto"/>
              </w:rPr>
            </w:pPr>
            <w:r>
              <w:rPr>
                <w:rFonts w:ascii="Arial" w:cs="Arial" w:eastAsia="Arial" w:hAnsi="Arial"/>
                <w:sz w:val="16"/>
                <w:szCs w:val="16"/>
                <w:color w:val="auto"/>
              </w:rPr>
              <w:t>6.72%</w:t>
            </w:r>
          </w:p>
        </w:tc>
        <w:tc>
          <w:tcPr>
            <w:tcW w:w="20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26,548</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color w:val="auto"/>
              </w:rPr>
              <w:t>Pinnacle Bank term loan</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2024</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4.15%</w:t>
            </w:r>
          </w:p>
        </w:tc>
        <w:tc>
          <w:tcPr>
            <w:tcW w:w="1780" w:type="dxa"/>
            <w:vAlign w:val="bottom"/>
          </w:tcPr>
          <w:p>
            <w:pPr>
              <w:jc w:val="center"/>
              <w:spacing w:after="0"/>
              <w:rPr>
                <w:sz w:val="20"/>
                <w:szCs w:val="20"/>
                <w:color w:val="auto"/>
              </w:rPr>
            </w:pPr>
            <w:r>
              <w:rPr>
                <w:rFonts w:ascii="Arial" w:cs="Arial" w:eastAsia="Arial" w:hAnsi="Arial"/>
                <w:sz w:val="16"/>
                <w:szCs w:val="16"/>
                <w:color w:val="auto"/>
              </w:rPr>
              <w:t>4.18%</w:t>
            </w: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7,589</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8,433</w:t>
            </w:r>
          </w:p>
        </w:tc>
        <w:tc>
          <w:tcPr>
            <w:tcW w:w="0" w:type="dxa"/>
            <w:vAlign w:val="bottom"/>
          </w:tcPr>
          <w:p>
            <w:pPr>
              <w:spacing w:after="0"/>
              <w:rPr>
                <w:sz w:val="1"/>
                <w:szCs w:val="1"/>
                <w:color w:val="auto"/>
              </w:rPr>
            </w:pPr>
          </w:p>
        </w:tc>
      </w:tr>
      <w:tr>
        <w:trPr>
          <w:trHeight w:val="231"/>
        </w:trPr>
        <w:tc>
          <w:tcPr>
            <w:tcW w:w="284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680" w:type="dxa"/>
            <w:vAlign w:val="bottom"/>
          </w:tcPr>
          <w:p>
            <w:pPr>
              <w:jc w:val="center"/>
              <w:ind w:left="260"/>
              <w:spacing w:after="0"/>
              <w:rPr>
                <w:sz w:val="20"/>
                <w:szCs w:val="20"/>
                <w:color w:val="auto"/>
              </w:rPr>
            </w:pPr>
            <w:r>
              <w:rPr>
                <w:rFonts w:ascii="Arial" w:cs="Arial" w:eastAsia="Arial" w:hAnsi="Arial"/>
                <w:sz w:val="16"/>
                <w:szCs w:val="16"/>
                <w:color w:val="auto"/>
              </w:rPr>
              <w:t>2024 - 2030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6,512</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3,560</w:t>
            </w:r>
          </w:p>
        </w:tc>
        <w:tc>
          <w:tcPr>
            <w:tcW w:w="0" w:type="dxa"/>
            <w:vAlign w:val="bottom"/>
          </w:tcPr>
          <w:p>
            <w:pPr>
              <w:spacing w:after="0"/>
              <w:rPr>
                <w:sz w:val="1"/>
                <w:szCs w:val="1"/>
                <w:color w:val="auto"/>
              </w:rPr>
            </w:pPr>
          </w:p>
        </w:tc>
      </w:tr>
      <w:tr>
        <w:trPr>
          <w:trHeight w:val="225"/>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b w:val="1"/>
                <w:bCs w:val="1"/>
                <w:color w:val="auto"/>
              </w:rPr>
              <w:t>761,686</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726,360</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(21,880)</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(155,813)</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739,806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570,547</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10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$1.9 million and $2.5 million of unamortized debt issuance costs as of September 30, 2023 and December 31, 2022,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$0.7 million of unamortized debt issuance costs as of September 30, 2023.</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September 30, 2023.</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$0.9 million of unamortized debt issuance costs as of September 30, 2023.</w:t>
      </w:r>
    </w:p>
    <w:p>
      <w:pPr>
        <w:spacing w:after="0" w:line="55"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2022.</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On September 26, 2023, the Company’s automotive subsidiary entered into a credit agreement with Truist Bank, which includes (i) a $75.2</w:t>
      </w:r>
    </w:p>
    <w:p>
      <w:pPr>
        <w:spacing w:after="0" w:line="8"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million real estate term loan, (ii) a $65.0 million capital term loan, (iii) a $ 50.0 million delayed draw term loan, and (iv) establishment of a revolving floor plan credit facility (see Note 4). The real estate term loan is payable in monthly installments of $0.3 million and bears interest</w:t>
      </w:r>
    </w:p>
    <w:p>
      <w:pPr>
        <w:spacing w:after="0" w:line="236" w:lineRule="auto"/>
        <w:rPr>
          <w:sz w:val="20"/>
          <w:szCs w:val="20"/>
          <w:color w:val="auto"/>
        </w:rPr>
      </w:pPr>
      <w:r>
        <w:rPr>
          <w:rFonts w:ascii="Arial" w:cs="Arial" w:eastAsia="Arial" w:hAnsi="Arial"/>
          <w:sz w:val="18"/>
          <w:szCs w:val="18"/>
          <w:color w:val="auto"/>
        </w:rPr>
        <w:t>at variable rates based on SOFR plus 1.75% per annum, and the capital term loan is payable in monthly installments of $0.5 million and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bears interest at variable rates based on SOFR plus 2.00% per annum. The monthly installment payments on the real estate and capital term loans commence on November 1, 2023, with final payments of the outstanding principal balances due on September 26, 2028. Subject to</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terms and conditions set forth in the credit agreement, the automotive subsidiary may also request borrowings of delayed draw term loans for which the proceeds may be used to (i) finance the acquisition of automobile dealerships (delayed draw capital loan) and (ii) finance the</w:t>
      </w:r>
    </w:p>
    <w:p>
      <w:pPr>
        <w:spacing w:after="0" w:line="236" w:lineRule="auto"/>
        <w:rPr>
          <w:sz w:val="20"/>
          <w:szCs w:val="20"/>
          <w:color w:val="auto"/>
        </w:rPr>
      </w:pPr>
      <w:r>
        <w:rPr>
          <w:rFonts w:ascii="Arial" w:cs="Arial" w:eastAsia="Arial" w:hAnsi="Arial"/>
          <w:sz w:val="18"/>
          <w:szCs w:val="18"/>
          <w:color w:val="auto"/>
        </w:rPr>
        <w:t>acquisition of real estate (delayed draw real estate loan). The delayed draw term loan bears interest at variable rates based on SOFR plus an</w:t>
      </w:r>
    </w:p>
    <w:p>
      <w:pPr>
        <w:spacing w:after="0" w:line="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applicable margin based on the type of delayed draw term loan requested. The delayed draw term loan availability period terminates on September 26, 2025. The automotive subsidiary did not borrow against the delayed term loan as of September 30, 2023.</w:t>
      </w:r>
    </w:p>
    <w:p>
      <w:pPr>
        <w:spacing w:after="0" w:line="13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On the same date, the Company’s automotive subsidiary entered into three interest rate swap agreements with a total notional value of $75.2 million and a maturity date of September 26, 2028. The interest rate swap agreements will pay the automotive subsidiary interest on the</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$75.2 million notional amount based on SOFR and the automotive subsidiary will pay the counterparty a fixed rate of 4.67% per annum. The new interest rate swap agreements were entered into to convert the variable rate borrowing under the real estate term loan into a fixed rate</w:t>
      </w:r>
    </w:p>
    <w:p>
      <w:pPr>
        <w:spacing w:after="0" w:line="1"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borrowing. Based on the terms of the new interest rate swap agreements and underlying borrowings, the new interest rate swaps were determined to be effective and thus qualify as cash flow hedges. Including a 1.75% applicable margin, the overall interest rate that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will pay on the $75.2 million real estate term loan is fixed at 6.42% per annum.</w:t>
      </w:r>
    </w:p>
    <w:p>
      <w:pPr>
        <w:spacing w:after="0" w:line="146"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The automotive subsidiary used the net proceeds from the real estate and capital term loans to repay the outstanding balances of the commercial notes maturing in 2031 and 2032. The interest rate swap agreements maturing in 2031 and 2032 were also terminated resulting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realized gains of $4.6 million that reduced interest expense during the third quarter of 2023.</w:t>
      </w:r>
    </w:p>
    <w:p>
      <w:pPr>
        <w:spacing w:after="0" w:line="146" w:lineRule="exact"/>
        <w:rPr>
          <w:sz w:val="20"/>
          <w:szCs w:val="20"/>
          <w:color w:val="auto"/>
        </w:rPr>
      </w:pPr>
    </w:p>
    <w:p>
      <w:pPr>
        <w:ind w:right="480"/>
        <w:spacing w:after="0" w:line="233" w:lineRule="auto"/>
        <w:rPr>
          <w:sz w:val="20"/>
          <w:szCs w:val="20"/>
          <w:color w:val="auto"/>
        </w:rPr>
      </w:pPr>
      <w:r>
        <w:rPr>
          <w:rFonts w:ascii="Arial" w:cs="Arial" w:eastAsia="Arial" w:hAnsi="Arial"/>
          <w:sz w:val="18"/>
          <w:szCs w:val="18"/>
          <w:color w:val="auto"/>
        </w:rPr>
        <w:t>On July 28, 2023, the Company entered into a $150 million term loan with each of the lenders party thereto, Wells Fargo Bank, N.A., JPMorgan Chase Bank N.A., Bank of America, N.A., HSBC Bank USA, N.A., and PNC Bank, N.A. The term loan is payable in quarterly</w:t>
      </w:r>
    </w:p>
    <w:p>
      <w:pPr>
        <w:spacing w:after="0" w:line="236" w:lineRule="auto"/>
        <w:rPr>
          <w:sz w:val="20"/>
          <w:szCs w:val="20"/>
          <w:color w:val="auto"/>
        </w:rPr>
      </w:pPr>
      <w:r>
        <w:rPr>
          <w:rFonts w:ascii="Arial" w:cs="Arial" w:eastAsia="Arial" w:hAnsi="Arial"/>
          <w:sz w:val="18"/>
          <w:szCs w:val="18"/>
          <w:color w:val="auto"/>
        </w:rPr>
        <w:t>installments of $1.875 million starting in December 2023 with a final payment of the principal balance due on May 30, 2027. The term loan</w:t>
      </w:r>
    </w:p>
    <w:p>
      <w:pPr>
        <w:spacing w:after="0" w:line="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bears interest at variable rates based on SOFR plus 1.75% per annum. The Company may redeem the term loan in whole or in part with no penalty at 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p>
      <w:pPr>
        <w:ind w:right="340"/>
        <w:spacing w:after="0" w:line="260" w:lineRule="auto"/>
        <w:rPr>
          <w:sz w:val="20"/>
          <w:szCs w:val="20"/>
          <w:color w:val="auto"/>
        </w:rPr>
      </w:pPr>
      <w:r>
        <w:rPr>
          <w:rFonts w:ascii="Arial" w:cs="Arial" w:eastAsia="Arial" w:hAnsi="Arial"/>
          <w:sz w:val="18"/>
          <w:szCs w:val="18"/>
          <w:color w:val="auto"/>
        </w:rPr>
        <w:t>time. The term loan has no impact on the existing financial covenants of the revolving credit facility. The Company’s outstanding balance under its term loan was $149.3 million as of September 30, 2023.</w:t>
      </w:r>
    </w:p>
    <w:p>
      <w:pPr>
        <w:spacing w:after="0" w:line="10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At September 30, 2023 and December 31, 2022, the fair value of the Company’s 5.75% unsecured notes, based on quoted market prices (Level 2 fair value assessment), totaled $387.1 million and $395.1 million.</w:t>
      </w:r>
    </w:p>
    <w:p>
      <w:pPr>
        <w:spacing w:after="0" w:line="119" w:lineRule="exact"/>
        <w:rPr>
          <w:sz w:val="20"/>
          <w:szCs w:val="20"/>
          <w:color w:val="auto"/>
        </w:rPr>
      </w:pPr>
    </w:p>
    <w:p>
      <w:pPr>
        <w:ind w:right="320"/>
        <w:spacing w:after="0" w:line="247" w:lineRule="auto"/>
        <w:rPr>
          <w:sz w:val="20"/>
          <w:szCs w:val="20"/>
          <w:color w:val="auto"/>
        </w:rPr>
      </w:pPr>
      <w:r>
        <w:rPr>
          <w:rFonts w:ascii="Arial" w:cs="Arial" w:eastAsia="Arial" w:hAnsi="Arial"/>
          <w:sz w:val="17"/>
          <w:szCs w:val="17"/>
          <w:color w:val="auto"/>
        </w:rPr>
        <w:t>The outstanding balance on the Company’s $ 300 million unsecured revolving credit facility was $60.9 million as of September 30, 2023, consisting of British Pound (GBP) borrowings of £50 million with interest payable at Daily Sterling Overnight Index Average (SONIA) plus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1.375%.</w:t>
      </w:r>
    </w:p>
    <w:p>
      <w:pPr>
        <w:spacing w:after="0" w:line="146"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September 30, 2023 and December 31, 2022. The Company is in compliance with all financial covenants of the revolving credit facility and term loans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146"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During the three months ended September 30, 2023 and 2022, the Company had average borrowings outstanding of approximately $737.7 million and $714.1 million, respectively, at average annual interest rates of approximately 6.2% and 4.9%, respectively. During the three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2023 and 2022, the Company incurred net interest expense of $9.8 million and $10.8 million, respectively.</w:t>
      </w:r>
    </w:p>
    <w:p>
      <w:pPr>
        <w:spacing w:after="0" w:line="146"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During the nine months ended September 30, 2023 and 2022, the Company had average borrowings outstanding of approximately $737.1 million and $676.5 million, respectively, at average annual interest rates of approximately 6.0% and 4.6%, respectively. During the nine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2023 and 2022, the Company incurred net interest expense of $33.1 million and $36.8 million, respectively.</w:t>
      </w:r>
    </w:p>
    <w:p>
      <w:pPr>
        <w:spacing w:after="0" w:line="146" w:lineRule="exact"/>
        <w:rPr>
          <w:sz w:val="20"/>
          <w:szCs w:val="20"/>
          <w:color w:val="auto"/>
        </w:rPr>
      </w:pPr>
    </w:p>
    <w:p>
      <w:pPr>
        <w:ind w:right="440"/>
        <w:spacing w:after="0" w:line="247" w:lineRule="auto"/>
        <w:rPr>
          <w:sz w:val="20"/>
          <w:szCs w:val="20"/>
          <w:color w:val="auto"/>
        </w:rPr>
      </w:pPr>
      <w:r>
        <w:rPr>
          <w:rFonts w:ascii="Arial" w:cs="Arial" w:eastAsia="Arial" w:hAnsi="Arial"/>
          <w:sz w:val="17"/>
          <w:szCs w:val="17"/>
          <w:color w:val="auto"/>
        </w:rPr>
        <w:t>During the three and nine months ended September 30, 2023, the Company recorded interest expense of $1.1 million and $ 1.4 million, respectively, to adjust the fair value of the mandatorily redeemable noncontrolling interest. During the three and nine months ended</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September 30, 2022, the Company recorded interest expense of $1.4 million and $12.8 million, respectively, to adjust the fair value of the mandatorily redeemable noncontrolling interest. The fair value of the mandatorily redeemable noncontrolling interest was based on the fair</w:t>
      </w:r>
    </w:p>
    <w:p>
      <w:pPr>
        <w:spacing w:after="0" w:line="236" w:lineRule="auto"/>
        <w:rPr>
          <w:sz w:val="20"/>
          <w:szCs w:val="20"/>
          <w:color w:val="auto"/>
        </w:rPr>
      </w:pPr>
      <w:r>
        <w:rPr>
          <w:rFonts w:ascii="Arial" w:cs="Arial" w:eastAsia="Arial" w:hAnsi="Arial"/>
          <w:sz w:val="18"/>
          <w:szCs w:val="18"/>
          <w:color w:val="auto"/>
        </w:rPr>
        <w:t>value of the underlying subsidiaries owned by GHC One and GHC Two, after taking into account any debt and other noncontrolling interests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of its subsidiary investments. The fair value of the owned subsidiaries is determined by reference to either a discounted cash flow or EBITDA multiple, which approximates fair value (Level 3 fair value assessment).</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7"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FAIR VALUE MEASUREMENTS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September 30, 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39,740</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39,740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665,514</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665,514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6,799</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672,313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39,773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3,080</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3,080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80" w:type="dxa"/>
            <w:vAlign w:val="bottom"/>
          </w:tcPr>
          <w:p>
            <w:pPr>
              <w:spacing w:after="0" w:line="232"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733</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32,043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733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35,123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8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7,686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609,921</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609,921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7,471</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5,016</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12,487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380" w:type="dxa"/>
            <w:vAlign w:val="bottom"/>
          </w:tcPr>
          <w:p>
            <w:pPr>
              <w:ind w:left="20"/>
              <w:spacing w:after="0" w:line="22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(7)</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2,636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617,392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15,338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632,730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8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(5)</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8,423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333</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380" w:type="dxa"/>
            <w:vAlign w:val="bottom"/>
          </w:tcPr>
          <w:p>
            <w:pPr>
              <w:ind w:left="20"/>
              <w:spacing w:after="0" w:line="226"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30,845</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39,268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39,601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40" w:hanging="454"/>
        <w:spacing w:after="0" w:line="25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spacing w:after="0" w:line="11" w:lineRule="exact"/>
        <w:rPr>
          <w:rFonts w:ascii="Arial" w:cs="Arial" w:eastAsia="Arial" w:hAnsi="Arial"/>
          <w:sz w:val="14"/>
          <w:szCs w:val="14"/>
          <w:color w:val="auto"/>
        </w:rPr>
      </w:pPr>
    </w:p>
    <w:p>
      <w:pPr>
        <w:ind w:left="480" w:right="140" w:hanging="454"/>
        <w:spacing w:after="0" w:line="25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25" w:lineRule="exact"/>
        <w:rPr>
          <w:rFonts w:ascii="Arial" w:cs="Arial" w:eastAsia="Arial" w:hAnsi="Arial"/>
          <w:sz w:val="14"/>
          <w:szCs w:val="14"/>
          <w:color w:val="auto"/>
        </w:rPr>
      </w:pPr>
    </w:p>
    <w:p>
      <w:pPr>
        <w:ind w:left="480" w:right="380" w:hanging="454"/>
        <w:spacing w:after="0" w:line="245"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31" w:lineRule="exact"/>
        <w:rPr>
          <w:rFonts w:ascii="Arial" w:cs="Arial" w:eastAsia="Arial" w:hAnsi="Arial"/>
          <w:sz w:val="14"/>
          <w:szCs w:val="14"/>
          <w:color w:val="auto"/>
        </w:rPr>
      </w:pPr>
    </w:p>
    <w:p>
      <w:pPr>
        <w:ind w:left="480" w:right="140" w:hanging="454"/>
        <w:spacing w:after="0" w:line="25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25" w:lineRule="exact"/>
        <w:rPr>
          <w:rFonts w:ascii="Arial" w:cs="Arial" w:eastAsia="Arial" w:hAnsi="Arial"/>
          <w:sz w:val="14"/>
          <w:szCs w:val="14"/>
          <w:color w:val="auto"/>
        </w:rPr>
      </w:pPr>
    </w:p>
    <w:p>
      <w:pPr>
        <w:ind w:left="480" w:right="260" w:hanging="454"/>
        <w:spacing w:after="0" w:line="247"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29" w:lineRule="exact"/>
        <w:rPr>
          <w:rFonts w:ascii="Arial" w:cs="Arial" w:eastAsia="Arial" w:hAnsi="Arial"/>
          <w:sz w:val="14"/>
          <w:szCs w:val="14"/>
          <w:color w:val="auto"/>
        </w:rPr>
      </w:pPr>
    </w:p>
    <w:p>
      <w:pPr>
        <w:ind w:left="480" w:right="320" w:hanging="454"/>
        <w:spacing w:after="0" w:line="25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25" w:lineRule="exact"/>
        <w:rPr>
          <w:rFonts w:ascii="Arial" w:cs="Arial" w:eastAsia="Arial" w:hAnsi="Arial"/>
          <w:sz w:val="14"/>
          <w:szCs w:val="14"/>
          <w:color w:val="auto"/>
        </w:rPr>
      </w:pPr>
    </w:p>
    <w:p>
      <w:pPr>
        <w:ind w:left="480" w:right="460" w:hanging="454"/>
        <w:spacing w:after="0" w:line="25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8" w:name="page19"/>
    <w:bookmarkEnd w:id="18"/>
    <w:p>
      <w:pPr>
        <w:ind w:right="440"/>
        <w:spacing w:after="0" w:line="260"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Contingent consideration</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200"/>
        </w:trPr>
        <w:tc>
          <w:tcPr>
            <w:tcW w:w="3860" w:type="dxa"/>
            <w:vAlign w:val="bottom"/>
            <w:vMerge w:val="continue"/>
          </w:tcPr>
          <w:p>
            <w:pPr>
              <w:spacing w:after="0"/>
              <w:rPr>
                <w:sz w:val="17"/>
                <w:szCs w:val="17"/>
                <w:color w:val="auto"/>
              </w:rPr>
            </w:pP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liabilities</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2022</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contributions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September 30, 2023</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8,423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30,845</w:t>
            </w:r>
          </w:p>
        </w:tc>
      </w:tr>
      <w:tr>
        <w:trPr>
          <w:trHeight w:val="242"/>
        </w:trPr>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220</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9"/>
        </w:trPr>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(5,157)</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1,421</w:t>
            </w:r>
          </w:p>
        </w:tc>
      </w:tr>
      <w:tr>
        <w:trPr>
          <w:trHeight w:val="229"/>
        </w:trPr>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84</w:t>
            </w:r>
          </w:p>
        </w:tc>
      </w:tr>
      <w:tr>
        <w:trPr>
          <w:trHeight w:val="230"/>
        </w:trPr>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856</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3"/>
        </w:trPr>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w:t>
            </w:r>
          </w:p>
        </w:tc>
      </w:tr>
      <w:tr>
        <w:trPr>
          <w:trHeight w:val="225"/>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32,043</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439"/>
        </w:trPr>
        <w:tc>
          <w:tcPr>
            <w:tcW w:w="200" w:type="dxa"/>
            <w:vAlign w:val="bottom"/>
          </w:tcPr>
          <w:p>
            <w:pPr>
              <w:spacing w:after="0"/>
              <w:rPr>
                <w:sz w:val="24"/>
                <w:szCs w:val="24"/>
                <w:color w:val="auto"/>
              </w:rPr>
            </w:pPr>
          </w:p>
        </w:tc>
        <w:tc>
          <w:tcPr>
            <w:tcW w:w="21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right"/>
              <w:ind w:right="241"/>
              <w:spacing w:after="0"/>
              <w:rPr>
                <w:sz w:val="20"/>
                <w:szCs w:val="20"/>
                <w:color w:val="auto"/>
              </w:rPr>
            </w:pPr>
            <w:r>
              <w:rPr>
                <w:rFonts w:ascii="Arial" w:cs="Arial" w:eastAsia="Arial" w:hAnsi="Arial"/>
                <w:sz w:val="14"/>
                <w:szCs w:val="14"/>
                <w:b w:val="1"/>
                <w:bCs w:val="1"/>
                <w:color w:val="auto"/>
              </w:rPr>
              <w:t>Mandatorily redeemable</w:t>
            </w:r>
          </w:p>
        </w:tc>
      </w:tr>
      <w:tr>
        <w:trPr>
          <w:trHeight w:val="200"/>
        </w:trPr>
        <w:tc>
          <w:tcPr>
            <w:tcW w:w="200" w:type="dxa"/>
            <w:vAlign w:val="bottom"/>
          </w:tcPr>
          <w:p>
            <w:pPr>
              <w:spacing w:after="0"/>
              <w:rPr>
                <w:sz w:val="17"/>
                <w:szCs w:val="17"/>
                <w:color w:val="auto"/>
              </w:rPr>
            </w:pPr>
          </w:p>
        </w:tc>
        <w:tc>
          <w:tcPr>
            <w:tcW w:w="2140" w:type="dxa"/>
            <w:vAlign w:val="bottom"/>
          </w:tcPr>
          <w:p>
            <w:pPr>
              <w:jc w:val="right"/>
              <w:ind w:right="80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2080" w:type="dxa"/>
            <w:vAlign w:val="bottom"/>
          </w:tcPr>
          <w:p>
            <w:pPr>
              <w:jc w:val="right"/>
              <w:ind w:right="281"/>
              <w:spacing w:after="0"/>
              <w:rPr>
                <w:sz w:val="20"/>
                <w:szCs w:val="20"/>
                <w:color w:val="auto"/>
              </w:rPr>
            </w:pPr>
            <w:r>
              <w:rPr>
                <w:rFonts w:ascii="Arial" w:cs="Arial" w:eastAsia="Arial" w:hAnsi="Arial"/>
                <w:sz w:val="14"/>
                <w:szCs w:val="14"/>
                <w:b w:val="1"/>
                <w:bCs w:val="1"/>
                <w:color w:val="auto"/>
              </w:rPr>
              <w:t>noncontrolling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1270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820" w:space="720"/>
            <w:col w:w="4700"/>
          </w:cols>
          <w:pgMar w:left="320" w:top="937"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As of December 31,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Capital contributions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Accretion of value included in net income </w:t>
      </w:r>
      <w:r>
        <w:rPr>
          <w:rFonts w:ascii="Arial" w:cs="Arial" w:eastAsia="Arial" w:hAnsi="Arial"/>
          <w:sz w:val="20"/>
          <w:szCs w:val="20"/>
          <w:color w:val="auto"/>
          <w:vertAlign w:val="superscript"/>
        </w:rPr>
        <w:t>(1)</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September 30, 2022</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14,881</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13,661</w:t>
            </w:r>
          </w:p>
        </w:tc>
      </w:tr>
      <w:tr>
        <w:trPr>
          <w:trHeight w:val="229"/>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9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(5,036)</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12,799</w:t>
            </w:r>
          </w:p>
        </w:tc>
      </w:tr>
      <w:tr>
        <w:trPr>
          <w:trHeight w:val="230"/>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29"/>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1,139</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9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w:t>
            </w:r>
          </w:p>
        </w:tc>
        <w:tc>
          <w:tcPr>
            <w:tcW w:w="9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23"/>
        </w:trPr>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9,631</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27,142</w:t>
            </w:r>
          </w:p>
        </w:tc>
      </w:tr>
      <w:tr>
        <w:trPr>
          <w:trHeight w:val="27"/>
        </w:trPr>
        <w:tc>
          <w:tcPr>
            <w:tcW w:w="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32" w:lineRule="exact"/>
        <w:rPr>
          <w:sz w:val="20"/>
          <w:szCs w:val="20"/>
          <w:color w:val="auto"/>
        </w:rPr>
      </w:pPr>
    </w:p>
    <w:p>
      <w:pPr>
        <w:sectPr>
          <w:pgSz w:w="11900" w:h="16838" w:orient="portrait"/>
          <w:cols w:equalWidth="0" w:num="2">
            <w:col w:w="5820" w:space="720"/>
            <w:col w:w="4700"/>
          </w:cols>
          <w:pgMar w:left="320" w:top="937" w:right="339" w:bottom="1440" w:gutter="0" w:footer="0" w:header="0"/>
          <w:type w:val="continuous"/>
        </w:sectPr>
      </w:pPr>
    </w:p>
    <w:p>
      <w:pPr>
        <w:ind w:left="360" w:right="360" w:hanging="334"/>
        <w:spacing w:after="0" w:line="273"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2023, the Company recorded goodwill and other long-lived asset impairment</w:t>
      </w:r>
    </w:p>
    <w:p>
      <w:pPr>
        <w:spacing w:after="0" w:line="8" w:lineRule="exact"/>
        <w:rPr>
          <w:sz w:val="20"/>
          <w:szCs w:val="20"/>
          <w:color w:val="auto"/>
        </w:rPr>
      </w:pPr>
    </w:p>
    <w:p>
      <w:pPr>
        <w:ind w:right="80"/>
        <w:spacing w:after="0"/>
        <w:rPr>
          <w:sz w:val="20"/>
          <w:szCs w:val="20"/>
          <w:color w:val="auto"/>
        </w:rPr>
      </w:pPr>
      <w:r>
        <w:rPr>
          <w:rFonts w:ascii="Arial" w:cs="Arial" w:eastAsia="Arial" w:hAnsi="Arial"/>
          <w:sz w:val="17"/>
          <w:szCs w:val="17"/>
          <w:color w:val="auto"/>
        </w:rPr>
        <w:t>charges of $98.3 million and $99.1 million, respectively. The remeasurement of goodwill and other long-lived assets is classified as a Level 3 fair value assessment due to the significance of unobservable inputs developed in the determination of the fair value. The Company used a</w:t>
      </w:r>
    </w:p>
    <w:p>
      <w:pPr>
        <w:spacing w:after="0" w:line="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discounted cash flow model to determine the estimated fair value of the reporting units and other long-lived assets. The Company made estimates and assumptions regarding future cash flows, discount rates and long-term growth rates.</w:t>
      </w:r>
    </w:p>
    <w:p>
      <w:pPr>
        <w:spacing w:after="0" w:line="117"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color w:val="auto"/>
        </w:rPr>
        <w:t>During the first nine months ended September 30, 2023, the Company recorded gains of $3.1 million to equity securities that are accounted for as cost method investments based on observable transactions for identical or similar investments of the same issuer. During the three and nine months ended September 30, 2022, the Company recorded gains of $0.6 million to equity securities that are accounted for as cost method investments based on observable transactions for identical or similar investments of the same issuer.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generated 81% and 80% of its revenue from U.S. domestic sales for the three and nine months ended September 30, 2023.</w:t>
      </w:r>
    </w:p>
    <w:p>
      <w:pPr>
        <w:spacing w:after="0" w:line="8"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The remaining 19% and 20% of revenue was generated from non-U.S. sales for the three and nine months ended September 30, 2023. For the three and nine months ended September 30, 2022, 84% and 81% of revenue was from U.S. domestic sales and the remaining 16%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19% of revenue was generated from non-U.S. sales.</w:t>
      </w:r>
    </w:p>
    <w:p>
      <w:pPr>
        <w:spacing w:after="0" w:line="146"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For the three and nine months ended September 30, 2023, the Company recognized 53% and 55% of its revenue over time as control of the services and goods transferred to the customer, and the remaining 47% and 45% at a point in time, when the customer obtained control of</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promised goods. For the three and nine months ended September 30, 2022, the Company recognized 55% and 58% of its revenue over time, and the remaining 45% and 42% at a point in time.</w:t>
      </w:r>
    </w:p>
    <w:p>
      <w:pPr>
        <w:spacing w:after="0" w:line="107"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September 30, 2023, the Company recognized a contract asset of $42.8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$300.9 million related to this contract over the next six years. As of December 31, 2022, the contract asset was $26.3 million.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type w:val="continuous"/>
        </w:sectPr>
      </w:pPr>
    </w:p>
    <w:bookmarkStart w:id="19" w:name="page20"/>
    <w:bookmarkEnd w:id="19"/>
    <w:p>
      <w:pPr>
        <w:ind w:right="40"/>
        <w:spacing w:after="0" w:line="271"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201"/>
        </w:trPr>
        <w:tc>
          <w:tcPr>
            <w:tcW w:w="7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2022</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418,831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385,507</w:t>
            </w:r>
          </w:p>
        </w:tc>
        <w:tc>
          <w:tcPr>
            <w:tcW w:w="1320" w:type="dxa"/>
            <w:vAlign w:val="bottom"/>
          </w:tcPr>
          <w:p>
            <w:pPr>
              <w:jc w:val="right"/>
              <w:ind w:right="545"/>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w:t>
      </w:r>
    </w:p>
    <w:p>
      <w:pPr>
        <w:spacing w:after="0" w:line="8"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Coronavirus Aid, Relief, and Economic Security Act (CARES Act) as a result of COVID-19. The Department of Health and Human Services started to recoup this advance 365 days after the payment was issued. The advance has been recouped in full as of September 30, 2022.</w:t>
      </w:r>
    </w:p>
    <w:p>
      <w:pPr>
        <w:spacing w:after="0" w:line="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For the three and nine months ended September 30, 2022, GHG recognized $0.5 million and $12.5 million of the balance in revenue for claims submitted for eligible services.</w:t>
      </w:r>
    </w:p>
    <w:p>
      <w:pPr>
        <w:spacing w:after="0" w:line="117"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international division. During the nine months ended September 30, 2023, the Company recognized $313.0 million related to the Company’s deferred revenue balance as of December 31, 2022.</w:t>
      </w:r>
    </w:p>
    <w:p>
      <w:pPr>
        <w:spacing w:after="0" w:line="117"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September 30, 2023, the deferred revenue balance related to certain medical and nursing qualifications with an original</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contract length greater than twelve months at Kaplan Supplemental Education was $7.4 million. Kaplan Supplemental Education expects to recognize 66% of this revenue over the next twelve months and the remainder thereafter.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r>
      <w:tr>
        <w:trPr>
          <w:trHeight w:val="209"/>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27"/>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31,647</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40,999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(53,601)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275</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19,320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nine months ended September 30, 2023.</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(LOSS) EARNINGS PER SHARE</w:t>
      </w:r>
    </w:p>
    <w:p>
      <w:pPr>
        <w:spacing w:after="0" w:line="168"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w:t>
      </w:r>
    </w:p>
    <w:p>
      <w:pPr>
        <w:spacing w:after="0" w:line="236" w:lineRule="auto"/>
        <w:rPr>
          <w:sz w:val="20"/>
          <w:szCs w:val="20"/>
          <w:color w:val="auto"/>
        </w:rPr>
      </w:pPr>
      <w:r>
        <w:rPr>
          <w:rFonts w:ascii="Arial" w:cs="Arial" w:eastAsia="Arial" w:hAnsi="Arial"/>
          <w:sz w:val="18"/>
          <w:szCs w:val="18"/>
          <w:color w:val="auto"/>
        </w:rPr>
        <w:t>the two-class method is lower than the diluted earnings per share computed under the treasury stock method, resulting in the presentation of</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 attributable to the unvested restricted stock awards from the numerator and excludes the dilutive impact of those underlying shares from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14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following reflects the Company’s net (loss) income and share data used in the basic and diluted (loss) earnings per share computations using the two-class method: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Numerator for basic (loss) 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60" w:type="dxa"/>
            <w:vAlign w:val="bottom"/>
          </w:tcPr>
          <w:p>
            <w:pPr>
              <w:ind w:left="220"/>
              <w:spacing w:after="0"/>
              <w:rPr>
                <w:sz w:val="20"/>
                <w:szCs w:val="20"/>
                <w:color w:val="auto"/>
              </w:rPr>
            </w:pPr>
            <w:r>
              <w:rPr>
                <w:rFonts w:ascii="Arial" w:cs="Arial" w:eastAsia="Arial" w:hAnsi="Arial"/>
                <w:sz w:val="16"/>
                <w:szCs w:val="16"/>
                <w:color w:val="auto"/>
              </w:rPr>
              <w:t>Net (loss) income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(23,031)</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152,029</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6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2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32,780</w:t>
            </w:r>
          </w:p>
        </w:tc>
        <w:tc>
          <w:tcPr>
            <w:tcW w:w="3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60,919</w:t>
            </w:r>
          </w:p>
        </w:tc>
        <w:tc>
          <w:tcPr>
            <w:tcW w:w="0" w:type="dxa"/>
            <w:vAlign w:val="bottom"/>
          </w:tcPr>
          <w:p>
            <w:pPr>
              <w:spacing w:after="0"/>
              <w:rPr>
                <w:sz w:val="1"/>
                <w:szCs w:val="1"/>
                <w:color w:val="auto"/>
              </w:rPr>
            </w:pPr>
          </w:p>
        </w:tc>
      </w:tr>
      <w:tr>
        <w:trPr>
          <w:trHeight w:val="186"/>
        </w:trPr>
        <w:tc>
          <w:tcPr>
            <w:tcW w:w="566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w:t>
            </w:r>
          </w:p>
        </w:tc>
        <w:tc>
          <w:tcPr>
            <w:tcW w:w="280" w:type="dxa"/>
            <w:vAlign w:val="bottom"/>
          </w:tcPr>
          <w:p>
            <w:pPr>
              <w:spacing w:after="0"/>
              <w:rPr>
                <w:sz w:val="16"/>
                <w:szCs w:val="16"/>
                <w:color w:val="auto"/>
              </w:rPr>
            </w:pPr>
          </w:p>
        </w:tc>
        <w:tc>
          <w:tcPr>
            <w:tcW w:w="104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(7,458)</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(30,992)</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60" w:type="dxa"/>
            <w:vAlign w:val="bottom"/>
          </w:tcPr>
          <w:p>
            <w:pPr>
              <w:ind w:left="400"/>
              <w:spacing w:after="0"/>
              <w:rPr>
                <w:sz w:val="20"/>
                <w:szCs w:val="20"/>
                <w:color w:val="auto"/>
              </w:rPr>
            </w:pPr>
            <w:r>
              <w:rPr>
                <w:rFonts w:ascii="Arial" w:cs="Arial" w:eastAsia="Arial" w:hAnsi="Arial"/>
                <w:sz w:val="16"/>
                <w:szCs w:val="16"/>
                <w:color w:val="auto"/>
              </w:rPr>
              <w:t>shares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(7,575)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(30,728)</w:t>
            </w:r>
          </w:p>
        </w:tc>
        <w:tc>
          <w:tcPr>
            <w:tcW w:w="0" w:type="dxa"/>
            <w:vAlign w:val="bottom"/>
          </w:tcPr>
          <w:p>
            <w:pPr>
              <w:spacing w:after="0"/>
              <w:rPr>
                <w:sz w:val="1"/>
                <w:szCs w:val="1"/>
                <w:color w:val="auto"/>
              </w:rPr>
            </w:pPr>
          </w:p>
        </w:tc>
      </w:tr>
      <w:tr>
        <w:trPr>
          <w:trHeight w:val="225"/>
        </w:trPr>
        <w:tc>
          <w:tcPr>
            <w:tcW w:w="5660" w:type="dxa"/>
            <w:vAlign w:val="bottom"/>
          </w:tcPr>
          <w:p>
            <w:pPr>
              <w:ind w:left="220"/>
              <w:spacing w:after="0"/>
              <w:rPr>
                <w:sz w:val="20"/>
                <w:szCs w:val="20"/>
                <w:color w:val="auto"/>
              </w:rPr>
            </w:pPr>
            <w:r>
              <w:rPr>
                <w:rFonts w:ascii="Arial" w:cs="Arial" w:eastAsia="Arial" w:hAnsi="Arial"/>
                <w:sz w:val="16"/>
                <w:szCs w:val="16"/>
                <w:color w:val="auto"/>
              </w:rPr>
              <w:t>Undistributed (loss) earnings</w:t>
            </w:r>
          </w:p>
        </w:tc>
        <w:tc>
          <w:tcPr>
            <w:tcW w:w="280" w:type="dxa"/>
            <w:vAlign w:val="bottom"/>
          </w:tcPr>
          <w:p>
            <w:pPr>
              <w:spacing w:after="0"/>
              <w:rPr>
                <w:sz w:val="19"/>
                <w:szCs w:val="19"/>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b w:val="1"/>
                <w:bCs w:val="1"/>
                <w:color w:val="auto"/>
              </w:rPr>
              <w:t>(30,489)</w:t>
            </w:r>
          </w:p>
        </w:tc>
        <w:tc>
          <w:tcPr>
            <w:tcW w:w="500" w:type="dxa"/>
            <w:vAlign w:val="bottom"/>
          </w:tcPr>
          <w:p>
            <w:pPr>
              <w:spacing w:after="0"/>
              <w:rPr>
                <w:sz w:val="19"/>
                <w:szCs w:val="19"/>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25,205</w:t>
            </w:r>
          </w:p>
        </w:tc>
        <w:tc>
          <w:tcPr>
            <w:tcW w:w="360" w:type="dxa"/>
            <w:vAlign w:val="bottom"/>
          </w:tcPr>
          <w:p>
            <w:pPr>
              <w:spacing w:after="0"/>
              <w:rPr>
                <w:sz w:val="19"/>
                <w:szCs w:val="19"/>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121,037</w:t>
            </w:r>
          </w:p>
        </w:tc>
        <w:tc>
          <w:tcPr>
            <w:tcW w:w="540" w:type="dxa"/>
            <w:vAlign w:val="bottom"/>
          </w:tcPr>
          <w:p>
            <w:pPr>
              <w:spacing w:after="0"/>
              <w:rPr>
                <w:sz w:val="19"/>
                <w:szCs w:val="19"/>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30,191</w:t>
            </w:r>
          </w:p>
        </w:tc>
        <w:tc>
          <w:tcPr>
            <w:tcW w:w="0" w:type="dxa"/>
            <w:vAlign w:val="bottom"/>
          </w:tcPr>
          <w:p>
            <w:pPr>
              <w:spacing w:after="0"/>
              <w:rPr>
                <w:sz w:val="1"/>
                <w:szCs w:val="1"/>
                <w:color w:val="auto"/>
              </w:rPr>
            </w:pPr>
          </w:p>
        </w:tc>
      </w:tr>
      <w:tr>
        <w:trPr>
          <w:trHeight w:val="234"/>
        </w:trPr>
        <w:tc>
          <w:tcPr>
            <w:tcW w:w="5660" w:type="dxa"/>
            <w:vAlign w:val="bottom"/>
          </w:tcPr>
          <w:p>
            <w:pPr>
              <w:ind w:left="220"/>
              <w:spacing w:after="0" w:line="234" w:lineRule="exact"/>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100.00 %</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99.41 %</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99.35 %</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99.41 %</w:t>
            </w:r>
          </w:p>
        </w:tc>
        <w:tc>
          <w:tcPr>
            <w:tcW w:w="0" w:type="dxa"/>
            <w:vAlign w:val="bottom"/>
          </w:tcPr>
          <w:p>
            <w:pPr>
              <w:spacing w:after="0"/>
              <w:rPr>
                <w:sz w:val="1"/>
                <w:szCs w:val="1"/>
                <w:color w:val="auto"/>
              </w:rPr>
            </w:pPr>
          </w:p>
        </w:tc>
      </w:tr>
      <w:tr>
        <w:trPr>
          <w:trHeight w:val="218"/>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b w:val="1"/>
                <w:bCs w:val="1"/>
                <w:color w:val="auto"/>
              </w:rPr>
              <w:t>(30,489)</w:t>
            </w:r>
          </w:p>
        </w:tc>
        <w:tc>
          <w:tcPr>
            <w:tcW w:w="50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25,058</w:t>
            </w:r>
          </w:p>
        </w:tc>
        <w:tc>
          <w:tcPr>
            <w:tcW w:w="360" w:type="dxa"/>
            <w:vAlign w:val="bottom"/>
          </w:tcPr>
          <w:p>
            <w:pPr>
              <w:spacing w:after="0"/>
              <w:rPr>
                <w:sz w:val="18"/>
                <w:szCs w:val="18"/>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120,253</w:t>
            </w:r>
          </w:p>
        </w:tc>
        <w:tc>
          <w:tcPr>
            <w:tcW w:w="540" w:type="dxa"/>
            <w:vAlign w:val="bottom"/>
          </w:tcPr>
          <w:p>
            <w:pPr>
              <w:spacing w:after="0"/>
              <w:rPr>
                <w:sz w:val="18"/>
                <w:szCs w:val="18"/>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30,015</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7,409</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7,529</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30,797</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30,549</w:t>
            </w:r>
          </w:p>
        </w:tc>
        <w:tc>
          <w:tcPr>
            <w:tcW w:w="0" w:type="dxa"/>
            <w:vAlign w:val="bottom"/>
          </w:tcPr>
          <w:p>
            <w:pPr>
              <w:spacing w:after="0"/>
              <w:rPr>
                <w:sz w:val="1"/>
                <w:szCs w:val="1"/>
                <w:color w:val="auto"/>
              </w:rPr>
            </w:pPr>
          </w:p>
        </w:tc>
      </w:tr>
      <w:tr>
        <w:trPr>
          <w:trHeight w:val="227"/>
        </w:trPr>
        <w:tc>
          <w:tcPr>
            <w:tcW w:w="5660" w:type="dxa"/>
            <w:vAlign w:val="bottom"/>
          </w:tcPr>
          <w:p>
            <w:pPr>
              <w:ind w:left="220"/>
              <w:spacing w:after="0"/>
              <w:rPr>
                <w:sz w:val="20"/>
                <w:szCs w:val="20"/>
                <w:color w:val="auto"/>
              </w:rPr>
            </w:pPr>
            <w:r>
              <w:rPr>
                <w:rFonts w:ascii="Arial" w:cs="Arial" w:eastAsia="Arial" w:hAnsi="Arial"/>
                <w:sz w:val="16"/>
                <w:szCs w:val="16"/>
                <w:color w:val="auto"/>
              </w:rPr>
              <w:t>Numerator for basic (loss)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(23,080)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32,587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151,050</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60,564</w:t>
            </w:r>
          </w:p>
        </w:tc>
        <w:tc>
          <w:tcPr>
            <w:tcW w:w="0" w:type="dxa"/>
            <w:vAlign w:val="bottom"/>
          </w:tcPr>
          <w:p>
            <w:pPr>
              <w:spacing w:after="0"/>
              <w:rPr>
                <w:sz w:val="1"/>
                <w:szCs w:val="1"/>
                <w:color w:val="auto"/>
              </w:rPr>
            </w:pPr>
          </w:p>
        </w:tc>
      </w:tr>
      <w:tr>
        <w:trPr>
          <w:trHeight w:val="21"/>
        </w:trPr>
        <w:tc>
          <w:tcPr>
            <w:tcW w:w="566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660" w:type="dxa"/>
            <w:vAlign w:val="bottom"/>
          </w:tcPr>
          <w:p>
            <w:pPr>
              <w:ind w:left="140"/>
              <w:spacing w:after="0"/>
              <w:rPr>
                <w:sz w:val="20"/>
                <w:szCs w:val="20"/>
                <w:color w:val="auto"/>
              </w:rPr>
            </w:pPr>
            <w:r>
              <w:rPr>
                <w:rFonts w:ascii="Arial" w:cs="Arial" w:eastAsia="Arial" w:hAnsi="Arial"/>
                <w:sz w:val="16"/>
                <w:szCs w:val="16"/>
                <w:color w:val="auto"/>
              </w:rPr>
              <w:t>Numerator for diluted (loss)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(23,080)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32,588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151,052</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60,564</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Denominator for basic (loss) 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1"/>
                <w:szCs w:val="21"/>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4,602</w:t>
            </w:r>
          </w:p>
        </w:tc>
        <w:tc>
          <w:tcPr>
            <w:tcW w:w="500" w:type="dxa"/>
            <w:vAlign w:val="bottom"/>
          </w:tcPr>
          <w:p>
            <w:pPr>
              <w:spacing w:after="0"/>
              <w:rPr>
                <w:sz w:val="21"/>
                <w:szCs w:val="21"/>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4,808</w:t>
            </w:r>
          </w:p>
        </w:tc>
        <w:tc>
          <w:tcPr>
            <w:tcW w:w="360" w:type="dxa"/>
            <w:vAlign w:val="bottom"/>
          </w:tcPr>
          <w:p>
            <w:pPr>
              <w:spacing w:after="0"/>
              <w:rPr>
                <w:sz w:val="21"/>
                <w:szCs w:val="21"/>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b w:val="1"/>
                <w:bCs w:val="1"/>
                <w:color w:val="auto"/>
              </w:rPr>
              <w:t>4,686</w:t>
            </w:r>
          </w:p>
        </w:tc>
        <w:tc>
          <w:tcPr>
            <w:tcW w:w="540" w:type="dxa"/>
            <w:vAlign w:val="bottom"/>
          </w:tcPr>
          <w:p>
            <w:pPr>
              <w:spacing w:after="0"/>
              <w:rPr>
                <w:sz w:val="21"/>
                <w:szCs w:val="21"/>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4,841</w:t>
            </w:r>
          </w:p>
        </w:tc>
        <w:tc>
          <w:tcPr>
            <w:tcW w:w="0" w:type="dxa"/>
            <w:vAlign w:val="bottom"/>
          </w:tcPr>
          <w:p>
            <w:pPr>
              <w:spacing w:after="0"/>
              <w:rPr>
                <w:sz w:val="1"/>
                <w:szCs w:val="1"/>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14</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7"/>
        </w:trPr>
        <w:tc>
          <w:tcPr>
            <w:tcW w:w="5660" w:type="dxa"/>
            <w:vAlign w:val="bottom"/>
          </w:tcPr>
          <w:p>
            <w:pPr>
              <w:ind w:left="140"/>
              <w:spacing w:after="0"/>
              <w:rPr>
                <w:sz w:val="20"/>
                <w:szCs w:val="20"/>
                <w:color w:val="auto"/>
              </w:rPr>
            </w:pPr>
            <w:r>
              <w:rPr>
                <w:rFonts w:ascii="Arial" w:cs="Arial" w:eastAsia="Arial" w:hAnsi="Arial"/>
                <w:sz w:val="16"/>
                <w:szCs w:val="16"/>
                <w:color w:val="auto"/>
              </w:rPr>
              <w:t>Denominator for diluted (loss) earnings per share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4,602</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4,820</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4,700</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4,853</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660" w:type="dxa"/>
            <w:vAlign w:val="bottom"/>
            <w:vMerge w:val="continue"/>
          </w:tcPr>
          <w:p>
            <w:pPr>
              <w:spacing w:after="0"/>
              <w:rPr>
                <w:sz w:val="18"/>
                <w:szCs w:val="18"/>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(5.02)</w:t>
            </w:r>
          </w:p>
        </w:tc>
        <w:tc>
          <w:tcPr>
            <w:tcW w:w="50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80"/>
              <w:spacing w:after="0"/>
              <w:rPr>
                <w:sz w:val="20"/>
                <w:szCs w:val="20"/>
                <w:color w:val="auto"/>
              </w:rPr>
            </w:pPr>
            <w:r>
              <w:rPr>
                <w:rFonts w:ascii="Arial" w:cs="Arial" w:eastAsia="Arial" w:hAnsi="Arial"/>
                <w:sz w:val="16"/>
                <w:szCs w:val="16"/>
                <w:color w:val="auto"/>
              </w:rPr>
              <w:t>6.78</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32.23</w:t>
            </w:r>
          </w:p>
        </w:tc>
        <w:tc>
          <w:tcPr>
            <w:tcW w:w="54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20"/>
              <w:spacing w:after="0"/>
              <w:rPr>
                <w:sz w:val="20"/>
                <w:szCs w:val="20"/>
                <w:color w:val="auto"/>
              </w:rPr>
            </w:pPr>
            <w:r>
              <w:rPr>
                <w:rFonts w:ascii="Arial" w:cs="Arial" w:eastAsia="Arial" w:hAnsi="Arial"/>
                <w:sz w:val="16"/>
                <w:szCs w:val="16"/>
                <w:color w:val="auto"/>
              </w:rPr>
              <w:t>12.51</w:t>
            </w:r>
          </w:p>
        </w:tc>
        <w:tc>
          <w:tcPr>
            <w:tcW w:w="0" w:type="dxa"/>
            <w:vAlign w:val="bottom"/>
          </w:tcPr>
          <w:p>
            <w:pPr>
              <w:spacing w:after="0"/>
              <w:rPr>
                <w:sz w:val="1"/>
                <w:szCs w:val="1"/>
                <w:color w:val="auto"/>
              </w:rPr>
            </w:pPr>
          </w:p>
        </w:tc>
      </w:tr>
      <w:tr>
        <w:trPr>
          <w:trHeight w:val="242"/>
        </w:trPr>
        <w:tc>
          <w:tcPr>
            <w:tcW w:w="5660" w:type="dxa"/>
            <w:vAlign w:val="bottom"/>
          </w:tcPr>
          <w:p>
            <w:pPr>
              <w:ind w:left="140"/>
              <w:spacing w:after="0"/>
              <w:rPr>
                <w:sz w:val="20"/>
                <w:szCs w:val="20"/>
                <w:color w:val="auto"/>
              </w:rPr>
            </w:pPr>
            <w:r>
              <w:rPr>
                <w:rFonts w:ascii="Arial" w:cs="Arial" w:eastAsia="Arial" w:hAnsi="Arial"/>
                <w:sz w:val="16"/>
                <w:szCs w:val="16"/>
                <w:b w:val="1"/>
                <w:bCs w:val="1"/>
                <w:color w:val="auto"/>
              </w:rPr>
              <w:t>Basic (loss) earnings per share</w:t>
            </w:r>
          </w:p>
        </w:tc>
        <w:tc>
          <w:tcPr>
            <w:tcW w:w="2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6"/>
                <w:szCs w:val="16"/>
                <w:b w:val="1"/>
                <w:bCs w:val="1"/>
                <w:color w:val="auto"/>
              </w:rPr>
              <w:t>Diluted (loss)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(5.02)</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6.76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32.14</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(Loss) earnings per share amounts may not recalculate due to rounding.</w:t>
      </w:r>
    </w:p>
    <w:p>
      <w:pPr>
        <w:spacing w:after="0" w:line="129" w:lineRule="exact"/>
        <w:rPr>
          <w:sz w:val="20"/>
          <w:szCs w:val="20"/>
          <w:color w:val="auto"/>
        </w:rPr>
      </w:pPr>
    </w:p>
    <w:p>
      <w:pPr>
        <w:ind w:left="260" w:right="340" w:hanging="252"/>
        <w:spacing w:after="0" w:line="225" w:lineRule="auto"/>
        <w:tabs>
          <w:tab w:leader="none" w:pos="311" w:val="left"/>
        </w:tabs>
        <w:numPr>
          <w:ilvl w:val="0"/>
          <w:numId w:val="8"/>
        </w:numPr>
        <w:rPr>
          <w:rFonts w:ascii="Arial" w:cs="Arial" w:eastAsia="Arial" w:hAnsi="Arial"/>
          <w:sz w:val="13"/>
          <w:szCs w:val="13"/>
          <w:color w:val="auto"/>
        </w:rPr>
      </w:pPr>
      <w:r>
        <w:rPr>
          <w:rFonts w:ascii="Arial" w:cs="Arial" w:eastAsia="Arial" w:hAnsi="Arial"/>
          <w:sz w:val="13"/>
          <w:szCs w:val="13"/>
          <w:color w:val="auto"/>
        </w:rPr>
        <w:t>Percent of undistributed losses allocated to common stockholders is 100% in the three months ended September 30, 2023 as participating securities are not contractually obligated to share in losses.</w:t>
      </w:r>
    </w:p>
    <w:p>
      <w:pPr>
        <w:spacing w:after="0" w:line="139"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Diluted (loss) earnings per share excludes the following weighted average potential common shares, as the effect would be antidilutive, as computed under the treasury stock method: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680" w:type="dxa"/>
            <w:vAlign w:val="bottom"/>
            <w:gridSpan w:val="2"/>
          </w:tcPr>
          <w:p>
            <w:pPr>
              <w:jc w:val="right"/>
              <w:ind w:right="702"/>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602"/>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6060" w:type="dxa"/>
            <w:vAlign w:val="bottom"/>
          </w:tcPr>
          <w:p>
            <w:pPr>
              <w:spacing w:after="0"/>
              <w:rPr>
                <w:sz w:val="17"/>
                <w:szCs w:val="17"/>
                <w:color w:val="auto"/>
              </w:rPr>
            </w:pPr>
          </w:p>
        </w:tc>
        <w:tc>
          <w:tcPr>
            <w:tcW w:w="2680" w:type="dxa"/>
            <w:vAlign w:val="bottom"/>
            <w:tcBorders>
              <w:bottom w:val="single" w:sz="8" w:color="auto"/>
            </w:tcBorders>
            <w:gridSpan w:val="2"/>
          </w:tcPr>
          <w:p>
            <w:pPr>
              <w:jc w:val="right"/>
              <w:ind w:right="902"/>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04"/>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2022</w:t>
            </w:r>
          </w:p>
        </w:tc>
        <w:tc>
          <w:tcPr>
            <w:tcW w:w="1680" w:type="dxa"/>
            <w:vAlign w:val="bottom"/>
            <w:tcBorders>
              <w:bottom w:val="single" w:sz="8" w:color="auto"/>
            </w:tcBorders>
          </w:tcPr>
          <w:p>
            <w:pPr>
              <w:jc w:val="right"/>
              <w:ind w:right="964"/>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2022</w:t>
            </w:r>
          </w:p>
        </w:tc>
      </w:tr>
      <w:tr>
        <w:trPr>
          <w:trHeight w:val="225"/>
        </w:trPr>
        <w:tc>
          <w:tcPr>
            <w:tcW w:w="606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400" w:type="dxa"/>
            <w:vAlign w:val="bottom"/>
          </w:tcPr>
          <w:p>
            <w:pPr>
              <w:jc w:val="right"/>
              <w:ind w:right="204"/>
              <w:spacing w:after="0"/>
              <w:rPr>
                <w:sz w:val="20"/>
                <w:szCs w:val="20"/>
                <w:color w:val="auto"/>
              </w:rPr>
            </w:pPr>
            <w:r>
              <w:rPr>
                <w:rFonts w:ascii="Arial" w:cs="Arial" w:eastAsia="Arial" w:hAnsi="Arial"/>
                <w:sz w:val="16"/>
                <w:szCs w:val="16"/>
                <w:b w:val="1"/>
                <w:bCs w:val="1"/>
                <w:color w:val="auto"/>
              </w:rPr>
              <w:t>12</w:t>
            </w: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17</w:t>
            </w:r>
          </w:p>
        </w:tc>
        <w:tc>
          <w:tcPr>
            <w:tcW w:w="1680" w:type="dxa"/>
            <w:vAlign w:val="bottom"/>
          </w:tcPr>
          <w:p>
            <w:pPr>
              <w:jc w:val="right"/>
              <w:ind w:right="544"/>
              <w:spacing w:after="0"/>
              <w:rPr>
                <w:sz w:val="20"/>
                <w:szCs w:val="20"/>
                <w:color w:val="auto"/>
              </w:rPr>
            </w:pPr>
            <w:r>
              <w:rPr>
                <w:rFonts w:ascii="Arial" w:cs="Arial" w:eastAsia="Arial" w:hAnsi="Arial"/>
                <w:sz w:val="16"/>
                <w:szCs w:val="16"/>
                <w:b w:val="1"/>
                <w:bCs w:val="1"/>
                <w:color w:val="auto"/>
              </w:rPr>
              <w:t>10</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17</w:t>
            </w:r>
          </w:p>
        </w:tc>
      </w:tr>
      <w:tr>
        <w:trPr>
          <w:trHeight w:val="227"/>
        </w:trPr>
        <w:tc>
          <w:tcPr>
            <w:tcW w:w="6060" w:type="dxa"/>
            <w:vAlign w:val="bottom"/>
          </w:tcPr>
          <w:p>
            <w:pPr>
              <w:ind w:left="140"/>
              <w:spacing w:after="0"/>
              <w:rPr>
                <w:sz w:val="20"/>
                <w:szCs w:val="20"/>
                <w:color w:val="auto"/>
              </w:rPr>
            </w:pPr>
            <w:r>
              <w:rPr>
                <w:rFonts w:ascii="Arial" w:cs="Arial" w:eastAsia="Arial" w:hAnsi="Arial"/>
                <w:sz w:val="16"/>
                <w:szCs w:val="16"/>
                <w:color w:val="auto"/>
              </w:rPr>
              <w:t>Weighted average stock options</w:t>
            </w:r>
          </w:p>
        </w:tc>
        <w:tc>
          <w:tcPr>
            <w:tcW w:w="1400" w:type="dxa"/>
            <w:vAlign w:val="bottom"/>
          </w:tcPr>
          <w:p>
            <w:pPr>
              <w:jc w:val="right"/>
              <w:ind w:right="204"/>
              <w:spacing w:after="0"/>
              <w:rPr>
                <w:sz w:val="20"/>
                <w:szCs w:val="20"/>
                <w:color w:val="auto"/>
              </w:rPr>
            </w:pPr>
            <w:r>
              <w:rPr>
                <w:rFonts w:ascii="Arial" w:cs="Arial" w:eastAsia="Arial" w:hAnsi="Arial"/>
                <w:sz w:val="16"/>
                <w:szCs w:val="16"/>
                <w:b w:val="1"/>
                <w:bCs w:val="1"/>
                <w:color w:val="auto"/>
              </w:rPr>
              <w:t>13</w:t>
            </w: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544"/>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8"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color w:val="auto"/>
        </w:rPr>
        <w:t>The diluted (loss) earnings per share amounts for the three and nine months ended September 30, 2023 and September 30, 2022 exclude the effects of 105,000 stock options and contingently issuable shares outstanding as their inclusion would have been antidilutive due to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market condition.</w:t>
      </w:r>
    </w:p>
    <w:p>
      <w:pPr>
        <w:spacing w:after="0" w:line="146" w:lineRule="exact"/>
        <w:rPr>
          <w:sz w:val="20"/>
          <w:szCs w:val="20"/>
          <w:color w:val="auto"/>
        </w:rPr>
      </w:pPr>
    </w:p>
    <w:p>
      <w:pPr>
        <w:ind w:right="320"/>
        <w:spacing w:after="0" w:line="247" w:lineRule="auto"/>
        <w:rPr>
          <w:sz w:val="20"/>
          <w:szCs w:val="20"/>
          <w:color w:val="auto"/>
        </w:rPr>
      </w:pPr>
      <w:r>
        <w:rPr>
          <w:rFonts w:ascii="Arial" w:cs="Arial" w:eastAsia="Arial" w:hAnsi="Arial"/>
          <w:sz w:val="17"/>
          <w:szCs w:val="17"/>
          <w:color w:val="auto"/>
        </w:rPr>
        <w:t>In the three and nine months ended September 30, 2023, the Company declared regular dividends totaling $ 1.65 and $ 6.60 per common share, respectively. In the three and nine months ended September 30, 2022, the Company declared regular dividends totaling $1.58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$6.32 per common share, respectively.</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4"/>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8,490</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5,557</w:t>
            </w:r>
          </w:p>
        </w:tc>
        <w:tc>
          <w:tcPr>
            <w:tcW w:w="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25,306</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16,581</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11,559</w:t>
            </w:r>
          </w:p>
        </w:tc>
        <w:tc>
          <w:tcPr>
            <w:tcW w:w="54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7,612</w:t>
            </w:r>
          </w:p>
        </w:tc>
        <w:tc>
          <w:tcPr>
            <w:tcW w:w="3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34,652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22,893</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(38,351)</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(41,779)</w:t>
            </w:r>
          </w:p>
        </w:tc>
        <w:tc>
          <w:tcPr>
            <w:tcW w:w="3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(114,774)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(125,705)</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412</w:t>
            </w:r>
          </w:p>
        </w:tc>
        <w:tc>
          <w:tcPr>
            <w:tcW w:w="54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708</w:t>
            </w:r>
          </w:p>
        </w:tc>
        <w:tc>
          <w:tcPr>
            <w:tcW w:w="36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1,234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2,126</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(9,888)</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(17,538)</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(29,916)</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(52,306)</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(27,778)</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(45,440)</w:t>
            </w:r>
          </w:p>
        </w:tc>
        <w:tc>
          <w:tcPr>
            <w:tcW w:w="3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(83,498)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(136,411)</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9,646</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(27,778)</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(73,852)</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(136,411)</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recorded $5.5 million in expenses related to Separation Incentive Programs (SIPs) for certain</w:t>
      </w:r>
    </w:p>
    <w:p>
      <w:pPr>
        <w:spacing w:after="0" w:line="8"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Kaplan, Graham Media Group, Leaf Group, Code3 and Pinna employees, which was funded from the assets of the Company’s pension plans. In the first quarter of 2023, the Company recorded $4.1 million in expenses related to SIPs for certain Leaf Group and Code3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employees, which was funded from the assets of the Company’s pension plans.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36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r>
      <w:tr>
        <w:trPr>
          <w:trHeight w:val="201"/>
        </w:trPr>
        <w:tc>
          <w:tcPr>
            <w:tcW w:w="56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r>
      <w:tr>
        <w:trPr>
          <w:trHeight w:val="204"/>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auto"/>
            </w:tcBorders>
          </w:tcPr>
          <w:p>
            <w:pPr>
              <w:spacing w:after="0"/>
              <w:rPr>
                <w:sz w:val="17"/>
                <w:szCs w:val="17"/>
                <w:color w:val="auto"/>
              </w:rPr>
            </w:pP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40" w:type="dxa"/>
            <w:vAlign w:val="bottom"/>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148</w:t>
            </w:r>
          </w:p>
        </w:tc>
        <w:tc>
          <w:tcPr>
            <w:tcW w:w="90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920" w:type="dxa"/>
            <w:vAlign w:val="bottom"/>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444</w:t>
            </w:r>
          </w:p>
        </w:tc>
        <w:tc>
          <w:tcPr>
            <w:tcW w:w="92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w w:val="99"/>
              </w:rPr>
              <w:t>1,164</w:t>
            </w:r>
          </w:p>
        </w:tc>
        <w:tc>
          <w:tcPr>
            <w:tcW w:w="9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823</w:t>
            </w:r>
          </w:p>
        </w:tc>
        <w:tc>
          <w:tcPr>
            <w:tcW w:w="9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w w:val="99"/>
              </w:rPr>
              <w:t>3,494</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2,467</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84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9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84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9"/>
              </w:rPr>
              <w:t>1,312</w:t>
            </w:r>
          </w:p>
        </w:tc>
        <w:tc>
          <w:tcPr>
            <w:tcW w:w="9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1,225</w:t>
            </w:r>
          </w:p>
        </w:tc>
        <w:tc>
          <w:tcPr>
            <w:tcW w:w="92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9"/>
              </w:rPr>
              <w:t>3,938</w:t>
            </w:r>
          </w:p>
        </w:tc>
        <w:tc>
          <w:tcPr>
            <w:tcW w:w="9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3,676</w:t>
            </w: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p>
    <w:p>
      <w:pPr>
        <w:spacing w:after="0" w:line="1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funds, a U.S. stock index fund, and a relatively small number of stocks and high-quality fixed-income securities that are held by a third-party trustee. The assets of the Company’s pension plans were allocated as follows:</w:t>
      </w:r>
    </w:p>
    <w:p>
      <w:pPr>
        <w:spacing w:after="0" w:line="190" w:lineRule="exact"/>
        <w:rPr>
          <w:sz w:val="20"/>
          <w:szCs w:val="20"/>
          <w:color w:val="auto"/>
        </w:rPr>
      </w:pPr>
    </w:p>
    <w:tbl>
      <w:tblPr>
        <w:tblLayout w:type="fixed"/>
        <w:tblInd w:w="8240" w:type="dxa"/>
        <w:tblCellMar>
          <w:top w:w="0" w:type="dxa"/>
          <w:left w:w="0" w:type="dxa"/>
          <w:bottom w:w="0" w:type="dxa"/>
          <w:right w:w="0" w:type="dxa"/>
        </w:tblCellMar>
      </w:tblPr>
      <w:tr>
        <w:trPr>
          <w:trHeight w:val="209"/>
        </w:trPr>
        <w:tc>
          <w:tcPr>
            <w:tcW w:w="1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 of</w:t>
            </w:r>
          </w:p>
        </w:tc>
      </w:tr>
      <w:tr>
        <w:trPr>
          <w:trHeight w:val="216"/>
        </w:trPr>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Pr>
          <w:p>
            <w:pPr>
              <w:jc w:val="center"/>
              <w:ind w:left="208"/>
              <w:spacing w:after="0"/>
              <w:rPr>
                <w:sz w:val="20"/>
                <w:szCs w:val="20"/>
                <w:color w:val="auto"/>
              </w:rPr>
            </w:pPr>
            <w:r>
              <w:rPr>
                <w:rFonts w:ascii="Arial" w:cs="Arial" w:eastAsia="Arial" w:hAnsi="Arial"/>
                <w:sz w:val="14"/>
                <w:szCs w:val="14"/>
                <w:color w:val="auto"/>
              </w:rPr>
              <w:t>December 31,</w:t>
            </w:r>
          </w:p>
        </w:tc>
      </w:tr>
      <w:tr>
        <w:trPr>
          <w:trHeight w:val="200"/>
        </w:trPr>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740" w:type="dxa"/>
            <w:vAlign w:val="bottom"/>
          </w:tcPr>
          <w:p>
            <w:pPr>
              <w:jc w:val="right"/>
              <w:ind w:right="48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20" w:lineRule="exact"/>
        <w:rPr>
          <w:sz w:val="20"/>
          <w:szCs w:val="20"/>
          <w:color w:val="auto"/>
        </w:rPr>
      </w:pPr>
      <w:r>
        <w:rPr>
          <w:sz w:val="20"/>
          <w:szCs w:val="20"/>
          <w:color w:val="auto"/>
        </w:rPr>
        <w:br w:type="column"/>
      </w:r>
    </w:p>
    <w:p>
      <w:pPr>
        <w:ind w:left="80"/>
        <w:spacing w:after="0"/>
        <w:tabs>
          <w:tab w:leader="none" w:pos="1620" w:val="left"/>
        </w:tabs>
        <w:rPr>
          <w:sz w:val="20"/>
          <w:szCs w:val="20"/>
          <w:color w:val="auto"/>
        </w:rPr>
      </w:pPr>
      <w:r>
        <w:rPr>
          <w:rFonts w:ascii="Arial" w:cs="Arial" w:eastAsia="Arial" w:hAnsi="Arial"/>
          <w:sz w:val="16"/>
          <w:szCs w:val="16"/>
          <w:b w:val="1"/>
          <w:bCs w:val="1"/>
          <w:color w:val="auto"/>
        </w:rPr>
        <w:t>61 %</w:t>
      </w:r>
      <w:r>
        <w:rPr>
          <w:sz w:val="20"/>
          <w:szCs w:val="20"/>
          <w:color w:val="auto"/>
        </w:rPr>
        <w:tab/>
      </w:r>
      <w:r>
        <w:rPr>
          <w:rFonts w:ascii="Arial" w:cs="Arial" w:eastAsia="Arial" w:hAnsi="Arial"/>
          <w:sz w:val="15"/>
          <w:szCs w:val="15"/>
          <w:color w:val="auto"/>
        </w:rPr>
        <w:t>59 %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16 %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12 %</w:t>
      </w:r>
      <w:r>
        <w:rPr>
          <w:sz w:val="20"/>
          <w:szCs w:val="20"/>
          <w:color w:val="auto"/>
        </w:rPr>
        <w:tab/>
      </w:r>
      <w:r>
        <w:rPr>
          <w:rFonts w:ascii="Arial" w:cs="Arial" w:eastAsia="Arial" w:hAnsi="Arial"/>
          <w:sz w:val="15"/>
          <w:szCs w:val="15"/>
          <w:color w:val="auto"/>
        </w:rPr>
        <w:t>11 %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6 %</w:t>
      </w:r>
      <w:r>
        <w:rPr>
          <w:sz w:val="20"/>
          <w:szCs w:val="20"/>
          <w:color w:val="auto"/>
        </w:rPr>
        <w:tab/>
      </w:r>
      <w:r>
        <w:rPr>
          <w:rFonts w:ascii="Arial" w:cs="Arial" w:eastAsia="Arial" w:hAnsi="Arial"/>
          <w:sz w:val="16"/>
          <w:szCs w:val="16"/>
          <w:color w:val="auto"/>
        </w:rPr>
        <w:t>7 %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4 %</w:t>
      </w:r>
      <w:r>
        <w:rPr>
          <w:sz w:val="20"/>
          <w:szCs w:val="20"/>
          <w:color w:val="auto"/>
        </w:rPr>
        <w:tab/>
      </w: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31750</wp:posOffset>
            </wp:positionV>
            <wp:extent cx="1903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31750</wp:posOffset>
            </wp:positionV>
            <wp:extent cx="1903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57785</wp:posOffset>
            </wp:positionV>
            <wp:extent cx="1903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5" w:right="339" w:bottom="1440" w:gutter="0" w:footer="0" w:header="0"/>
          <w:type w:val="continuous"/>
        </w:sectPr>
      </w:pPr>
    </w:p>
    <w:p>
      <w:pPr>
        <w:spacing w:after="0" w:line="13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Company manages approximately 42% of the pension assets internally, of which the majority is invested in private investment funds with the remaining investments in Berkshire Hathaway and Markel stock, a U.S. stock index fund, and short-term fixed-income securities. The</w:t>
      </w:r>
    </w:p>
    <w:p>
      <w:pPr>
        <w:spacing w:after="0" w:line="236" w:lineRule="auto"/>
        <w:rPr>
          <w:sz w:val="20"/>
          <w:szCs w:val="20"/>
          <w:color w:val="auto"/>
        </w:rPr>
      </w:pPr>
      <w:r>
        <w:rPr>
          <w:rFonts w:ascii="Arial" w:cs="Arial" w:eastAsia="Arial" w:hAnsi="Arial"/>
          <w:sz w:val="18"/>
          <w:szCs w:val="18"/>
          <w:color w:val="auto"/>
        </w:rPr>
        <w:t>remaining 58% of plan assets are managed by two investment companies. The goal of the investment managers is to produce moderate</w:t>
      </w:r>
    </w:p>
    <w:p>
      <w:pPr>
        <w:ind w:right="80"/>
        <w:spacing w:after="0"/>
        <w:rPr>
          <w:sz w:val="20"/>
          <w:szCs w:val="20"/>
          <w:color w:val="auto"/>
        </w:rPr>
      </w:pPr>
      <w:r>
        <w:rPr>
          <w:rFonts w:ascii="Arial" w:cs="Arial" w:eastAsia="Arial" w:hAnsi="Arial"/>
          <w:sz w:val="17"/>
          <w:szCs w:val="17"/>
          <w:color w:val="auto"/>
        </w:rPr>
        <w:t>long-term growth in the value of these assets, while protecting them against large decreases in value. Both investment managers may invest in a combination of equity and fixed-income securities and cash. The managers are not permitted to invest in securities of the Company or in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alternative investments. One investment manager cannot invest more than 15% of the assets at the time of purchase in the stock of Alphabet and Berkshire Hathaway, and no more than 35% of the assets it manages in specified international exchanges at the time the investment is</w:t>
      </w:r>
    </w:p>
    <w:p>
      <w:pPr>
        <w:spacing w:after="0" w:line="236" w:lineRule="auto"/>
        <w:rPr>
          <w:sz w:val="20"/>
          <w:szCs w:val="20"/>
          <w:color w:val="auto"/>
        </w:rPr>
      </w:pPr>
      <w:r>
        <w:rPr>
          <w:rFonts w:ascii="Arial" w:cs="Arial" w:eastAsia="Arial" w:hAnsi="Arial"/>
          <w:sz w:val="18"/>
          <w:szCs w:val="18"/>
          <w:color w:val="auto"/>
        </w:rPr>
        <w:t>made. The other investment manager cannot invest more than 20% of the assets at the time of purchase in the stock of Berkshire Hathaway,</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and no more than 15% of the assets it manages in specified international exchanges at the time the investment is made, and no less than 10% of the assets could be invested in fixed-income securities. Excluding the exceptions noted above, the investment managers cannot</w:t>
      </w:r>
    </w:p>
    <w:p>
      <w:pPr>
        <w:spacing w:after="0" w:line="2"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invest more than 10% of the assets in the securities of any other single issuer, except for obligations of the U.S. Government, without receiving prior approval from the Plan administrator.</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w:t>
      </w:r>
    </w:p>
    <w:p>
      <w:pPr>
        <w:spacing w:after="0" w:line="8"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than 10% of plan assets) of credit risk as of September 30, 2023. Types of concentrations that were evaluated include, but are not limited to, investment concentrations in a single entity, type of industry, foreign country and individual fund. At September 30, 2023, the pension plan</w:t>
      </w:r>
    </w:p>
    <w:p>
      <w:pPr>
        <w:spacing w:after="0" w:line="236" w:lineRule="auto"/>
        <w:rPr>
          <w:sz w:val="20"/>
          <w:szCs w:val="20"/>
          <w:color w:val="auto"/>
        </w:rPr>
      </w:pPr>
      <w:r>
        <w:rPr>
          <w:rFonts w:ascii="Arial" w:cs="Arial" w:eastAsia="Arial" w:hAnsi="Arial"/>
          <w:sz w:val="18"/>
          <w:szCs w:val="18"/>
          <w:color w:val="auto"/>
        </w:rPr>
        <w:t>held investments in one common stock and one private investment fund that exceeded 10% of total plan assets, valued at $966.4 million, or</w:t>
      </w:r>
    </w:p>
    <w:p>
      <w:pPr>
        <w:spacing w:after="0" w:line="1"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approximately 35% of total plan assets. At December 31, 2022, the pension plan held investments in one common stock and one private investment fund that exceeded 10% of total plan assets, valued at $842.6 million, or approximately 33% of total plan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56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2022</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38</w:t>
            </w:r>
          </w:p>
        </w:tc>
        <w:tc>
          <w:tcPr>
            <w:tcW w:w="92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112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73</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880" w:type="dxa"/>
            <w:vAlign w:val="bottom"/>
          </w:tcPr>
          <w:p>
            <w:pPr>
              <w:spacing w:after="0"/>
              <w:rPr>
                <w:sz w:val="19"/>
                <w:szCs w:val="19"/>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b w:val="1"/>
                <w:bCs w:val="1"/>
                <w:color w:val="auto"/>
              </w:rPr>
              <w:t>(4)</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(585)</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(1,757)</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(549)</w:t>
            </w:r>
          </w:p>
        </w:tc>
        <w:tc>
          <w:tcPr>
            <w:tcW w:w="9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(1,649)</w:t>
            </w: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r>
      <w:tr>
        <w:trPr>
          <w:trHeight w:val="21"/>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NON-OPERATING INCOME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5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r>
      <w:tr>
        <w:trPr>
          <w:trHeight w:val="225"/>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businesses</w:t>
            </w:r>
          </w:p>
        </w:tc>
        <w:tc>
          <w:tcPr>
            <w:tcW w:w="840" w:type="dxa"/>
            <w:vAlign w:val="bottom"/>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20"/>
              <w:spacing w:after="0"/>
              <w:rPr>
                <w:sz w:val="20"/>
                <w:szCs w:val="20"/>
                <w:color w:val="auto"/>
              </w:rPr>
            </w:pPr>
            <w:r>
              <w:rPr>
                <w:rFonts w:ascii="Arial" w:cs="Arial" w:eastAsia="Arial" w:hAnsi="Arial"/>
                <w:sz w:val="16"/>
                <w:szCs w:val="16"/>
                <w:b w:val="1"/>
                <w:bCs w:val="1"/>
                <w:color w:val="auto"/>
                <w:w w:val="99"/>
              </w:rPr>
              <w:t>1,136</w:t>
            </w:r>
          </w:p>
        </w:tc>
        <w:tc>
          <w:tcPr>
            <w:tcW w:w="90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1,376</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14,368</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3,074</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color w:val="auto"/>
              </w:rPr>
              <w:t>Gain on cost method investments</w:t>
            </w:r>
          </w:p>
        </w:tc>
        <w:tc>
          <w:tcPr>
            <w:tcW w:w="840" w:type="dxa"/>
            <w:vAlign w:val="bottom"/>
          </w:tcPr>
          <w:p>
            <w:pPr>
              <w:spacing w:after="0"/>
              <w:rPr>
                <w:sz w:val="19"/>
                <w:szCs w:val="19"/>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560</w:t>
            </w:r>
          </w:p>
        </w:tc>
        <w:tc>
          <w:tcPr>
            <w:tcW w:w="38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3,104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Foreign currency gain (loss), net</w:t>
            </w:r>
          </w:p>
        </w:tc>
        <w:tc>
          <w:tcPr>
            <w:tcW w:w="840" w:type="dxa"/>
            <w:vAlign w:val="bottom"/>
          </w:tcPr>
          <w:p>
            <w:pPr>
              <w:spacing w:after="0"/>
              <w:rPr>
                <w:sz w:val="19"/>
                <w:szCs w:val="19"/>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b w:val="1"/>
                <w:bCs w:val="1"/>
                <w:color w:val="auto"/>
                <w:w w:val="99"/>
              </w:rPr>
              <w:t>1,720</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(448)</w:t>
            </w:r>
          </w:p>
        </w:tc>
        <w:tc>
          <w:tcPr>
            <w:tcW w:w="38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1,820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(1,973)</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840" w:type="dxa"/>
            <w:vAlign w:val="bottom"/>
          </w:tcPr>
          <w:p>
            <w:pPr>
              <w:spacing w:after="0"/>
              <w:rPr>
                <w:sz w:val="19"/>
                <w:szCs w:val="19"/>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b w:val="1"/>
                <w:bCs w:val="1"/>
                <w:color w:val="auto"/>
              </w:rPr>
              <w:t>127</w:t>
            </w:r>
          </w:p>
        </w:tc>
        <w:tc>
          <w:tcPr>
            <w:tcW w:w="90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958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investments in affiliates</w:t>
            </w:r>
          </w:p>
        </w:tc>
        <w:tc>
          <w:tcPr>
            <w:tcW w:w="840" w:type="dxa"/>
            <w:vAlign w:val="bottom"/>
          </w:tcPr>
          <w:p>
            <w:pPr>
              <w:spacing w:after="0"/>
              <w:rPr>
                <w:sz w:val="19"/>
                <w:szCs w:val="19"/>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Other gain, net</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598</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862</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2,193</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84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99"/>
              </w:rPr>
              <w:t>3,581</w:t>
            </w:r>
          </w:p>
        </w:tc>
        <w:tc>
          <w:tcPr>
            <w:tcW w:w="9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2,358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22,458</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6,410</w:t>
            </w:r>
          </w:p>
        </w:tc>
      </w:tr>
      <w:tr>
        <w:trPr>
          <w:trHeight w:val="21"/>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gain on cost method investments resulted from observable price changes in the fair value of the underlying equity securities accounted for under the cost method (see Notes 3 and 8).</w:t>
      </w:r>
    </w:p>
    <w:p>
      <w:pPr>
        <w:spacing w:after="0" w:line="11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During the three and nine months ended September 30, 2023, the Company recorded contingent consideration gains of $ 1.1 million and $4.3 million, respectively, related to the disposition of Kaplan University (KU) in 2018. During the three and nine months ended September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2022, the Company recorded contingent consideration gains of $1.4 million and $3.1 million, respectively.</w:t>
      </w:r>
    </w:p>
    <w:p>
      <w:pPr>
        <w:spacing w:after="0" w:line="13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 the second quarter of 2023, the Company recorded a $10.0 million gain related to the Pinna transaction (see Notes 2 and 3). The Company used a market approach to determine the fair value of the noncontrolling financial interest received in Realm in exchange for the Pinna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0"/>
        </w:trPr>
        <w:tc>
          <w:tcPr>
            <w:tcW w:w="4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800" w:type="dxa"/>
            <w:vAlign w:val="bottom"/>
          </w:tcPr>
          <w:p>
            <w:pPr>
              <w:jc w:val="right"/>
              <w:ind w:right="14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920" w:type="dxa"/>
            <w:vAlign w:val="bottom"/>
          </w:tcPr>
          <w:p>
            <w:pPr>
              <w:jc w:val="right"/>
              <w:ind w:right="16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80" w:type="dxa"/>
            <w:vAlign w:val="bottom"/>
          </w:tcPr>
          <w:p>
            <w:pPr>
              <w:jc w:val="center"/>
              <w:ind w:right="121"/>
              <w:spacing w:after="0"/>
              <w:rPr>
                <w:sz w:val="20"/>
                <w:szCs w:val="20"/>
                <w:color w:val="auto"/>
              </w:rPr>
            </w:pPr>
            <w:r>
              <w:rPr>
                <w:rFonts w:ascii="Arial" w:cs="Arial" w:eastAsia="Arial" w:hAnsi="Arial"/>
                <w:sz w:val="14"/>
                <w:szCs w:val="14"/>
                <w:color w:val="auto"/>
              </w:rPr>
              <w:t>Before-Tax</w:t>
            </w:r>
          </w:p>
        </w:tc>
        <w:tc>
          <w:tcPr>
            <w:tcW w:w="200" w:type="dxa"/>
            <w:vAlign w:val="bottom"/>
          </w:tcPr>
          <w:p>
            <w:pPr>
              <w:spacing w:after="0"/>
              <w:rPr>
                <w:sz w:val="17"/>
                <w:szCs w:val="17"/>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7"/>
                <w:szCs w:val="17"/>
                <w:color w:val="auto"/>
              </w:rPr>
            </w:pPr>
          </w:p>
        </w:tc>
        <w:tc>
          <w:tcPr>
            <w:tcW w:w="860" w:type="dxa"/>
            <w:vAlign w:val="bottom"/>
          </w:tcPr>
          <w:p>
            <w:pPr>
              <w:ind w:left="80"/>
              <w:spacing w:after="0"/>
              <w:rPr>
                <w:sz w:val="20"/>
                <w:szCs w:val="20"/>
                <w:color w:val="auto"/>
              </w:rPr>
            </w:pPr>
            <w:r>
              <w:rPr>
                <w:rFonts w:ascii="Arial" w:cs="Arial" w:eastAsia="Arial" w:hAnsi="Arial"/>
                <w:sz w:val="14"/>
                <w:szCs w:val="14"/>
                <w:color w:val="auto"/>
              </w:rPr>
              <w:t>After-Tax</w:t>
            </w:r>
          </w:p>
        </w:tc>
      </w:tr>
      <w:tr>
        <w:trPr>
          <w:trHeight w:val="22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Tax</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Amount</w:t>
            </w:r>
          </w:p>
        </w:tc>
      </w:tr>
      <w:tr>
        <w:trPr>
          <w:trHeight w:val="210"/>
        </w:trPr>
        <w:tc>
          <w:tcPr>
            <w:tcW w:w="46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46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(19,474)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(19,474)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(44,260)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(44,260)</w:t>
            </w:r>
          </w:p>
        </w:tc>
      </w:tr>
      <w:tr>
        <w:trPr>
          <w:trHeight w:val="218"/>
        </w:trPr>
        <w:tc>
          <w:tcPr>
            <w:tcW w:w="464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46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410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2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305</w:t>
            </w:r>
          </w:p>
        </w:tc>
        <w:tc>
          <w:tcPr>
            <w:tcW w:w="200" w:type="dxa"/>
            <w:vAlign w:val="bottom"/>
          </w:tcPr>
          <w:p>
            <w:pPr>
              <w:spacing w:after="0"/>
              <w:rPr>
                <w:sz w:val="21"/>
                <w:szCs w:val="21"/>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716</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w:t>
            </w:r>
          </w:p>
        </w:tc>
        <w:tc>
          <w:tcPr>
            <w:tcW w:w="24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531</w:t>
            </w:r>
          </w:p>
        </w:tc>
      </w:tr>
      <w:tr>
        <w:trPr>
          <w:trHeight w:val="233"/>
        </w:trPr>
        <w:tc>
          <w:tcPr>
            <w:tcW w:w="464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(10,473)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2,694</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(7,779)</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(18,083)</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4,661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(13,422)</w:t>
            </w:r>
          </w:p>
        </w:tc>
      </w:tr>
      <w:tr>
        <w:trPr>
          <w:trHeight w:val="224"/>
        </w:trPr>
        <w:tc>
          <w:tcPr>
            <w:tcW w:w="4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(10,063)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2,589</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(7,474)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(17,367)</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4,476</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(12,891)</w:t>
            </w:r>
          </w:p>
        </w:tc>
      </w:tr>
      <w:tr>
        <w:trPr>
          <w:trHeight w:val="206"/>
        </w:trPr>
        <w:tc>
          <w:tcPr>
            <w:tcW w:w="464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5"/>
        </w:trPr>
        <w:tc>
          <w:tcPr>
            <w:tcW w:w="4640" w:type="dxa"/>
            <w:vAlign w:val="bottom"/>
          </w:tcPr>
          <w:p>
            <w:pPr>
              <w:ind w:left="140"/>
              <w:spacing w:after="0"/>
              <w:rPr>
                <w:sz w:val="20"/>
                <w:szCs w:val="20"/>
                <w:color w:val="auto"/>
              </w:rPr>
            </w:pPr>
            <w:r>
              <w:rPr>
                <w:rFonts w:ascii="Arial" w:cs="Arial" w:eastAsia="Arial" w:hAnsi="Arial"/>
                <w:sz w:val="16"/>
                <w:szCs w:val="16"/>
                <w:color w:val="auto"/>
              </w:rPr>
              <w:t>(Losses) gains for the period</w:t>
            </w: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(3,824)</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(2,945)</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2,202</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1,696</w:t>
            </w:r>
          </w:p>
        </w:tc>
      </w:tr>
      <w:tr>
        <w:trPr>
          <w:trHeight w:val="227"/>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(29,893)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(59,425)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(55,455)</w:t>
            </w:r>
          </w:p>
        </w:tc>
      </w:tr>
      <w:tr>
        <w:trPr>
          <w:trHeight w:val="21"/>
        </w:trPr>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24"/>
        </w:trPr>
        <w:tc>
          <w:tcPr>
            <w:tcW w:w="4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0"/>
        </w:trPr>
        <w:tc>
          <w:tcPr>
            <w:tcW w:w="4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Before-Tax</w:t>
            </w:r>
          </w:p>
        </w:tc>
        <w:tc>
          <w:tcPr>
            <w:tcW w:w="220" w:type="dxa"/>
            <w:vAlign w:val="bottom"/>
          </w:tcPr>
          <w:p>
            <w:pPr>
              <w:spacing w:after="0"/>
              <w:rPr>
                <w:sz w:val="17"/>
                <w:szCs w:val="17"/>
                <w:color w:val="auto"/>
              </w:rPr>
            </w:pPr>
          </w:p>
        </w:tc>
        <w:tc>
          <w:tcPr>
            <w:tcW w:w="800" w:type="dxa"/>
            <w:vAlign w:val="bottom"/>
          </w:tcPr>
          <w:p>
            <w:pPr>
              <w:jc w:val="center"/>
              <w:ind w:right="16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920" w:type="dxa"/>
            <w:vAlign w:val="bottom"/>
          </w:tcPr>
          <w:p>
            <w:pPr>
              <w:jc w:val="right"/>
              <w:ind w:right="20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80" w:type="dxa"/>
            <w:vAlign w:val="bottom"/>
          </w:tcPr>
          <w:p>
            <w:pPr>
              <w:jc w:val="center"/>
              <w:ind w:right="161"/>
              <w:spacing w:after="0"/>
              <w:rPr>
                <w:sz w:val="20"/>
                <w:szCs w:val="20"/>
                <w:color w:val="auto"/>
              </w:rPr>
            </w:pPr>
            <w:r>
              <w:rPr>
                <w:rFonts w:ascii="Arial" w:cs="Arial" w:eastAsia="Arial" w:hAnsi="Arial"/>
                <w:sz w:val="14"/>
                <w:szCs w:val="14"/>
                <w:color w:val="auto"/>
              </w:rPr>
              <w:t>Before-Tax</w:t>
            </w:r>
          </w:p>
        </w:tc>
        <w:tc>
          <w:tcPr>
            <w:tcW w:w="200" w:type="dxa"/>
            <w:vAlign w:val="bottom"/>
          </w:tcPr>
          <w:p>
            <w:pPr>
              <w:spacing w:after="0"/>
              <w:rPr>
                <w:sz w:val="17"/>
                <w:szCs w:val="17"/>
                <w:color w:val="auto"/>
              </w:rPr>
            </w:pPr>
          </w:p>
        </w:tc>
        <w:tc>
          <w:tcPr>
            <w:tcW w:w="820" w:type="dxa"/>
            <w:vAlign w:val="bottom"/>
          </w:tcPr>
          <w:p>
            <w:pPr>
              <w:jc w:val="center"/>
              <w:ind w:right="18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7"/>
                <w:szCs w:val="17"/>
                <w:color w:val="auto"/>
              </w:rPr>
            </w:pPr>
          </w:p>
        </w:tc>
        <w:tc>
          <w:tcPr>
            <w:tcW w:w="860" w:type="dxa"/>
            <w:vAlign w:val="bottom"/>
          </w:tcPr>
          <w:p>
            <w:pPr>
              <w:jc w:val="right"/>
              <w:ind w:right="161"/>
              <w:spacing w:after="0"/>
              <w:rPr>
                <w:sz w:val="20"/>
                <w:szCs w:val="20"/>
                <w:color w:val="auto"/>
              </w:rPr>
            </w:pPr>
            <w:r>
              <w:rPr>
                <w:rFonts w:ascii="Arial" w:cs="Arial" w:eastAsia="Arial" w:hAnsi="Arial"/>
                <w:sz w:val="14"/>
                <w:szCs w:val="14"/>
                <w:color w:val="auto"/>
              </w:rPr>
              <w:t>After-Tax</w:t>
            </w:r>
          </w:p>
        </w:tc>
      </w:tr>
      <w:tr>
        <w:trPr>
          <w:trHeight w:val="22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color w:val="auto"/>
              </w:rPr>
              <w:t>Tax</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Amount</w:t>
            </w:r>
          </w:p>
        </w:tc>
      </w:tr>
      <w:tr>
        <w:trPr>
          <w:trHeight w:val="210"/>
        </w:trPr>
        <w:tc>
          <w:tcPr>
            <w:tcW w:w="46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46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(8,096)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(8,096)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(86,926)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(86,926)</w:t>
            </w:r>
          </w:p>
        </w:tc>
      </w:tr>
      <w:tr>
        <w:trPr>
          <w:trHeight w:val="218"/>
        </w:trPr>
        <w:tc>
          <w:tcPr>
            <w:tcW w:w="464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2"/>
        </w:trPr>
        <w:tc>
          <w:tcPr>
            <w:tcW w:w="46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1,230</w:t>
            </w:r>
          </w:p>
        </w:tc>
        <w:tc>
          <w:tcPr>
            <w:tcW w:w="220" w:type="dxa"/>
            <w:vAlign w:val="bottom"/>
          </w:tcPr>
          <w:p>
            <w:pPr>
              <w:spacing w:after="0"/>
              <w:rPr>
                <w:sz w:val="21"/>
                <w:szCs w:val="21"/>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(316)</w:t>
            </w:r>
          </w:p>
        </w:tc>
        <w:tc>
          <w:tcPr>
            <w:tcW w:w="24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b w:val="1"/>
                <w:bCs w:val="1"/>
                <w:color w:val="auto"/>
              </w:rPr>
              <w:t>914</w:t>
            </w:r>
          </w:p>
        </w:tc>
        <w:tc>
          <w:tcPr>
            <w:tcW w:w="20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2,148</w:t>
            </w:r>
          </w:p>
        </w:tc>
        <w:tc>
          <w:tcPr>
            <w:tcW w:w="20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(554)</w:t>
            </w:r>
          </w:p>
        </w:tc>
        <w:tc>
          <w:tcPr>
            <w:tcW w:w="24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1,594</w:t>
            </w:r>
          </w:p>
        </w:tc>
      </w:tr>
      <w:tr>
        <w:trPr>
          <w:trHeight w:val="233"/>
        </w:trPr>
        <w:tc>
          <w:tcPr>
            <w:tcW w:w="464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(31,673)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8,147</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(23,526)</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(53,939)</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13,902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(40,037)</w:t>
            </w:r>
          </w:p>
        </w:tc>
      </w:tr>
      <w:tr>
        <w:trPr>
          <w:trHeight w:val="224"/>
        </w:trPr>
        <w:tc>
          <w:tcPr>
            <w:tcW w:w="4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(30,443)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7,831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(22,612)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(51,791)</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13,348</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(38,443)</w:t>
            </w:r>
          </w:p>
        </w:tc>
      </w:tr>
      <w:tr>
        <w:trPr>
          <w:trHeight w:val="206"/>
        </w:trPr>
        <w:tc>
          <w:tcPr>
            <w:tcW w:w="464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5"/>
        </w:trPr>
        <w:tc>
          <w:tcPr>
            <w:tcW w:w="4640" w:type="dxa"/>
            <w:vAlign w:val="bottom"/>
          </w:tcPr>
          <w:p>
            <w:pPr>
              <w:ind w:left="140"/>
              <w:spacing w:after="0"/>
              <w:rPr>
                <w:sz w:val="20"/>
                <w:szCs w:val="20"/>
                <w:color w:val="auto"/>
              </w:rPr>
            </w:pPr>
            <w:r>
              <w:rPr>
                <w:rFonts w:ascii="Arial" w:cs="Arial" w:eastAsia="Arial" w:hAnsi="Arial"/>
                <w:sz w:val="16"/>
                <w:szCs w:val="16"/>
                <w:color w:val="auto"/>
              </w:rPr>
              <w:t>(Losses) gains for the period</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(3,566)</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820</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(2,746)</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4,935</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(1,135)</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3,800</w:t>
            </w:r>
          </w:p>
        </w:tc>
      </w:tr>
      <w:tr>
        <w:trPr>
          <w:trHeight w:val="227"/>
        </w:trPr>
        <w:tc>
          <w:tcPr>
            <w:tcW w:w="46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(42,105)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8,651</w:t>
            </w: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(33,454)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(133,782)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12,213</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(121,569)</w:t>
            </w:r>
          </w:p>
        </w:tc>
      </w:tr>
      <w:tr>
        <w:trPr>
          <w:trHeight w:val="20"/>
        </w:trPr>
        <w:tc>
          <w:tcPr>
            <w:tcW w:w="4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4"/>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(54,638)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388,591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2,198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336,151</w:t>
            </w:r>
          </w:p>
        </w:tc>
        <w:tc>
          <w:tcPr>
            <w:tcW w:w="0" w:type="dxa"/>
            <w:vAlign w:val="bottom"/>
          </w:tcPr>
          <w:p>
            <w:pPr>
              <w:spacing w:after="0"/>
              <w:rPr>
                <w:sz w:val="1"/>
                <w:szCs w:val="1"/>
                <w:color w:val="auto"/>
              </w:rPr>
            </w:pPr>
          </w:p>
        </w:tc>
      </w:tr>
      <w:tr>
        <w:trPr>
          <w:trHeight w:val="242"/>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1"/>
                <w:szCs w:val="21"/>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(8,096)</w:t>
            </w:r>
          </w:p>
        </w:tc>
        <w:tc>
          <w:tcPr>
            <w:tcW w:w="200" w:type="dxa"/>
            <w:vAlign w:val="bottom"/>
          </w:tcPr>
          <w:p>
            <w:pPr>
              <w:spacing w:after="0"/>
              <w:rPr>
                <w:sz w:val="21"/>
                <w:szCs w:val="21"/>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2,491</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(5,605)</w:t>
            </w:r>
          </w:p>
        </w:tc>
        <w:tc>
          <w:tcPr>
            <w:tcW w:w="0" w:type="dxa"/>
            <w:vAlign w:val="bottom"/>
          </w:tcPr>
          <w:p>
            <w:pPr>
              <w:spacing w:after="0"/>
              <w:rPr>
                <w:sz w:val="1"/>
                <w:szCs w:val="1"/>
                <w:color w:val="auto"/>
              </w:rPr>
            </w:pPr>
          </w:p>
        </w:tc>
      </w:tr>
      <w:tr>
        <w:trPr>
          <w:trHeight w:val="178"/>
        </w:trPr>
        <w:tc>
          <w:tcPr>
            <w:tcW w:w="5760" w:type="dxa"/>
            <w:vAlign w:val="bottom"/>
          </w:tcPr>
          <w:p>
            <w:pPr>
              <w:ind w:left="140"/>
              <w:spacing w:after="0" w:line="178"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(22,612)</w:t>
            </w:r>
          </w:p>
        </w:tc>
        <w:tc>
          <w:tcPr>
            <w:tcW w:w="160" w:type="dxa"/>
            <w:vAlign w:val="bottom"/>
          </w:tcPr>
          <w:p>
            <w:pPr>
              <w:spacing w:after="0"/>
              <w:rPr>
                <w:sz w:val="15"/>
                <w:szCs w:val="15"/>
                <w:color w:val="auto"/>
              </w:rPr>
            </w:pPr>
          </w:p>
        </w:tc>
        <w:tc>
          <w:tcPr>
            <w:tcW w:w="94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(5,237)</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(27,849)</w:t>
            </w:r>
          </w:p>
        </w:tc>
        <w:tc>
          <w:tcPr>
            <w:tcW w:w="0" w:type="dxa"/>
            <w:vAlign w:val="bottom"/>
          </w:tcPr>
          <w:p>
            <w:pPr>
              <w:spacing w:after="0"/>
              <w:rPr>
                <w:sz w:val="1"/>
                <w:szCs w:val="1"/>
                <w:color w:val="auto"/>
              </w:rPr>
            </w:pPr>
          </w:p>
        </w:tc>
      </w:tr>
      <w:tr>
        <w:trPr>
          <w:trHeight w:val="228"/>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(8,096)</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(22,612)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(2,746)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(33,454)</w:t>
            </w: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(62,734)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365,979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302,697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7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2120" w:type="dxa"/>
            <w:vAlign w:val="bottom"/>
            <w:gridSpan w:val="2"/>
            <w:vMerge w:val="restart"/>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September 30</w:t>
            </w: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2"/>
                <w:szCs w:val="12"/>
                <w:color w:val="auto"/>
              </w:rPr>
            </w:pPr>
          </w:p>
        </w:tc>
        <w:tc>
          <w:tcPr>
            <w:tcW w:w="2120" w:type="dxa"/>
            <w:vAlign w:val="bottom"/>
            <w:tcBorders>
              <w:bottom w:val="single" w:sz="8" w:color="auto"/>
            </w:tcBorders>
            <w:gridSpan w:val="2"/>
            <w:vMerge w:val="continue"/>
          </w:tcPr>
          <w:p>
            <w:pPr>
              <w:spacing w:after="0"/>
              <w:rPr>
                <w:sz w:val="12"/>
                <w:szCs w:val="12"/>
                <w:color w:val="auto"/>
              </w:rPr>
            </w:pPr>
          </w:p>
        </w:tc>
        <w:tc>
          <w:tcPr>
            <w:tcW w:w="2140" w:type="dxa"/>
            <w:vAlign w:val="bottom"/>
            <w:tcBorders>
              <w:bottom w:val="single" w:sz="8" w:color="auto"/>
            </w:tcBorders>
            <w:gridSpan w:val="2"/>
            <w:vMerge w:val="continue"/>
          </w:tcPr>
          <w:p>
            <w:pPr>
              <w:spacing w:after="0"/>
              <w:rPr>
                <w:sz w:val="12"/>
                <w:szCs w:val="12"/>
                <w:color w:val="auto"/>
              </w:rPr>
            </w:pPr>
          </w:p>
        </w:tc>
        <w:tc>
          <w:tcPr>
            <w:tcW w:w="2700" w:type="dxa"/>
            <w:vAlign w:val="bottom"/>
          </w:tcPr>
          <w:p>
            <w:pPr>
              <w:jc w:val="center"/>
              <w:ind w:left="128"/>
              <w:spacing w:after="0" w:line="12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94"/>
        </w:trPr>
        <w:tc>
          <w:tcPr>
            <w:tcW w:w="4180" w:type="dxa"/>
            <w:vAlign w:val="bottom"/>
          </w:tcPr>
          <w:p>
            <w:pPr>
              <w:spacing w:after="0"/>
              <w:rPr>
                <w:sz w:val="20"/>
                <w:szCs w:val="20"/>
                <w:color w:val="auto"/>
              </w:rPr>
            </w:pPr>
            <w:r>
              <w:rPr>
                <w:rFonts w:ascii="Arial" w:cs="Arial" w:eastAsia="Arial" w:hAnsi="Arial"/>
                <w:sz w:val="14"/>
                <w:szCs w:val="14"/>
                <w:color w:val="auto"/>
              </w:rPr>
              <w:t>(in thousands)</w:t>
            </w: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2022</w:t>
            </w:r>
          </w:p>
        </w:tc>
        <w:tc>
          <w:tcPr>
            <w:tcW w:w="1100" w:type="dxa"/>
            <w:vAlign w:val="bottom"/>
          </w:tcPr>
          <w:p>
            <w:pPr>
              <w:ind w:left="400"/>
              <w:spacing w:after="0"/>
              <w:rPr>
                <w:sz w:val="20"/>
                <w:szCs w:val="20"/>
                <w:color w:val="auto"/>
              </w:rPr>
            </w:pPr>
            <w:r>
              <w:rPr>
                <w:rFonts w:ascii="Arial" w:cs="Arial" w:eastAsia="Arial" w:hAnsi="Arial"/>
                <w:sz w:val="14"/>
                <w:szCs w:val="14"/>
                <w:b w:val="1"/>
                <w:bCs w:val="1"/>
                <w:color w:val="auto"/>
              </w:rPr>
              <w:t>2023</w:t>
            </w:r>
          </w:p>
        </w:tc>
        <w:tc>
          <w:tcPr>
            <w:tcW w:w="104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2700" w:type="dxa"/>
            <w:vAlign w:val="bottom"/>
          </w:tcPr>
          <w:p>
            <w:pPr>
              <w:jc w:val="center"/>
              <w:ind w:left="10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410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716</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1,230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2,148</w:t>
            </w:r>
          </w:p>
        </w:tc>
        <w:tc>
          <w:tcPr>
            <w:tcW w:w="278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420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(10,473)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(31,673)</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(53,939)</w:t>
            </w:r>
          </w:p>
        </w:tc>
        <w:tc>
          <w:tcPr>
            <w:tcW w:w="278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(10,063)</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(17,367)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(30,443)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(51,791)</w:t>
            </w:r>
          </w:p>
        </w:tc>
        <w:tc>
          <w:tcPr>
            <w:tcW w:w="278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2,589</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4,476</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7,831</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13,348</w:t>
            </w:r>
          </w:p>
        </w:tc>
        <w:tc>
          <w:tcPr>
            <w:tcW w:w="278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4"/>
        </w:trPr>
        <w:tc>
          <w:tcPr>
            <w:tcW w:w="4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(7,474)</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(22,612)</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(38,443)</w:t>
            </w:r>
          </w:p>
        </w:tc>
        <w:tc>
          <w:tcPr>
            <w:tcW w:w="278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4"/>
        </w:trPr>
        <w:tc>
          <w:tcPr>
            <w:tcW w:w="4200" w:type="dxa"/>
            <w:vAlign w:val="bottom"/>
          </w:tcPr>
          <w:p>
            <w:pPr>
              <w:ind w:left="40"/>
              <w:spacing w:after="0"/>
              <w:rPr>
                <w:sz w:val="20"/>
                <w:szCs w:val="20"/>
                <w:color w:val="auto"/>
              </w:rPr>
            </w:pPr>
            <w:r>
              <w:rPr>
                <w:rFonts w:ascii="Arial" w:cs="Arial" w:eastAsia="Arial" w:hAnsi="Arial"/>
                <w:sz w:val="16"/>
                <w:szCs w:val="16"/>
                <w:color w:val="auto"/>
              </w:rPr>
              <w:t>Cash Flow Hedges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(4,828)</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(5,237)</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27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(12,302)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(27,849)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(37,985)</w:t>
            </w:r>
          </w:p>
        </w:tc>
        <w:tc>
          <w:tcPr>
            <w:tcW w:w="278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42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120" w:hanging="412"/>
        <w:spacing w:after="0" w:line="258" w:lineRule="auto"/>
        <w:tabs>
          <w:tab w:leader="none" w:pos="351"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p>
    <w:p>
      <w:pPr>
        <w:spacing w:after="0" w:line="18"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w:t>
      </w:r>
    </w:p>
    <w:p>
      <w:pPr>
        <w:spacing w:after="0" w:line="236" w:lineRule="auto"/>
        <w:rPr>
          <w:sz w:val="20"/>
          <w:szCs w:val="20"/>
          <w:color w:val="auto"/>
        </w:rPr>
      </w:pPr>
      <w:r>
        <w:rPr>
          <w:rFonts w:ascii="Arial" w:cs="Arial" w:eastAsia="Arial" w:hAnsi="Arial"/>
          <w:sz w:val="18"/>
          <w:szCs w:val="18"/>
          <w:color w:val="auto"/>
        </w:rPr>
        <w:t>applicable wage and hour laws; and statutory or common law claims involving current and former students and employees. Although the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outcomes of the legal claims and proceedings against the Company cannot be predicted with certainty, based on currently available information, management believes that there are no existing claims or proceedings that are likely to have a material effect on the Company’s</w:t>
      </w:r>
    </w:p>
    <w:p>
      <w:pPr>
        <w:spacing w:after="0" w:line="235" w:lineRule="auto"/>
        <w:rPr>
          <w:sz w:val="20"/>
          <w:szCs w:val="20"/>
          <w:color w:val="auto"/>
        </w:rPr>
      </w:pPr>
      <w:r>
        <w:rPr>
          <w:rFonts w:ascii="Arial" w:cs="Arial" w:eastAsia="Arial" w:hAnsi="Arial"/>
          <w:sz w:val="18"/>
          <w:szCs w:val="18"/>
          <w:color w:val="auto"/>
        </w:rPr>
        <w:t>business, financial condition, results of operations or cash flows. However, based on currently available information, management believes it</w:t>
      </w:r>
    </w:p>
    <w:p>
      <w:pPr>
        <w:ind w:right="500"/>
        <w:spacing w:after="0" w:line="235" w:lineRule="auto"/>
        <w:rPr>
          <w:sz w:val="20"/>
          <w:szCs w:val="20"/>
          <w:color w:val="auto"/>
        </w:rPr>
      </w:pPr>
      <w:r>
        <w:rPr>
          <w:rFonts w:ascii="Arial" w:cs="Arial" w:eastAsia="Arial" w:hAnsi="Arial"/>
          <w:sz w:val="18"/>
          <w:szCs w:val="18"/>
          <w:color w:val="auto"/>
        </w:rPr>
        <w:t>is reasonably possible that future losses from existing and threatened legal, regulatory and other proceedings in excess of the amounts recorded could reach approximately $15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2015, Kaplan sold substantially all of the assets of the KHE Campuses (KHEC) business to Education Corporation of America. In 2018,</w:t>
      </w:r>
    </w:p>
    <w:p>
      <w:pPr>
        <w:spacing w:after="0" w:line="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certain subsidiaries of Kaplan contributed the institutional assets and operations of KU to a new university: an Indiana nonprofit, public-benefit corporation affiliated with Purdue University, known as Purdue University Global. Kaplan could be held liable to the current owners of</w:t>
      </w:r>
    </w:p>
    <w:p>
      <w:pPr>
        <w:spacing w:after="0" w:line="235" w:lineRule="auto"/>
        <w:rPr>
          <w:sz w:val="20"/>
          <w:szCs w:val="20"/>
          <w:color w:val="auto"/>
        </w:rPr>
      </w:pPr>
      <w:r>
        <w:rPr>
          <w:rFonts w:ascii="Arial" w:cs="Arial" w:eastAsia="Arial" w:hAnsi="Arial"/>
          <w:sz w:val="18"/>
          <w:szCs w:val="18"/>
          <w:color w:val="auto"/>
        </w:rPr>
        <w:t>KU and the KHEC schools related to the pre-sale conduct of the schools, and the pre-sale conduct of the schools has been and could be the</w:t>
      </w:r>
    </w:p>
    <w:p>
      <w:pPr>
        <w:spacing w:after="0" w:line="226" w:lineRule="auto"/>
        <w:rPr>
          <w:sz w:val="20"/>
          <w:szCs w:val="20"/>
          <w:color w:val="auto"/>
        </w:rPr>
      </w:pPr>
      <w:r>
        <w:rPr>
          <w:rFonts w:ascii="Arial" w:cs="Arial" w:eastAsia="Arial" w:hAnsi="Arial"/>
          <w:sz w:val="18"/>
          <w:szCs w:val="18"/>
          <w:color w:val="auto"/>
        </w:rPr>
        <w:t>subject of future compliance reviews, regulatory proceedings or lawsuits that could result in monetary liabilities or fines or other sanctions. On May 6, 2021, Kaplan received a notice from the Department of Education (ED) that it would be conducting a fact-finding process pursuant to</w:t>
      </w:r>
    </w:p>
    <w:p>
      <w:pPr>
        <w:spacing w:after="0" w:line="236" w:lineRule="auto"/>
        <w:rPr>
          <w:sz w:val="20"/>
          <w:szCs w:val="20"/>
          <w:color w:val="auto"/>
        </w:rPr>
      </w:pPr>
      <w:r>
        <w:rPr>
          <w:rFonts w:ascii="Arial" w:cs="Arial" w:eastAsia="Arial" w:hAnsi="Arial"/>
          <w:sz w:val="18"/>
          <w:szCs w:val="18"/>
          <w:color w:val="auto"/>
        </w:rPr>
        <w:t>the borrower defense to repayment (BDTR) regulations to determine the validity of more than 800 BDTR claims and a request for documents</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related to several of Kaplan’s previously owned schools. Beginning in July 2021, Kaplan started receiving the claims and related information requests. In total, Kaplan received 1,449 borrower defense applications that seek discharge of approximately $35 million in loans, excluding</w:t>
      </w:r>
    </w:p>
    <w:p>
      <w:pPr>
        <w:spacing w:after="0" w:line="236" w:lineRule="auto"/>
        <w:rPr>
          <w:sz w:val="20"/>
          <w:szCs w:val="20"/>
          <w:color w:val="auto"/>
        </w:rPr>
      </w:pPr>
      <w:r>
        <w:rPr>
          <w:rFonts w:ascii="Arial" w:cs="Arial" w:eastAsia="Arial" w:hAnsi="Arial"/>
          <w:sz w:val="18"/>
          <w:szCs w:val="18"/>
          <w:color w:val="auto"/>
        </w:rPr>
        <w:t>interest. Most claims received are from former KU students. The ED’s process for adjudicating these claims is subject to the borrower</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defense regulations including those finalized in 2022 and effective July 1, 2023, but it is not clear to what extent the ED will exclude claims based on the underlying statutes of limitations, evidence provided by Kaplan, or any prior investigation related to schools attended by the</w:t>
      </w:r>
    </w:p>
    <w:p>
      <w:pPr>
        <w:spacing w:after="0" w:line="236" w:lineRule="auto"/>
        <w:rPr>
          <w:sz w:val="20"/>
          <w:szCs w:val="20"/>
          <w:color w:val="auto"/>
        </w:rPr>
      </w:pPr>
      <w:r>
        <w:rPr>
          <w:rFonts w:ascii="Arial" w:cs="Arial" w:eastAsia="Arial" w:hAnsi="Arial"/>
          <w:sz w:val="18"/>
          <w:szCs w:val="18"/>
          <w:color w:val="auto"/>
        </w:rPr>
        <w:t>student applicants. Compared to the previous rule, the new rule in part, expands actions that can give rise to claims for discharge; provides</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that the borrower’s claim will be presumed true if the institution does not provide any responsive evidence; provides an easier process for group claims; and relies on current program review penalty hearing processes for discharge recoupment. Under the rule, the recoupment</w:t>
      </w:r>
    </w:p>
    <w:p>
      <w:pPr>
        <w:spacing w:after="0" w:line="236" w:lineRule="auto"/>
        <w:rPr>
          <w:sz w:val="20"/>
          <w:szCs w:val="20"/>
          <w:color w:val="auto"/>
        </w:rPr>
      </w:pPr>
      <w:r>
        <w:rPr>
          <w:rFonts w:ascii="Arial" w:cs="Arial" w:eastAsia="Arial" w:hAnsi="Arial"/>
          <w:sz w:val="18"/>
          <w:szCs w:val="18"/>
          <w:color w:val="auto"/>
        </w:rPr>
        <w:t>process applies only to loans first disbursed after July 1, 2023; however, the discharge process and standards apply to any pending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application regardless of loan date. Kaplan believes it has defenses that would bar any student discharge or school liability including that the claims are barred by the applicable statute of limitations, unproven, incomplete and fail to meet regulatory filing requirements. Kaplan expects</w:t>
      </w:r>
    </w:p>
    <w:p>
      <w:pPr>
        <w:spacing w:after="0" w:line="236" w:lineRule="auto"/>
        <w:rPr>
          <w:sz w:val="20"/>
          <w:szCs w:val="20"/>
          <w:color w:val="auto"/>
        </w:rPr>
      </w:pPr>
      <w:r>
        <w:rPr>
          <w:rFonts w:ascii="Arial" w:cs="Arial" w:eastAsia="Arial" w:hAnsi="Arial"/>
          <w:sz w:val="18"/>
          <w:szCs w:val="18"/>
          <w:color w:val="auto"/>
        </w:rPr>
        <w:t>to vigorously defend any attempt by the ED to hold Kaplan liable for any ultimate student discharges and has responded to all claims with</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documentary and narrative evidence to refute the allegations, demonstrate their lack of merit, and support the denial of all such claims by the ED. If the claims are successful, the ED may seek reimbursement for the amount discharged from Kaplan. If the ED initiates a</w:t>
      </w:r>
    </w:p>
    <w:p>
      <w:pPr>
        <w:spacing w:after="0" w:line="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reimbursement action against Kaplan following approval of former students’ BDTR applications, Kaplan may be subject to significant liability. In November 2022 the Northern District of California approved the settlement agreement in the lawsuit </w:t>
      </w:r>
      <w:r>
        <w:rPr>
          <w:rFonts w:ascii="Arial" w:cs="Arial" w:eastAsia="Arial" w:hAnsi="Arial"/>
          <w:sz w:val="17"/>
          <w:szCs w:val="17"/>
          <w:i w:val="1"/>
          <w:iCs w:val="1"/>
          <w:color w:val="auto"/>
        </w:rPr>
        <w:t>Sweet v. Cardona</w:t>
      </w:r>
      <w:r>
        <w:rPr>
          <w:rFonts w:ascii="Arial" w:cs="Arial" w:eastAsia="Arial" w:hAnsi="Arial"/>
          <w:sz w:val="17"/>
          <w:szCs w:val="17"/>
          <w:color w:val="auto"/>
        </w:rPr>
        <w:t>. The Plaintiffs in</w:t>
      </w:r>
    </w:p>
    <w:p>
      <w:pPr>
        <w:spacing w:after="0" w:line="235" w:lineRule="auto"/>
        <w:rPr>
          <w:sz w:val="20"/>
          <w:szCs w:val="20"/>
          <w:color w:val="auto"/>
        </w:rPr>
      </w:pPr>
      <w:r>
        <w:rPr>
          <w:rFonts w:ascii="Arial" w:cs="Arial" w:eastAsia="Arial" w:hAnsi="Arial"/>
          <w:sz w:val="18"/>
          <w:szCs w:val="18"/>
          <w:color w:val="auto"/>
        </w:rPr>
        <w:t>that lawsuit claimed that the ED failed to properly consider and decide pending BDTR claims. As part of the settlement, the ED agreed to</w:t>
      </w:r>
    </w:p>
    <w:p>
      <w:pPr>
        <w:ind w:right="300"/>
        <w:spacing w:after="0" w:line="226" w:lineRule="auto"/>
        <w:rPr>
          <w:sz w:val="20"/>
          <w:szCs w:val="20"/>
          <w:color w:val="auto"/>
        </w:rPr>
      </w:pPr>
      <w:r>
        <w:rPr>
          <w:rFonts w:ascii="Arial" w:cs="Arial" w:eastAsia="Arial" w:hAnsi="Arial"/>
          <w:sz w:val="18"/>
          <w:szCs w:val="18"/>
          <w:color w:val="auto"/>
        </w:rPr>
        <w:t>discharge loans of borrowers who attended 150 specific schools, including schools formerly owned by Kaplan, and who had BDTR claims pending as of the June 22, 2022 settlement execution date. This discharge will likely cover each of the 1,449 applications the ED sent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Kaplan and to which</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Kaplan responded. The ED and the Court made clear that these discharges as part of a settlement are not determinations that the pending</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BDTR claims are valid and the fact of the settlement discharge cannot be used as evidence of any determination of wrongdoing by the institutions. However, despite the fact that the loans are discharged per the settlement, the ED may still attempt to separately adjudicate the</w:t>
      </w:r>
    </w:p>
    <w:p>
      <w:pPr>
        <w:spacing w:after="0" w:line="235" w:lineRule="auto"/>
        <w:rPr>
          <w:sz w:val="20"/>
          <w:szCs w:val="20"/>
          <w:color w:val="auto"/>
        </w:rPr>
      </w:pPr>
      <w:r>
        <w:rPr>
          <w:rFonts w:ascii="Arial" w:cs="Arial" w:eastAsia="Arial" w:hAnsi="Arial"/>
          <w:sz w:val="18"/>
          <w:szCs w:val="18"/>
          <w:color w:val="auto"/>
        </w:rPr>
        <w:t>associated BDTR claims and follow the regulatory process for seeking recoupment from the institutions for such claims. On October 27,</w:t>
      </w:r>
    </w:p>
    <w:p>
      <w:pPr>
        <w:ind w:right="20"/>
        <w:spacing w:after="0" w:line="226" w:lineRule="auto"/>
        <w:rPr>
          <w:sz w:val="20"/>
          <w:szCs w:val="20"/>
          <w:color w:val="auto"/>
        </w:rPr>
      </w:pPr>
      <w:r>
        <w:rPr>
          <w:rFonts w:ascii="Arial" w:cs="Arial" w:eastAsia="Arial" w:hAnsi="Arial"/>
          <w:sz w:val="18"/>
          <w:szCs w:val="18"/>
          <w:color w:val="auto"/>
        </w:rPr>
        <w:t>2022, the ED released a final rule that among other things, changes the Title IV definition of “Nonprofit” institution to generally exclude from that definition any institution that is an obligor on a debt owed to a former owner of the institution or that maintains a revenue-based service</w:t>
      </w:r>
    </w:p>
    <w:p>
      <w:pPr>
        <w:spacing w:after="0" w:line="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agreement with a former owner of the institution. The final rule had an effective date of July 1, 2023 and could subject Purdue Global to additional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37"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15. BUSINESS SEGMENTS</w:t>
      </w:r>
    </w:p>
    <w:p>
      <w:pPr>
        <w:spacing w:after="0" w:line="168"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In the second quarter of 2023, Kaplan modified its segment reporting for Kaplan India, a shared services center that supports Higher Education. Kaplan India was previously included in Kaplan corporate and other. Certain amounts in previously issued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have been reclassified to conform to the current presentation.</w:t>
      </w:r>
    </w:p>
    <w:p>
      <w:pPr>
        <w:spacing w:after="0" w:line="146"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411,837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355,064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1,192,105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1,066,089</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116,112</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135,165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347,818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380,970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109,216</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122,964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343,882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365,966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116,164</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87,176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331,505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230,816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272,018</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211,396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765,251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509,965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86,653</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101,207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269,110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308,150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365</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1,215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1,111,519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1,012,438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3,248,064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2,860,461</w:t>
            </w:r>
          </w:p>
        </w:tc>
        <w:tc>
          <w:tcPr>
            <w:tcW w:w="0" w:type="dxa"/>
            <w:vAlign w:val="bottom"/>
          </w:tcPr>
          <w:p>
            <w:pPr>
              <w:spacing w:after="0"/>
              <w:rPr>
                <w:sz w:val="1"/>
                <w:szCs w:val="1"/>
                <w:color w:val="auto"/>
              </w:rPr>
            </w:pPr>
          </w:p>
        </w:tc>
      </w:tr>
      <w:tr>
        <w:trPr>
          <w:trHeight w:val="154"/>
        </w:trPr>
        <w:tc>
          <w:tcPr>
            <w:tcW w:w="6060" w:type="dxa"/>
            <w:vAlign w:val="bottom"/>
          </w:tcPr>
          <w:p>
            <w:pPr>
              <w:ind w:left="20"/>
              <w:spacing w:after="0" w:line="154"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Goodwill and Other Long-Lived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33,069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22,625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94,625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69,952</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33,310</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53,691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97,808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135,991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10,515</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14,723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39,019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39,527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6,837</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6,953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19,986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21,491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8,240</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11,050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28,543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25,493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(24,404)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(17,840)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(73,428)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(68,301)</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(14,599)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(39,881)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(40,886)</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52,968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74,167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166,672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183,267</w:t>
            </w:r>
          </w:p>
        </w:tc>
        <w:tc>
          <w:tcPr>
            <w:tcW w:w="0" w:type="dxa"/>
            <w:vAlign w:val="bottom"/>
          </w:tcPr>
          <w:p>
            <w:pPr>
              <w:spacing w:after="0"/>
              <w:rPr>
                <w:sz w:val="1"/>
                <w:szCs w:val="1"/>
                <w:color w:val="auto"/>
              </w:rPr>
            </w:pPr>
          </w:p>
        </w:tc>
      </w:tr>
      <w:tr>
        <w:trPr>
          <w:trHeight w:val="154"/>
        </w:trPr>
        <w:tc>
          <w:tcPr>
            <w:tcW w:w="6060" w:type="dxa"/>
            <w:vAlign w:val="bottom"/>
          </w:tcPr>
          <w:p>
            <w:pPr>
              <w:ind w:left="20"/>
              <w:spacing w:after="0" w:line="154" w:lineRule="exact"/>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Long-Lived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3,210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3,980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11,610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12,190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1,363</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1,360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4,088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51,489</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5,076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60,683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15,403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866</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2,702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2,822</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53,149</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3,314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58,987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9,941</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110,080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138,073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44,436</w:t>
            </w:r>
          </w:p>
        </w:tc>
        <w:tc>
          <w:tcPr>
            <w:tcW w:w="0" w:type="dxa"/>
            <w:vAlign w:val="bottom"/>
          </w:tcPr>
          <w:p>
            <w:pPr>
              <w:spacing w:after="0"/>
              <w:rPr>
                <w:sz w:val="1"/>
                <w:szCs w:val="1"/>
                <w:color w:val="auto"/>
              </w:rPr>
            </w:pP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29,859</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83,015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18,645</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57,762</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31,947</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52,331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93,720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131,911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(40,974)</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9,647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(21,664)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24,124</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5,971</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6,048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17,284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18,669</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8,237</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11,050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28,540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25,493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(77,553)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(21,154)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(132,415)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(78,242)</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(14,599)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(39,881)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(40,886)</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(57,112)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59,532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28,599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138,831</w:t>
            </w:r>
          </w:p>
        </w:tc>
        <w:tc>
          <w:tcPr>
            <w:tcW w:w="0" w:type="dxa"/>
            <w:vAlign w:val="bottom"/>
          </w:tcPr>
          <w:p>
            <w:pPr>
              <w:spacing w:after="0"/>
              <w:rPr>
                <w:sz w:val="1"/>
                <w:szCs w:val="1"/>
                <w:color w:val="auto"/>
              </w:rPr>
            </w:pPr>
          </w:p>
        </w:tc>
      </w:tr>
      <w:tr>
        <w:trPr>
          <w:trHeight w:val="221"/>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Equity in (Losses) Earnings of Affiliates,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(791)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(2,245)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(9,824)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(10,776)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(33,140)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(36,755)</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35,653</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50,687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97,313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152,063</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16,759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(54,250)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113,429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(172,878)</w:t>
            </w:r>
          </w:p>
        </w:tc>
        <w:tc>
          <w:tcPr>
            <w:tcW w:w="0" w:type="dxa"/>
            <w:vAlign w:val="bottom"/>
          </w:tcPr>
          <w:p>
            <w:pPr>
              <w:spacing w:after="0"/>
              <w:rPr>
                <w:sz w:val="1"/>
                <w:szCs w:val="1"/>
                <w:color w:val="auto"/>
              </w:rPr>
            </w:pP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3,581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22,458</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6,410</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46,440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226,414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90,591</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5" w:right="339"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155"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2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w w:val="96"/>
              </w:rPr>
              <w:t>2022</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10,000</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8,360</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28,428</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25,396</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3,120</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2,961</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9,243</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9,335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2,388</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2,358</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6,957</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7,109</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1,411</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590</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3,802</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1,304</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1,067</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3,565</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3,832</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4,169</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10,882</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12,198</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152</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458</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22,207</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19,657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63,335</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58,545</w:t>
            </w:r>
          </w:p>
        </w:tc>
        <w:tc>
          <w:tcPr>
            <w:tcW w:w="0" w:type="dxa"/>
            <w:vAlign w:val="bottom"/>
          </w:tcPr>
          <w:p>
            <w:pPr>
              <w:spacing w:after="0"/>
              <w:rPr>
                <w:sz w:val="1"/>
                <w:szCs w:val="1"/>
                <w:color w:val="auto"/>
              </w:rPr>
            </w:pPr>
          </w:p>
        </w:tc>
      </w:tr>
      <w:tr>
        <w:trPr>
          <w:trHeight w:val="21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2,226</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6,680</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2,233</w:t>
            </w:r>
          </w:p>
        </w:tc>
        <w:tc>
          <w:tcPr>
            <w:tcW w:w="3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6,700</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833</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884</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2,498</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2,666</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280</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276</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836</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3,521</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10,563</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662</w:t>
            </w:r>
          </w:p>
        </w:tc>
        <w:tc>
          <w:tcPr>
            <w:tcW w:w="5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552</w:t>
            </w:r>
          </w:p>
        </w:tc>
        <w:tc>
          <w:tcPr>
            <w:tcW w:w="3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1,847</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952</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1,468</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2,856</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8,490</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5,557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25,306</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16,581</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tcPr>
          <w:p>
            <w:pPr>
              <w:jc w:val="right"/>
              <w:ind w:right="10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1"/>
        </w:trPr>
        <w:tc>
          <w:tcPr>
            <w:tcW w:w="8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1,960,870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1,987,042</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420,938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431,084</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435,324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486,487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252,770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249,845</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568,673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427,221</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366,694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475,583</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123,782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70,567</w:t>
            </w:r>
          </w:p>
        </w:tc>
        <w:tc>
          <w:tcPr>
            <w:tcW w:w="0" w:type="dxa"/>
            <w:vAlign w:val="bottom"/>
          </w:tcPr>
          <w:p>
            <w:pPr>
              <w:spacing w:after="0"/>
              <w:rPr>
                <w:sz w:val="1"/>
                <w:szCs w:val="1"/>
                <w:color w:val="auto"/>
              </w:rPr>
            </w:pPr>
          </w:p>
        </w:tc>
      </w:tr>
      <w:tr>
        <w:trPr>
          <w:trHeight w:val="224"/>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4,129,051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4,127,829</w:t>
            </w:r>
          </w:p>
        </w:tc>
        <w:tc>
          <w:tcPr>
            <w:tcW w:w="0" w:type="dxa"/>
            <w:vAlign w:val="bottom"/>
          </w:tcPr>
          <w:p>
            <w:pPr>
              <w:spacing w:after="0"/>
              <w:rPr>
                <w:sz w:val="1"/>
                <w:szCs w:val="1"/>
                <w:color w:val="auto"/>
              </w:rPr>
            </w:pPr>
          </w:p>
        </w:tc>
      </w:tr>
      <w:tr>
        <w:trPr>
          <w:trHeight w:val="221"/>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665,514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609,921</w:t>
            </w:r>
          </w:p>
        </w:tc>
        <w:tc>
          <w:tcPr>
            <w:tcW w:w="0" w:type="dxa"/>
            <w:vAlign w:val="bottom"/>
          </w:tcPr>
          <w:p>
            <w:pPr>
              <w:spacing w:after="0"/>
              <w:rPr>
                <w:sz w:val="1"/>
                <w:szCs w:val="1"/>
                <w:color w:val="auto"/>
              </w:rPr>
            </w:pPr>
          </w:p>
        </w:tc>
      </w:tr>
      <w:tr>
        <w:trPr>
          <w:trHeight w:val="22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191,408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186,419</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1,703,216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1,658,046</w:t>
            </w:r>
          </w:p>
        </w:tc>
        <w:tc>
          <w:tcPr>
            <w:tcW w:w="0" w:type="dxa"/>
            <w:vAlign w:val="bottom"/>
          </w:tcPr>
          <w:p>
            <w:pPr>
              <w:spacing w:after="0"/>
              <w:rPr>
                <w:sz w:val="1"/>
                <w:szCs w:val="1"/>
                <w:color w:val="auto"/>
              </w:rPr>
            </w:pPr>
          </w:p>
        </w:tc>
      </w:tr>
      <w:tr>
        <w:trPr>
          <w:trHeight w:val="228"/>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6,689,189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6,582,215</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96"/>
              </w:rPr>
              <w:t>2022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249,976</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193,085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714,715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598,469</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81,925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82,314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250,557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233,990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78,332</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79,566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226,535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233,416</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3,101</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2,616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8,360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7,414</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(1,497)</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411,837</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355,064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1,192,105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1,066,089</w:t>
            </w:r>
          </w:p>
        </w:tc>
        <w:tc>
          <w:tcPr>
            <w:tcW w:w="0" w:type="dxa"/>
            <w:vAlign w:val="bottom"/>
          </w:tcPr>
          <w:p>
            <w:pPr>
              <w:spacing w:after="0"/>
              <w:rPr>
                <w:sz w:val="1"/>
                <w:szCs w:val="1"/>
                <w:color w:val="auto"/>
              </w:rPr>
            </w:pPr>
          </w:p>
        </w:tc>
      </w:tr>
      <w:tr>
        <w:trPr>
          <w:trHeight w:val="154"/>
        </w:trPr>
        <w:tc>
          <w:tcPr>
            <w:tcW w:w="6060" w:type="dxa"/>
            <w:vAlign w:val="bottom"/>
          </w:tcPr>
          <w:p>
            <w:pPr>
              <w:ind w:left="20"/>
              <w:spacing w:after="0" w:line="154"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22,220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8,503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64,272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48,130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8,465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9,064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33,343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17,423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9,729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9,471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16,992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17,671</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(7,412)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(20,074)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(13,438)</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33,069</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22,625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94,625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69,952</w:t>
            </w:r>
          </w:p>
        </w:tc>
        <w:tc>
          <w:tcPr>
            <w:tcW w:w="0" w:type="dxa"/>
            <w:vAlign w:val="bottom"/>
          </w:tcPr>
          <w:p>
            <w:pPr>
              <w:spacing w:after="0"/>
              <w:rPr>
                <w:sz w:val="1"/>
                <w:szCs w:val="1"/>
                <w:color w:val="auto"/>
              </w:rPr>
            </w:pPr>
          </w:p>
        </w:tc>
      </w:tr>
      <w:tr>
        <w:trPr>
          <w:trHeight w:val="221"/>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3,210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3,980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11,133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12,190</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477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22,220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8,503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64,272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48,130</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8,465</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9,064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33,343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17,423</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9,729</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9,471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16,992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17,671</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(10,622)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(8,596)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(31,684)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(25,628)</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29,859</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18,645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83,015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57,762</w:t>
            </w:r>
          </w:p>
        </w:tc>
        <w:tc>
          <w:tcPr>
            <w:tcW w:w="0" w:type="dxa"/>
            <w:vAlign w:val="bottom"/>
          </w:tcPr>
          <w:p>
            <w:pPr>
              <w:spacing w:after="0"/>
              <w:rPr>
                <w:sz w:val="1"/>
                <w:szCs w:val="1"/>
                <w:color w:val="auto"/>
              </w:rPr>
            </w:pPr>
          </w:p>
        </w:tc>
      </w:tr>
      <w:tr>
        <w:trPr>
          <w:trHeight w:val="21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7,599</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20,832</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5,709</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17,258</w:t>
            </w:r>
          </w:p>
        </w:tc>
        <w:tc>
          <w:tcPr>
            <w:tcW w:w="0" w:type="dxa"/>
            <w:vAlign w:val="bottom"/>
          </w:tcPr>
          <w:p>
            <w:pPr>
              <w:spacing w:after="0"/>
              <w:rPr>
                <w:sz w:val="1"/>
                <w:szCs w:val="1"/>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1,258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3,431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1,117</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1,570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4,087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4,787</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24"/>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10,000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8,360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28,428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25,396</w:t>
            </w:r>
          </w:p>
        </w:tc>
        <w:tc>
          <w:tcPr>
            <w:tcW w:w="0" w:type="dxa"/>
            <w:vAlign w:val="bottom"/>
          </w:tcPr>
          <w:p>
            <w:pPr>
              <w:spacing w:after="0"/>
              <w:rPr>
                <w:sz w:val="1"/>
                <w:szCs w:val="1"/>
                <w:color w:val="auto"/>
              </w:rPr>
            </w:pPr>
          </w:p>
        </w:tc>
      </w:tr>
      <w:tr>
        <w:trPr>
          <w:trHeight w:val="21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83</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244</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958</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2,803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1,063</w:t>
            </w:r>
          </w:p>
        </w:tc>
        <w:tc>
          <w:tcPr>
            <w:tcW w:w="5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1,029</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3,110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25"/>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2,226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6,680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tcPr>
          <w:p>
            <w:pPr>
              <w:jc w:val="right"/>
              <w:ind w:right="10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1"/>
        </w:trPr>
        <w:tc>
          <w:tcPr>
            <w:tcW w:w="8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1,437,590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1,479,833</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223,593</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187,034</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252,571</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268,499</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47,116</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51,676</w:t>
            </w:r>
          </w:p>
        </w:tc>
        <w:tc>
          <w:tcPr>
            <w:tcW w:w="0" w:type="dxa"/>
            <w:vAlign w:val="bottom"/>
          </w:tcPr>
          <w:p>
            <w:pPr>
              <w:spacing w:after="0"/>
              <w:rPr>
                <w:sz w:val="1"/>
                <w:szCs w:val="1"/>
                <w:color w:val="auto"/>
              </w:rPr>
            </w:pPr>
          </w:p>
        </w:tc>
      </w:tr>
      <w:tr>
        <w:trPr>
          <w:trHeight w:val="225"/>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1,960,870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1,987,042</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Company reported a net loss attributable to common shares of $ 23.0 million ($ 5.02 per share) for the third quarter of 2023, compared to net income attributable to common shares of $32.8 million ($6.76 per share) for the third quarter of 2022.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loss for the third quarter of 2023:</w:t>
      </w:r>
    </w:p>
    <w:p>
      <w:pPr>
        <w:spacing w:after="0" w:line="158"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$98.3 million in goodwill and other long-lived asset impairment charges (after-tax impact of $84.4 million, or $18.18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$16.8 million in net gains on marketable equity securities (after-tax impact of $12.3 million, or $2.66 per share);</w:t>
      </w:r>
    </w:p>
    <w:p>
      <w:pPr>
        <w:spacing w:after="0" w:line="144" w:lineRule="exact"/>
        <w:rPr>
          <w:rFonts w:ascii="Arial" w:cs="Arial" w:eastAsia="Arial" w:hAnsi="Arial"/>
          <w:sz w:val="18"/>
          <w:szCs w:val="18"/>
          <w:color w:val="auto"/>
        </w:rPr>
      </w:pPr>
    </w:p>
    <w:p>
      <w:pPr>
        <w:ind w:left="180" w:right="380" w:hanging="172"/>
        <w:spacing w:after="0" w:line="260"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 million in net losses of affiliates whose operations are not managed by the Company (after-tax impact of $2.1 million, or $0.45 per share);</w:t>
      </w:r>
    </w:p>
    <w:p>
      <w:pPr>
        <w:spacing w:after="0" w:line="118" w:lineRule="exact"/>
        <w:rPr>
          <w:rFonts w:ascii="Arial" w:cs="Arial" w:eastAsia="Arial" w:hAnsi="Arial"/>
          <w:sz w:val="18"/>
          <w:szCs w:val="18"/>
          <w:color w:val="auto"/>
        </w:rPr>
      </w:pPr>
    </w:p>
    <w:p>
      <w:pPr>
        <w:ind w:left="180" w:right="280" w:hanging="172"/>
        <w:spacing w:after="0" w:line="244"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$4.6 million credit to interest expense resulting from gains realized related to the termination of interest rate swaps (after-tax impact of $3.3 million, or $0.72 per share); and</w:t>
      </w:r>
    </w:p>
    <w:p>
      <w:pPr>
        <w:spacing w:after="0" w:line="132" w:lineRule="exact"/>
        <w:rPr>
          <w:rFonts w:ascii="Arial" w:cs="Arial" w:eastAsia="Arial" w:hAnsi="Arial"/>
          <w:sz w:val="18"/>
          <w:szCs w:val="18"/>
          <w:color w:val="auto"/>
        </w:rPr>
      </w:pPr>
    </w:p>
    <w:p>
      <w:pPr>
        <w:ind w:left="180" w:right="540" w:hanging="172"/>
        <w:spacing w:after="0" w:line="260"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 million in interest expense to adjust the fair value of the mandatorily redeemable noncontrolling interest (after-tax impact of $1.0 million, or $0.22 per share).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third quarter of 2022:</w:t>
      </w:r>
    </w:p>
    <w:p>
      <w:pPr>
        <w:spacing w:after="0" w:line="158" w:lineRule="exact"/>
        <w:rPr>
          <w:sz w:val="20"/>
          <w:szCs w:val="20"/>
          <w:color w:val="auto"/>
        </w:rPr>
      </w:pPr>
    </w:p>
    <w:p>
      <w:pPr>
        <w:ind w:left="180" w:right="240" w:hanging="172"/>
        <w:spacing w:after="0" w:line="260"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$1.7 million net credit related to a fair value change in contingent consideration from a prior acquisition at the education division ($0.35 per share);</w:t>
      </w:r>
    </w:p>
    <w:p>
      <w:pPr>
        <w:spacing w:after="0" w:line="105"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$54.2 million in net losses on marketable equity securities (after-tax impact of $40.2 million, or $8.28 per share);</w:t>
      </w:r>
    </w:p>
    <w:p>
      <w:pPr>
        <w:spacing w:after="0" w:line="157" w:lineRule="exact"/>
        <w:rPr>
          <w:rFonts w:ascii="Arial" w:cs="Arial" w:eastAsia="Arial" w:hAnsi="Arial"/>
          <w:sz w:val="18"/>
          <w:szCs w:val="18"/>
          <w:color w:val="auto"/>
        </w:rPr>
      </w:pPr>
    </w:p>
    <w:p>
      <w:pPr>
        <w:ind w:left="180" w:right="380" w:hanging="172"/>
        <w:spacing w:after="0" w:line="244"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 million in net losses of affiliates whose operations are not managed by the Company (after-tax impact of $2.0 million, or $0.42 per share);</w:t>
      </w:r>
    </w:p>
    <w:p>
      <w:pPr>
        <w:spacing w:after="0" w:line="132" w:lineRule="exact"/>
        <w:rPr>
          <w:rFonts w:ascii="Arial" w:cs="Arial" w:eastAsia="Arial" w:hAnsi="Arial"/>
          <w:sz w:val="18"/>
          <w:szCs w:val="18"/>
          <w:color w:val="auto"/>
        </w:rPr>
      </w:pPr>
    </w:p>
    <w:p>
      <w:pPr>
        <w:ind w:left="180" w:right="60" w:hanging="172"/>
        <w:spacing w:after="0" w:line="260"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non-operating gain of $0.6 million from the write-up of a cost method investment (after-tax impact of $0.4 million, or $0.09 per share); and</w:t>
      </w:r>
    </w:p>
    <w:p>
      <w:pPr>
        <w:spacing w:after="0" w:line="105" w:lineRule="exact"/>
        <w:rPr>
          <w:rFonts w:ascii="Arial" w:cs="Arial" w:eastAsia="Arial" w:hAnsi="Arial"/>
          <w:sz w:val="18"/>
          <w:szCs w:val="18"/>
          <w:color w:val="auto"/>
        </w:rPr>
      </w:pPr>
    </w:p>
    <w:p>
      <w:pPr>
        <w:ind w:left="180" w:right="540" w:hanging="172"/>
        <w:spacing w:after="0" w:line="260"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 million in interest expense to adjust the fair value of the mandatorily redeemable noncontrolling interest (after-tax impact of $1.3 million, or $0.28 per share).</w:t>
      </w:r>
    </w:p>
    <w:p>
      <w:pPr>
        <w:spacing w:after="0" w:line="119"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Revenue for the third quarter of 2023 was $1,111.5 million, up 10% from $1,012.4 million in the third quarter of 2022. Revenues increased at education, healthcare and automotive, partially offset by declines at television broadcasting, manufacturing and other businesses. The</w:t>
      </w:r>
    </w:p>
    <w:p>
      <w:pPr>
        <w:spacing w:after="0" w:line="236" w:lineRule="auto"/>
        <w:rPr>
          <w:sz w:val="20"/>
          <w:szCs w:val="20"/>
          <w:color w:val="auto"/>
        </w:rPr>
      </w:pPr>
      <w:r>
        <w:rPr>
          <w:rFonts w:ascii="Arial" w:cs="Arial" w:eastAsia="Arial" w:hAnsi="Arial"/>
          <w:sz w:val="18"/>
          <w:szCs w:val="18"/>
          <w:color w:val="auto"/>
        </w:rPr>
        <w:t>Company reported an operating loss of $57.1 million for the third quarter of 2023, compared to operating income of $59.5 million for the third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quarter of 2022. The decrease in operating results is due to goodwill impairment charges at World of Good Brands (WGB, formerly Leaf Media) and Dekko and declines at television broadcasting, manufacturing, automotive and other businesses, partially offset by an increase 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0" w:name="page31"/>
    <w:bookmarkEnd w:id="30"/>
    <w:p>
      <w:pPr>
        <w:ind w:right="300"/>
        <w:spacing w:after="0" w:line="260" w:lineRule="auto"/>
        <w:rPr>
          <w:sz w:val="20"/>
          <w:szCs w:val="20"/>
          <w:color w:val="auto"/>
        </w:rPr>
      </w:pPr>
      <w:r>
        <w:rPr>
          <w:rFonts w:ascii="Arial" w:cs="Arial" w:eastAsia="Arial" w:hAnsi="Arial"/>
          <w:sz w:val="18"/>
          <w:szCs w:val="18"/>
          <w:color w:val="auto"/>
        </w:rPr>
        <w:t>For the first nine months of 2023, the Company recorded net income attributable to common shares of $152.0 million ($32.14 per share), compared to $60.9 million ($12.48 per share) for the first nine months of 2022.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2023:</w:t>
      </w:r>
    </w:p>
    <w:p>
      <w:pPr>
        <w:spacing w:after="0" w:line="158" w:lineRule="exact"/>
        <w:rPr>
          <w:sz w:val="20"/>
          <w:szCs w:val="20"/>
          <w:color w:val="auto"/>
        </w:rPr>
      </w:pPr>
    </w:p>
    <w:p>
      <w:pPr>
        <w:ind w:left="180" w:right="120" w:hanging="172"/>
        <w:spacing w:after="0" w:line="260"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$4.2 million net credit related to a fair value change in contingent consideration from a prior acquisition at Corporate (after-tax impact of $4.1 million, or $0.89 per share);</w:t>
      </w:r>
    </w:p>
    <w:p>
      <w:pPr>
        <w:spacing w:after="0" w:line="105"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$99.1 million in goodwill and other-long lived asset impairment charges (after-tax impact of $85.0 million, or $18.30 per share);</w:t>
      </w:r>
    </w:p>
    <w:p>
      <w:pPr>
        <w:spacing w:after="0" w:line="157" w:lineRule="exact"/>
        <w:rPr>
          <w:rFonts w:ascii="Arial" w:cs="Arial" w:eastAsia="Arial" w:hAnsi="Arial"/>
          <w:sz w:val="18"/>
          <w:szCs w:val="18"/>
          <w:color w:val="auto"/>
        </w:rPr>
      </w:pPr>
    </w:p>
    <w:p>
      <w:pPr>
        <w:ind w:left="180" w:right="600" w:hanging="172"/>
        <w:spacing w:after="0" w:line="260"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$9.6 million in expenses related to non-operating Separation Incentive Programs (SIPs) at other businesses and the education and television broadcasting divisions (after-tax impact of $7.2 million, or $1.54 per share);</w:t>
      </w:r>
    </w:p>
    <w:p>
      <w:pPr>
        <w:spacing w:after="0" w:line="105"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$113.4 million in net gains on marketable equity securities (after-tax impact of $83.6 million, or $17.99 per share);</w:t>
      </w:r>
    </w:p>
    <w:p>
      <w:pPr>
        <w:spacing w:after="0" w:line="157" w:lineRule="exact"/>
        <w:rPr>
          <w:rFonts w:ascii="Arial" w:cs="Arial" w:eastAsia="Arial" w:hAnsi="Arial"/>
          <w:sz w:val="18"/>
          <w:szCs w:val="18"/>
          <w:color w:val="auto"/>
        </w:rPr>
      </w:pPr>
    </w:p>
    <w:p>
      <w:pPr>
        <w:ind w:left="180" w:right="320" w:hanging="172"/>
        <w:spacing w:after="0" w:line="260"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$9.7 million in net losses of affiliates whose operations are not managed by the Company (after-tax impact of $7.1 million, or $1.53 per share);</w:t>
      </w:r>
    </w:p>
    <w:p>
      <w:pPr>
        <w:spacing w:after="0" w:line="105"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(after-tax-impact of $7.4 million, or $1.59 per share);</w:t>
      </w:r>
    </w:p>
    <w:p>
      <w:pPr>
        <w:spacing w:after="0" w:line="157" w:lineRule="exact"/>
        <w:rPr>
          <w:rFonts w:ascii="Arial" w:cs="Arial" w:eastAsia="Arial" w:hAnsi="Arial"/>
          <w:sz w:val="18"/>
          <w:szCs w:val="18"/>
          <w:color w:val="auto"/>
        </w:rPr>
      </w:pPr>
    </w:p>
    <w:p>
      <w:pPr>
        <w:ind w:left="180" w:right="300" w:hanging="172"/>
        <w:spacing w:after="0" w:line="260"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non-operating gain of $3.9 million from the write-up and sales of cost method investments (after-tax impact of $2.9 million, or $0.63 per share);</w:t>
      </w:r>
    </w:p>
    <w:p>
      <w:pPr>
        <w:spacing w:after="0" w:line="105" w:lineRule="exact"/>
        <w:rPr>
          <w:rFonts w:ascii="Arial" w:cs="Arial" w:eastAsia="Arial" w:hAnsi="Arial"/>
          <w:sz w:val="18"/>
          <w:szCs w:val="18"/>
          <w:color w:val="auto"/>
        </w:rPr>
      </w:pPr>
    </w:p>
    <w:p>
      <w:pPr>
        <w:ind w:left="180" w:right="220" w:hanging="172"/>
        <w:spacing w:after="0" w:line="260"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$4.6 million credit to interest expense resulting from gains realized related to the termination of interest rate swaps (after-tax impact of $3.3 million, or $0.72 per share); and</w:t>
      </w:r>
    </w:p>
    <w:p>
      <w:pPr>
        <w:spacing w:after="0" w:line="118" w:lineRule="exact"/>
        <w:rPr>
          <w:rFonts w:ascii="Arial" w:cs="Arial" w:eastAsia="Arial" w:hAnsi="Arial"/>
          <w:sz w:val="18"/>
          <w:szCs w:val="18"/>
          <w:color w:val="auto"/>
        </w:rPr>
      </w:pPr>
    </w:p>
    <w:p>
      <w:pPr>
        <w:ind w:left="180" w:right="180" w:hanging="172"/>
        <w:spacing w:after="0" w:line="244"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 million in net interest expense to adjust the fair value of the mandatorily redeemable noncontrolling interest (after-tax impact of $1.3 million, or $0.27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nine months of 2022:</w:t>
      </w:r>
    </w:p>
    <w:p>
      <w:pPr>
        <w:spacing w:after="0" w:line="144" w:lineRule="exact"/>
        <w:rPr>
          <w:sz w:val="20"/>
          <w:szCs w:val="20"/>
          <w:color w:val="auto"/>
        </w:rPr>
      </w:pPr>
    </w:p>
    <w:p>
      <w:pPr>
        <w:ind w:left="180" w:right="60" w:hanging="172"/>
        <w:spacing w:after="0" w:line="260"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$4.9 million net credit related to fair value changes in contingent consideration from prior acquisitions (after-tax impact of $4.9 million, or $1.00 per share);</w:t>
      </w:r>
    </w:p>
    <w:p>
      <w:pPr>
        <w:spacing w:after="0" w:line="118" w:lineRule="exact"/>
        <w:rPr>
          <w:rFonts w:ascii="Arial" w:cs="Arial" w:eastAsia="Arial" w:hAnsi="Arial"/>
          <w:sz w:val="18"/>
          <w:szCs w:val="18"/>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$172.9 million in net losses on marketable equity securities (after-tax impact of $127.9 million, or $26.19 per share);</w:t>
      </w:r>
    </w:p>
    <w:p>
      <w:pPr>
        <w:spacing w:after="0" w:line="144" w:lineRule="exact"/>
        <w:rPr>
          <w:rFonts w:ascii="Arial" w:cs="Arial" w:eastAsia="Arial" w:hAnsi="Arial"/>
          <w:sz w:val="18"/>
          <w:szCs w:val="18"/>
          <w:color w:val="auto"/>
        </w:rPr>
      </w:pPr>
    </w:p>
    <w:p>
      <w:pPr>
        <w:ind w:left="180" w:right="320" w:hanging="172"/>
        <w:spacing w:after="0" w:line="260"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 million in net losses of affiliates whose operations are not managed by the Company (after-tax impact of $2.1 million, or $0.43 per share);</w:t>
      </w:r>
    </w:p>
    <w:p>
      <w:pPr>
        <w:spacing w:after="0" w:line="118" w:lineRule="exact"/>
        <w:rPr>
          <w:rFonts w:ascii="Arial" w:cs="Arial" w:eastAsia="Arial" w:hAnsi="Arial"/>
          <w:sz w:val="18"/>
          <w:szCs w:val="18"/>
          <w:color w:val="auto"/>
        </w:rPr>
      </w:pPr>
    </w:p>
    <w:p>
      <w:pPr>
        <w:ind w:left="180" w:hanging="172"/>
        <w:spacing w:after="0" w:line="244"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Non-operating gain of $2.2 million from sales and write-up of cost and equity method investments (after-tax impact of $1.7 million, or $0.34 per share); and</w:t>
      </w:r>
    </w:p>
    <w:p>
      <w:pPr>
        <w:spacing w:after="0" w:line="132" w:lineRule="exact"/>
        <w:rPr>
          <w:rFonts w:ascii="Arial" w:cs="Arial" w:eastAsia="Arial" w:hAnsi="Arial"/>
          <w:sz w:val="18"/>
          <w:szCs w:val="18"/>
          <w:color w:val="auto"/>
        </w:rPr>
      </w:pPr>
    </w:p>
    <w:p>
      <w:pPr>
        <w:ind w:left="180" w:right="280" w:hanging="172"/>
        <w:spacing w:after="0" w:line="260" w:lineRule="auto"/>
        <w:tabs>
          <w:tab w:leader="none" w:pos="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$12.8 million in interest expense to adjust the fair value of the mandatorily redeemable noncontrolling interest (after-tax impact of $12.3 million, or $2.51 per share).</w:t>
      </w:r>
    </w:p>
    <w:p>
      <w:pPr>
        <w:spacing w:after="0" w:line="105"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Revenue for the first nine months of 2023 was $3,248.1 million, up 14% from $2,860.5 million in the first nine months of 2022. Revenues increased at education, healthcare and automotive, partially offset by declines at television broadcasting, manufacturing and other</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businesses. The Company reported operating income of $28.6 million for the first nine months of 2023, compared to $138.8 million for the first nine months of 2022. The decrease in operating results is due to goodwill impairment charges at WGB and Dekko and declines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television broadcasting, healthcare, and other businesses, partially offset by increases at education and automotive.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$411.8 million for the third quarter of 2023, up 16% from $355.1 million for the same period of 2022.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$29.9 million for the third quarter of 2023, compared to $18.6 million for the third quarter of 2022.</w:t>
      </w:r>
    </w:p>
    <w:p>
      <w:pPr>
        <w:spacing w:after="0" w:line="13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For the first nine months of 2023, education division revenue totaled $1,192.1 million, up 12% from $ 1,066.1 million for the same period of 2022. Kaplan reported operating income of $83.0 million for the first nine months of 2023, compared to $57.8 million for the first nine months of 2022.</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7" w:right="419" w:bottom="1440" w:gutter="0" w:footer="0" w:header="0"/>
        </w:sectPr>
      </w:pPr>
    </w:p>
    <w:bookmarkStart w:id="31" w:name="page32"/>
    <w:bookmarkEnd w:id="31"/>
    <w:p>
      <w:pPr>
        <w:ind w:right="100"/>
        <w:spacing w:after="0" w:line="260" w:lineRule="auto"/>
        <w:rPr>
          <w:sz w:val="20"/>
          <w:szCs w:val="20"/>
          <w:color w:val="auto"/>
        </w:rPr>
      </w:pPr>
      <w:r>
        <w:rPr>
          <w:rFonts w:ascii="Arial" w:cs="Arial" w:eastAsia="Arial" w:hAnsi="Arial"/>
          <w:sz w:val="18"/>
          <w:szCs w:val="18"/>
          <w:color w:val="auto"/>
        </w:rPr>
        <w:t>In the second quarter of 2023, Kaplan modified its segment reporting for Kaplan India, a shared services center that supports Higher Education (previously included in Kaplan corporate and other); prior periods have been reclassified to conform with the current presentation.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249,976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193,085</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714,715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598,469</w:t>
            </w: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81,925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82,314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250,557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233,990</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78,332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79,566</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226,535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233,416</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3,101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2,616</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8,360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7,414</w:t>
            </w: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3"/>
        </w:trPr>
        <w:tc>
          <w:tcPr>
            <w:tcW w:w="40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(8,062)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411,837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355,064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1,192,105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1,066,089</w:t>
            </w: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22,220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64,272</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8,503</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48,130</w:t>
            </w: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8,465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9,064</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33,343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17,423</w:t>
            </w:r>
          </w:p>
        </w:tc>
        <w:tc>
          <w:tcPr>
            <w:tcW w:w="12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9,729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9,471</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16,992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17,671</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(7,412)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(4,616)</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(20,074)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(13,438)</w:t>
            </w: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(3,210)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(3,980)</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(11,133)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(12,190)</w:t>
            </w: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(477)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0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29,859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18,645</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83,015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57,762</w:t>
            </w:r>
          </w:p>
        </w:tc>
        <w:tc>
          <w:tcPr>
            <w:tcW w:w="12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Kaplan International includes postsecondary education, professional training and language training businesses largely outside the United States. Kaplan International revenue increased 29% and 19% for the third quarter and first nine months of 2023, respectively (25% and 21%, respectively, on a constant currency basis). The increases are due largely to growth at Pathways, Australia, Languages and UK Professional, partially offset by a decline at Singapore. Kaplan International reported operating income of $22.2 million in the third quarter of 2023,</w:t>
      </w:r>
    </w:p>
    <w:p>
      <w:pPr>
        <w:spacing w:after="0" w:line="3"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compared to $8.5 million in the third quarter of 2022. The improved results are due largely to improved results at Australia, Pathways, UK Professional and Languages. Operating income increased to $64.3 million in the first nine months of 2023, compared to $48.1 million in the first nine months of 2022. The improved results are due largely to improved results at Australia, Pathways and Languages, partially offset by declines at UK Professional and Singapore.</w:t>
      </w:r>
    </w:p>
    <w:p>
      <w:pPr>
        <w:spacing w:after="0" w:line="136"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Higher Education includes the results of Kaplan as a service provider to higher education institutions. Higher Education revenue was flat compared to the third quarter of 2022 and increased 7% for the first nine months of 2023. For the third quarter and first nine months of 2023</w:t>
      </w:r>
    </w:p>
    <w:p>
      <w:pPr>
        <w:spacing w:after="0" w:line="236" w:lineRule="auto"/>
        <w:rPr>
          <w:sz w:val="20"/>
          <w:szCs w:val="20"/>
          <w:color w:val="auto"/>
        </w:rPr>
      </w:pPr>
      <w:r>
        <w:rPr>
          <w:rFonts w:ascii="Arial" w:cs="Arial" w:eastAsia="Arial" w:hAnsi="Arial"/>
          <w:sz w:val="18"/>
          <w:szCs w:val="18"/>
          <w:color w:val="auto"/>
        </w:rPr>
        <w:t>and 2022, Kaplan recorded a portion of the fee with Purdue Global based on an assessment of its collectability under the TOSA. Enrollments</w:t>
      </w:r>
    </w:p>
    <w:p>
      <w:pPr>
        <w:ind w:right="200"/>
        <w:spacing w:after="0"/>
        <w:rPr>
          <w:sz w:val="20"/>
          <w:szCs w:val="20"/>
          <w:color w:val="auto"/>
        </w:rPr>
      </w:pPr>
      <w:r>
        <w:rPr>
          <w:rFonts w:ascii="Arial" w:cs="Arial" w:eastAsia="Arial" w:hAnsi="Arial"/>
          <w:sz w:val="17"/>
          <w:szCs w:val="17"/>
          <w:color w:val="auto"/>
        </w:rPr>
        <w:t>at Purdue Global for the first nine months of 2023 increased 5% compared to the first nine months of 2022. The Company will continue to assess the collectability of the fee with Purdue Global on a quarterly basis to make a determination as to whether to record all or part of the</w:t>
      </w:r>
    </w:p>
    <w:p>
      <w:pPr>
        <w:spacing w:after="0" w:line="235" w:lineRule="auto"/>
        <w:rPr>
          <w:sz w:val="20"/>
          <w:szCs w:val="20"/>
          <w:color w:val="auto"/>
        </w:rPr>
      </w:pPr>
      <w:r>
        <w:rPr>
          <w:rFonts w:ascii="Arial" w:cs="Arial" w:eastAsia="Arial" w:hAnsi="Arial"/>
          <w:sz w:val="18"/>
          <w:szCs w:val="18"/>
          <w:color w:val="auto"/>
        </w:rPr>
        <w:t>fee in the future and whether to make adjustments to fee amounts recognized in earlier periods. Higher Education results declined in the third</w:t>
      </w:r>
    </w:p>
    <w:p>
      <w:pPr>
        <w:ind w:right="20"/>
        <w:spacing w:after="0" w:line="226" w:lineRule="auto"/>
        <w:rPr>
          <w:sz w:val="20"/>
          <w:szCs w:val="20"/>
          <w:color w:val="auto"/>
        </w:rPr>
      </w:pPr>
      <w:r>
        <w:rPr>
          <w:rFonts w:ascii="Arial" w:cs="Arial" w:eastAsia="Arial" w:hAnsi="Arial"/>
          <w:sz w:val="18"/>
          <w:szCs w:val="18"/>
          <w:color w:val="auto"/>
        </w:rPr>
        <w:t>quarter of 2023 due to a lower Purdue Global fee recorded compared to the third quarter of 2022, partially offset by a decline in other higher education development costs. Higher Education results improved in the first nine months of 2023 due to an increase in the Purdue Global fee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recorded, and a decline in other higher education development costs.</w:t>
      </w:r>
    </w:p>
    <w:p>
      <w:pPr>
        <w:spacing w:after="0" w:line="146" w:lineRule="exact"/>
        <w:rPr>
          <w:sz w:val="20"/>
          <w:szCs w:val="20"/>
          <w:color w:val="auto"/>
        </w:rPr>
      </w:pPr>
    </w:p>
    <w:p>
      <w:pPr>
        <w:ind w:right="340"/>
        <w:spacing w:after="0" w:line="233" w:lineRule="auto"/>
        <w:rPr>
          <w:sz w:val="20"/>
          <w:szCs w:val="20"/>
          <w:color w:val="auto"/>
        </w:rPr>
      </w:pPr>
      <w:r>
        <w:rPr>
          <w:rFonts w:ascii="Arial" w:cs="Arial" w:eastAsia="Arial" w:hAnsi="Arial"/>
          <w:sz w:val="18"/>
          <w:szCs w:val="18"/>
          <w:color w:val="auto"/>
        </w:rPr>
        <w:t>As of September 30, 2023, Kaplan had a total outstanding accounts receivable balance of $127.8 million from Purdue Global related to amounts due for reimbursements for services, fees earned and a deferred fee. Included in this total, Kaplan has a $19.6 million long-term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receivable balance due from Purdue Global at September 30, 2023, related to the advance of $20 million during the initial KU Transaction.</w:t>
      </w:r>
    </w:p>
    <w:p>
      <w:pPr>
        <w:spacing w:after="0" w:line="14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Supplemental Education includes Kaplan’s standardized test preparation programs and domestic professional and other continuing education businesses. Supplemental Education revenue declined 2% and 3% for the third quarter and first nine months of 2023, respectively,</w:t>
      </w:r>
    </w:p>
    <w:p>
      <w:pPr>
        <w:spacing w:after="0" w:line="236" w:lineRule="auto"/>
        <w:rPr>
          <w:sz w:val="20"/>
          <w:szCs w:val="20"/>
          <w:color w:val="auto"/>
        </w:rPr>
      </w:pPr>
      <w:r>
        <w:rPr>
          <w:rFonts w:ascii="Arial" w:cs="Arial" w:eastAsia="Arial" w:hAnsi="Arial"/>
          <w:sz w:val="18"/>
          <w:szCs w:val="18"/>
          <w:color w:val="auto"/>
        </w:rPr>
        <w:t>driven mostly by softness in Real Estate, Securities and Medical Licensure test preparation, offset in part by growth in CFP, CFA,</w:t>
      </w:r>
    </w:p>
    <w:p>
      <w:pPr>
        <w:ind w:right="700"/>
        <w:spacing w:after="0"/>
        <w:rPr>
          <w:sz w:val="20"/>
          <w:szCs w:val="20"/>
          <w:color w:val="auto"/>
        </w:rPr>
      </w:pPr>
      <w:r>
        <w:rPr>
          <w:rFonts w:ascii="Arial" w:cs="Arial" w:eastAsia="Arial" w:hAnsi="Arial"/>
          <w:sz w:val="17"/>
          <w:szCs w:val="17"/>
          <w:color w:val="auto"/>
        </w:rPr>
        <w:t>Architecture and Engineering and MCAT test preparation and publishing activities. Overall, demand for graduate and pre-college test preparation programs has declined due to the strength of U.S. employment markets and the decline in test-takers, while demand for</w:t>
      </w:r>
    </w:p>
    <w:p>
      <w:pPr>
        <w:spacing w:after="0" w:line="235" w:lineRule="auto"/>
        <w:rPr>
          <w:sz w:val="20"/>
          <w:szCs w:val="20"/>
          <w:color w:val="auto"/>
        </w:rPr>
      </w:pPr>
      <w:r>
        <w:rPr>
          <w:rFonts w:ascii="Arial" w:cs="Arial" w:eastAsia="Arial" w:hAnsi="Arial"/>
          <w:sz w:val="18"/>
          <w:szCs w:val="18"/>
          <w:color w:val="auto"/>
        </w:rPr>
        <w:t>professional programs remained stable. Operating results improved in the third quarter of 2023 due to savings from reduced headcount,</w:t>
      </w:r>
    </w:p>
    <w:p>
      <w:pPr>
        <w:ind w:right="640"/>
        <w:spacing w:after="0" w:line="235" w:lineRule="auto"/>
        <w:rPr>
          <w:sz w:val="20"/>
          <w:szCs w:val="20"/>
          <w:color w:val="auto"/>
        </w:rPr>
      </w:pPr>
      <w:r>
        <w:rPr>
          <w:rFonts w:ascii="Arial" w:cs="Arial" w:eastAsia="Arial" w:hAnsi="Arial"/>
          <w:sz w:val="18"/>
          <w:szCs w:val="18"/>
          <w:color w:val="auto"/>
        </w:rPr>
        <w:t>partially offset by lower revenues. Operating results declined in the first nine months of 2023 due to lower revenues, partially offset by savings from reduced headcount.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w:t>
      </w:r>
    </w:p>
    <w:p>
      <w:pPr>
        <w:spacing w:after="0" w:line="8"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activities. Kaplan corporate and other expenses increased in the third quarter and first nine months of 2023, largely due to increased incentive compensation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0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5"/>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116,112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135,165</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347,818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380,970</w:t>
            </w: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7"/>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31,947</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52,331</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93,720</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131,911</w:t>
            </w: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 owns seven television stations located in Houston, TX; Detroit, MI; Orlando, FL; San Antonio, TX; Jacksonville,</w:t>
      </w:r>
    </w:p>
    <w:p>
      <w:pPr>
        <w:spacing w:after="0" w:line="8"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FL; and Roanoke, VA, as well as SocialNewsDesk, a provider of social media management tools designed to connect newsrooms with their users. Revenue at the television broadcasting division decreased 14% to $116.1 million in the third quarter of 2023, from $135.2 million in the</w:t>
      </w:r>
    </w:p>
    <w:p>
      <w:pPr>
        <w:spacing w:after="0" w:line="235" w:lineRule="auto"/>
        <w:rPr>
          <w:sz w:val="20"/>
          <w:szCs w:val="20"/>
          <w:color w:val="auto"/>
        </w:rPr>
      </w:pPr>
      <w:r>
        <w:rPr>
          <w:rFonts w:ascii="Arial" w:cs="Arial" w:eastAsia="Arial" w:hAnsi="Arial"/>
          <w:sz w:val="18"/>
          <w:szCs w:val="18"/>
          <w:color w:val="auto"/>
        </w:rPr>
        <w:t>same period of 2022. The revenue decline is due primarily to a $20.3 million decline in political advertising revenue, partially offset by a</w:t>
      </w:r>
    </w:p>
    <w:p>
      <w:pPr>
        <w:ind w:right="60"/>
        <w:spacing w:after="0" w:line="235" w:lineRule="auto"/>
        <w:rPr>
          <w:sz w:val="20"/>
          <w:szCs w:val="20"/>
          <w:color w:val="auto"/>
        </w:rPr>
      </w:pPr>
      <w:r>
        <w:rPr>
          <w:rFonts w:ascii="Arial" w:cs="Arial" w:eastAsia="Arial" w:hAnsi="Arial"/>
          <w:sz w:val="18"/>
          <w:szCs w:val="18"/>
          <w:color w:val="auto"/>
        </w:rPr>
        <w:t>modest increase in retransmission revenues. Operating income for the third quarter of 2023 declined 39% to $31.9 million, from $52.3 million in the same period of 2022, due to reduced revenues and higher network fees.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Revenue at the television broadcasting division decreased 9% to $347.8 million in the first nine months of 2023, from $381.0 million in the</w:t>
      </w:r>
    </w:p>
    <w:p>
      <w:pPr>
        <w:spacing w:after="0" w:line="8"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same period of 2022. The revenue decline is due primarily to a $23.8 million decline in political advertising revenue, winter Olympics and Super Bowl advertising at the Company’s NBC affiliates in the first quarter of 2022, as well as modest declines in digital advertising and</w:t>
      </w:r>
    </w:p>
    <w:p>
      <w:pPr>
        <w:spacing w:after="0" w:line="235" w:lineRule="auto"/>
        <w:rPr>
          <w:sz w:val="20"/>
          <w:szCs w:val="20"/>
          <w:color w:val="auto"/>
        </w:rPr>
      </w:pPr>
      <w:r>
        <w:rPr>
          <w:rFonts w:ascii="Arial" w:cs="Arial" w:eastAsia="Arial" w:hAnsi="Arial"/>
          <w:sz w:val="18"/>
          <w:szCs w:val="18"/>
          <w:color w:val="auto"/>
        </w:rPr>
        <w:t>retransmission revenues. Operating income for the first nine months of 2023 declined 29% to $93.7 million, from $131.9 million in the same</w:t>
      </w:r>
    </w:p>
    <w:p>
      <w:pPr>
        <w:ind w:right="240"/>
        <w:spacing w:after="0"/>
        <w:rPr>
          <w:sz w:val="20"/>
          <w:szCs w:val="20"/>
          <w:color w:val="auto"/>
        </w:rPr>
      </w:pPr>
      <w:r>
        <w:rPr>
          <w:rFonts w:ascii="Arial" w:cs="Arial" w:eastAsia="Arial" w:hAnsi="Arial"/>
          <w:sz w:val="17"/>
          <w:szCs w:val="17"/>
          <w:color w:val="auto"/>
        </w:rPr>
        <w:t>period of 2022, due to reduced revenues and higher network fees. While per subscriber rates from cable, satellite and OTT providers have grown, overall cable and satellite subscribers are down due to cord cutting, resulting in retransmission revenue net of network fees in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down modestly compared with 2022, and this trend is expected to continue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5"/>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ind w:left="200"/>
              <w:spacing w:after="0"/>
              <w:rPr>
                <w:sz w:val="20"/>
                <w:szCs w:val="20"/>
                <w:color w:val="auto"/>
              </w:rPr>
            </w:pPr>
            <w:r>
              <w:rPr>
                <w:rFonts w:ascii="Arial" w:cs="Arial" w:eastAsia="Arial" w:hAnsi="Arial"/>
                <w:sz w:val="16"/>
                <w:szCs w:val="16"/>
                <w:b w:val="1"/>
                <w:bCs w:val="1"/>
                <w:color w:val="auto"/>
              </w:rPr>
              <w:t>109,216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122,964</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(11)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b w:val="1"/>
                <w:bCs w:val="1"/>
                <w:color w:val="auto"/>
              </w:rPr>
              <w:t>343,882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365,966</w:t>
            </w:r>
          </w:p>
        </w:tc>
        <w:tc>
          <w:tcPr>
            <w:tcW w:w="1200" w:type="dxa"/>
            <w:vAlign w:val="bottom"/>
          </w:tcPr>
          <w:p>
            <w:pPr>
              <w:ind w:left="980"/>
              <w:spacing w:after="0"/>
              <w:rPr>
                <w:sz w:val="20"/>
                <w:szCs w:val="20"/>
                <w:color w:val="auto"/>
              </w:rPr>
            </w:pPr>
            <w:r>
              <w:rPr>
                <w:rFonts w:ascii="Arial" w:cs="Arial" w:eastAsia="Arial" w:hAnsi="Arial"/>
                <w:sz w:val="16"/>
                <w:szCs w:val="16"/>
                <w:color w:val="auto"/>
              </w:rPr>
              <w:t>(6)</w:t>
            </w:r>
          </w:p>
        </w:tc>
      </w:tr>
      <w:tr>
        <w:trPr>
          <w:trHeight w:val="227"/>
        </w:trPr>
        <w:tc>
          <w:tcPr>
            <w:tcW w:w="408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(40,974)</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9,647</w:t>
            </w:r>
          </w:p>
        </w:tc>
        <w:tc>
          <w:tcPr>
            <w:tcW w:w="1300" w:type="dxa"/>
            <w:vAlign w:val="bottom"/>
          </w:tcPr>
          <w:p>
            <w:pPr>
              <w:jc w:val="center"/>
              <w:ind w:left="702"/>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9"/>
                <w:szCs w:val="19"/>
                <w:color w:val="auto"/>
              </w:rPr>
            </w:pPr>
          </w:p>
        </w:tc>
        <w:tc>
          <w:tcPr>
            <w:tcW w:w="900" w:type="dxa"/>
            <w:vAlign w:val="bottom"/>
          </w:tcPr>
          <w:p>
            <w:pPr>
              <w:ind w:left="220"/>
              <w:spacing w:after="0"/>
              <w:rPr>
                <w:sz w:val="20"/>
                <w:szCs w:val="20"/>
                <w:color w:val="auto"/>
              </w:rPr>
            </w:pPr>
            <w:r>
              <w:rPr>
                <w:rFonts w:ascii="Arial" w:cs="Arial" w:eastAsia="Arial" w:hAnsi="Arial"/>
                <w:sz w:val="16"/>
                <w:szCs w:val="16"/>
                <w:b w:val="1"/>
                <w:bCs w:val="1"/>
                <w:color w:val="auto"/>
              </w:rPr>
              <w:t>(21,664)</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24,124</w:t>
            </w:r>
          </w:p>
        </w:tc>
        <w:tc>
          <w:tcPr>
            <w:tcW w:w="1200" w:type="dxa"/>
            <w:vAlign w:val="bottom"/>
          </w:tcPr>
          <w:p>
            <w:pPr>
              <w:ind w:left="960"/>
              <w:spacing w:after="0"/>
              <w:rPr>
                <w:sz w:val="20"/>
                <w:szCs w:val="20"/>
                <w:color w:val="auto"/>
              </w:rPr>
            </w:pPr>
            <w:r>
              <w:rPr>
                <w:rFonts w:ascii="Arial" w:cs="Arial" w:eastAsia="Arial" w:hAnsi="Arial"/>
                <w:sz w:val="16"/>
                <w:szCs w:val="16"/>
                <w:color w:val="auto"/>
              </w:rPr>
              <w:t>—</w:t>
            </w:r>
          </w:p>
        </w:tc>
      </w:tr>
    </w:tbl>
    <w:p>
      <w:pPr>
        <w:spacing w:after="0" w:line="224"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2"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decreased 11% and 6% in the third quarter and first nine months of 2023, respectively. The revenue declines are</w:t>
      </w:r>
    </w:p>
    <w:p>
      <w:pPr>
        <w:spacing w:after="0" w:line="8"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due primarily to lower revenues at Hoover and Dekko, partially offset by increased revenues at Joyce and Forney. Revenues declined in the third quarter of 2023 at Hoover due largely to lower wood prices and a decrease in product demand. Revenues declined in the first nine</w:t>
      </w:r>
    </w:p>
    <w:p>
      <w:pPr>
        <w:spacing w:after="0" w:line="236" w:lineRule="auto"/>
        <w:rPr>
          <w:sz w:val="20"/>
          <w:szCs w:val="20"/>
          <w:color w:val="auto"/>
        </w:rPr>
      </w:pPr>
      <w:r>
        <w:rPr>
          <w:rFonts w:ascii="Arial" w:cs="Arial" w:eastAsia="Arial" w:hAnsi="Arial"/>
          <w:sz w:val="18"/>
          <w:szCs w:val="18"/>
          <w:color w:val="auto"/>
        </w:rPr>
        <w:t>months of 2023 at Hoover due largely to lower wood prices, partially offset by overall increased rates and higher product demand. Revenues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declined at Dekko due largely to lower product demand, particularly in the commercial office electrical products sector. Overall, Hoover results included wood gains on inventory sales in the first nine months of 2023 and 2022, with gains in the first nine months of 2023 modestly</w:t>
      </w:r>
    </w:p>
    <w:p>
      <w:pPr>
        <w:spacing w:after="0" w:line="236" w:lineRule="auto"/>
        <w:rPr>
          <w:sz w:val="20"/>
          <w:szCs w:val="20"/>
          <w:color w:val="auto"/>
        </w:rPr>
      </w:pPr>
      <w:r>
        <w:rPr>
          <w:rFonts w:ascii="Arial" w:cs="Arial" w:eastAsia="Arial" w:hAnsi="Arial"/>
          <w:sz w:val="18"/>
          <w:szCs w:val="18"/>
          <w:color w:val="auto"/>
        </w:rPr>
        <w:t>higher than the prior year. For the third quarter of 2023, Hoover results included wood gains on inventory sales, compared with modest wood</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losses on inventory sales in the third quarter of 2022. Manufacturing operating results declined in the third quarter and first nine months of 2023 due primarily to a $47.8 million goodwill impairment charge at Dekko, resulting from continued sustained weakness in demand for</w:t>
      </w:r>
    </w:p>
    <w:p>
      <w:pPr>
        <w:spacing w:after="0" w:line="236" w:lineRule="auto"/>
        <w:rPr>
          <w:sz w:val="20"/>
          <w:szCs w:val="20"/>
          <w:color w:val="auto"/>
        </w:rPr>
      </w:pPr>
      <w:r>
        <w:rPr>
          <w:rFonts w:ascii="Arial" w:cs="Arial" w:eastAsia="Arial" w:hAnsi="Arial"/>
          <w:sz w:val="18"/>
          <w:szCs w:val="18"/>
          <w:color w:val="auto"/>
        </w:rPr>
        <w:t>certain Dekko power and data products, primarily in the commercial office sector. Excluding the impairment charge at Dekko, manufacturing</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operating results were down in the third quarter of 2023, due to declines at Dekko and Hoover, partially offset by improved results at Joyce and Forney. Excluding the impairment charge at Dekko, manufacturing operating results were down slightly in the first nine months of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due to declines at Dekko, partially offset by improvements at Hoover and Joyce.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5"/>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116,164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87,176</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33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331,505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230,816</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44</w:t>
            </w:r>
          </w:p>
        </w:tc>
      </w:tr>
      <w:tr>
        <w:trPr>
          <w:trHeight w:val="227"/>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5,971</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6,048</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17,284</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18,669</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Graham Healthcare Group (GHG) provides home health and hospice services in seven states. GHG also provides other healthcare services,</w:t>
      </w:r>
    </w:p>
    <w:p>
      <w:pPr>
        <w:spacing w:after="0" w:line="8"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including nursing care and prescription services for patients receiving in-home infusion treatments through its 76.5% interest in CSI Pharmacy Holdings Company, LLC (CSI). In May 2022, GHG acquired two small businesses, one of which expanded GHG’s home health</w:t>
      </w:r>
    </w:p>
    <w:p>
      <w:pPr>
        <w:spacing w:after="0" w:line="235" w:lineRule="auto"/>
        <w:rPr>
          <w:sz w:val="20"/>
          <w:szCs w:val="20"/>
          <w:color w:val="auto"/>
        </w:rPr>
      </w:pPr>
      <w:r>
        <w:rPr>
          <w:rFonts w:ascii="Arial" w:cs="Arial" w:eastAsia="Arial" w:hAnsi="Arial"/>
          <w:sz w:val="18"/>
          <w:szCs w:val="18"/>
          <w:color w:val="auto"/>
        </w:rPr>
        <w:t>operations into Kansas and Missouri. In July 2022, GHG acquired a 100% interest in a multi-state provider of Applied Behavior Analysis</w:t>
      </w:r>
    </w:p>
    <w:p>
      <w:pPr>
        <w:ind w:right="560"/>
        <w:spacing w:after="0"/>
        <w:rPr>
          <w:sz w:val="20"/>
          <w:szCs w:val="20"/>
          <w:color w:val="auto"/>
        </w:rPr>
      </w:pPr>
      <w:r>
        <w:rPr>
          <w:rFonts w:ascii="Arial" w:cs="Arial" w:eastAsia="Arial" w:hAnsi="Arial"/>
          <w:sz w:val="17"/>
          <w:szCs w:val="17"/>
          <w:color w:val="auto"/>
        </w:rPr>
        <w:t>clinics and in August 2022, GHG acquired two small businesses, which expanded GHG’s hospice services into Missouri and Ohio. Healthcare revenues increased 33% and 44% for the third quarter and first nine months of 2023, respectively, largely due to significant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growth at CSI and from businesses acquired in 2022, along with growth in home health and hospice services.</w:t>
      </w:r>
    </w:p>
    <w:p>
      <w:pPr>
        <w:spacing w:after="0" w:line="146"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In 2022, GHG implemented a new pension credit retention program in order to improve employee retention and utilize the Company’s surplus pension assets. The GHG pilot program offers a pension credit up to $50,000 per employee, cliff vested after three years of continuous</w:t>
      </w:r>
    </w:p>
    <w:p>
      <w:pPr>
        <w:spacing w:after="0" w:line="2"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employment for certain existing employees and new employees hired from January 1, 2022 through December 31, 2024. GHG recorded pension expense of $3.4 million and $10.1 million related to this program in the third quarter and first nine months of 2023, respectively.</w:t>
      </w:r>
    </w:p>
    <w:p>
      <w:pPr>
        <w:spacing w:after="0" w:line="95"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color w:val="auto"/>
        </w:rPr>
        <w:t>The decline in GHG operating results in the third quarter and first nine months of 2023 is due largely to an increase in pension expense related to the new GHG pension credit retention program, partially offset by improved results at CSI and in home health and hospice. Excluding pension expense, GHG operating results increased in the third quarter and first nine months of 2023.</w:t>
      </w:r>
    </w:p>
    <w:p>
      <w:pPr>
        <w:spacing w:after="0" w:line="117"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$1.9 million and $1.5 million for the third quarter of 2023 and 2022, respectively, from these joint ventures. The Company recorded equity in earnings of $6.9 million and $5.1 million for the first nine months of 2023 and 2022, respectively. During the first quarter of 2022, GHG,</w:t>
      </w:r>
    </w:p>
    <w:p>
      <w:pPr>
        <w:spacing w:after="0" w:line="1" w:lineRule="exact"/>
        <w:rPr>
          <w:sz w:val="20"/>
          <w:szCs w:val="20"/>
          <w:color w:val="auto"/>
        </w:rPr>
      </w:pPr>
    </w:p>
    <w:p>
      <w:pPr>
        <w:jc w:val="both"/>
        <w:ind w:right="260"/>
        <w:spacing w:after="0" w:line="226" w:lineRule="auto"/>
        <w:rPr>
          <w:sz w:val="20"/>
          <w:szCs w:val="20"/>
          <w:color w:val="auto"/>
        </w:rPr>
      </w:pPr>
      <w:r>
        <w:rPr>
          <w:rFonts w:ascii="Arial" w:cs="Arial" w:eastAsia="Arial" w:hAnsi="Arial"/>
          <w:sz w:val="18"/>
          <w:szCs w:val="18"/>
          <w:color w:val="auto"/>
        </w:rPr>
        <w:t>through its Residential Home Health Illinois and Residential Hospice Illinois affiliates, acquired an interest in the home health and hospice assets of NorthShore University HealthSystem, an integrated healthcare delivery system serving patients throughout the Chicago, IL area.</w:t>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transaction resulted in a decrease to GHG’s interest in Residential Hospice Illinois and a $0.6 million non-operating gain was recorded in the first quarter of 2022 related to the change in interest.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9"/>
                <w:szCs w:val="19"/>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5"/>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272,018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211,396</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29</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765,251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509,965</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50</w:t>
            </w:r>
          </w:p>
        </w:tc>
      </w:tr>
      <w:tr>
        <w:trPr>
          <w:trHeight w:val="227"/>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8,237</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11,050</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28,540</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25,493</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w:t>
            </w:r>
          </w:p>
        </w:tc>
      </w:tr>
    </w:tbl>
    <w:p>
      <w:pPr>
        <w:spacing w:after="0" w:line="224" w:lineRule="exact"/>
        <w:rPr>
          <w:sz w:val="20"/>
          <w:szCs w:val="20"/>
          <w:color w:val="auto"/>
        </w:rPr>
      </w:pPr>
    </w:p>
    <w:p>
      <w:pPr>
        <w:ind w:right="600"/>
        <w:spacing w:after="0" w:line="255" w:lineRule="auto"/>
        <w:rPr>
          <w:sz w:val="20"/>
          <w:szCs w:val="20"/>
          <w:color w:val="auto"/>
        </w:rPr>
      </w:pPr>
      <w:r>
        <w:rPr>
          <w:rFonts w:ascii="Arial" w:cs="Arial" w:eastAsia="Arial" w:hAnsi="Arial"/>
          <w:sz w:val="17"/>
          <w:szCs w:val="17"/>
          <w:color w:val="auto"/>
        </w:rPr>
        <w:t>Automotive includes seven automotive dealerships in the Washington, D.C. metropolitan area and Richmond, VA: Ourisman Lexus of Rockville, Ourisman Honda of Tysons Corner, Ourisman Jeep Bethesda, Ourisman Ford of Manassas, and Toyota of Woodbridge and</w:t>
      </w:r>
    </w:p>
    <w:p>
      <w:pPr>
        <w:spacing w:after="0" w:line="2"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Ourisman Chrysler-Dodge-Jeep-Ram (CDJR) of Woodbridge, which were acquired on July 5, 2022 from the Lustine Automotive Group. In addition, on September 27, 2023, the Company acquired a Toyota dealership in Henrico, VA from McGeorge Toyota. Christopher J.</w:t>
      </w:r>
    </w:p>
    <w:p>
      <w:pPr>
        <w:spacing w:after="0" w:line="236" w:lineRule="auto"/>
        <w:rPr>
          <w:sz w:val="20"/>
          <w:szCs w:val="20"/>
          <w:color w:val="auto"/>
        </w:rPr>
      </w:pPr>
      <w:r>
        <w:rPr>
          <w:rFonts w:ascii="Arial" w:cs="Arial" w:eastAsia="Arial" w:hAnsi="Arial"/>
          <w:sz w:val="18"/>
          <w:szCs w:val="18"/>
          <w:color w:val="auto"/>
        </w:rPr>
        <w:t>Ourisman, a member of the Ourisman Automotive Group family of dealerships, and his team of industry professionals operate and manage</w:t>
      </w:r>
    </w:p>
    <w:p>
      <w:pPr>
        <w:spacing w:after="0" w:line="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dealerships; the Company holds a 90% stake. The automotive group has also been awarded a KIA Open Point dealership in Bethesda, MD with plans to commence operations by the end of the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third quarter of 2023 increased 29% due to sales growth at all dealerships, except for the Jeep dealership, which had lower</w:t>
      </w:r>
    </w:p>
    <w:p>
      <w:pPr>
        <w:spacing w:after="0" w:line="8"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revenues due to a decline in new vehicle sales. Revenues for the first nine months of 2023 increased 50% due to the acquisitions of the Toyota of Woodbridge and CDJR dealerships and sales growth at the other dealerships, except for the Jeep dealership, which had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 due to a decline in new vehicle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sales. Additionally, all of the dealerships reported sales growth for services and parts for the first nine month of 2023. Operating results for</w:t>
      </w:r>
    </w:p>
    <w:p>
      <w:pPr>
        <w:spacing w:after="0" w:line="8"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third quarter of 2023 decreased due to declines at the Jeep, CDJR, Ford, and Lexus dealerships and transaction costs related to the McGeorge Toyota acquisition, partially offset by improved results at the Toyota of Woodbridge and Honda dealerships. Operating results for</w:t>
      </w:r>
    </w:p>
    <w:p>
      <w:pPr>
        <w:spacing w:after="0" w:line="235" w:lineRule="auto"/>
        <w:rPr>
          <w:sz w:val="20"/>
          <w:szCs w:val="20"/>
          <w:color w:val="auto"/>
        </w:rPr>
      </w:pPr>
      <w:r>
        <w:rPr>
          <w:rFonts w:ascii="Arial" w:cs="Arial" w:eastAsia="Arial" w:hAnsi="Arial"/>
          <w:sz w:val="18"/>
          <w:szCs w:val="18"/>
          <w:color w:val="auto"/>
        </w:rPr>
        <w:t>the first nine months of 2023 improved due largely to the Toyota of Woodbridge and CDJR acquisitions, and improved results at the Honda</w:t>
      </w:r>
    </w:p>
    <w:p>
      <w:pPr>
        <w:ind w:right="120"/>
        <w:spacing w:after="0" w:line="235" w:lineRule="auto"/>
        <w:rPr>
          <w:sz w:val="20"/>
          <w:szCs w:val="20"/>
          <w:color w:val="auto"/>
        </w:rPr>
      </w:pPr>
      <w:r>
        <w:rPr>
          <w:rFonts w:ascii="Arial" w:cs="Arial" w:eastAsia="Arial" w:hAnsi="Arial"/>
          <w:sz w:val="18"/>
          <w:szCs w:val="18"/>
          <w:color w:val="auto"/>
        </w:rPr>
        <w:t>and Lexus dealerships, partially offset by declines at the Jeep dealership due primarily to declines in new vehicle sales and related margins, and declines at the Ford dealership in margins on new vehicle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7"/>
                <w:szCs w:val="17"/>
                <w:color w:val="auto"/>
              </w:rPr>
            </w:pPr>
          </w:p>
        </w:tc>
      </w:tr>
      <w:tr>
        <w:trPr>
          <w:trHeight w:val="225"/>
        </w:trPr>
        <w:tc>
          <w:tcPr>
            <w:tcW w:w="4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right"/>
              <w:ind w:right="242"/>
              <w:spacing w:after="0"/>
              <w:rPr>
                <w:sz w:val="20"/>
                <w:szCs w:val="20"/>
                <w:color w:val="auto"/>
              </w:rPr>
            </w:pPr>
            <w:r>
              <w:rPr>
                <w:rFonts w:ascii="Arial" w:cs="Arial" w:eastAsia="Arial" w:hAnsi="Arial"/>
                <w:sz w:val="14"/>
                <w:szCs w:val="14"/>
                <w:color w:val="auto"/>
              </w:rPr>
              <w:t>%</w:t>
            </w:r>
          </w:p>
        </w:tc>
      </w:tr>
      <w:tr>
        <w:trPr>
          <w:trHeight w:val="20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color w:val="auto"/>
              </w:rPr>
              <w:t>Change</w:t>
            </w:r>
          </w:p>
        </w:tc>
      </w:tr>
      <w:tr>
        <w:trPr>
          <w:trHeight w:val="225"/>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70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28,446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38,990</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90,215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122,236</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(26)</w:t>
            </w:r>
          </w:p>
        </w:tc>
      </w:tr>
      <w:tr>
        <w:trPr>
          <w:trHeight w:val="230"/>
        </w:trPr>
        <w:tc>
          <w:tcPr>
            <w:tcW w:w="470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27,418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31,604</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78,105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95,646</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(18)</w:t>
            </w:r>
          </w:p>
        </w:tc>
      </w:tr>
      <w:tr>
        <w:trPr>
          <w:trHeight w:val="234"/>
        </w:trPr>
        <w:tc>
          <w:tcPr>
            <w:tcW w:w="4700" w:type="dxa"/>
            <w:vAlign w:val="bottom"/>
          </w:tcPr>
          <w:p>
            <w:pPr>
              <w:ind w:left="140"/>
              <w:spacing w:after="0" w:line="234"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30,789</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30,613</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100,790</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90,268</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12</w:t>
            </w:r>
          </w:p>
        </w:tc>
      </w:tr>
      <w:tr>
        <w:trPr>
          <w:trHeight w:val="222"/>
        </w:trPr>
        <w:tc>
          <w:tcPr>
            <w:tcW w:w="470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86,653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101,207</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269,110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308,150</w:t>
            </w:r>
          </w:p>
        </w:tc>
        <w:tc>
          <w:tcPr>
            <w:tcW w:w="900" w:type="dxa"/>
            <w:vAlign w:val="bottom"/>
          </w:tcPr>
          <w:p>
            <w:pPr>
              <w:jc w:val="center"/>
              <w:ind w:left="482"/>
              <w:spacing w:after="0"/>
              <w:rPr>
                <w:sz w:val="20"/>
                <w:szCs w:val="20"/>
                <w:color w:val="auto"/>
              </w:rPr>
            </w:pPr>
            <w:r>
              <w:rPr>
                <w:rFonts w:ascii="Arial" w:cs="Arial" w:eastAsia="Arial" w:hAnsi="Arial"/>
                <w:sz w:val="16"/>
                <w:szCs w:val="16"/>
                <w:color w:val="auto"/>
              </w:rPr>
              <w:t>(13)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WGB,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Clyde’s Restaurant Group, Decile and CyberVista</w:t>
      </w:r>
    </w:p>
    <w:p>
      <w:pPr>
        <w:spacing w:after="0" w:line="2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Overall, revenue from other businesses declined 14% and 13% in the third quarter and first nine months of 2023, respectively. Retail revenue declined in the first nine months of 2023 largely due to significantly lower revenue at Society6, partially offset by revenue growth at</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Framebridge. Media revenue declined in the first nine months of 2023 due to lower revenue at WGB and Code3, partially offset by revenue growth at Slate and Foreign Policy. Specialty revenue increased in the first nine months of 2023 due to revenue growth at Clyde’s Restaurant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Group (CRG). Excluding the former Leaf businesses, revenue from other businesses grew in the third quarter and first nine months of 2023.</w:t>
      </w:r>
    </w:p>
    <w:p>
      <w:pPr>
        <w:spacing w:after="0" w:line="146"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Overall, operating results at other businesses declined in the first nine months of 2023 due to a $ 50.2 million goodwill impairment charge recorded at WGB, increased losses at the former Leaf businesses, Code3, Decile and City Cast; partially offset by improved results at CRG,</w:t>
      </w:r>
    </w:p>
    <w:p>
      <w:pPr>
        <w:spacing w:after="0" w:line="2" w:lineRule="exact"/>
        <w:rPr>
          <w:sz w:val="20"/>
          <w:szCs w:val="20"/>
          <w:color w:val="auto"/>
        </w:rPr>
      </w:pPr>
    </w:p>
    <w:p>
      <w:pPr>
        <w:ind w:right="1260"/>
        <w:spacing w:after="0" w:line="407" w:lineRule="auto"/>
        <w:rPr>
          <w:sz w:val="20"/>
          <w:szCs w:val="20"/>
          <w:color w:val="auto"/>
        </w:rPr>
      </w:pPr>
      <w:r>
        <w:rPr>
          <w:rFonts w:ascii="Arial" w:cs="Arial" w:eastAsia="Arial" w:hAnsi="Arial"/>
          <w:sz w:val="18"/>
          <w:szCs w:val="18"/>
          <w:color w:val="auto"/>
        </w:rPr>
        <w:t xml:space="preserve">Slate and Foreign Policy, reduced losses at Framebridge, and a reduction in losses due to the sales of CyberVista and Pinna. </w:t>
      </w:r>
      <w:r>
        <w:rPr>
          <w:rFonts w:ascii="Arial" w:cs="Arial" w:eastAsia="Arial" w:hAnsi="Arial"/>
          <w:sz w:val="18"/>
          <w:szCs w:val="18"/>
          <w:i w:val="1"/>
          <w:iCs w:val="1"/>
          <w:color w:val="auto"/>
        </w:rPr>
        <w:t>Leaf Group</w:t>
      </w:r>
    </w:p>
    <w:p>
      <w:pPr>
        <w:spacing w:after="0" w:line="1"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 wellness (Well+Good and Livestrong.com), and home, art and design (Saatchi Art, Society6 and Hunker).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restructured Leaf into three stand-alone businesses: Society6 (formerly included in Leaf</w:t>
      </w:r>
    </w:p>
    <w:p>
      <w:pPr>
        <w:spacing w:after="0" w:line="8"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Marketplace), Saatchi Art (formerly included in Leaf Marketplace) and World of Good Brands (WGB, formerly Leaf Media). The transition process for this restructuring involves various cost reduction initiatives, including elimination of shared services costs and functions;</w:t>
      </w:r>
    </w:p>
    <w:p>
      <w:pPr>
        <w:spacing w:after="0" w:line="235" w:lineRule="auto"/>
        <w:rPr>
          <w:sz w:val="20"/>
          <w:szCs w:val="20"/>
          <w:color w:val="auto"/>
        </w:rPr>
      </w:pPr>
      <w:r>
        <w:rPr>
          <w:rFonts w:ascii="Arial" w:cs="Arial" w:eastAsia="Arial" w:hAnsi="Arial"/>
          <w:sz w:val="18"/>
          <w:szCs w:val="18"/>
          <w:color w:val="auto"/>
        </w:rPr>
        <w:t>transitioning financial and human resources systems; and rationalizing physical facilities and data centers. In the first and second quarters of</w:t>
      </w:r>
    </w:p>
    <w:p>
      <w:pPr>
        <w:spacing w:after="0"/>
        <w:rPr>
          <w:sz w:val="20"/>
          <w:szCs w:val="20"/>
          <w:color w:val="auto"/>
        </w:rPr>
      </w:pPr>
      <w:r>
        <w:rPr>
          <w:rFonts w:ascii="Arial" w:cs="Arial" w:eastAsia="Arial" w:hAnsi="Arial"/>
          <w:sz w:val="17"/>
          <w:szCs w:val="17"/>
          <w:color w:val="auto"/>
        </w:rPr>
        <w:t>2023, Leaf implemented a SIP to reduce the number of employees, which is being funded by the assets of the Company’s pension plan; $2.9 million and $3.9 million in related non-operating pension expense was recorded in the first and second quarters of 2023, respectively. Each of</w:t>
      </w:r>
    </w:p>
    <w:p>
      <w:pPr>
        <w:spacing w:after="0" w:line="1"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Society6, Saatchi Art and World of Good Brands is continuing with the transition and cost reduction process, which is expected to be completed by the end of the second quarter of 2024.</w:t>
      </w:r>
    </w:p>
    <w:p>
      <w:pPr>
        <w:spacing w:after="0" w:line="117" w:lineRule="exact"/>
        <w:rPr>
          <w:sz w:val="20"/>
          <w:szCs w:val="20"/>
          <w:color w:val="auto"/>
        </w:rPr>
      </w:pPr>
    </w:p>
    <w:p>
      <w:pPr>
        <w:ind w:right="640"/>
        <w:spacing w:after="0" w:line="255" w:lineRule="auto"/>
        <w:rPr>
          <w:sz w:val="20"/>
          <w:szCs w:val="20"/>
          <w:color w:val="auto"/>
        </w:rPr>
      </w:pPr>
      <w:r>
        <w:rPr>
          <w:rFonts w:ascii="Arial" w:cs="Arial" w:eastAsia="Arial" w:hAnsi="Arial"/>
          <w:sz w:val="17"/>
          <w:szCs w:val="17"/>
          <w:color w:val="auto"/>
        </w:rPr>
        <w:t>Revenue at each of the three Leaf businesses declined in the third quarter and first nine months of 2023, with substantial declines at Society6 and WGB. Revenue decreases at Society6 are due to declines in traffic, conversion rates and related sales for both direct to</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consumer and business to business categories; revenue declines at WGB are due to reduced traffic and the soft digital advertising market for both direct and programmatic categories. Overall, the Leaf businesses reported significant operating losses in each of the third quarters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nine months of 2023 and 2022, with an increase in operating losses in the third quarter and first nine months of 2023.</w:t>
      </w:r>
    </w:p>
    <w:p>
      <w:pPr>
        <w:spacing w:after="0" w:line="14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As a result of the substantial digital advertising revenue declines and continued significant operating losses at WGB, the Company recorded a $50.2 million goodwill impairment charge in the third quarter of 2023.</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Clyde’s Restaurant Group</w:t>
      </w:r>
    </w:p>
    <w:p>
      <w:pPr>
        <w:spacing w:after="0" w:line="164"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CRG owns and operates 12 restaurants and entertainment venues in the Washington, D.C. metropolitan area, including Old Ebbitt Grill and The Hamilton. CRG reported an operating loss in the third quarter of 2023 and 2022 and an operating profit for the first nine months of 2023</w:t>
      </w:r>
    </w:p>
    <w:p>
      <w:pPr>
        <w:spacing w:after="0" w:line="236" w:lineRule="auto"/>
        <w:rPr>
          <w:sz w:val="20"/>
          <w:szCs w:val="20"/>
          <w:color w:val="auto"/>
        </w:rPr>
      </w:pPr>
      <w:r>
        <w:rPr>
          <w:rFonts w:ascii="Arial" w:cs="Arial" w:eastAsia="Arial" w:hAnsi="Arial"/>
          <w:sz w:val="18"/>
          <w:szCs w:val="18"/>
          <w:color w:val="auto"/>
        </w:rPr>
        <w:t>and 2022. Both revenues and operating results improved in the first nine months of 2023, due to strong guest traffic, modest price increases,</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and the absence of any significant adverse impact from the COVID-19 pandemic. Operating results in the first nine months of 2022 benefited from a favorable rent concession.</w:t>
      </w:r>
    </w:p>
    <w:p>
      <w:pPr>
        <w:spacing w:after="0" w:line="13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CRG recently announced plans to open new restaurants in Baltimore, MD; Washington, D.C.; and Reston, VA in early 2024, mid 2024 and early 2025,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Washington, D.C., with 20 retail locations in the Washington, D.C., New</w:t>
      </w:r>
    </w:p>
    <w:p>
      <w:pPr>
        <w:spacing w:after="0" w:line="8"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York City, Atlanta, GA, Philadelphia, PA, Boston, MA and Chicago, IL areas and two manufacturing facilities in Kentucky and New Jersey. Framebridge continues to actively explore opportunities for further store expansion. Revenues increased in the third quarter and first nine</w:t>
      </w:r>
    </w:p>
    <w:p>
      <w:pPr>
        <w:spacing w:after="0" w:line="235" w:lineRule="auto"/>
        <w:rPr>
          <w:sz w:val="20"/>
          <w:szCs w:val="20"/>
          <w:color w:val="auto"/>
        </w:rPr>
      </w:pPr>
      <w:r>
        <w:rPr>
          <w:rFonts w:ascii="Arial" w:cs="Arial" w:eastAsia="Arial" w:hAnsi="Arial"/>
          <w:sz w:val="18"/>
          <w:szCs w:val="18"/>
          <w:color w:val="auto"/>
        </w:rPr>
        <w:t>months of 2023 due to an increase in retail revenue from same-store sales growth and operating additional retail stores compared to the</w:t>
      </w:r>
    </w:p>
    <w:p>
      <w:pPr>
        <w:spacing w:after="0" w:line="235" w:lineRule="auto"/>
        <w:rPr>
          <w:sz w:val="20"/>
          <w:szCs w:val="20"/>
          <w:color w:val="auto"/>
        </w:rPr>
      </w:pPr>
      <w:r>
        <w:rPr>
          <w:rFonts w:ascii="Arial" w:cs="Arial" w:eastAsia="Arial" w:hAnsi="Arial"/>
          <w:sz w:val="18"/>
          <w:szCs w:val="18"/>
          <w:color w:val="auto"/>
        </w:rPr>
        <w:t>same periods in 2022. Framebridge is an investment stage business and reported significant operating losses in the first nine months of 2023 and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4" w:lineRule="exact"/>
        <w:rPr>
          <w:sz w:val="20"/>
          <w:szCs w:val="20"/>
          <w:color w:val="auto"/>
        </w:rPr>
      </w:pPr>
    </w:p>
    <w:p>
      <w:pPr>
        <w:ind w:right="640"/>
        <w:spacing w:after="0" w:line="247"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though three core elements of digital success: media, creative and commerce; Slate and Foreign Policy, which publish online and print magazines and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websites; and two investment stage businesses, Decile and City Cast. Slate, Foreign Policy and City Cast reported revenue increases in the first nine months of 2023, while Code3 reported a revenue decline. Losses from City Cast, Code3 and Decile in the first nine months of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affected operating results, while Slate and Foreign Policy each reported an operating profit during this period.</w:t>
      </w:r>
    </w:p>
    <w:p>
      <w:pPr>
        <w:spacing w:after="0" w:line="14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Other businesses also included Pinna, which was sold in June 2023 when the Company entered into a merger agreement with Realm of Possibility, Inc. (Realm), a provider of audio entertainment services, to merge Pinna with Realm in return for a noncontrolling financial interest</w:t>
      </w:r>
    </w:p>
    <w:p>
      <w:pPr>
        <w:spacing w:after="0" w:line="236" w:lineRule="auto"/>
        <w:rPr>
          <w:sz w:val="20"/>
          <w:szCs w:val="20"/>
          <w:color w:val="auto"/>
        </w:rPr>
      </w:pPr>
      <w:r>
        <w:rPr>
          <w:rFonts w:ascii="Arial" w:cs="Arial" w:eastAsia="Arial" w:hAnsi="Arial"/>
          <w:sz w:val="18"/>
          <w:szCs w:val="18"/>
          <w:color w:val="auto"/>
        </w:rPr>
        <w:t>in the merged entity. In connection with the merger, the Company recorded a $10.0 million non-cash, non-operating gain related to the</w:t>
      </w:r>
    </w:p>
    <w:p>
      <w:pPr>
        <w:ind w:right="260"/>
        <w:spacing w:after="0" w:line="235" w:lineRule="auto"/>
        <w:rPr>
          <w:sz w:val="20"/>
          <w:szCs w:val="20"/>
          <w:color w:val="auto"/>
        </w:rPr>
      </w:pPr>
      <w:r>
        <w:rPr>
          <w:rFonts w:ascii="Arial" w:cs="Arial" w:eastAsia="Arial" w:hAnsi="Arial"/>
          <w:sz w:val="18"/>
          <w:szCs w:val="18"/>
          <w:color w:val="auto"/>
        </w:rPr>
        <w:t>transaction. The Company held a noncontrolling interest in Realm prior to the transaction and continues to hold a noncontrolling interest in Realm following the transaction. The Company’s investment in Realm is reported as an equity method investment.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included CyberVista, which was sold in October 2022 when the Company announced a strategic merger of</w:t>
      </w:r>
    </w:p>
    <w:p>
      <w:pPr>
        <w:spacing w:after="0" w:line="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CyberVista and CyberWire, a B2B cybersecurity audio network to form a new parent company, N2K Networks. The Company’s investment in N2K Networks is reported as an equity method investment.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the first and second quarters of 2023, Code3 implemented a SIP to reduce the number of employees, which is being funded by the assets</w:t>
      </w:r>
    </w:p>
    <w:p>
      <w:pPr>
        <w:spacing w:after="0" w:line="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of the Company’s pension plan; $1.2 million and $0.6 million in related non-operating pension expense was recorded in the first and second quarters of 2023,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8" w:lineRule="exact"/>
        <w:rPr>
          <w:sz w:val="20"/>
          <w:szCs w:val="20"/>
          <w:color w:val="auto"/>
        </w:rPr>
      </w:pPr>
    </w:p>
    <w:p>
      <w:pPr>
        <w:ind w:right="700"/>
        <w:spacing w:after="0" w:line="244"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8" w:lineRule="exact"/>
        <w:rPr>
          <w:sz w:val="20"/>
          <w:szCs w:val="20"/>
          <w:color w:val="auto"/>
        </w:rPr>
      </w:pPr>
    </w:p>
    <w:p>
      <w:pPr>
        <w:ind w:right="260"/>
        <w:spacing w:after="0" w:line="233" w:lineRule="auto"/>
        <w:rPr>
          <w:sz w:val="20"/>
          <w:szCs w:val="20"/>
          <w:color w:val="auto"/>
        </w:rPr>
      </w:pPr>
      <w:r>
        <w:rPr>
          <w:rFonts w:ascii="Arial" w:cs="Arial" w:eastAsia="Arial" w:hAnsi="Arial"/>
          <w:sz w:val="18"/>
          <w:szCs w:val="18"/>
          <w:color w:val="auto"/>
        </w:rPr>
        <w:t>At September 30, 2023, the Company held an approximate 18% interest in Intersection Holdings, LLC (Intersection), a company that provides digital marketing and advertising services and products for cities, transit systems, airports, and other public and private spaces; a</w:t>
      </w:r>
    </w:p>
    <w:p>
      <w:pPr>
        <w:spacing w:after="0" w:line="236" w:lineRule="auto"/>
        <w:rPr>
          <w:sz w:val="20"/>
          <w:szCs w:val="20"/>
          <w:color w:val="auto"/>
        </w:rPr>
      </w:pPr>
      <w:r>
        <w:rPr>
          <w:rFonts w:ascii="Arial" w:cs="Arial" w:eastAsia="Arial" w:hAnsi="Arial"/>
          <w:sz w:val="18"/>
          <w:szCs w:val="18"/>
          <w:color w:val="auto"/>
        </w:rPr>
        <w:t>49.9% interest in N2K Networks on a fully diluted basis; and a 42.3% interest in Realm on a fully diluted basis. The Company also holds</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interests in several other affiliates, including a number of home health and hospice joint ventures managed by GHG and two joint ventures managed by Kaplan. Overall, the Company recorded equity in losses of affiliates of $0.8 million for the third quarter of 2023, compared to</w:t>
      </w:r>
    </w:p>
    <w:p>
      <w:pPr>
        <w:spacing w:after="0" w:line="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$1.1 million for the third quarter of 2022. These amounts include $2.8 million and $2.7 million in net losses for the third quarter of 2023 and 2022, respectively, from affiliates whose operations are not managed by the Company.</w:t>
      </w:r>
    </w:p>
    <w:p>
      <w:pPr>
        <w:spacing w:after="0" w:line="11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Company recorded equity in losses of affiliates of $2.2 million for the first nine months of 2023, compared to earnings of $2.9 million for the first nine months of 2022. These amounts include $9.7 million and $2.8 million in net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right="880"/>
        <w:spacing w:after="0" w:line="414" w:lineRule="auto"/>
        <w:rPr>
          <w:sz w:val="20"/>
          <w:szCs w:val="20"/>
          <w:color w:val="auto"/>
        </w:rPr>
      </w:pPr>
      <w:r>
        <w:rPr>
          <w:rFonts w:ascii="Arial" w:cs="Arial" w:eastAsia="Arial" w:hAnsi="Arial"/>
          <w:sz w:val="18"/>
          <w:szCs w:val="18"/>
          <w:color w:val="auto"/>
        </w:rPr>
        <w:t xml:space="preserve">losses for the first nine months of 2023 and 2022, respectively, from affiliates whose operations are not managed by the Company. </w:t>
      </w:r>
      <w:r>
        <w:rPr>
          <w:rFonts w:ascii="Arial" w:cs="Arial" w:eastAsia="Arial" w:hAnsi="Arial"/>
          <w:sz w:val="18"/>
          <w:szCs w:val="18"/>
          <w:b w:val="1"/>
          <w:bCs w:val="1"/>
          <w:u w:val="single" w:color="auto"/>
          <w:color w:val="auto"/>
        </w:rPr>
        <w:t>Net Interest Expense and Related Balances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connection with the acquisition of the Toyota of Richmond dealership, in September 2023, the automotive subsidiary of the Company entered into a credit agreement with Truist Bank, which includes (i) a $75.2 million real estate term loan, (ii) a $65.0 million capital term loan,</w:t>
      </w:r>
    </w:p>
    <w:p>
      <w:pPr>
        <w:spacing w:after="0" w:line="2" w:lineRule="exact"/>
        <w:rPr>
          <w:sz w:val="20"/>
          <w:szCs w:val="20"/>
          <w:color w:val="auto"/>
        </w:rPr>
      </w:pPr>
    </w:p>
    <w:p>
      <w:pPr>
        <w:ind w:right="100" w:firstLine="8"/>
        <w:spacing w:after="0" w:line="232" w:lineRule="auto"/>
        <w:tabs>
          <w:tab w:leader="none" w:pos="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undrawn $50.0 million delayed draw term loan available upon request and (iv) establishment of a revolving floor plan credit facility. Additionally, the automotive subsidiary entered into interest rate swaps to fix the interest rate that the Company will pay on the $75.2 million real estate term loan at 6.42% per annum. The proceeds from this borrowing were used to finance the acquisition of the Toyota of Richmond dealership and to repay the outstanding balance of the automotive subsidiary commercial notes that were maturing in 2031 and 2032. The related interest rate swaps were also terminated, resulting in a realized gain of $4.6 million recorded as a credit to interest expense during the third quarter of 2023.</w:t>
      </w:r>
    </w:p>
    <w:p>
      <w:pPr>
        <w:spacing w:after="0" w:line="137"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The Company incurred net interest expense of $9.8 million and $33.1 million for the third quarter and first nine months of 2023, respectively, compared to $10.8 million and $36.8 million for the third quarter and first nine months of 2022, respectively. The Company recorded interest</w:t>
      </w:r>
    </w:p>
    <w:p>
      <w:pPr>
        <w:spacing w:after="0" w:line="236" w:lineRule="auto"/>
        <w:rPr>
          <w:sz w:val="20"/>
          <w:szCs w:val="20"/>
          <w:color w:val="auto"/>
        </w:rPr>
      </w:pPr>
      <w:r>
        <w:rPr>
          <w:rFonts w:ascii="Arial" w:cs="Arial" w:eastAsia="Arial" w:hAnsi="Arial"/>
          <w:sz w:val="18"/>
          <w:szCs w:val="18"/>
          <w:color w:val="auto"/>
        </w:rPr>
        <w:t>expense of $1.1 million and $1.4 million in the third quarter and first nine months of 2023, respectively, to adjust the fair value of the</w:t>
      </w:r>
    </w:p>
    <w:p>
      <w:pPr>
        <w:ind w:right="20"/>
        <w:spacing w:after="0"/>
        <w:rPr>
          <w:sz w:val="20"/>
          <w:szCs w:val="20"/>
          <w:color w:val="auto"/>
        </w:rPr>
      </w:pPr>
      <w:r>
        <w:rPr>
          <w:rFonts w:ascii="Arial" w:cs="Arial" w:eastAsia="Arial" w:hAnsi="Arial"/>
          <w:sz w:val="17"/>
          <w:szCs w:val="17"/>
          <w:color w:val="auto"/>
        </w:rPr>
        <w:t>mandatorily redeemable noncontrolling interest at GHG. The Company recorded interest expense of $1.4 million and $12.8 million in the third quarter and first nine months of 2022, respectively, to adjust the fair value of the mandatorily redeemable noncontrolling interest at GHG.</w:t>
      </w:r>
    </w:p>
    <w:p>
      <w:pPr>
        <w:spacing w:after="0" w:line="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Excluding these adjustments, the increase in net interest expense relates primarily to increased debt at the automotive dealerships and higher interest rates on the Company’s variable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the Company had $761.7 million in borrowings outstanding at an average interest rate of 6.3%, and cash,</w:t>
      </w:r>
    </w:p>
    <w:p>
      <w:pPr>
        <w:spacing w:after="0" w:line="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marketable equity securities and other investments of $873.0 million. At September 30, 2023, the Company had $60.9 million outstanding on its $300 million revolving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8" w:lineRule="exact"/>
        <w:rPr>
          <w:sz w:val="20"/>
          <w:szCs w:val="20"/>
          <w:color w:val="auto"/>
        </w:rPr>
      </w:pPr>
    </w:p>
    <w:p>
      <w:pPr>
        <w:jc w:val="both"/>
        <w:ind w:right="180"/>
        <w:spacing w:after="0" w:line="233" w:lineRule="auto"/>
        <w:rPr>
          <w:sz w:val="20"/>
          <w:szCs w:val="20"/>
          <w:color w:val="auto"/>
        </w:rPr>
      </w:pPr>
      <w:r>
        <w:rPr>
          <w:rFonts w:ascii="Arial" w:cs="Arial" w:eastAsia="Arial" w:hAnsi="Arial"/>
          <w:sz w:val="18"/>
          <w:szCs w:val="18"/>
          <w:color w:val="auto"/>
        </w:rPr>
        <w:t>The Company recorded net non-operating pension and postretirement benefit income of $35.7 million and $97.3 million for the third quarter and first nine months of 2023, respectively, compared to $50.7 million and $152.1 million for the third quarter and first nine months of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46"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In the second quarter of 2023, the Company recorded $5.5 million in expenses related to non-operating SIPs at other businesses and the education and television broadcasting divisions. In the first quarter of 2023, the Company recorded $4.1 million in expenses related to non-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SIPs at other businesses.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5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Overall, the Company recognized $16.8 million and $113.4 million in net gains on marketable equity securities in the third quarter and first nine months of 2023, respectively, compared to $54.3 million and $172.9 million in net losses on marketable equity securities in the third quarter and first nine months of 2022,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income, net, of $3.6 million for the third quarter of 2023, compared to $2.4 million for the</w:t>
      </w:r>
    </w:p>
    <w:p>
      <w:pPr>
        <w:spacing w:after="0" w:line="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third quarter of 2022. The 2023 amounts included $1.7 million in foreign currency gains; $1.1 million in gains related to the sale of businesses and contingent consideration; a $0.1 million gain on sale of a cost method investment, and other items. The 2022 amounts included $1.4</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million in gains related to the sale of businesses and contingent consideration; a $0.6 million fair value increase on a cost method investment, and other items; partially offset by $0.4 million in foreign currency losses.</w:t>
      </w:r>
    </w:p>
    <w:p>
      <w:pPr>
        <w:spacing w:after="0" w:line="117"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The Company recorded total non-operating income, net, of $22.5 million for the first nine months of 2023, compared to $ 6.4 million for the first nine months of 2022. The 2023 amounts included a non-cash gain of $10.0 million on the sale of Pinna; $4.3 million in gains related to</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the sale of businesses and contingent consideration; a $3.1 million fair value increase on cost method investments; $1.8 million in foreign currency gains; a $1.0 million gain on sales of cost method investments, and other items. The 2022 amounts included $3.1 million in gains</w:t>
      </w:r>
    </w:p>
    <w:p>
      <w:pPr>
        <w:spacing w:after="0" w:line="236" w:lineRule="auto"/>
        <w:rPr>
          <w:sz w:val="20"/>
          <w:szCs w:val="20"/>
          <w:color w:val="auto"/>
        </w:rPr>
      </w:pPr>
      <w:r>
        <w:rPr>
          <w:rFonts w:ascii="Arial" w:cs="Arial" w:eastAsia="Arial" w:hAnsi="Arial"/>
          <w:sz w:val="18"/>
          <w:szCs w:val="18"/>
          <w:color w:val="auto"/>
        </w:rPr>
        <w:t>related to the sale of businesses and contingent consideration; $1.0 million in gains on sales of cost method investments; a $0.6 million gain</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on sale of an equity affiliate; a $0.6 million fair value increase on a cost method investment, and other items; partially offset by $2.0 million in foreign currency losses.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nine months of 2023 and 2022 was 31.1% and 29.6%,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8"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The calculation of diluted earnings per share for the third quarter and first nine months of 2023 was based on 4,601,521 and 4,700,304 weighted average shares outstanding, respectively, compared to 4,819,661 and 4,853,267, respectively, for the third quarter and first nine</w:t>
      </w:r>
    </w:p>
    <w:p>
      <w:pPr>
        <w:spacing w:after="0" w:line="236" w:lineRule="auto"/>
        <w:rPr>
          <w:sz w:val="20"/>
          <w:szCs w:val="20"/>
          <w:color w:val="auto"/>
        </w:rPr>
      </w:pPr>
      <w:r>
        <w:rPr>
          <w:rFonts w:ascii="Arial" w:cs="Arial" w:eastAsia="Arial" w:hAnsi="Arial"/>
          <w:sz w:val="18"/>
          <w:szCs w:val="18"/>
          <w:color w:val="auto"/>
        </w:rPr>
        <w:t>months of 2022. At September 30, 2023, there were 4,578,889 shares outstanding. On May 4, 2023, the Board of Directors authorized the</w:t>
      </w:r>
    </w:p>
    <w:p>
      <w:pPr>
        <w:ind w:right="140"/>
        <w:spacing w:after="0" w:line="235" w:lineRule="auto"/>
        <w:rPr>
          <w:sz w:val="20"/>
          <w:szCs w:val="20"/>
          <w:color w:val="auto"/>
        </w:rPr>
      </w:pPr>
      <w:r>
        <w:rPr>
          <w:rFonts w:ascii="Arial" w:cs="Arial" w:eastAsia="Arial" w:hAnsi="Arial"/>
          <w:sz w:val="18"/>
          <w:szCs w:val="18"/>
          <w:color w:val="auto"/>
        </w:rPr>
        <w:t>Company to acquire up to 500,000 shares of its Class B common stock; the Company has remaining authorization for 336,666 shares as of September 30,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68"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The Company continuously assesses relevant events and circumstances to determine whether it is more likely than not that the fair value of a reporting unit is less than its carrying amount. In the third quarter of 2023, the Company performed an interim impairment review 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Dekko, WGB and Framebridge reporting units.</w:t>
      </w:r>
    </w:p>
    <w:p>
      <w:pPr>
        <w:spacing w:after="0" w:line="14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As a result of continued sustained weakness in demand for certain Dekko power and data products primarily in the commercial office space market, the Company recorded a $47.8 million goodwill impairment charge at Dekko. After the impairment charge, no goodwill remains 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Dekko reporting unit, which is included in manufacturing.</w:t>
      </w:r>
    </w:p>
    <w:p>
      <w:pPr>
        <w:spacing w:after="0" w:line="146"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As a result of the substantial digital advertising revenue declines and continued significant operating losses at WGB, the Company recorded a $50.2 million goodwill impairment charge to the reporting unit, which is included in other businesses. After the impairment charge, $7.5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million of goodwill remains at the WGB reporting unit.</w:t>
      </w:r>
    </w:p>
    <w:p>
      <w:pPr>
        <w:spacing w:after="0" w:line="146"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quantitative goodwill impairment analysis at Framebridge indicated the estimated fair value of the reporting unit, included in other businesses, exceeded its carrying value as of September 30, 2023. The estimated fair value of Framebridge exceeded its carrying value by a</w:t>
      </w:r>
    </w:p>
    <w:p>
      <w:pPr>
        <w:spacing w:after="0" w:line="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margin less than 10%. The total goodwill at this reporting unit was $60.9 million as of September 30, 2023, or 4% of the total goodwill of the Company.</w:t>
      </w:r>
    </w:p>
    <w:p>
      <w:pPr>
        <w:spacing w:after="0" w:line="13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It is possible that impairment charges, which may be material, could occur in the future, given changes in market conditions and the inherent variability in projecting future operating performance.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22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159,981</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169,319</w:t>
            </w:r>
          </w:p>
        </w:tc>
        <w:tc>
          <w:tcPr>
            <w:tcW w:w="0" w:type="dxa"/>
            <w:vAlign w:val="bottom"/>
          </w:tcPr>
          <w:p>
            <w:pPr>
              <w:spacing w:after="0"/>
              <w:rPr>
                <w:sz w:val="1"/>
                <w:szCs w:val="1"/>
                <w:color w:val="auto"/>
              </w:rPr>
            </w:pP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40,657</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21,113</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672,346</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622,408</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b w:val="1"/>
                <w:bCs w:val="1"/>
                <w:color w:val="auto"/>
              </w:rPr>
              <w:t>761,686</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726,360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w:t>
      </w:r>
    </w:p>
    <w:p>
      <w:pPr>
        <w:spacing w:after="0" w:line="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undrawn portion of the Company’s $300 million revolving credit facility, amounting to $239.1 million at September 30, 2023 and the undrawn $50.0 million delayed draw term loan at the automotive subsidiary.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2023, the Company’s cash and cash equivalents decreased by $9.3 million, due to share repurchases,</w:t>
      </w:r>
    </w:p>
    <w:p>
      <w:pPr>
        <w:spacing w:after="0" w:line="8"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acquisitions, capital expenditures, a loan to a related party, additional investments in marketable equity securities and equity affiliates, and dividend payments, which was offset by cash generated from operations, the proceeds from the sale of marketable equity securities, net</w:t>
      </w:r>
    </w:p>
    <w:p>
      <w:pPr>
        <w:spacing w:after="0" w:line="235" w:lineRule="auto"/>
        <w:rPr>
          <w:sz w:val="20"/>
          <w:szCs w:val="20"/>
          <w:color w:val="auto"/>
        </w:rPr>
      </w:pPr>
      <w:r>
        <w:rPr>
          <w:rFonts w:ascii="Arial" w:cs="Arial" w:eastAsia="Arial" w:hAnsi="Arial"/>
          <w:sz w:val="18"/>
          <w:szCs w:val="18"/>
          <w:color w:val="auto"/>
        </w:rPr>
        <w:t>proceeds from the vehicle floor plan payable, and net borrowings. In the first nine months of 2023, the Company’s borrowings increased by</w:t>
      </w:r>
    </w:p>
    <w:p>
      <w:pPr>
        <w:ind w:right="440"/>
        <w:spacing w:after="0" w:line="235" w:lineRule="auto"/>
        <w:rPr>
          <w:sz w:val="20"/>
          <w:szCs w:val="20"/>
          <w:color w:val="auto"/>
        </w:rPr>
      </w:pPr>
      <w:r>
        <w:rPr>
          <w:rFonts w:ascii="Arial" w:cs="Arial" w:eastAsia="Arial" w:hAnsi="Arial"/>
          <w:sz w:val="18"/>
          <w:szCs w:val="18"/>
          <w:color w:val="auto"/>
        </w:rPr>
        <w:t>$35.3 million, primarily due to the issuance of the term loan and new loans at the automotive subsidiary, offset by repayments under the revolving credit facility and commercial notes at the automotive subsidiary.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the Company had money market investments of $39.7 million and $7.7 million, that are</w:t>
      </w:r>
    </w:p>
    <w:p>
      <w:pPr>
        <w:spacing w:after="0" w:line="8"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included in cash and cash equivalents. At September 30, 2023, the Company held approximately $90 million in cash and cash equivalents in businesses domiciled outside the U.S., of which approximately $8 million is not available for immediate use in operations or for distribution.</w:t>
      </w:r>
    </w:p>
    <w:p>
      <w:pPr>
        <w:spacing w:after="0" w:line="236" w:lineRule="auto"/>
        <w:rPr>
          <w:sz w:val="20"/>
          <w:szCs w:val="20"/>
          <w:color w:val="auto"/>
        </w:rPr>
      </w:pPr>
      <w:r>
        <w:rPr>
          <w:rFonts w:ascii="Arial" w:cs="Arial" w:eastAsia="Arial" w:hAnsi="Arial"/>
          <w:sz w:val="18"/>
          <w:szCs w:val="18"/>
          <w:color w:val="auto"/>
        </w:rPr>
        <w:t>Additionally, Kaplan’s business operations outside the U.S. retain cash balances to support ongoing working capital requirements, capital</w:t>
      </w:r>
    </w:p>
    <w:p>
      <w:pPr>
        <w:spacing w:after="0" w:line="1"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expenditures, and regulatory requirements. As a result, the Company considers a significant portion of the cash and cash equivalents balance held outside the U.S. as not readily available for use in U.S. operations.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At September 30, 2023, the fair value of the Company’s investments in marketable equity securities was $665.5 million, which includes</w:t>
      </w:r>
    </w:p>
    <w:p>
      <w:pPr>
        <w:spacing w:after="0" w:line="8" w:lineRule="exact"/>
        <w:rPr>
          <w:sz w:val="20"/>
          <w:szCs w:val="20"/>
          <w:color w:val="auto"/>
        </w:rPr>
      </w:pPr>
    </w:p>
    <w:p>
      <w:pPr>
        <w:jc w:val="both"/>
        <w:ind w:right="460"/>
        <w:spacing w:after="0"/>
        <w:rPr>
          <w:sz w:val="20"/>
          <w:szCs w:val="20"/>
          <w:color w:val="auto"/>
        </w:rPr>
      </w:pPr>
      <w:r>
        <w:rPr>
          <w:rFonts w:ascii="Arial" w:cs="Arial" w:eastAsia="Arial" w:hAnsi="Arial"/>
          <w:sz w:val="17"/>
          <w:szCs w:val="17"/>
          <w:color w:val="auto"/>
        </w:rPr>
        <w:t>investments in the common stock of four publicly traded companies. During the first nine months of 2023, the Company purchased $4.6 million of marketable equity securities and sold marketable equity securities that generated proceeds of $62.0 million. At September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2023, the net unrealized gain related to the Company’s investments totaled $439.5 million.</w:t>
      </w:r>
    </w:p>
    <w:p>
      <w:pPr>
        <w:spacing w:after="0" w:line="146"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In April 2023, the Company entered into a term note agreement to loan Intersection $30.0 million at an interest rate of 9% per annum. The principal and interest on the note are payable in monthly installments over 5 years with the final payment due by May 2028. The outstanding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on this loan was $29.3 million as of September 30, 2023.</w:t>
      </w:r>
    </w:p>
    <w:p>
      <w:pPr>
        <w:spacing w:after="0" w:line="146" w:lineRule="exact"/>
        <w:rPr>
          <w:sz w:val="20"/>
          <w:szCs w:val="20"/>
          <w:color w:val="auto"/>
        </w:rPr>
      </w:pPr>
    </w:p>
    <w:p>
      <w:pPr>
        <w:ind w:right="320"/>
        <w:spacing w:after="0" w:line="247" w:lineRule="auto"/>
        <w:rPr>
          <w:sz w:val="20"/>
          <w:szCs w:val="20"/>
          <w:color w:val="auto"/>
        </w:rPr>
      </w:pPr>
      <w:r>
        <w:rPr>
          <w:rFonts w:ascii="Arial" w:cs="Arial" w:eastAsia="Arial" w:hAnsi="Arial"/>
          <w:sz w:val="17"/>
          <w:szCs w:val="17"/>
          <w:color w:val="auto"/>
        </w:rPr>
        <w:t>The Company had working capital of $646.2 million and $ 534.1 million at September 30, 2023 and December 31, 2022, respectively. The Company maintains working capital levels consistent with its underlying business requirements and consistently generates cash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in excess of required interest or principal payments.</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At September 30, 2023 and December 31, 2022, the Company had borrowings outstanding of $761.7 million and $726.4 million, respectively. The Company’s borrowings at September 30, 2023 were mostly from $400.0 million of 5.75% unsecured notes due June 1, 2026, $60.9</w:t>
      </w:r>
    </w:p>
    <w:p>
      <w:pPr>
        <w:spacing w:after="0" w:line="236" w:lineRule="auto"/>
        <w:rPr>
          <w:sz w:val="20"/>
          <w:szCs w:val="20"/>
          <w:color w:val="auto"/>
        </w:rPr>
      </w:pPr>
      <w:r>
        <w:rPr>
          <w:rFonts w:ascii="Arial" w:cs="Arial" w:eastAsia="Arial" w:hAnsi="Arial"/>
          <w:sz w:val="18"/>
          <w:szCs w:val="18"/>
          <w:color w:val="auto"/>
        </w:rPr>
        <w:t>million in outstanding borrowings under the Company’s revolving credit facility, a term loan of $149.3 million, and real estate and capital term</w:t>
      </w:r>
    </w:p>
    <w:p>
      <w:pPr>
        <w:ind w:right="240"/>
        <w:spacing w:after="0" w:line="226" w:lineRule="auto"/>
        <w:rPr>
          <w:sz w:val="20"/>
          <w:szCs w:val="20"/>
          <w:color w:val="auto"/>
        </w:rPr>
      </w:pPr>
      <w:r>
        <w:rPr>
          <w:rFonts w:ascii="Arial" w:cs="Arial" w:eastAsia="Arial" w:hAnsi="Arial"/>
          <w:sz w:val="18"/>
          <w:szCs w:val="18"/>
          <w:color w:val="auto"/>
        </w:rPr>
        <w:t>loans of $139.3 million at the automotive subsidiary. The Company’s borrowings at December 31, 2022 were mostly from $400.0 million of 5.75% unsecured notes due June 1, 2026, $200.2 million in outstanding borrowings under the Company’s revolving credit facility and</w:t>
      </w:r>
    </w:p>
    <w:p>
      <w:pPr>
        <w:spacing w:after="0" w:line="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commercial notes of $ 116.6 million at the automotive subsidiary. The interest on the $400.0 million of 5.75% unsecured notes is payable semiannually on June 1 and December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and 2022, the Company had average borrowings outstanding of approximately $737.1</w:t>
      </w:r>
    </w:p>
    <w:p>
      <w:pPr>
        <w:spacing w:after="0" w:line="8"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million and $676.5 million, respectively, at average annual interest rates of approximately 6.0% and 4.6%, respectively. During the nine months ended September 30, 2023 and 2022, the Company incurred net interest expense of $33.1 million and $36.8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July 28, 2023, the Company entered into a $150 million term loan with each of the lenders party thereto, Wells Fargo Bank, N.A.,</w:t>
      </w:r>
    </w:p>
    <w:p>
      <w:pPr>
        <w:spacing w:after="0" w:line="8"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JPMorgan Chase Bank N.A., Bank of America, N.A., HSBC Bank USA, N.A., and PNC Bank, N.A. The term loan is payable in quarterly installments of $1.875 million starting in December 2023 with a final payment of the principal balance due on May 30, 2027. The term loan</w:t>
      </w:r>
    </w:p>
    <w:p>
      <w:pPr>
        <w:spacing w:after="0" w:line="236" w:lineRule="auto"/>
        <w:rPr>
          <w:sz w:val="20"/>
          <w:szCs w:val="20"/>
          <w:color w:val="auto"/>
        </w:rPr>
      </w:pPr>
      <w:r>
        <w:rPr>
          <w:rFonts w:ascii="Arial" w:cs="Arial" w:eastAsia="Arial" w:hAnsi="Arial"/>
          <w:sz w:val="18"/>
          <w:szCs w:val="18"/>
          <w:color w:val="auto"/>
        </w:rPr>
        <w:t>bears interest at variable rates based on Secured Overnight Financing Rate (SOFR) plus 1.75% per annum. The Company may redeem the</w:t>
      </w:r>
    </w:p>
    <w:p>
      <w:pPr>
        <w:spacing w:after="0" w:line="1"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term loan in whole or in part with no penalty at any time. The term loan has no impact on the existing financial covenants of the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On September 26, 2023, the Company’s automotive subsidiary entered into a credit agreement with Truist Bank, which includes (i) a $75.2</w:t>
      </w:r>
    </w:p>
    <w:p>
      <w:pPr>
        <w:spacing w:after="0" w:line="8"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million real estate term loan, (ii) a $65.0 million capital term loan, (iii) a $ 50.0 million delayed draw term loan, and (iv) establishment of a revolving floor plan credit facility. The real estate term loan is payable in monthly installments of $0.3 million and bears interest at variable</w:t>
      </w:r>
    </w:p>
    <w:p>
      <w:pPr>
        <w:spacing w:after="0" w:line="236" w:lineRule="auto"/>
        <w:rPr>
          <w:sz w:val="20"/>
          <w:szCs w:val="20"/>
          <w:color w:val="auto"/>
        </w:rPr>
      </w:pPr>
      <w:r>
        <w:rPr>
          <w:rFonts w:ascii="Arial" w:cs="Arial" w:eastAsia="Arial" w:hAnsi="Arial"/>
          <w:sz w:val="18"/>
          <w:szCs w:val="18"/>
          <w:color w:val="auto"/>
        </w:rPr>
        <w:t>rates based on SOFR plus 1.75% per annum, and the capital term loan is payable in monthly installments of $0.5 million and bears interest</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at variable rates based on SOFR plus 2.00% per annum. The monthly installment payments on the real estate and capital term loans commence on November 1, 2023, with final payments of the outstanding principal balances due on September 26, 2028. Subject to terms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and conditions set forth in the credit agreement, the automotive subsidiary may also request borrowings of delayed draw term loans for which</w:t>
      </w:r>
    </w:p>
    <w:p>
      <w:pPr>
        <w:spacing w:after="0" w:line="7"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proceeds may be used to (i) finance the acquisition of automobile dealerships (delayed draw capital loan) and (ii) finance the acquisition of real estate (delayed draw real estate loan). The delayed draw term loan bears interest at variable rates based on SOFR plus an applicable</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margin based on the type of delayed draw term loan requested. The delayed draw term loan availability period terminates on September 26, 2025. The automotive subsidiary did not borrow against the delayed term loan as of September 30, 2023.</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the same date, the Company’s automotive subsidiary entered into three interest rate swap agreements with a total notional value of $75.2 million and a maturity date of September 26, 2028. The interest rate swap agreements will pay the automotive subsidiary interest on the</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$75.2 million notional amount based on SOFR and the automotive subsidiary will pay the counterparty a fixed rate of 4.67% per annum. The new interest rate swap agreements were entered into to convert the variable rate borrowing under the real estate term loan into a fixed rate</w:t>
      </w:r>
    </w:p>
    <w:p>
      <w:pPr>
        <w:spacing w:after="0" w:line="236" w:lineRule="auto"/>
        <w:rPr>
          <w:sz w:val="20"/>
          <w:szCs w:val="20"/>
          <w:color w:val="auto"/>
        </w:rPr>
      </w:pPr>
      <w:r>
        <w:rPr>
          <w:rFonts w:ascii="Arial" w:cs="Arial" w:eastAsia="Arial" w:hAnsi="Arial"/>
          <w:sz w:val="18"/>
          <w:szCs w:val="18"/>
          <w:color w:val="auto"/>
        </w:rPr>
        <w:t>borrowing. Based on the terms of the new interest rate swap agreements and underlying borrowings, the new interest rate swaps were</w:t>
      </w:r>
    </w:p>
    <w:p>
      <w:pPr>
        <w:spacing w:after="0" w:line="1"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determined to be effective and thus qualify as cash flow hedges. Including a 1.75% applicable margin, the overall interest rate that the Company will pay on the $75.2 million real estate term loan is fixed at 6.42% per annum.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automotive subsidiary used the net proceeds from the real estate and capital term loans to finance the acquisition of the Toyota of</w:t>
      </w:r>
    </w:p>
    <w:p>
      <w:pPr>
        <w:spacing w:after="0" w:line="8"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Richmond dealership and to repay the outstanding balances of the commercial notes maturing 2031 and 2032. The interest rate swap agreements maturing in 2031 and 2032 were also terminated resulting in realized gains of $4.6 million that reduced interest expense during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third quarter of 2023.</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7" w:right="359" w:bottom="1440" w:gutter="0" w:footer="0" w:header="0"/>
        </w:sectPr>
      </w:pPr>
    </w:p>
    <w:bookmarkStart w:id="39" w:name="page40"/>
    <w:bookmarkEnd w:id="39"/>
    <w:p>
      <w:pPr>
        <w:ind w:right="500"/>
        <w:spacing w:after="0" w:line="260" w:lineRule="auto"/>
        <w:rPr>
          <w:sz w:val="20"/>
          <w:szCs w:val="20"/>
          <w:color w:val="auto"/>
        </w:rPr>
      </w:pPr>
      <w:r>
        <w:rPr>
          <w:rFonts w:ascii="Arial" w:cs="Arial" w:eastAsia="Arial" w:hAnsi="Arial"/>
          <w:sz w:val="18"/>
          <w:szCs w:val="18"/>
          <w:color w:val="auto"/>
        </w:rPr>
        <w:t>On August 17, 2023, Moody’s affirmed the Company’s credit rating and maintained the outlook as Stable. On April 4, 2023, Standard &amp; Poor’s affirmed the Company’s credit rating and maintained the outlook as Stable.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30"/>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50"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September 30, 2023, the Company had $60.9 million outstanding under the</w:t>
      </w:r>
    </w:p>
    <w:p>
      <w:pPr>
        <w:spacing w:after="0" w:line="236" w:lineRule="auto"/>
        <w:rPr>
          <w:sz w:val="20"/>
          <w:szCs w:val="20"/>
          <w:color w:val="auto"/>
        </w:rPr>
      </w:pPr>
      <w:r>
        <w:rPr>
          <w:rFonts w:ascii="Arial" w:cs="Arial" w:eastAsia="Arial" w:hAnsi="Arial"/>
          <w:sz w:val="18"/>
          <w:szCs w:val="18"/>
          <w:color w:val="auto"/>
        </w:rPr>
        <w:t>$300 million revolving credit facility. In management’s opinion, the Company will have sufficient financial resources to meet its business</w:t>
      </w:r>
    </w:p>
    <w:p>
      <w:pPr>
        <w:ind w:right="260"/>
        <w:spacing w:after="0" w:line="235"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1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62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7" w:right="35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in cash and cash equivalents and restricted cash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202,526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203,665</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(119,431)</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(171,645)</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(69,705)</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(8,184)</w:t>
            </w:r>
          </w:p>
        </w:tc>
      </w:tr>
      <w:tr>
        <w:trPr>
          <w:trHeight w:val="233"/>
        </w:trPr>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(3,184)</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(11,824)</w:t>
            </w:r>
          </w:p>
        </w:tc>
      </w:tr>
      <w:tr>
        <w:trPr>
          <w:trHeight w:val="225"/>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10,206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12,012</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7" w:right="359" w:bottom="1440" w:gutter="0" w:footer="0" w:header="0"/>
          <w:type w:val="continuous"/>
        </w:sectPr>
      </w:pPr>
    </w:p>
    <w:p>
      <w:pPr>
        <w:spacing w:after="0" w:line="7"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3"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156,014</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63,791</w:t>
            </w: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long-lived asset impairments</w:t>
            </w:r>
          </w:p>
        </w:tc>
        <w:tc>
          <w:tcPr>
            <w:tcW w:w="3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201,408</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102,981</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50,181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51,344</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(73,852)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(136,411)</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(86,439)</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194,629</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(44,786)</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(72,669)</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202,526</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203,665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19"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For the first nine months of 2023 compared to the first nine months of 2022, the small decrease in net cash provided by operating activities is primarily driven by lower net income, after adjusting for non-cash activities, offset by a decrease in customer collections and vendor</w:t>
      </w:r>
    </w:p>
    <w:p>
      <w:pPr>
        <w:spacing w:after="0" w:line="2"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payments in 2023 compared to 2022 . The change in non-cash activities is largely the result of fluctuations in the share prices of the Company’s investments in marketable equity securities which resulted in a gain in 2023 compared to a loss in 2022.</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7"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62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certain businesses, net of cash acquired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proceeds from sales of marketable equity securities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 to related party</w:t>
      </w:r>
    </w:p>
    <w:p>
      <w:pPr>
        <w:spacing w:after="0" w:line="46" w:lineRule="exact"/>
        <w:rPr>
          <w:sz w:val="20"/>
          <w:szCs w:val="20"/>
          <w:color w:val="auto"/>
        </w:rPr>
      </w:pPr>
    </w:p>
    <w:p>
      <w:pPr>
        <w:ind w:left="20" w:right="2900"/>
        <w:spacing w:after="0" w:line="320" w:lineRule="auto"/>
        <w:rPr>
          <w:sz w:val="20"/>
          <w:szCs w:val="20"/>
          <w:color w:val="auto"/>
        </w:rPr>
      </w:pPr>
      <w:r>
        <w:rPr>
          <w:rFonts w:ascii="Arial" w:cs="Arial" w:eastAsia="Arial" w:hAnsi="Arial"/>
          <w:sz w:val="16"/>
          <w:szCs w:val="16"/>
          <w:color w:val="auto"/>
        </w:rPr>
        <w:t>Investments in equity affiliates, cost method and other investments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(77,004)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(130,177)</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(61,156)</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(57,097)</w:t>
            </w:r>
          </w:p>
        </w:tc>
      </w:tr>
      <w:tr>
        <w:trPr>
          <w:trHeight w:val="229"/>
        </w:trPr>
        <w:tc>
          <w:tcPr>
            <w:tcW w:w="36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55,817</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39,163</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(30,000)</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(12,839)</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(30,075)</w:t>
            </w:r>
          </w:p>
        </w:tc>
      </w:tr>
      <w:tr>
        <w:trPr>
          <w:trHeight w:val="233"/>
        </w:trPr>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5,751</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w:t>
            </w:r>
          </w:p>
        </w:tc>
      </w:tr>
      <w:tr>
        <w:trPr>
          <w:trHeight w:val="225"/>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(119,431)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(171,645)</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720"/>
            <w:col w:w="2780"/>
          </w:cols>
          <w:pgMar w:left="320" w:top="927" w:right="379" w:bottom="1440" w:gutter="0" w:footer="0" w:header="0"/>
          <w:type w:val="continuous"/>
        </w:sectPr>
      </w:pPr>
    </w:p>
    <w:p>
      <w:pPr>
        <w:spacing w:after="0" w:line="1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nine months of 2023, the Company acquired four business: one in automotive, two small businesses in</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and one in other businesses for $82.3 million in cash and contingent consideration and the assumption of floor plan payables. In</w:t>
      </w:r>
    </w:p>
    <w:p>
      <w:pPr>
        <w:ind w:right="340"/>
        <w:spacing w:after="0" w:line="226" w:lineRule="auto"/>
        <w:rPr>
          <w:sz w:val="20"/>
          <w:szCs w:val="20"/>
          <w:color w:val="auto"/>
        </w:rPr>
      </w:pPr>
      <w:r>
        <w:rPr>
          <w:rFonts w:ascii="Arial" w:cs="Arial" w:eastAsia="Arial" w:hAnsi="Arial"/>
          <w:sz w:val="18"/>
          <w:szCs w:val="18"/>
          <w:color w:val="auto"/>
        </w:rPr>
        <w:t>September 2023, the Company’s automotive subsidiary acquired a Toyota automotive dealership, including the real property for the dealership operations. In addition to a cash payment and the assumption of $2.2 million in floor plan payables, the automotive subsidiary</w:t>
      </w:r>
    </w:p>
    <w:p>
      <w:pPr>
        <w:spacing w:after="0" w:line="236" w:lineRule="auto"/>
        <w:rPr>
          <w:sz w:val="20"/>
          <w:szCs w:val="20"/>
          <w:color w:val="auto"/>
        </w:rPr>
      </w:pPr>
      <w:r>
        <w:rPr>
          <w:rFonts w:ascii="Arial" w:cs="Arial" w:eastAsia="Arial" w:hAnsi="Arial"/>
          <w:sz w:val="18"/>
          <w:szCs w:val="18"/>
          <w:color w:val="auto"/>
        </w:rPr>
        <w:t>borrowed $37.0 million to finance the acquisition. During the first nine months of 2022, the Company acquired seven businesses: five in</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healthcare and two in automotive, for $142.8 million in cash and contingent consideration and the assumption of floor plan payables. GHG acquired two small businesses in August 2022, a 100% interest in a multi-state provider of Applied Behavior Analysis clinics in July 2022,</w:t>
      </w:r>
    </w:p>
    <w:p>
      <w:pPr>
        <w:spacing w:after="0" w:line="236" w:lineRule="auto"/>
        <w:rPr>
          <w:sz w:val="20"/>
          <w:szCs w:val="20"/>
          <w:color w:val="auto"/>
        </w:rPr>
      </w:pPr>
      <w:r>
        <w:rPr>
          <w:rFonts w:ascii="Arial" w:cs="Arial" w:eastAsia="Arial" w:hAnsi="Arial"/>
          <w:sz w:val="18"/>
          <w:szCs w:val="18"/>
          <w:color w:val="auto"/>
        </w:rPr>
        <w:t>and two small businesses in May 2022. In July 2022, the Company’s automotive subsidiary acquired two automotive dealerships, including</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real property for the dealership operations. In addition to a cash payment and the assumption of $10.9 million in floor plan payables, the automotive subsidiary borrowed $77.4 million to finance the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amounts reflected in the Company’s Condensed Consolidated Statements of Cash Flows are based on cash</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payments made during the relevant periods, whereas the Company’s capital expenditures for the first nine months of 2023 of $71.6 million include assets acquired during the period. The Company estimates that its capital expenditures will be in the range of $95 million to $105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in 2023.</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i w:val="1"/>
          <w:iCs w:val="1"/>
          <w:color w:val="auto"/>
        </w:rPr>
        <w:t xml:space="preserve">Net proceeds from sale of marketable equity securities. </w:t>
      </w:r>
      <w:r>
        <w:rPr>
          <w:rFonts w:ascii="Arial" w:cs="Arial" w:eastAsia="Arial" w:hAnsi="Arial"/>
          <w:sz w:val="17"/>
          <w:szCs w:val="17"/>
          <w:color w:val="auto"/>
        </w:rPr>
        <w:t>During the first nine months of 2023 and 2022, the Company sold marketable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generated proceeds of $62.0 million and $74.2 million, respectively. The Company purchased $4.6 million and $35.1 million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marketable equity securities during the first nine months of 2023 and 2022.</w:t>
      </w:r>
    </w:p>
    <w:p>
      <w:pPr>
        <w:spacing w:after="0" w:line="12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 xml:space="preserve">Loan to related party. </w:t>
      </w:r>
      <w:r>
        <w:rPr>
          <w:rFonts w:ascii="Arial" w:cs="Arial" w:eastAsia="Arial" w:hAnsi="Arial"/>
          <w:sz w:val="18"/>
          <w:szCs w:val="18"/>
          <w:color w:val="auto"/>
        </w:rPr>
        <w:t>In April 2023, the Company entered into a term note agreement to loan Intersection $30.0 million at an interest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9% per annum. The principal and interest on the note are payable in monthly installments over 5 years with the final payment due by May 2028. The outstanding balance on this loan was $29.3 million as of September 30, 2023.</w:t>
      </w:r>
    </w:p>
    <w:p>
      <w:pPr>
        <w:spacing w:after="0" w:line="109"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i w:val="1"/>
          <w:iCs w:val="1"/>
          <w:color w:val="auto"/>
        </w:rPr>
        <w:t xml:space="preserve">Investment in equity affiliates. </w:t>
      </w:r>
      <w:r>
        <w:rPr>
          <w:rFonts w:ascii="Arial" w:cs="Arial" w:eastAsia="Arial" w:hAnsi="Arial"/>
          <w:sz w:val="18"/>
          <w:szCs w:val="18"/>
          <w:color w:val="auto"/>
        </w:rPr>
        <w:t>During the first nine months of 2022, GHG invested an additional $18.5 million in two affiliates to fund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an interest in a health system in Illinois.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5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r>
      <w:tr>
        <w:trPr>
          <w:trHeight w:val="225"/>
        </w:trPr>
        <w:tc>
          <w:tcPr>
            <w:tcW w:w="842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293,387</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77,299</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under revolving credit facility</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(140,000)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(11,000)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(117,792)</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(10,564)</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52,623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11,688</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(132,248)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(54,581)</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(23,534)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(23,122)</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(2,141)</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(69,705)</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(8,184)</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September 2023, the Company’s automotive subsidiary entered into a credit agreement with</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Truist Bank which includes (i) a $75.2 million real estate term loan, (ii) a $65.0 million capital term loan, (iii) a $50.0 million delayed draw term loan, and (iv) establishment of a revolving floor plan credit facility. The automotive subsidiary used the net proceeds from the real estate and</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capital term loans to acquire an automotive dealership, including the real property for the dealership operations, and to repay the outstanding balances of the commercial notes maturing in 2031 and 2032. On July 28, 2023, the Company entered into a $150</w:t>
      </w:r>
    </w:p>
    <w:p>
      <w:pPr>
        <w:sectPr>
          <w:pgSz w:w="11900" w:h="16838" w:orient="portrait"/>
          <w:cols w:equalWidth="0" w:num="1">
            <w:col w:w="11200"/>
          </w:cols>
          <w:pgMar w:left="320" w:top="927" w:right="37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million term loan and used the proceeds to repay the U.S. dollar borrowings of the $300 million revolving credit facility. In July 2022, the</w:t>
      </w:r>
    </w:p>
    <w:p>
      <w:pPr>
        <w:spacing w:after="0" w:line="8"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Company’s automotive subsidiary amended its commercial note to, among other things, increase the aggregate loan amount to $71.6 million and entered into three commercial notes in an aggregate amount of $27.2 million. The additional borrowings were used to acquire two</w:t>
      </w:r>
    </w:p>
    <w:p>
      <w:pPr>
        <w:spacing w:after="0" w:line="236" w:lineRule="auto"/>
        <w:rPr>
          <w:sz w:val="20"/>
          <w:szCs w:val="20"/>
          <w:color w:val="auto"/>
        </w:rPr>
      </w:pPr>
      <w:r>
        <w:rPr>
          <w:rFonts w:ascii="Arial" w:cs="Arial" w:eastAsia="Arial" w:hAnsi="Arial"/>
          <w:sz w:val="18"/>
          <w:szCs w:val="18"/>
          <w:color w:val="auto"/>
        </w:rPr>
        <w:t>automotive dealerships, including the real property for the dealership operations. In the first nine months of 2023 and 2022, the Company</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made repayments on the $300 million revolving credit facility. In the first nine months of 2023 and 2022, the Company used vehicle floor plan financing to fund the purchase of new, used and service loaner vehicles at its automotive division. The proceeds from the vehicle floor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payable fluctuates with changes in the amount of vehicle inventory held by the automotive dealerships.</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Common Stock Repurchases. </w:t>
      </w:r>
      <w:r>
        <w:rPr>
          <w:rFonts w:ascii="Arial" w:cs="Arial" w:eastAsia="Arial" w:hAnsi="Arial"/>
          <w:sz w:val="17"/>
          <w:szCs w:val="17"/>
          <w:color w:val="auto"/>
        </w:rPr>
        <w:t>During the first nine months of 2023, the Company purchased a total of 224,871 shares of its Class B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a cost of approximately $132.2 million. On May 4, 2023, the Board of Directors authorized the Company to acquire up to 500,000</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shares of its Class B common stock. The Company did not announce a ceiling price or time limit for the purchases. At September 30, 2023, the Company had remaining authorization from the Board of Directors to purchase up to 336,666 shares of Class B common stock.</w:t>
      </w:r>
    </w:p>
    <w:p>
      <w:pPr>
        <w:spacing w:after="0" w:line="111"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$1.65 and $1.58 for the first nine months of 2023 and 2022, respectively.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to pay a dividend of $6.60 per share in 2023.</w:t>
      </w:r>
    </w:p>
    <w:p>
      <w:pPr>
        <w:spacing w:after="0" w:line="106"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During the first nine months of 2023 and 2022, the Company paid $ 3.8 million and $4.7 million, respectively, related to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from prior acquisitions. During the first nine months of 2023 and 2022, the Company increased the borrowings under its cash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overdraft facilities by $3.8 million and $4.4 million, respectively.</w:t>
      </w:r>
    </w:p>
    <w:p>
      <w:pPr>
        <w:spacing w:after="0" w:line="14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report, in the Company’s Annual Report on Form 10-K and in the Company’s 2022 Annual Report to Stockholders, are “forward-looking</w:t>
      </w:r>
    </w:p>
    <w:p>
      <w:pPr>
        <w:spacing w:after="0" w:line="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statements” within the meaning of the Private Securities Litigation Reform Act of 1995. Actual results may differ materially from those projected as a result of certain risks and uncertainties. Other forward-looking statements include comments about expectations related to</w:t>
      </w:r>
    </w:p>
    <w:p>
      <w:pPr>
        <w:spacing w:after="0" w:line="236" w:lineRule="auto"/>
        <w:rPr>
          <w:sz w:val="20"/>
          <w:szCs w:val="20"/>
          <w:color w:val="auto"/>
        </w:rPr>
      </w:pPr>
      <w:r>
        <w:rPr>
          <w:rFonts w:ascii="Arial" w:cs="Arial" w:eastAsia="Arial" w:hAnsi="Arial"/>
          <w:sz w:val="18"/>
          <w:szCs w:val="18"/>
          <w:color w:val="auto"/>
        </w:rPr>
        <w:t>acquisitions or dispositions or related business activities, including the TOSA, the Company’s business strategies and objectives, the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prospects for growth in the Company’s various business operations and the Company’s future financial performance. As with any projection or forecast, forward-looking statements are subject to various risks and uncertainties, including the risks and uncertainties described in Item</w:t>
      </w:r>
    </w:p>
    <w:p>
      <w:pPr>
        <w:spacing w:after="0" w:line="235" w:lineRule="auto"/>
        <w:rPr>
          <w:sz w:val="20"/>
          <w:szCs w:val="20"/>
          <w:color w:val="auto"/>
        </w:rPr>
      </w:pPr>
      <w:r>
        <w:rPr>
          <w:rFonts w:ascii="Arial" w:cs="Arial" w:eastAsia="Arial" w:hAnsi="Arial"/>
          <w:sz w:val="18"/>
          <w:szCs w:val="18"/>
          <w:color w:val="auto"/>
        </w:rPr>
        <w:t>1A of the Company’s Annual Report on Form 10-K, that could cause actual results or events to differ materially from those anticipated in</w:t>
      </w:r>
    </w:p>
    <w:p>
      <w:pPr>
        <w:ind w:right="80"/>
        <w:spacing w:after="0"/>
        <w:rPr>
          <w:sz w:val="20"/>
          <w:szCs w:val="20"/>
          <w:color w:val="auto"/>
        </w:rPr>
      </w:pPr>
      <w:r>
        <w:rPr>
          <w:rFonts w:ascii="Arial" w:cs="Arial" w:eastAsia="Arial" w:hAnsi="Arial"/>
          <w:sz w:val="17"/>
          <w:szCs w:val="17"/>
          <w:color w:val="auto"/>
        </w:rPr>
        <w:t>such statements. Accordingly, undue reliance should not be placed on any forward-looking statement made by or on behalf of the Company. The Company assumes no obligation to update any forward-looking statement after the date on which such statement is made, even if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subsequently becomes available.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4"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w:t>
      </w:r>
    </w:p>
    <w:p>
      <w:pPr>
        <w:spacing w:after="0" w:line="1"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foreign business operations, which are subject to foreign exchange rate risk. The Company’s market risk disclosures set forth in its 2022 Annual Report filed on Form 10-K have not otherwise changed significantly.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8" w:lineRule="exact"/>
        <w:rPr>
          <w:sz w:val="20"/>
          <w:szCs w:val="20"/>
          <w:color w:val="auto"/>
        </w:rPr>
      </w:pPr>
    </w:p>
    <w:p>
      <w:pPr>
        <w:ind w:right="400"/>
        <w:spacing w:after="0" w:line="247"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236" w:lineRule="auto"/>
        <w:rPr>
          <w:sz w:val="20"/>
          <w:szCs w:val="20"/>
          <w:color w:val="auto"/>
        </w:rPr>
      </w:pPr>
      <w:r>
        <w:rPr>
          <w:rFonts w:ascii="Arial" w:cs="Arial" w:eastAsia="Arial" w:hAnsi="Arial"/>
          <w:sz w:val="18"/>
          <w:szCs w:val="18"/>
          <w:color w:val="auto"/>
        </w:rPr>
        <w:t>controls and procedures (as defined in Exchange Act Rules 13a-15(e) and 15d-15(e)), as of September 30, 2023. Based on that evaluation,</w:t>
      </w:r>
    </w:p>
    <w:p>
      <w:pPr>
        <w:ind w:right="20"/>
        <w:spacing w:after="0" w:line="226" w:lineRule="auto"/>
        <w:rPr>
          <w:sz w:val="20"/>
          <w:szCs w:val="20"/>
          <w:color w:val="auto"/>
        </w:rPr>
      </w:pPr>
      <w:r>
        <w:rPr>
          <w:rFonts w:ascii="Arial" w:cs="Arial" w:eastAsia="Arial" w:hAnsi="Arial"/>
          <w:sz w:val="18"/>
          <w:szCs w:val="18"/>
          <w:color w:val="auto"/>
        </w:rPr>
        <w:t>the Company’s Chief Executive Officer and Chief Financial Officer have concluded that the Company’s disclosure controls and procedures, as designed and implemented, are effective in ensuring that information required to be disclosed by the Company in the reports that it files or</w:t>
      </w:r>
    </w:p>
    <w:p>
      <w:pPr>
        <w:spacing w:after="0" w:line="236"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w:t>
      </w:r>
    </w:p>
    <w:p>
      <w:pPr>
        <w:spacing w:after="0" w:line="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September 30, 2023</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40" w:right="499" w:bottom="1440" w:gutter="0" w:footer="0" w:header="0"/>
        </w:sectPr>
      </w:pPr>
    </w:p>
    <w:bookmarkStart w:id="43" w:name="page44"/>
    <w:bookmarkEnd w:id="43"/>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8"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During the quarter ended September 30, 2023, the Company purchased shares of its Class B Common Stock as set forth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3"/>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r>
      <w:tr>
        <w:trPr>
          <w:trHeight w:val="148"/>
        </w:trPr>
        <w:tc>
          <w:tcPr>
            <w:tcW w:w="4660" w:type="dxa"/>
            <w:vAlign w:val="bottom"/>
          </w:tcPr>
          <w:p>
            <w:pPr>
              <w:spacing w:after="0"/>
              <w:rPr>
                <w:sz w:val="12"/>
                <w:szCs w:val="12"/>
                <w:color w:val="auto"/>
              </w:rPr>
            </w:pPr>
          </w:p>
        </w:tc>
        <w:tc>
          <w:tcPr>
            <w:tcW w:w="13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9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rPr>
              <w:t>Purchased Under the</w:t>
            </w:r>
          </w:p>
        </w:tc>
      </w:tr>
      <w:tr>
        <w:trPr>
          <w:trHeight w:val="21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30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Plan*</w:t>
            </w:r>
          </w:p>
        </w:tc>
      </w:tr>
      <w:tr>
        <w:trPr>
          <w:trHeight w:val="204"/>
        </w:trPr>
        <w:tc>
          <w:tcPr>
            <w:tcW w:w="4660" w:type="dxa"/>
            <w:vAlign w:val="bottom"/>
          </w:tcPr>
          <w:p>
            <w:pPr>
              <w:ind w:left="20"/>
              <w:spacing w:after="0"/>
              <w:rPr>
                <w:sz w:val="20"/>
                <w:szCs w:val="20"/>
                <w:color w:val="auto"/>
              </w:rPr>
            </w:pPr>
            <w:r>
              <w:rPr>
                <w:rFonts w:ascii="Arial" w:cs="Arial" w:eastAsia="Arial" w:hAnsi="Arial"/>
                <w:sz w:val="16"/>
                <w:szCs w:val="16"/>
                <w:color w:val="auto"/>
              </w:rPr>
              <w:t>July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40,129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576.96</w:t>
            </w:r>
          </w:p>
        </w:tc>
        <w:tc>
          <w:tcPr>
            <w:tcW w:w="1720" w:type="dxa"/>
            <w:vAlign w:val="bottom"/>
          </w:tcPr>
          <w:p>
            <w:pPr>
              <w:jc w:val="right"/>
              <w:spacing w:after="0"/>
              <w:rPr>
                <w:sz w:val="20"/>
                <w:szCs w:val="20"/>
                <w:color w:val="auto"/>
              </w:rPr>
            </w:pPr>
            <w:r>
              <w:rPr>
                <w:rFonts w:ascii="Arial" w:cs="Arial" w:eastAsia="Arial" w:hAnsi="Arial"/>
                <w:sz w:val="16"/>
                <w:szCs w:val="16"/>
                <w:color w:val="auto"/>
              </w:rPr>
              <w:t>40,129</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404,586</w:t>
            </w:r>
          </w:p>
        </w:tc>
      </w:tr>
      <w:tr>
        <w:trPr>
          <w:trHeight w:val="230"/>
        </w:trPr>
        <w:tc>
          <w:tcPr>
            <w:tcW w:w="4660" w:type="dxa"/>
            <w:vAlign w:val="bottom"/>
          </w:tcPr>
          <w:p>
            <w:pPr>
              <w:ind w:left="20"/>
              <w:spacing w:after="0"/>
              <w:rPr>
                <w:sz w:val="20"/>
                <w:szCs w:val="20"/>
                <w:color w:val="auto"/>
              </w:rPr>
            </w:pPr>
            <w:r>
              <w:rPr>
                <w:rFonts w:ascii="Arial" w:cs="Arial" w:eastAsia="Arial" w:hAnsi="Arial"/>
                <w:sz w:val="16"/>
                <w:szCs w:val="16"/>
                <w:color w:val="auto"/>
              </w:rPr>
              <w:t>August 1 - 31</w:t>
            </w:r>
          </w:p>
        </w:tc>
        <w:tc>
          <w:tcPr>
            <w:tcW w:w="1320" w:type="dxa"/>
            <w:vAlign w:val="bottom"/>
          </w:tcPr>
          <w:p>
            <w:pPr>
              <w:jc w:val="right"/>
              <w:spacing w:after="0"/>
              <w:rPr>
                <w:sz w:val="20"/>
                <w:szCs w:val="20"/>
                <w:color w:val="auto"/>
              </w:rPr>
            </w:pPr>
            <w:r>
              <w:rPr>
                <w:rFonts w:ascii="Arial" w:cs="Arial" w:eastAsia="Arial" w:hAnsi="Arial"/>
                <w:sz w:val="16"/>
                <w:szCs w:val="16"/>
                <w:color w:val="auto"/>
              </w:rPr>
              <w:t>37,295</w:t>
            </w:r>
          </w:p>
        </w:tc>
        <w:tc>
          <w:tcPr>
            <w:tcW w:w="2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590.36</w:t>
            </w:r>
          </w:p>
        </w:tc>
        <w:tc>
          <w:tcPr>
            <w:tcW w:w="1720" w:type="dxa"/>
            <w:vAlign w:val="bottom"/>
          </w:tcPr>
          <w:p>
            <w:pPr>
              <w:jc w:val="right"/>
              <w:spacing w:after="0"/>
              <w:rPr>
                <w:sz w:val="20"/>
                <w:szCs w:val="20"/>
                <w:color w:val="auto"/>
              </w:rPr>
            </w:pPr>
            <w:r>
              <w:rPr>
                <w:rFonts w:ascii="Arial" w:cs="Arial" w:eastAsia="Arial" w:hAnsi="Arial"/>
                <w:sz w:val="16"/>
                <w:szCs w:val="16"/>
                <w:color w:val="auto"/>
              </w:rPr>
              <w:t>37,295</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367,291</w:t>
            </w:r>
          </w:p>
        </w:tc>
      </w:tr>
      <w:tr>
        <w:trPr>
          <w:trHeight w:val="242"/>
        </w:trPr>
        <w:tc>
          <w:tcPr>
            <w:tcW w:w="4660" w:type="dxa"/>
            <w:vAlign w:val="bottom"/>
          </w:tcPr>
          <w:p>
            <w:pPr>
              <w:ind w:left="20"/>
              <w:spacing w:after="0"/>
              <w:rPr>
                <w:sz w:val="20"/>
                <w:szCs w:val="20"/>
                <w:color w:val="auto"/>
              </w:rPr>
            </w:pPr>
            <w:r>
              <w:rPr>
                <w:rFonts w:ascii="Arial" w:cs="Arial" w:eastAsia="Arial" w:hAnsi="Arial"/>
                <w:sz w:val="16"/>
                <w:szCs w:val="16"/>
                <w:color w:val="auto"/>
              </w:rPr>
              <w:t>September 1 - 30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30,625</w:t>
            </w:r>
          </w:p>
        </w:tc>
        <w:tc>
          <w:tcPr>
            <w:tcW w:w="240" w:type="dxa"/>
            <w:vAlign w:val="bottom"/>
          </w:tcPr>
          <w:p>
            <w:pPr>
              <w:spacing w:after="0"/>
              <w:rPr>
                <w:sz w:val="21"/>
                <w:szCs w:val="21"/>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587.60</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30,625</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336,666</w:t>
            </w:r>
          </w:p>
        </w:tc>
      </w:tr>
      <w:tr>
        <w:trPr>
          <w:trHeight w:val="210"/>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108,049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584.60</w:t>
            </w:r>
          </w:p>
        </w:tc>
        <w:tc>
          <w:tcPr>
            <w:tcW w:w="1720" w:type="dxa"/>
            <w:vAlign w:val="bottom"/>
          </w:tcPr>
          <w:p>
            <w:pPr>
              <w:jc w:val="right"/>
              <w:spacing w:after="0"/>
              <w:rPr>
                <w:sz w:val="20"/>
                <w:szCs w:val="20"/>
                <w:color w:val="auto"/>
              </w:rPr>
            </w:pPr>
            <w:r>
              <w:rPr>
                <w:rFonts w:ascii="Arial" w:cs="Arial" w:eastAsia="Arial" w:hAnsi="Arial"/>
                <w:sz w:val="16"/>
                <w:szCs w:val="16"/>
                <w:color w:val="auto"/>
              </w:rPr>
              <w:t>108,049</w:t>
            </w:r>
          </w:p>
        </w:tc>
        <w:tc>
          <w:tcPr>
            <w:tcW w:w="2300" w:type="dxa"/>
            <w:vAlign w:val="bottom"/>
          </w:tcPr>
          <w:p>
            <w:pPr>
              <w:spacing w:after="0"/>
              <w:rPr>
                <w:sz w:val="18"/>
                <w:szCs w:val="18"/>
                <w:color w:val="auto"/>
              </w:rPr>
            </w:pPr>
          </w:p>
        </w:tc>
      </w:tr>
    </w:tbl>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*On May 4, 2023,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All purchases made during the quarter ended September 30, 2023 were open market transactions and some of these shares were purchased under a 10b5-1 plan.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080" w:type="dxa"/>
            <w:vAlign w:val="bottom"/>
            <w:gridSpan w:val="22"/>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0"/>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080" w:type="dxa"/>
            <w:vAlign w:val="bottom"/>
            <w:gridSpan w:val="2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25"/>
          </w:tcPr>
          <w:p>
            <w:pPr>
              <w:spacing w:after="0"/>
              <w:rPr>
                <w:rFonts w:ascii="Arial" w:cs="Arial" w:eastAsia="Arial" w:hAnsi="Arial"/>
                <w:sz w:val="16"/>
                <w:szCs w:val="16"/>
                <w:color w:val="0000FF"/>
              </w:rPr>
            </w:pPr>
            <w:hyperlink r:id="rId65">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tcBorders>
            <w:gridSpan w:val="21"/>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25"/>
          </w:tcPr>
          <w:p>
            <w:pPr>
              <w:spacing w:after="0"/>
              <w:rPr>
                <w:rFonts w:ascii="Arial" w:cs="Arial" w:eastAsia="Arial" w:hAnsi="Arial"/>
                <w:sz w:val="16"/>
                <w:szCs w:val="16"/>
                <w:color w:val="0000FF"/>
              </w:rPr>
            </w:pPr>
            <w:hyperlink r:id="rId66">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25"/>
          </w:tcPr>
          <w:p>
            <w:pPr>
              <w:spacing w:after="0"/>
              <w:rPr>
                <w:rFonts w:ascii="Arial" w:cs="Arial" w:eastAsia="Arial" w:hAnsi="Arial"/>
                <w:sz w:val="16"/>
                <w:szCs w:val="16"/>
                <w:color w:val="0000FF"/>
              </w:rPr>
            </w:pPr>
            <w:hyperlink r:id="rId67">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80" w:type="dxa"/>
            <w:vAlign w:val="bottom"/>
            <w:tcBorders>
              <w:top w:val="single" w:sz="8" w:color="0000FF"/>
            </w:tcBorders>
            <w:gridSpan w:val="23"/>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Current Report on Form 8-K dated November 29, 2013).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25"/>
          </w:tcPr>
          <w:p>
            <w:pPr>
              <w:spacing w:after="0"/>
              <w:rPr>
                <w:rFonts w:ascii="Arial" w:cs="Arial" w:eastAsia="Arial" w:hAnsi="Arial"/>
                <w:sz w:val="16"/>
                <w:szCs w:val="16"/>
                <w:color w:val="0000FF"/>
              </w:rPr>
            </w:pPr>
            <w:hyperlink r:id="rId68">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40" w:type="dxa"/>
            <w:vAlign w:val="bottom"/>
            <w:tcBorders>
              <w:top w:val="single" w:sz="8" w:color="0000FF"/>
            </w:tcBorders>
            <w:gridSpan w:val="11"/>
          </w:tcPr>
          <w:p>
            <w:pPr>
              <w:spacing w:after="0" w:line="155" w:lineRule="exact"/>
              <w:rPr>
                <w:rFonts w:ascii="Arial" w:cs="Arial" w:eastAsia="Arial" w:hAnsi="Arial"/>
                <w:sz w:val="16"/>
                <w:szCs w:val="16"/>
                <w:color w:val="0000FF"/>
              </w:rPr>
            </w:pPr>
            <w:hyperlink r:id="rId68">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25"/>
          </w:tcPr>
          <w:p>
            <w:pPr>
              <w:spacing w:after="0"/>
              <w:rPr>
                <w:rFonts w:ascii="Arial" w:cs="Arial" w:eastAsia="Arial" w:hAnsi="Arial"/>
                <w:sz w:val="16"/>
                <w:szCs w:val="16"/>
                <w:color w:val="0000FF"/>
              </w:rPr>
            </w:pPr>
            <w:hyperlink r:id="rId69">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2"/>
          </w:tcPr>
          <w:p>
            <w:pPr>
              <w:spacing w:after="0" w:line="155" w:lineRule="exact"/>
              <w:rPr>
                <w:rFonts w:ascii="Arial" w:cs="Arial" w:eastAsia="Arial" w:hAnsi="Arial"/>
                <w:sz w:val="16"/>
                <w:szCs w:val="16"/>
                <w:color w:val="0000FF"/>
                <w:w w:val="99"/>
              </w:rPr>
            </w:pPr>
            <w:hyperlink r:id="rId69">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8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80" w:type="dxa"/>
            <w:vAlign w:val="bottom"/>
            <w:tcBorders>
              <w:bottom w:val="single" w:sz="8" w:color="0000FF"/>
            </w:tcBorders>
            <w:gridSpan w:val="6"/>
          </w:tcPr>
          <w:p>
            <w:pPr>
              <w:spacing w:after="0" w:line="155" w:lineRule="exact"/>
              <w:rPr>
                <w:rFonts w:ascii="Arial" w:cs="Arial" w:eastAsia="Arial" w:hAnsi="Arial"/>
                <w:sz w:val="16"/>
                <w:szCs w:val="16"/>
                <w:color w:val="0000FF"/>
              </w:rPr>
            </w:pPr>
            <w:hyperlink r:id="rId69">
              <w:r>
                <w:rPr>
                  <w:rFonts w:ascii="Arial" w:cs="Arial" w:eastAsia="Arial" w:hAnsi="Arial"/>
                  <w:sz w:val="16"/>
                  <w:szCs w:val="16"/>
                  <w:color w:val="0000FF"/>
                </w:rPr>
                <w:t>Quarterly Report on Form 10-Q for the quarter ended March 31, 2020).</w:t>
              </w:r>
            </w:hyperlink>
          </w:p>
        </w:tc>
        <w:tc>
          <w:tcPr>
            <w:tcW w:w="4960" w:type="dxa"/>
            <w:vAlign w:val="bottom"/>
            <w:gridSpan w:val="18"/>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25"/>
          </w:tcPr>
          <w:p>
            <w:pPr>
              <w:spacing w:after="0"/>
              <w:rPr>
                <w:rFonts w:ascii="Arial" w:cs="Arial" w:eastAsia="Arial" w:hAnsi="Arial"/>
                <w:sz w:val="16"/>
                <w:szCs w:val="16"/>
                <w:color w:val="0000FF"/>
              </w:rPr>
            </w:pPr>
            <w:hyperlink r:id="rId70">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60" w:type="dxa"/>
            <w:vAlign w:val="bottom"/>
            <w:tcBorders>
              <w:top w:val="single" w:sz="8" w:color="0000FF"/>
            </w:tcBorders>
            <w:gridSpan w:val="15"/>
          </w:tcPr>
          <w:p>
            <w:pPr>
              <w:spacing w:after="0" w:line="155" w:lineRule="exact"/>
              <w:rPr>
                <w:rFonts w:ascii="Arial" w:cs="Arial" w:eastAsia="Arial" w:hAnsi="Arial"/>
                <w:sz w:val="16"/>
                <w:szCs w:val="16"/>
                <w:color w:val="0000FF"/>
              </w:rPr>
            </w:pPr>
            <w:hyperlink r:id="rId70">
              <w:r>
                <w:rPr>
                  <w:rFonts w:ascii="Arial" w:cs="Arial" w:eastAsia="Arial" w:hAnsi="Arial"/>
                  <w:sz w:val="16"/>
                  <w:szCs w:val="16"/>
                  <w:color w:val="0000FF"/>
                </w:rPr>
                <w:t>subsidiary of Graham Holdings Company, a Delaware corporation, and The Bank of New York Mellon Trust Company, N.A., as trustee</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2"/>
          </w:tcPr>
          <w:p>
            <w:pPr>
              <w:spacing w:after="0" w:line="155" w:lineRule="exact"/>
              <w:rPr>
                <w:rFonts w:ascii="Arial" w:cs="Arial" w:eastAsia="Arial" w:hAnsi="Arial"/>
                <w:sz w:val="16"/>
                <w:szCs w:val="16"/>
                <w:color w:val="0000FF"/>
              </w:rPr>
            </w:pPr>
            <w:hyperlink r:id="rId70">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gridSpan w:val="2"/>
          </w:tcPr>
          <w:p>
            <w:pPr>
              <w:jc w:val="right"/>
              <w:spacing w:after="0" w:line="155" w:lineRule="exact"/>
              <w:rPr>
                <w:rFonts w:ascii="Arial" w:cs="Arial" w:eastAsia="Arial" w:hAnsi="Arial"/>
                <w:sz w:val="16"/>
                <w:szCs w:val="16"/>
                <w:color w:val="0000FF"/>
                <w:w w:val="88"/>
              </w:rPr>
            </w:pPr>
            <w:hyperlink r:id="rId70">
              <w:r>
                <w:rPr>
                  <w:rFonts w:ascii="Arial" w:cs="Arial" w:eastAsia="Arial" w:hAnsi="Arial"/>
                  <w:sz w:val="16"/>
                  <w:szCs w:val="16"/>
                  <w:color w:val="0000FF"/>
                  <w:w w:val="88"/>
                </w:rPr>
                <w:t>.</w:t>
              </w:r>
            </w:hyperlink>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4.4</w:t>
            </w:r>
          </w:p>
        </w:tc>
        <w:tc>
          <w:tcPr>
            <w:tcW w:w="960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Third Supplemental Indenture, dated as of August 15, 2023, among Graham Digital Holding Company LLC, a Delaware limited liability</w:t>
            </w:r>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25"/>
          </w:tcPr>
          <w:p>
            <w:pPr>
              <w:spacing w:after="0" w:line="155" w:lineRule="exact"/>
              <w:rPr>
                <w:sz w:val="20"/>
                <w:szCs w:val="20"/>
                <w:color w:val="auto"/>
              </w:rPr>
            </w:pPr>
            <w:r>
              <w:rPr>
                <w:rFonts w:ascii="Arial" w:cs="Arial" w:eastAsia="Arial" w:hAnsi="Arial"/>
                <w:sz w:val="16"/>
                <w:szCs w:val="16"/>
                <w:color w:val="0000FF"/>
              </w:rPr>
              <w:t>company, a subsidiary of Graham Holdings Company, a Delaware corporation, and The Bank of New York Mellon Trust Company, N.A., as</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5" w:lineRule="exact"/>
              <w:rPr>
                <w:sz w:val="20"/>
                <w:szCs w:val="20"/>
                <w:color w:val="auto"/>
              </w:rPr>
            </w:pPr>
            <w:r>
              <w:rPr>
                <w:rFonts w:ascii="Arial" w:cs="Arial" w:eastAsia="Arial" w:hAnsi="Arial"/>
                <w:sz w:val="16"/>
                <w:szCs w:val="16"/>
                <w:color w:val="0000FF"/>
                <w:w w:val="97"/>
              </w:rPr>
              <w:t>trustee.</w:t>
            </w:r>
          </w:p>
        </w:tc>
        <w:tc>
          <w:tcPr>
            <w:tcW w:w="93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10.1</w:t>
            </w:r>
          </w:p>
        </w:tc>
        <w:tc>
          <w:tcPr>
            <w:tcW w:w="10100" w:type="dxa"/>
            <w:vAlign w:val="bottom"/>
            <w:gridSpan w:val="25"/>
          </w:tcPr>
          <w:p>
            <w:pPr>
              <w:spacing w:after="0"/>
              <w:rPr>
                <w:rFonts w:ascii="Arial" w:cs="Arial" w:eastAsia="Arial" w:hAnsi="Arial"/>
                <w:sz w:val="16"/>
                <w:szCs w:val="16"/>
                <w:color w:val="0000FF"/>
              </w:rPr>
            </w:pPr>
            <w:hyperlink r:id="rId71">
              <w:r>
                <w:rPr>
                  <w:rFonts w:ascii="Arial" w:cs="Arial" w:eastAsia="Arial" w:hAnsi="Arial"/>
                  <w:sz w:val="16"/>
                  <w:szCs w:val="16"/>
                  <w:color w:val="0000FF"/>
                </w:rPr>
                <w:t>First Amendment to Second Amended and Restated Five Year Credit Agreement, dated as of July 28, 2023, among the Company, Kaplan</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860" w:type="dxa"/>
            <w:vAlign w:val="bottom"/>
            <w:tcBorders>
              <w:top w:val="single" w:sz="8" w:color="0000FF"/>
            </w:tcBorders>
            <w:gridSpan w:val="18"/>
          </w:tcPr>
          <w:p>
            <w:pPr>
              <w:spacing w:after="0" w:line="155" w:lineRule="exact"/>
              <w:rPr>
                <w:rFonts w:ascii="Arial" w:cs="Arial" w:eastAsia="Arial" w:hAnsi="Arial"/>
                <w:sz w:val="16"/>
                <w:szCs w:val="16"/>
                <w:color w:val="0000FF"/>
              </w:rPr>
            </w:pPr>
            <w:hyperlink r:id="rId71">
              <w:r>
                <w:rPr>
                  <w:rFonts w:ascii="Arial" w:cs="Arial" w:eastAsia="Arial" w:hAnsi="Arial"/>
                  <w:sz w:val="16"/>
                  <w:szCs w:val="16"/>
                  <w:color w:val="0000FF"/>
                </w:rPr>
                <w:t>U.K. Limited, and the foreign borrowers from time to time party thereto, and certain of its domestic subsidiaries as guarantors, the several</w:t>
              </w:r>
            </w:hyperlink>
          </w:p>
        </w:tc>
        <w:tc>
          <w:tcPr>
            <w:tcW w:w="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780" w:type="dxa"/>
            <w:vAlign w:val="bottom"/>
            <w:gridSpan w:val="11"/>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 w:type="dxa"/>
            <w:vAlign w:val="bottom"/>
          </w:tcPr>
          <w:p>
            <w:pPr>
              <w:spacing w:after="0"/>
              <w:rPr>
                <w:sz w:val="13"/>
                <w:szCs w:val="13"/>
                <w:color w:val="auto"/>
              </w:rPr>
            </w:pPr>
          </w:p>
        </w:tc>
        <w:tc>
          <w:tcPr>
            <w:tcW w:w="10100" w:type="dxa"/>
            <w:vAlign w:val="bottom"/>
            <w:gridSpan w:val="25"/>
          </w:tcPr>
          <w:p>
            <w:pPr>
              <w:spacing w:after="0" w:line="155" w:lineRule="exact"/>
              <w:rPr>
                <w:rFonts w:ascii="Arial" w:cs="Arial" w:eastAsia="Arial" w:hAnsi="Arial"/>
                <w:sz w:val="16"/>
                <w:szCs w:val="16"/>
                <w:color w:val="0000FF"/>
              </w:rPr>
            </w:pPr>
            <w:hyperlink r:id="rId71">
              <w:r>
                <w:rPr>
                  <w:rFonts w:ascii="Arial" w:cs="Arial" w:eastAsia="Arial" w:hAnsi="Arial"/>
                  <w:sz w:val="16"/>
                  <w:szCs w:val="16"/>
                  <w:color w:val="0000FF"/>
                </w:rPr>
                <w:t>lenders from time to time party thereto, Wells Fargo Bank, National Association, as Administrative Agent and JPMorgan Chase Bank, N.A.,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20"/>
          </w:tcPr>
          <w:p>
            <w:pPr>
              <w:spacing w:after="0" w:line="155" w:lineRule="exact"/>
              <w:rPr>
                <w:rFonts w:ascii="Arial" w:cs="Arial" w:eastAsia="Arial" w:hAnsi="Arial"/>
                <w:sz w:val="16"/>
                <w:szCs w:val="16"/>
                <w:color w:val="0000FF"/>
              </w:rPr>
            </w:pPr>
            <w:hyperlink r:id="rId71">
              <w:r>
                <w:rPr>
                  <w:rFonts w:ascii="Arial" w:cs="Arial" w:eastAsia="Arial" w:hAnsi="Arial"/>
                  <w:sz w:val="16"/>
                  <w:szCs w:val="16"/>
                  <w:color w:val="0000FF"/>
                </w:rPr>
                <w:t>as Syndication Agent (incorporated by reference to Exhibit 10.1 to the Company’s Quarterly Report on Form 10-Q for the quarter ended</w:t>
              </w:r>
            </w:hyperlink>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8"/>
              </w:rPr>
            </w:pPr>
            <w:hyperlink r:id="rId71">
              <w:r>
                <w:rPr>
                  <w:rFonts w:ascii="Arial" w:cs="Arial" w:eastAsia="Arial" w:hAnsi="Arial"/>
                  <w:sz w:val="16"/>
                  <w:szCs w:val="16"/>
                  <w:color w:val="0000FF"/>
                  <w:w w:val="98"/>
                </w:rPr>
                <w:t>June 30, 2023).</w:t>
              </w:r>
            </w:hyperlink>
          </w:p>
        </w:tc>
        <w:tc>
          <w:tcPr>
            <w:tcW w:w="8560" w:type="dxa"/>
            <w:vAlign w:val="bottom"/>
            <w:tcBorders>
              <w:top w:val="single" w:sz="8" w:color="0000FF"/>
            </w:tcBorders>
            <w:gridSpan w:val="14"/>
          </w:tcPr>
          <w:p>
            <w:pPr>
              <w:spacing w:after="0"/>
              <w:rPr>
                <w:sz w:val="13"/>
                <w:szCs w:val="13"/>
                <w:color w:val="auto"/>
              </w:rPr>
            </w:pPr>
          </w:p>
        </w:tc>
        <w:tc>
          <w:tcPr>
            <w:tcW w:w="4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25"/>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100" w:hanging="953"/>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07"/>
        </w:trPr>
        <w:tc>
          <w:tcPr>
            <w:tcW w:w="800" w:type="dxa"/>
            <w:vAlign w:val="bottom"/>
          </w:tcPr>
          <w:p>
            <w:pPr>
              <w:spacing w:after="0"/>
              <w:rPr>
                <w:sz w:val="17"/>
                <w:szCs w:val="17"/>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85" w:lineRule="exact"/>
        <w:rPr>
          <w:sz w:val="20"/>
          <w:szCs w:val="20"/>
          <w:color w:val="auto"/>
        </w:rPr>
      </w:pPr>
    </w:p>
    <w:p>
      <w:pPr>
        <w:ind w:left="1100" w:hanging="953"/>
        <w:spacing w:after="0"/>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7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7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720" w:type="dxa"/>
            <w:vAlign w:val="bottom"/>
          </w:tcPr>
          <w:p>
            <w:pPr>
              <w:spacing w:after="0"/>
              <w:rPr>
                <w:sz w:val="20"/>
                <w:szCs w:val="20"/>
                <w:color w:val="auto"/>
              </w:rPr>
            </w:pPr>
            <w:r>
              <w:rPr>
                <w:rFonts w:ascii="Arial" w:cs="Arial" w:eastAsia="Arial" w:hAnsi="Arial"/>
                <w:sz w:val="18"/>
                <w:szCs w:val="18"/>
                <w:color w:val="auto"/>
              </w:rPr>
              <w:t>Date: November 1, 2023</w:t>
            </w:r>
          </w:p>
        </w:tc>
        <w:tc>
          <w:tcPr>
            <w:tcW w:w="344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7"/>
        </w:trPr>
        <w:tc>
          <w:tcPr>
            <w:tcW w:w="3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2"/>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Timothy J. O’Shaughnessy,</w:t>
            </w:r>
          </w:p>
        </w:tc>
      </w:tr>
      <w:tr>
        <w:trPr>
          <w:trHeight w:val="148"/>
        </w:trPr>
        <w:tc>
          <w:tcPr>
            <w:tcW w:w="3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200"/>
        </w:trPr>
        <w:tc>
          <w:tcPr>
            <w:tcW w:w="3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15"/>
        </w:trPr>
        <w:tc>
          <w:tcPr>
            <w:tcW w:w="3720" w:type="dxa"/>
            <w:vAlign w:val="bottom"/>
          </w:tcPr>
          <w:p>
            <w:pPr>
              <w:spacing w:after="0"/>
              <w:rPr>
                <w:sz w:val="20"/>
                <w:szCs w:val="20"/>
                <w:color w:val="auto"/>
              </w:rPr>
            </w:pPr>
            <w:r>
              <w:rPr>
                <w:rFonts w:ascii="Arial" w:cs="Arial" w:eastAsia="Arial" w:hAnsi="Arial"/>
                <w:sz w:val="18"/>
                <w:szCs w:val="18"/>
                <w:color w:val="auto"/>
              </w:rPr>
              <w:t>Date: November 1, 2023</w:t>
            </w:r>
          </w:p>
        </w:tc>
        <w:tc>
          <w:tcPr>
            <w:tcW w:w="344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7"/>
        </w:trPr>
        <w:tc>
          <w:tcPr>
            <w:tcW w:w="3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56"/>
        </w:trPr>
        <w:tc>
          <w:tcPr>
            <w:tcW w:w="3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0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200"/>
        </w:trPr>
        <w:tc>
          <w:tcPr>
            <w:tcW w:w="3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4"/>
        </w:trPr>
        <w:tc>
          <w:tcPr>
            <w:tcW w:w="3720" w:type="dxa"/>
            <w:vAlign w:val="bottom"/>
          </w:tcPr>
          <w:p>
            <w:pPr>
              <w:spacing w:after="0"/>
              <w:rPr>
                <w:sz w:val="24"/>
                <w:szCs w:val="24"/>
                <w:color w:val="auto"/>
              </w:rPr>
            </w:pPr>
          </w:p>
        </w:tc>
        <w:tc>
          <w:tcPr>
            <w:tcW w:w="3440" w:type="dxa"/>
            <w:vAlign w:val="bottom"/>
          </w:tcPr>
          <w:p>
            <w:pPr>
              <w:jc w:val="right"/>
              <w:ind w:right="1390"/>
              <w:spacing w:after="0"/>
              <w:rPr>
                <w:sz w:val="20"/>
                <w:szCs w:val="20"/>
                <w:color w:val="auto"/>
              </w:rPr>
            </w:pPr>
            <w:r>
              <w:rPr>
                <w:rFonts w:ascii="Arial" w:cs="Arial" w:eastAsia="Arial" w:hAnsi="Arial"/>
                <w:sz w:val="18"/>
                <w:szCs w:val="18"/>
                <w:color w:val="auto"/>
              </w:rPr>
              <w:t>44</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39" w:right="359" w:bottom="1440" w:gutter="0" w:footer="0" w:header="0"/>
        </w:sectPr>
      </w:pPr>
    </w:p>
    <w:bookmarkStart w:id="46" w:name="page47"/>
    <w:bookmarkEnd w:id="46"/>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4.4</w:t>
      </w: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THIRD SUPPLEMENTAL INDENTURE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Third Supplemental Indenture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August 15, 2023, among Graham Digital</w:t>
      </w:r>
    </w:p>
    <w:p>
      <w:pPr>
        <w:ind w:right="240"/>
        <w:spacing w:after="0" w:line="250" w:lineRule="auto"/>
        <w:rPr>
          <w:sz w:val="20"/>
          <w:szCs w:val="20"/>
          <w:color w:val="auto"/>
        </w:rPr>
      </w:pPr>
      <w:r>
        <w:rPr>
          <w:rFonts w:ascii="Arial" w:cs="Arial" w:eastAsia="Arial" w:hAnsi="Arial"/>
          <w:sz w:val="18"/>
          <w:szCs w:val="18"/>
          <w:color w:val="auto"/>
        </w:rPr>
        <w:t>Holding Company LLC, a Delaware limited liability company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Graham Holdings Company,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The Bank of New York Mellon Trust Company, N.A.,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W I T N E S S E T H</w:t>
      </w:r>
    </w:p>
    <w:p>
      <w:pPr>
        <w:spacing w:after="0" w:line="229" w:lineRule="exact"/>
        <w:rPr>
          <w:sz w:val="20"/>
          <w:szCs w:val="20"/>
          <w:color w:val="auto"/>
        </w:rPr>
      </w:pPr>
    </w:p>
    <w:p>
      <w:pPr>
        <w:ind w:right="440" w:firstLine="1296"/>
        <w:spacing w:after="0" w:line="265" w:lineRule="auto"/>
        <w:rPr>
          <w:sz w:val="20"/>
          <w:szCs w:val="20"/>
          <w:color w:val="auto"/>
        </w:rPr>
      </w:pPr>
      <w:r>
        <w:rPr>
          <w:rFonts w:ascii="Arial" w:cs="Arial" w:eastAsia="Arial" w:hAnsi="Arial"/>
          <w:sz w:val="16"/>
          <w:szCs w:val="16"/>
          <w:color w:val="auto"/>
        </w:rPr>
        <w:t>WHEREAS, each of the Company and the Subsidiary Guarantors (as defined in the Indenture referred to below) has heretofore executed and delivered to the Trustee an indenture (the “</w:t>
      </w:r>
      <w:r>
        <w:rPr>
          <w:rFonts w:ascii="Arial" w:cs="Arial" w:eastAsia="Arial" w:hAnsi="Arial"/>
          <w:sz w:val="16"/>
          <w:szCs w:val="16"/>
          <w:i w:val="1"/>
          <w:iCs w:val="1"/>
          <w:color w:val="auto"/>
        </w:rPr>
        <w:t>Indenture</w:t>
      </w:r>
      <w:r>
        <w:rPr>
          <w:rFonts w:ascii="Arial" w:cs="Arial" w:eastAsia="Arial" w:hAnsi="Arial"/>
          <w:sz w:val="16"/>
          <w:szCs w:val="16"/>
          <w:color w:val="auto"/>
        </w:rPr>
        <w:t>”), dated as of May 30, 2018 providing for the issuance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 unlimited aggregate principal amount of 5.750% Senior Notes due 2026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200" w:lineRule="exact"/>
        <w:rPr>
          <w:sz w:val="20"/>
          <w:szCs w:val="20"/>
          <w:color w:val="auto"/>
        </w:rPr>
      </w:pPr>
    </w:p>
    <w:p>
      <w:pPr>
        <w:ind w:right="600" w:firstLine="1296"/>
        <w:spacing w:after="0" w:line="265" w:lineRule="auto"/>
        <w:rPr>
          <w:sz w:val="20"/>
          <w:szCs w:val="20"/>
          <w:color w:val="auto"/>
        </w:rPr>
      </w:pPr>
      <w:r>
        <w:rPr>
          <w:rFonts w:ascii="Arial" w:cs="Arial" w:eastAsia="Arial" w:hAnsi="Arial"/>
          <w:sz w:val="16"/>
          <w:szCs w:val="16"/>
          <w:color w:val="auto"/>
        </w:rPr>
        <w:t>WHEREAS, the Indenture provides that under certain circumstances the Guaranteeing Subsidiary shall execute and deliver to the Trustee a supplemental indenture pursuant to which the Guaranteeing Subsidiary shall unconditionally Guarantee all of</w:t>
      </w:r>
    </w:p>
    <w:p>
      <w:pPr>
        <w:spacing w:after="0" w:line="1" w:lineRule="exact"/>
        <w:rPr>
          <w:sz w:val="20"/>
          <w:szCs w:val="20"/>
          <w:color w:val="auto"/>
        </w:rPr>
      </w:pPr>
    </w:p>
    <w:p>
      <w:pPr>
        <w:ind w:right="740"/>
        <w:spacing w:after="0" w:line="227" w:lineRule="auto"/>
        <w:rPr>
          <w:sz w:val="20"/>
          <w:szCs w:val="20"/>
          <w:color w:val="auto"/>
        </w:rPr>
      </w:pPr>
      <w:r>
        <w:rPr>
          <w:rFonts w:ascii="Arial" w:cs="Arial" w:eastAsia="Arial" w:hAnsi="Arial"/>
          <w:sz w:val="20"/>
          <w:szCs w:val="20"/>
          <w:color w:val="auto"/>
        </w:rPr>
        <w:t>the Company’s Obligations under the Notes and the Indenture on the terms and conditions set forth herein and under the Indenture; and</w:t>
      </w:r>
    </w:p>
    <w:p>
      <w:pPr>
        <w:spacing w:after="0" w:line="183" w:lineRule="exact"/>
        <w:rPr>
          <w:sz w:val="20"/>
          <w:szCs w:val="20"/>
          <w:color w:val="auto"/>
        </w:rPr>
      </w:pPr>
    </w:p>
    <w:p>
      <w:pPr>
        <w:ind w:right="1360" w:firstLine="1296"/>
        <w:spacing w:after="0" w:line="236" w:lineRule="auto"/>
        <w:rPr>
          <w:sz w:val="20"/>
          <w:szCs w:val="20"/>
          <w:color w:val="auto"/>
        </w:rPr>
      </w:pPr>
      <w:r>
        <w:rPr>
          <w:rFonts w:ascii="Arial" w:cs="Arial" w:eastAsia="Arial" w:hAnsi="Arial"/>
          <w:sz w:val="20"/>
          <w:szCs w:val="20"/>
          <w:color w:val="auto"/>
        </w:rPr>
        <w:t>WHEREAS, pursuant to Section 9.01 of the Indenture, the Trustee is authorized to execute and deliver this Supplemental Indenture.</w:t>
      </w:r>
    </w:p>
    <w:p>
      <w:pPr>
        <w:spacing w:after="0" w:line="196" w:lineRule="exact"/>
        <w:rPr>
          <w:sz w:val="20"/>
          <w:szCs w:val="20"/>
          <w:color w:val="auto"/>
        </w:rPr>
      </w:pPr>
    </w:p>
    <w:p>
      <w:pPr>
        <w:ind w:right="640" w:firstLine="1296"/>
        <w:spacing w:after="0" w:line="269"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59" w:lineRule="exact"/>
        <w:rPr>
          <w:sz w:val="20"/>
          <w:szCs w:val="20"/>
          <w:color w:val="auto"/>
        </w:rPr>
      </w:pPr>
    </w:p>
    <w:p>
      <w:pPr>
        <w:ind w:left="1840" w:hanging="548"/>
        <w:spacing w:after="0"/>
        <w:tabs>
          <w:tab w:leader="none" w:pos="184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Capitalized Terms</w:t>
      </w:r>
      <w:r>
        <w:rPr>
          <w:rFonts w:ascii="Arial" w:cs="Arial" w:eastAsia="Arial" w:hAnsi="Arial"/>
          <w:sz w:val="20"/>
          <w:szCs w:val="20"/>
          <w:color w:val="auto"/>
        </w:rPr>
        <w:t>. Capitalized terms used herein without definition shall have the meanings assigned to</w:t>
      </w:r>
    </w:p>
    <w:p>
      <w:pPr>
        <w:spacing w:after="0"/>
        <w:rPr>
          <w:rFonts w:ascii="Arial" w:cs="Arial" w:eastAsia="Arial" w:hAnsi="Arial"/>
          <w:sz w:val="20"/>
          <w:szCs w:val="20"/>
          <w:color w:val="auto"/>
        </w:rPr>
      </w:pPr>
      <w:r>
        <w:rPr>
          <w:rFonts w:ascii="Arial" w:cs="Arial" w:eastAsia="Arial" w:hAnsi="Arial"/>
          <w:sz w:val="20"/>
          <w:szCs w:val="20"/>
          <w:color w:val="auto"/>
        </w:rPr>
        <w:t>them in the Indenture.</w:t>
      </w:r>
    </w:p>
    <w:p>
      <w:pPr>
        <w:spacing w:after="0" w:line="199" w:lineRule="exact"/>
        <w:rPr>
          <w:rFonts w:ascii="Arial" w:cs="Arial" w:eastAsia="Arial" w:hAnsi="Arial"/>
          <w:sz w:val="20"/>
          <w:szCs w:val="20"/>
          <w:color w:val="auto"/>
        </w:rPr>
      </w:pPr>
    </w:p>
    <w:p>
      <w:pPr>
        <w:ind w:right="920" w:firstLine="1292"/>
        <w:spacing w:after="0" w:line="269" w:lineRule="auto"/>
        <w:tabs>
          <w:tab w:leader="none" w:pos="183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The Guaranteeing Subsidiary hereby agrees to be a Subsidiary Guarantor under the Indenture and to be bound by the terms of the Indenture applicable to Subsidiary Guarantors, including Article 10 thereof.</w:t>
      </w:r>
    </w:p>
    <w:p>
      <w:pPr>
        <w:spacing w:after="0" w:line="170" w:lineRule="exact"/>
        <w:rPr>
          <w:rFonts w:ascii="Arial" w:cs="Arial" w:eastAsia="Arial" w:hAnsi="Arial"/>
          <w:sz w:val="18"/>
          <w:szCs w:val="18"/>
          <w:color w:val="auto"/>
        </w:rPr>
      </w:pPr>
    </w:p>
    <w:p>
      <w:pPr>
        <w:ind w:right="720" w:firstLine="1292"/>
        <w:spacing w:after="0" w:line="236" w:lineRule="auto"/>
        <w:tabs>
          <w:tab w:leader="none" w:pos="1836"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SUPPLEMENTAL INDENTURE WILL BE GOVERNED BY, AND CONSTRUED IN ACCORDANCE WITH, THE LAWS OF THE STATE OF NEW YORK.</w:t>
      </w:r>
    </w:p>
    <w:p>
      <w:pPr>
        <w:spacing w:after="0" w:line="195" w:lineRule="exact"/>
        <w:rPr>
          <w:rFonts w:ascii="Arial" w:cs="Arial" w:eastAsia="Arial" w:hAnsi="Arial"/>
          <w:sz w:val="20"/>
          <w:szCs w:val="20"/>
          <w:color w:val="auto"/>
        </w:rPr>
      </w:pPr>
    </w:p>
    <w:p>
      <w:pPr>
        <w:ind w:right="400" w:firstLine="1292"/>
        <w:spacing w:after="0" w:line="218" w:lineRule="auto"/>
        <w:tabs>
          <w:tab w:leader="none" w:pos="1836"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xml:space="preserve"> EACH OF THE GUARANTEEING SUBSIDIARY AND THE TRUSTEE HEREBY IRREVOCABLY WAIVES, TO THE FULLEST EXTENT PERMITTED BY APPLICABLE LAW, ANY AND ALL RIGHT TO TRIAL BY JURY IN ANY LEGAL PROCEEDING ARISING OUT OF OR RELATING TO THIS SUPPLEMENTAL INDENTURE, THE INDENTURE, THE NOTES, THE SUBSIDIARY GUARANTEES OR THE TRANSACTIONS CONTEMPLATED HEREBY OR THEREBY.</w:t>
      </w:r>
    </w:p>
    <w:p>
      <w:pPr>
        <w:spacing w:after="0" w:line="197" w:lineRule="exact"/>
        <w:rPr>
          <w:rFonts w:ascii="Arial" w:cs="Arial" w:eastAsia="Arial" w:hAnsi="Arial"/>
          <w:sz w:val="20"/>
          <w:szCs w:val="20"/>
          <w:color w:val="auto"/>
        </w:rPr>
      </w:pPr>
    </w:p>
    <w:p>
      <w:pPr>
        <w:ind w:right="760" w:firstLine="1292"/>
        <w:spacing w:after="0" w:line="236" w:lineRule="auto"/>
        <w:tabs>
          <w:tab w:leader="none" w:pos="1836"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The parties may sign any number of copies of this Supplemental Indenture. Each signed copy shall be an original, but all of them together represent the same agreement.</w:t>
      </w:r>
    </w:p>
    <w:p>
      <w:pPr>
        <w:spacing w:after="0" w:line="195" w:lineRule="exact"/>
        <w:rPr>
          <w:rFonts w:ascii="Arial" w:cs="Arial" w:eastAsia="Arial" w:hAnsi="Arial"/>
          <w:sz w:val="20"/>
          <w:szCs w:val="20"/>
          <w:color w:val="auto"/>
        </w:rPr>
      </w:pPr>
    </w:p>
    <w:p>
      <w:pPr>
        <w:ind w:right="600" w:firstLine="1292"/>
        <w:spacing w:after="0" w:line="236" w:lineRule="auto"/>
        <w:tabs>
          <w:tab w:leader="none" w:pos="1836"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xml:space="preserve"> The headings of the Sections of this Supplemental Indenture have been inserted for convenience of reference only, are not to be considered a part of this</w:t>
      </w:r>
    </w:p>
    <w:p>
      <w:pPr>
        <w:sectPr>
          <w:pgSz w:w="11900" w:h="16838" w:orient="portrait"/>
          <w:cols w:equalWidth="0" w:num="1">
            <w:col w:w="11120"/>
          </w:cols>
          <w:pgMar w:left="44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Supplemental Indenture and shall in no way modify or restrict any of the terms or provisions hereof.</w:t>
      </w:r>
    </w:p>
    <w:p>
      <w:pPr>
        <w:sectPr>
          <w:pgSz w:w="11900" w:h="16838" w:orient="portrait"/>
          <w:cols w:equalWidth="0" w:num="1">
            <w:col w:w="10139"/>
          </w:cols>
          <w:pgMar w:left="320" w:top="1405" w:right="1440" w:bottom="1069" w:gutter="0" w:footer="0" w:header="0"/>
        </w:sectPr>
      </w:pP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0139"/>
          </w:cols>
          <w:pgMar w:left="320" w:top="1405" w:right="1440" w:bottom="10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39"/>
          </w:cols>
          <w:pgMar w:left="320" w:top="1405" w:right="1440" w:bottom="1069" w:gutter="0" w:footer="0" w:header="0"/>
          <w:type w:val="continuous"/>
        </w:sectPr>
      </w:pPr>
    </w:p>
    <w:bookmarkStart w:id="48" w:name="page49"/>
    <w:bookmarkEnd w:id="48"/>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69"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GRAHAM DIGITAL HOLDING COMPANY</w:t>
      </w:r>
    </w:p>
    <w:p>
      <w:pPr>
        <w:ind w:left="3560"/>
        <w:spacing w:after="0"/>
        <w:rPr>
          <w:sz w:val="20"/>
          <w:szCs w:val="20"/>
          <w:color w:val="auto"/>
        </w:rPr>
      </w:pPr>
      <w:r>
        <w:rPr>
          <w:rFonts w:ascii="Arial" w:cs="Arial" w:eastAsia="Arial" w:hAnsi="Arial"/>
          <w:sz w:val="22"/>
          <w:szCs w:val="22"/>
          <w:color w:val="auto"/>
        </w:rPr>
        <w:t>LLC</w:t>
      </w:r>
    </w:p>
    <w:p>
      <w:pPr>
        <w:ind w:left="3740"/>
        <w:spacing w:after="0" w:line="181" w:lineRule="auto"/>
        <w:tabs>
          <w:tab w:leader="none" w:pos="4460" w:val="left"/>
        </w:tabs>
        <w:rPr>
          <w:sz w:val="20"/>
          <w:szCs w:val="20"/>
          <w:color w:val="auto"/>
        </w:rPr>
      </w:pPr>
      <w:r>
        <w:rPr>
          <w:rFonts w:ascii="Arial" w:cs="Arial" w:eastAsia="Arial" w:hAnsi="Arial"/>
          <w:sz w:val="32"/>
          <w:szCs w:val="32"/>
          <w:color w:val="auto"/>
          <w:vertAlign w:val="superscript"/>
        </w:rPr>
        <w:t>By:</w:t>
      </w:r>
      <w:r>
        <w:rPr>
          <w:sz w:val="20"/>
          <w:szCs w:val="20"/>
          <w:color w:val="auto"/>
        </w:rPr>
        <w:tab/>
      </w:r>
      <w:r>
        <w:rPr>
          <w:rFonts w:ascii="Arial" w:cs="Arial" w:eastAsia="Arial" w:hAnsi="Arial"/>
          <w:sz w:val="18"/>
          <w:szCs w:val="18"/>
          <w:color w:val="auto"/>
        </w:rPr>
        <w:t>GRAHAM HOLDINGS</w:t>
      </w:r>
    </w:p>
    <w:p>
      <w:pPr>
        <w:spacing w:after="0" w:line="12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COMPANY,</w:t>
      </w:r>
    </w:p>
    <w:p>
      <w:pPr>
        <w:ind w:left="4480"/>
        <w:spacing w:after="0"/>
        <w:rPr>
          <w:sz w:val="20"/>
          <w:szCs w:val="20"/>
          <w:color w:val="auto"/>
        </w:rPr>
      </w:pPr>
      <w:r>
        <w:rPr>
          <w:rFonts w:ascii="Arial" w:cs="Arial" w:eastAsia="Arial" w:hAnsi="Arial"/>
          <w:sz w:val="22"/>
          <w:szCs w:val="22"/>
          <w:color w:val="auto"/>
        </w:rPr>
        <w:t>its Sole Member</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-14605</wp:posOffset>
            </wp:positionV>
            <wp:extent cx="16344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1634490" cy="8890"/>
                    </a:xfrm>
                    <a:prstGeom prst="rect">
                      <a:avLst/>
                    </a:prstGeom>
                    <a:noFill/>
                  </pic:spPr>
                </pic:pic>
              </a:graphicData>
            </a:graphic>
          </wp:anchor>
        </w:drawing>
      </w:r>
    </w:p>
    <w:p>
      <w:pPr>
        <w:ind w:left="3740"/>
        <w:spacing w:after="0"/>
        <w:tabs>
          <w:tab w:leader="none" w:pos="44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Wallace R. Cooney</w:t>
      </w:r>
    </w:p>
    <w:p>
      <w:pPr>
        <w:spacing w:after="0" w:line="30" w:lineRule="exact"/>
        <w:rPr>
          <w:sz w:val="20"/>
          <w:szCs w:val="20"/>
          <w:color w:val="auto"/>
        </w:rPr>
      </w:pPr>
    </w:p>
    <w:p>
      <w:pPr>
        <w:ind w:left="3740"/>
        <w:spacing w:after="0"/>
        <w:tabs>
          <w:tab w:leader="none" w:pos="4460" w:val="left"/>
        </w:tabs>
        <w:rPr>
          <w:sz w:val="20"/>
          <w:szCs w:val="20"/>
          <w:color w:val="auto"/>
        </w:rPr>
      </w:pPr>
      <w:r>
        <w:rPr>
          <w:rFonts w:ascii="Arial" w:cs="Arial" w:eastAsia="Arial" w:hAnsi="Arial"/>
          <w:sz w:val="22"/>
          <w:szCs w:val="22"/>
          <w:color w:val="auto"/>
        </w:rPr>
        <w:t>Title:</w:t>
        <w:tab/>
        <w:t>Senior Vice President - Finance</w:t>
      </w:r>
    </w:p>
    <w:p>
      <w:pPr>
        <w:spacing w:after="0" w:line="3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and Chief Financial Officer</w:t>
      </w:r>
    </w:p>
    <w:p>
      <w:pPr>
        <w:sectPr>
          <w:pgSz w:w="11900" w:h="16838" w:orient="portrait"/>
          <w:cols w:equalWidth="0" w:num="1">
            <w:col w:w="10260"/>
          </w:cols>
          <w:pgMar w:left="440" w:top="1405" w:right="1199" w:bottom="1440" w:gutter="0" w:footer="0" w:header="0"/>
        </w:sectPr>
      </w:pPr>
    </w:p>
    <w:bookmarkStart w:id="49" w:name="page50"/>
    <w:bookmarkEnd w:id="49"/>
    <w:p>
      <w:pPr>
        <w:spacing w:after="0" w:line="32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THE BANK OF NEW YORK MELLON TRUST</w:t>
      </w:r>
    </w:p>
    <w:p>
      <w:pPr>
        <w:ind w:left="2080"/>
        <w:spacing w:after="0"/>
        <w:rPr>
          <w:sz w:val="20"/>
          <w:szCs w:val="20"/>
          <w:color w:val="auto"/>
        </w:rPr>
      </w:pPr>
      <w:r>
        <w:rPr>
          <w:rFonts w:ascii="Arial" w:cs="Arial" w:eastAsia="Arial" w:hAnsi="Arial"/>
          <w:sz w:val="22"/>
          <w:szCs w:val="22"/>
          <w:color w:val="auto"/>
        </w:rPr>
        <w:t>COMPANY, N.A., as Trustee</w:t>
      </w:r>
    </w:p>
    <w:p>
      <w:pPr>
        <w:spacing w:after="0" w:line="200" w:lineRule="exact"/>
        <w:rPr>
          <w:sz w:val="20"/>
          <w:szCs w:val="20"/>
          <w:color w:val="auto"/>
        </w:rPr>
      </w:pPr>
    </w:p>
    <w:p>
      <w:pPr>
        <w:spacing w:after="0" w:line="258" w:lineRule="exact"/>
        <w:rPr>
          <w:sz w:val="20"/>
          <w:szCs w:val="20"/>
          <w:color w:val="auto"/>
        </w:rPr>
      </w:pPr>
    </w:p>
    <w:p>
      <w:pPr>
        <w:ind w:left="2080"/>
        <w:spacing w:after="0"/>
        <w:tabs>
          <w:tab w:leader="none" w:pos="2640" w:val="left"/>
          <w:tab w:leader="none" w:pos="4820" w:val="left"/>
        </w:tabs>
        <w:rPr>
          <w:sz w:val="20"/>
          <w:szCs w:val="20"/>
          <w:color w:val="auto"/>
        </w:rPr>
      </w:pPr>
      <w:r>
        <w:rPr>
          <w:rFonts w:ascii="Arial" w:cs="Arial" w:eastAsia="Arial" w:hAnsi="Arial"/>
          <w:sz w:val="22"/>
          <w:szCs w:val="22"/>
          <w:color w:val="auto"/>
        </w:rPr>
        <w:t>By:</w:t>
        <w:tab/>
        <w:t>/s/ Marie A. Hattinger</w:t>
      </w:r>
      <w:r>
        <w:rPr>
          <w:sz w:val="20"/>
          <w:szCs w:val="20"/>
          <w:color w:val="auto"/>
        </w:rPr>
        <w:tab/>
      </w:r>
      <w:r>
        <w:rPr>
          <w:rFonts w:ascii="Arial" w:cs="Arial" w:eastAsia="Arial" w:hAnsi="Arial"/>
          <w:sz w:val="19"/>
          <w:szCs w:val="19"/>
          <w:color w:val="auto"/>
        </w:rPr>
        <w:t>Name: Marie A. Hattinger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-17780</wp:posOffset>
            </wp:positionV>
            <wp:extent cx="15201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ind w:left="240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1440"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20"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3"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jc w:val="both"/>
        <w:ind w:left="340" w:right="100" w:hanging="8"/>
        <w:spacing w:after="0" w:line="306" w:lineRule="auto"/>
        <w:tabs>
          <w:tab w:leader="none" w:pos="6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jc w:val="both"/>
        <w:ind w:left="340" w:right="80" w:hanging="8"/>
        <w:spacing w:after="0" w:line="272" w:lineRule="auto"/>
        <w:tabs>
          <w:tab w:leader="none" w:pos="6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9" w:lineRule="exact"/>
        <w:rPr>
          <w:rFonts w:ascii="Arial" w:cs="Arial" w:eastAsia="Arial" w:hAnsi="Arial"/>
          <w:sz w:val="17"/>
          <w:szCs w:val="17"/>
          <w:color w:val="auto"/>
        </w:rPr>
      </w:pPr>
    </w:p>
    <w:p>
      <w:pPr>
        <w:jc w:val="both"/>
        <w:ind w:left="1300" w:right="20" w:hanging="320"/>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540" w:hanging="320"/>
        <w:spacing w:after="0" w:line="285"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7"/>
          <w:szCs w:val="17"/>
          <w:color w:val="auto"/>
        </w:rPr>
      </w:pPr>
    </w:p>
    <w:p>
      <w:pPr>
        <w:ind w:left="1300" w:right="300" w:hanging="320"/>
        <w:spacing w:after="0" w:line="263"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00" w:right="300" w:hanging="320"/>
        <w:spacing w:after="0" w:line="285"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7"/>
          <w:szCs w:val="17"/>
          <w:color w:val="auto"/>
        </w:rPr>
      </w:pPr>
    </w:p>
    <w:p>
      <w:pPr>
        <w:jc w:val="both"/>
        <w:ind w:left="340" w:right="280" w:hanging="8"/>
        <w:spacing w:after="0" w:line="263"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300" w:right="420" w:hanging="320"/>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00" w:right="780" w:hanging="320"/>
        <w:spacing w:after="0" w:line="275"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0059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2023</w:t>
      </w:r>
    </w:p>
    <w:p>
      <w:pPr>
        <w:sectPr>
          <w:pgSz w:w="11900" w:h="16838" w:orient="portrait"/>
          <w:cols w:equalWidth="0" w:num="1">
            <w:col w:w="11240"/>
          </w:cols>
          <w:pgMar w:left="320" w:top="1153"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3"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jc w:val="both"/>
        <w:ind w:left="340" w:right="100" w:hanging="8"/>
        <w:spacing w:after="0" w:line="306"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jc w:val="both"/>
        <w:ind w:left="340" w:right="80" w:hanging="8"/>
        <w:spacing w:after="0" w:line="272"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9" w:lineRule="exact"/>
        <w:rPr>
          <w:rFonts w:ascii="Arial" w:cs="Arial" w:eastAsia="Arial" w:hAnsi="Arial"/>
          <w:sz w:val="17"/>
          <w:szCs w:val="17"/>
          <w:color w:val="auto"/>
        </w:rPr>
      </w:pPr>
    </w:p>
    <w:p>
      <w:pPr>
        <w:jc w:val="both"/>
        <w:ind w:left="1300" w:right="20" w:hanging="320"/>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540" w:hanging="320"/>
        <w:spacing w:after="0" w:line="285"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7"/>
          <w:szCs w:val="17"/>
          <w:color w:val="auto"/>
        </w:rPr>
      </w:pPr>
    </w:p>
    <w:p>
      <w:pPr>
        <w:ind w:left="1300" w:right="300" w:hanging="320"/>
        <w:spacing w:after="0" w:line="263"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00" w:right="300" w:hanging="320"/>
        <w:spacing w:after="0" w:line="285"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7"/>
          <w:szCs w:val="17"/>
          <w:color w:val="auto"/>
        </w:rPr>
      </w:pPr>
    </w:p>
    <w:p>
      <w:pPr>
        <w:jc w:val="both"/>
        <w:ind w:left="340" w:right="280" w:hanging="8"/>
        <w:spacing w:after="0" w:line="263"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300" w:right="420" w:hanging="320"/>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00" w:right="780" w:hanging="320"/>
        <w:spacing w:after="0" w:line="275"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0059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2023</w:t>
      </w:r>
    </w:p>
    <w:p>
      <w:pPr>
        <w:sectPr>
          <w:pgSz w:w="11900" w:h="16838" w:orient="portrait"/>
          <w:cols w:equalWidth="0" w:num="1">
            <w:col w:w="11240"/>
          </w:cols>
          <w:pgMar w:left="320" w:top="115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2023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3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75" w:lineRule="auto"/>
        <w:tabs>
          <w:tab w:leader="none" w:pos="3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0059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2023</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0059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 2023</w:t>
      </w:r>
    </w:p>
    <w:sectPr>
      <w:pgSz w:w="11900" w:h="16838" w:orient="portrait"/>
      <w:cols w:equalWidth="0" w:num="1">
        <w:col w:w="11240"/>
      </w:cols>
      <w:pgMar w:left="320" w:top="11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Roman"/>
      <w:start w:val="3"/>
    </w:lvl>
  </w:abstractNum>
  <w:abstractNum w:abstractNumId="15">
    <w:nsid w:val="3F2DBA31"/>
    <w:multiLevelType w:val="hybridMultilevel"/>
    <w:lvl w:ilvl="0">
      <w:lvlJc w:val="left"/>
      <w:lvlText w:val="%1"/>
      <w:numFmt w:val="decimal"/>
      <w:start w:val="32"/>
    </w:lvl>
  </w:abstractNum>
  <w:abstractNum w:abstractNumId="16">
    <w:nsid w:val="7C83E458"/>
    <w:multiLevelType w:val="hybridMultilevel"/>
    <w:lvl w:ilvl="0">
      <w:lvlJc w:val="left"/>
      <w:lvlText w:val="*"/>
      <w:numFmt w:val="bullet"/>
      <w:start w:val="1"/>
    </w:lvl>
    <w:lvl w:ilvl="1">
      <w:lvlJc w:val="left"/>
      <w:lvlText w:val="%2"/>
      <w:numFmt w:val="decimal"/>
      <w:start w:val="104"/>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65" Type="http://schemas.openxmlformats.org/officeDocument/2006/relationships/hyperlink" Target="http://www.sec.gov/Archives/edgar/data/104889/000095013304000785/w94191exv3w1.htm" TargetMode="External"/><Relationship Id="rId66" Type="http://schemas.openxmlformats.org/officeDocument/2006/relationships/hyperlink" Target="http://www.sec.gov/Archives/edgar/data/104889/000095015713000428/ex3-1.htm" TargetMode="External"/><Relationship Id="rId67" Type="http://schemas.openxmlformats.org/officeDocument/2006/relationships/hyperlink" Target="http://www.sec.gov/Archives/edgar/data/104889/000095015713000428/ex3-2.htm" TargetMode="External"/><Relationship Id="rId68" Type="http://schemas.openxmlformats.org/officeDocument/2006/relationships/hyperlink" Target="http://www.sec.gov/Archives/edgar/data/104889/000095015718000572/ex4-1.htm" TargetMode="External"/><Relationship Id="rId69" Type="http://schemas.openxmlformats.org/officeDocument/2006/relationships/hyperlink" Target="http://www.sec.gov/Archives/edgar/data/104889/000010488920000031/dex42.htm" TargetMode="External"/><Relationship Id="rId70" Type="http://schemas.openxmlformats.org/officeDocument/2006/relationships/hyperlink" Target="https://www.sec.gov/Archives/edgar/data/104889/000010488922000011/a2021q410-kex43.htm" TargetMode="External"/><Relationship Id="rId71" Type="http://schemas.openxmlformats.org/officeDocument/2006/relationships/hyperlink" Target="https://www.sec.gov/Archives/edgar/data/104889/000010488923000052/a2023q2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2023-11-01T07:43:57Z</dcterms:created>
  <dcterms:modified xsi:type="dcterms:W3CDTF">2023-11-01T07:43:57Z</dcterms:modified>
</cp:coreProperties>
</file>