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8"/>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15"/>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00" w:type="dxa"/>
            <w:vAlign w:val="bottom"/>
          </w:tcPr>
          <w:p>
            <w:pPr>
              <w:jc w:val="center"/>
              <w:ind w:right="660"/>
              <w:spacing w:after="0"/>
              <w:rPr>
                <w:sz w:val="20"/>
                <w:szCs w:val="20"/>
                <w:color w:val="auto"/>
              </w:rPr>
            </w:pPr>
            <w:r>
              <w:rPr>
                <w:rFonts w:ascii="Arial" w:cs="Arial" w:eastAsia="Arial" w:hAnsi="Arial"/>
                <w:sz w:val="14"/>
                <w:szCs w:val="14"/>
                <w:b w:val="1"/>
                <w:bCs w:val="1"/>
                <w:color w:val="auto"/>
              </w:rPr>
              <w:t>(Zip Code)</w:t>
            </w:r>
          </w:p>
        </w:tc>
      </w:tr>
      <w:tr>
        <w:trPr>
          <w:trHeight w:val="459"/>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9"/>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19"/>
                <w:szCs w:val="19"/>
                <w:color w:val="auto"/>
              </w:rPr>
            </w:pPr>
          </w:p>
        </w:tc>
      </w:tr>
      <w:tr>
        <w:trPr>
          <w:trHeight w:val="357"/>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80" w:type="dxa"/>
            <w:vAlign w:val="bottom"/>
            <w:gridSpan w:val="3"/>
          </w:tcPr>
          <w:p>
            <w:pPr>
              <w:jc w:val="center"/>
              <w:ind w:right="620"/>
              <w:spacing w:after="0"/>
              <w:rPr>
                <w:sz w:val="20"/>
                <w:szCs w:val="20"/>
                <w:color w:val="auto"/>
              </w:rPr>
            </w:pPr>
            <w:r>
              <w:rPr>
                <w:rFonts w:ascii="Arial" w:cs="Arial" w:eastAsia="Arial" w:hAnsi="Arial"/>
                <w:sz w:val="16"/>
                <w:szCs w:val="16"/>
                <w:color w:val="auto"/>
              </w:rPr>
              <w:t>Trading Symbol(s)</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3"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14" w:lineRule="exact"/>
        <w:rPr>
          <w:sz w:val="24"/>
          <w:szCs w:val="24"/>
          <w:color w:val="auto"/>
        </w:rPr>
      </w:pPr>
    </w:p>
    <w:p>
      <w:pPr>
        <w:ind w:right="420"/>
        <w:spacing w:after="0" w:line="213"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6"/>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29, 2022:</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3,878,319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(Loss)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 Accounts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7</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23</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37</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38</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39</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40</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040" w:type="dxa"/>
            <w:vAlign w:val="bottom"/>
          </w:tcPr>
          <w:p>
            <w:pPr>
              <w:spacing w:after="0"/>
              <w:rPr>
                <w:sz w:val="14"/>
                <w:szCs w:val="14"/>
                <w:color w:val="auto"/>
              </w:rPr>
            </w:pPr>
          </w:p>
        </w:tc>
        <w:tc>
          <w:tcPr>
            <w:tcW w:w="258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260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4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4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604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1680" w:type="dxa"/>
            <w:vAlign w:val="bottom"/>
          </w:tcPr>
          <w:p>
            <w:pPr>
              <w:jc w:val="right"/>
              <w:ind w:right="428"/>
              <w:spacing w:after="0"/>
              <w:rPr>
                <w:sz w:val="20"/>
                <w:szCs w:val="20"/>
                <w:color w:val="auto"/>
              </w:rPr>
            </w:pPr>
            <w:r>
              <w:rPr>
                <w:rFonts w:ascii="Arial" w:cs="Arial" w:eastAsia="Arial" w:hAnsi="Arial"/>
                <w:sz w:val="14"/>
                <w:szCs w:val="14"/>
                <w:color w:val="auto"/>
              </w:rPr>
              <w:t>2021</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1640" w:type="dxa"/>
            <w:vAlign w:val="bottom"/>
          </w:tcPr>
          <w:p>
            <w:pPr>
              <w:jc w:val="right"/>
              <w:ind w:right="36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of services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of goods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Costs and Expenses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Cost of services sold (exclusive of items shown below)</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Cost of goods sold (exclusive of items shown below)</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Selling, general and administrative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Depreciation of property, plant and equipment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intangible assets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long-lived assets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Operations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earnings of affiliates,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income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expense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Non-operating pension and postretirement benefit income,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(Loss) gain on marketable equity securities,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income, net</w:t>
      </w:r>
    </w:p>
    <w:p>
      <w:pPr>
        <w:spacing w:after="0" w:line="59" w:lineRule="exact"/>
        <w:rPr>
          <w:sz w:val="20"/>
          <w:szCs w:val="20"/>
          <w:color w:val="auto"/>
        </w:rPr>
      </w:pPr>
    </w:p>
    <w:p>
      <w:pPr>
        <w:ind w:left="20" w:right="2560"/>
        <w:spacing w:after="0" w:line="305" w:lineRule="auto"/>
        <w:rPr>
          <w:sz w:val="20"/>
          <w:szCs w:val="20"/>
          <w:color w:val="auto"/>
        </w:rPr>
      </w:pPr>
      <w:r>
        <w:rPr>
          <w:rFonts w:ascii="Arial" w:cs="Arial" w:eastAsia="Arial" w:hAnsi="Arial"/>
          <w:sz w:val="16"/>
          <w:szCs w:val="16"/>
          <w:b w:val="1"/>
          <w:bCs w:val="1"/>
          <w:color w:val="auto"/>
        </w:rPr>
        <w:t>(Loss) Income Before Income Taxes (Benefit from) Provision for Income Taxes Net (Loss)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46" w:lineRule="exact"/>
        <w:rPr>
          <w:sz w:val="20"/>
          <w:szCs w:val="20"/>
          <w:color w:val="auto"/>
        </w:rPr>
      </w:pPr>
    </w:p>
    <w:p>
      <w:pPr>
        <w:ind w:left="180" w:right="300" w:hanging="161"/>
        <w:spacing w:after="0" w:line="279" w:lineRule="auto"/>
        <w:rPr>
          <w:sz w:val="20"/>
          <w:szCs w:val="20"/>
          <w:color w:val="auto"/>
        </w:rPr>
      </w:pPr>
      <w:r>
        <w:rPr>
          <w:rFonts w:ascii="Arial" w:cs="Arial" w:eastAsia="Arial" w:hAnsi="Arial"/>
          <w:sz w:val="16"/>
          <w:szCs w:val="16"/>
          <w:b w:val="1"/>
          <w:bCs w:val="1"/>
          <w:color w:val="auto"/>
        </w:rPr>
        <w:t>Net (Loss) Income Attributable to Graham Holdings Company Common Stockholders</w:t>
      </w:r>
    </w:p>
    <w:p>
      <w:pPr>
        <w:spacing w:after="0" w:line="31" w:lineRule="exact"/>
        <w:rPr>
          <w:sz w:val="20"/>
          <w:szCs w:val="20"/>
          <w:color w:val="auto"/>
        </w:rPr>
      </w:pPr>
    </w:p>
    <w:p>
      <w:pPr>
        <w:ind w:left="180" w:hanging="161"/>
        <w:spacing w:after="0" w:line="264" w:lineRule="auto"/>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ind w:left="220"/>
        <w:spacing w:after="0"/>
        <w:rPr>
          <w:sz w:val="20"/>
          <w:szCs w:val="20"/>
          <w:color w:val="auto"/>
        </w:rPr>
      </w:pPr>
      <w:r>
        <w:rPr>
          <w:rFonts w:ascii="Arial" w:cs="Arial" w:eastAsia="Arial" w:hAnsi="Arial"/>
          <w:sz w:val="16"/>
          <w:szCs w:val="16"/>
          <w:color w:val="auto"/>
        </w:rPr>
        <w:t>Basic net (loss) income per common share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Basic average number of common shares outstanding</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Diluted net (loss) income per common share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563,113</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511,037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1,120,682</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994,706</w:t>
            </w:r>
          </w:p>
        </w:tc>
      </w:tr>
      <w:tr>
        <w:trPr>
          <w:trHeight w:val="233"/>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370,189</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290,115</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727,341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518,901</w:t>
            </w:r>
          </w:p>
        </w:tc>
      </w:tr>
      <w:tr>
        <w:trPr>
          <w:trHeight w:val="223"/>
        </w:trPr>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933,302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801,152</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1,848,023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1,513,607</w:t>
            </w:r>
          </w:p>
        </w:tc>
      </w:tr>
      <w:tr>
        <w:trPr>
          <w:trHeight w:val="448"/>
        </w:trPr>
        <w:tc>
          <w:tcPr>
            <w:tcW w:w="300" w:type="dxa"/>
            <w:vAlign w:val="bottom"/>
          </w:tcPr>
          <w:p>
            <w:pPr>
              <w:spacing w:after="0"/>
              <w:rPr>
                <w:sz w:val="24"/>
                <w:szCs w:val="24"/>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329,702</w:t>
            </w:r>
          </w:p>
        </w:tc>
        <w:tc>
          <w:tcPr>
            <w:tcW w:w="400" w:type="dxa"/>
            <w:vAlign w:val="bottom"/>
          </w:tcPr>
          <w:p>
            <w:pPr>
              <w:spacing w:after="0"/>
              <w:rPr>
                <w:sz w:val="24"/>
                <w:szCs w:val="24"/>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306,983</w:t>
            </w:r>
          </w:p>
        </w:tc>
        <w:tc>
          <w:tcPr>
            <w:tcW w:w="320" w:type="dxa"/>
            <w:vAlign w:val="bottom"/>
          </w:tcPr>
          <w:p>
            <w:pPr>
              <w:spacing w:after="0"/>
              <w:rPr>
                <w:sz w:val="24"/>
                <w:szCs w:val="24"/>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654,683</w:t>
            </w:r>
          </w:p>
        </w:tc>
        <w:tc>
          <w:tcPr>
            <w:tcW w:w="3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599,417</w:t>
            </w:r>
          </w:p>
        </w:tc>
      </w:tr>
      <w:tr>
        <w:trPr>
          <w:trHeight w:val="229"/>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302,126</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226,892</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592,646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405,679</w:t>
            </w:r>
          </w:p>
        </w:tc>
      </w:tr>
      <w:tr>
        <w:trPr>
          <w:trHeight w:val="229"/>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227,844</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195,429</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452,706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371,290</w:t>
            </w:r>
          </w:p>
        </w:tc>
      </w:tr>
      <w:tr>
        <w:trPr>
          <w:trHeight w:val="230"/>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19,413</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16,600</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38,888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33,145</w:t>
            </w:r>
          </w:p>
        </w:tc>
      </w:tr>
      <w:tr>
        <w:trPr>
          <w:trHeight w:val="229"/>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14,889</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13,889</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29,801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27,826</w:t>
            </w:r>
          </w:p>
        </w:tc>
      </w:tr>
      <w:tr>
        <w:trPr>
          <w:trHeight w:val="233"/>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3,768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w:t>
            </w:r>
          </w:p>
        </w:tc>
      </w:tr>
      <w:tr>
        <w:trPr>
          <w:trHeight w:val="223"/>
        </w:trPr>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893,974</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763,561</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1,768,724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1,442,172</w:t>
            </w:r>
          </w:p>
        </w:tc>
      </w:tr>
      <w:tr>
        <w:trPr>
          <w:trHeight w:val="220"/>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39,328</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37,591</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79,299</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71,435</w:t>
            </w:r>
          </w:p>
        </w:tc>
      </w:tr>
      <w:tr>
        <w:trPr>
          <w:trHeight w:val="229"/>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1,427</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1,776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4,031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15,204</w:t>
            </w:r>
          </w:p>
        </w:tc>
      </w:tr>
      <w:tr>
        <w:trPr>
          <w:trHeight w:val="229"/>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696</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1,876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1,411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2,766</w:t>
            </w:r>
          </w:p>
        </w:tc>
      </w:tr>
      <w:tr>
        <w:trPr>
          <w:trHeight w:val="230"/>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(15,973)</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(7,353)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(27,390)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(15,801)</w:t>
            </w:r>
          </w:p>
        </w:tc>
      </w:tr>
      <w:tr>
        <w:trPr>
          <w:trHeight w:val="229"/>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50,871</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25,216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101,376</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54,003</w:t>
            </w:r>
          </w:p>
        </w:tc>
      </w:tr>
      <w:tr>
        <w:trPr>
          <w:trHeight w:val="230"/>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(165,540)</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83,698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(118,628)</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162,912</w:t>
            </w:r>
          </w:p>
        </w:tc>
      </w:tr>
      <w:tr>
        <w:trPr>
          <w:trHeight w:val="233"/>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1,176</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16,122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4,052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22,442</w:t>
            </w:r>
          </w:p>
        </w:tc>
      </w:tr>
      <w:tr>
        <w:trPr>
          <w:trHeight w:val="220"/>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(88,015)</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158,926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44,151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312,961</w:t>
            </w:r>
          </w:p>
        </w:tc>
      </w:tr>
      <w:tr>
        <w:trPr>
          <w:trHeight w:val="233"/>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(21,400)</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43,000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14,200</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84,400</w:t>
            </w:r>
          </w:p>
        </w:tc>
      </w:tr>
      <w:tr>
        <w:trPr>
          <w:trHeight w:val="220"/>
        </w:trPr>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(66,615)</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115,926</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29,951</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228,561</w:t>
            </w:r>
          </w:p>
        </w:tc>
      </w:tr>
      <w:tr>
        <w:trPr>
          <w:trHeight w:val="233"/>
        </w:trPr>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r>
      <w:tr>
        <w:trPr>
          <w:trHeight w:val="358"/>
        </w:trPr>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(67,485)</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115,358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28,139</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227,808</w:t>
            </w:r>
          </w:p>
        </w:tc>
      </w:tr>
      <w:tr>
        <w:trPr>
          <w:trHeight w:val="24"/>
        </w:trPr>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648"/>
        </w:trPr>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23.07</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5.76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45.55</w:t>
            </w:r>
          </w:p>
        </w:tc>
      </w:tr>
      <w:tr>
        <w:trPr>
          <w:trHeight w:val="230"/>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4,842</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4,968</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4,857</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4,968</w:t>
            </w:r>
          </w:p>
        </w:tc>
      </w:tr>
      <w:tr>
        <w:trPr>
          <w:trHeight w:val="229"/>
        </w:trPr>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(13.95)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22.99</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5.74</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45.43</w:t>
            </w:r>
          </w:p>
        </w:tc>
      </w:tr>
      <w:tr>
        <w:trPr>
          <w:trHeight w:val="230"/>
        </w:trPr>
        <w:tc>
          <w:tcPr>
            <w:tcW w:w="300" w:type="dxa"/>
            <w:vAlign w:val="bottom"/>
          </w:tcPr>
          <w:p>
            <w:pPr>
              <w:spacing w:after="0"/>
              <w:rPr>
                <w:sz w:val="19"/>
                <w:szCs w:val="19"/>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b w:val="1"/>
                <w:bCs w:val="1"/>
                <w:color w:val="auto"/>
              </w:rPr>
              <w:t>4,842</w:t>
            </w:r>
          </w:p>
        </w:tc>
        <w:tc>
          <w:tcPr>
            <w:tcW w:w="40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4,985</w:t>
            </w:r>
          </w:p>
        </w:tc>
        <w:tc>
          <w:tcPr>
            <w:tcW w:w="3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4,870</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4,981</w:t>
            </w:r>
          </w:p>
        </w:tc>
      </w:tr>
    </w:tbl>
    <w:p>
      <w:pPr>
        <w:spacing w:after="0" w:line="200" w:lineRule="exact"/>
        <w:rPr>
          <w:sz w:val="20"/>
          <w:szCs w:val="20"/>
          <w:color w:val="auto"/>
        </w:rPr>
      </w:pPr>
    </w:p>
    <w:p>
      <w:pPr>
        <w:sectPr>
          <w:pgSz w:w="11900" w:h="16838" w:orient="portrait"/>
          <w:cols w:equalWidth="0" w:num="2">
            <w:col w:w="5800" w:space="260"/>
            <w:col w:w="5180"/>
          </w:cols>
          <w:pgMar w:left="320" w:top="931"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 (UNAUDITED)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280" w:type="dxa"/>
            <w:vAlign w:val="bottom"/>
            <w:gridSpan w:val="2"/>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Six Months Ended</w:t>
            </w:r>
          </w:p>
        </w:tc>
      </w:tr>
      <w:tr>
        <w:trPr>
          <w:trHeight w:val="205"/>
        </w:trPr>
        <w:tc>
          <w:tcPr>
            <w:tcW w:w="66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June 30</w:t>
            </w:r>
          </w:p>
        </w:tc>
      </w:tr>
      <w:tr>
        <w:trPr>
          <w:trHeight w:val="200"/>
        </w:trPr>
        <w:tc>
          <w:tcPr>
            <w:tcW w:w="6680" w:type="dxa"/>
            <w:vAlign w:val="bottom"/>
          </w:tcPr>
          <w:p>
            <w:pPr>
              <w:spacing w:after="0"/>
              <w:rPr>
                <w:sz w:val="20"/>
                <w:szCs w:val="20"/>
                <w:color w:val="auto"/>
              </w:rPr>
            </w:pPr>
            <w:r>
              <w:rPr>
                <w:rFonts w:ascii="Arial" w:cs="Arial" w:eastAsia="Arial" w:hAnsi="Arial"/>
                <w:sz w:val="14"/>
                <w:szCs w:val="14"/>
                <w:color w:val="auto"/>
              </w:rPr>
              <w:t>(in thousands)</w:t>
            </w:r>
          </w:p>
        </w:tc>
        <w:tc>
          <w:tcPr>
            <w:tcW w:w="780" w:type="dxa"/>
            <w:vAlign w:val="bottom"/>
          </w:tcPr>
          <w:p>
            <w:pPr>
              <w:ind w:left="380"/>
              <w:spacing w:after="0"/>
              <w:rPr>
                <w:sz w:val="20"/>
                <w:szCs w:val="20"/>
                <w:color w:val="auto"/>
              </w:rPr>
            </w:pPr>
            <w:r>
              <w:rPr>
                <w:rFonts w:ascii="Arial" w:cs="Arial" w:eastAsia="Arial" w:hAnsi="Arial"/>
                <w:sz w:val="14"/>
                <w:szCs w:val="14"/>
                <w:b w:val="1"/>
                <w:bCs w:val="1"/>
                <w:color w:val="auto"/>
              </w:rPr>
              <w:t>2022</w:t>
            </w:r>
          </w:p>
        </w:tc>
        <w:tc>
          <w:tcPr>
            <w:tcW w:w="1500" w:type="dxa"/>
            <w:vAlign w:val="bottom"/>
          </w:tcPr>
          <w:p>
            <w:pPr>
              <w:jc w:val="right"/>
              <w:ind w:right="34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2022</w:t>
            </w:r>
          </w:p>
        </w:tc>
        <w:tc>
          <w:tcPr>
            <w:tcW w:w="1440" w:type="dxa"/>
            <w:vAlign w:val="bottom"/>
          </w:tcPr>
          <w:p>
            <w:pPr>
              <w:jc w:val="right"/>
              <w:ind w:right="28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(Loss)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right="1640"/>
        <w:spacing w:after="0" w:line="339" w:lineRule="auto"/>
        <w:rPr>
          <w:sz w:val="20"/>
          <w:szCs w:val="20"/>
          <w:color w:val="auto"/>
        </w:rPr>
      </w:pPr>
      <w:r>
        <w:rPr>
          <w:rFonts w:ascii="Arial" w:cs="Arial" w:eastAsia="Arial" w:hAnsi="Arial"/>
          <w:sz w:val="16"/>
          <w:szCs w:val="16"/>
          <w:color w:val="auto"/>
        </w:rPr>
        <w:t>Amortization of net prior service cost included in net income Amortization of net actuarial gain included in net income</w:t>
      </w:r>
    </w:p>
    <w:p>
      <w:pPr>
        <w:spacing w:after="0" w:line="18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Income,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(Loss)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(Loss)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(66,615)</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115,926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29,951</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228,561</w:t>
            </w:r>
          </w:p>
        </w:tc>
      </w:tr>
      <w:tr>
        <w:trPr>
          <w:trHeight w:val="688"/>
        </w:trPr>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(40,928)</w:t>
            </w:r>
          </w:p>
        </w:tc>
        <w:tc>
          <w:tcPr>
            <w:tcW w:w="32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1,167</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(42,666)</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681</w:t>
            </w:r>
          </w:p>
        </w:tc>
      </w:tr>
      <w:tr>
        <w:trPr>
          <w:trHeight w:val="459"/>
        </w:trPr>
        <w:tc>
          <w:tcPr>
            <w:tcW w:w="220" w:type="dxa"/>
            <w:vAlign w:val="bottom"/>
          </w:tcPr>
          <w:p>
            <w:pPr>
              <w:spacing w:after="0"/>
              <w:rPr>
                <w:sz w:val="24"/>
                <w:szCs w:val="24"/>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716</w:t>
            </w:r>
          </w:p>
        </w:tc>
        <w:tc>
          <w:tcPr>
            <w:tcW w:w="32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34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1,432</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1,584</w:t>
            </w:r>
          </w:p>
        </w:tc>
      </w:tr>
      <w:tr>
        <w:trPr>
          <w:trHeight w:val="233"/>
        </w:trPr>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(18,082)</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(35,856)</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w:t>
            </w:r>
          </w:p>
        </w:tc>
      </w:tr>
      <w:tr>
        <w:trPr>
          <w:trHeight w:val="220"/>
        </w:trPr>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(17,366)</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(34,424)</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(1,769)</w:t>
            </w:r>
          </w:p>
        </w:tc>
      </w:tr>
      <w:tr>
        <w:trPr>
          <w:trHeight w:val="233"/>
        </w:trPr>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1,091</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2,733</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r>
      <w:tr>
        <w:trPr>
          <w:trHeight w:val="220"/>
        </w:trPr>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(57,203)</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1,048</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(74,357)</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w:t>
            </w:r>
          </w:p>
        </w:tc>
      </w:tr>
      <w:tr>
        <w:trPr>
          <w:trHeight w:val="233"/>
        </w:trPr>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4,224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8,243</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w:t>
            </w:r>
          </w:p>
        </w:tc>
      </w:tr>
      <w:tr>
        <w:trPr>
          <w:trHeight w:val="223"/>
        </w:trPr>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(52,979)</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1,080</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(66,114)</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20"/>
        </w:trPr>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(119,594)</w:t>
            </w:r>
          </w:p>
        </w:tc>
        <w:tc>
          <w:tcPr>
            <w:tcW w:w="32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117,006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(36,163)</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228,438</w:t>
            </w:r>
          </w:p>
        </w:tc>
      </w:tr>
      <w:tr>
        <w:trPr>
          <w:trHeight w:val="233"/>
        </w:trPr>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(870)</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r>
      <w:tr>
        <w:trPr>
          <w:trHeight w:val="223"/>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(120,464)</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116,438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(37,975)</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227,685</w:t>
            </w:r>
          </w:p>
        </w:tc>
      </w:tr>
      <w:tr>
        <w:trPr>
          <w:trHeight w:val="24"/>
        </w:trPr>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140" w:space="560"/>
            <w:col w:w="4540"/>
          </w:cols>
          <w:pgMar w:left="320" w:top="944" w:right="3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126,368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145,886</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18,849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12,175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662,831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475,333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607,471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178,280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141,471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97,566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81,741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39,789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32,744</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2,411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1,601,427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1,847,174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442,409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468,126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434,843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437,969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172,612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155,444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1,617,648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137,545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142,180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216,612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247,120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2,364,135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2,306,514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7,042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$646 and $782 of restricted cash)</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167,032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163,516</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7,161,305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560,122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583,629</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283,701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358,720</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3,440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4,585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70,896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77,655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94,578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141,749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7,688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1,020,425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1,166,338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164,239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175,391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28,686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36,497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670,512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676,706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25,149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401,977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405,200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511,574</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525,752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2,822,562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2,999,545</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16,500</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392,973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389,456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7,131,747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7,126,761</w:t>
            </w:r>
          </w:p>
        </w:tc>
        <w:tc>
          <w:tcPr>
            <w:tcW w:w="0" w:type="dxa"/>
            <w:vAlign w:val="bottom"/>
          </w:tcPr>
          <w:p>
            <w:pPr>
              <w:spacing w:after="0"/>
              <w:rPr>
                <w:sz w:val="1"/>
                <w:szCs w:val="1"/>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(48,964)</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(6,298)</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953,605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979,157</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633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(4,141,303)</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(4,108,022)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4,308,691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4,399,583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13,552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12,086</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4,322,243</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4,411,669</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7,161,305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18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89"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29,951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228,561</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68,689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65,786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33,473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36,774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(90,971)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(45,413)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Loss (gain)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118,628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(165,257)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(2,265)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(15,080)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doubtful trade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2,218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 of forfeitures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3,102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3,060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1,525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2,036</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5,795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52,856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Accretion expense and change in fair value of contingent consideration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(2,655)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(2,679)</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126,006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38,541</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(36,360)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(4,971)</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(37,455)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(15,592)</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(59,558)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(61,591)</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(8,284)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10,681</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(40,872)</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(41,655)</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(15,834)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(9,343)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2,239</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99,408</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72,845</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74,233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37,629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(32,154)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(27,502)</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(31,468)</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(48,036)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(27,950)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(4,910)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certain businesses, net of cash acquired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(3,053)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(272,428)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2,324</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Return of investment in equity affiliates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152</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(17,916)</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(310,508)</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(47,000)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(34,303)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(15,465)</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(15,106)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(repayments of) vehicle floor plan 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14,121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(9,591)</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(7,580)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bank overdrafts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6,073</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4,433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(4,731)</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(30,866)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1,437</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(3,508)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Issuance of borrowings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(2,123)</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(89,571)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(4,901)</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(12,980)</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(297,522)</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158,843</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423,054</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145,863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125,532</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2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0"/>
                <w:szCs w:val="10"/>
                <w:color w:val="auto"/>
              </w:rPr>
            </w:pPr>
          </w:p>
        </w:tc>
        <w:tc>
          <w:tcPr>
            <w:tcW w:w="720" w:type="dxa"/>
            <w:vAlign w:val="bottom"/>
          </w:tcPr>
          <w:p>
            <w:pPr>
              <w:ind w:left="40"/>
              <w:spacing w:after="0"/>
              <w:rPr>
                <w:sz w:val="20"/>
                <w:szCs w:val="20"/>
                <w:color w:val="auto"/>
              </w:rPr>
            </w:pPr>
            <w:r>
              <w:rPr>
                <w:rFonts w:ascii="Arial" w:cs="Arial" w:eastAsia="Arial" w:hAnsi="Arial"/>
                <w:sz w:val="11"/>
                <w:szCs w:val="11"/>
                <w:color w:val="auto"/>
              </w:rPr>
              <w:t>Capital in</w:t>
            </w:r>
          </w:p>
        </w:tc>
        <w:tc>
          <w:tcPr>
            <w:tcW w:w="160" w:type="dxa"/>
            <w:vAlign w:val="bottom"/>
          </w:tcPr>
          <w:p>
            <w:pPr>
              <w:spacing w:after="0"/>
              <w:rPr>
                <w:sz w:val="10"/>
                <w:szCs w:val="10"/>
                <w:color w:val="auto"/>
              </w:rPr>
            </w:pPr>
          </w:p>
        </w:tc>
        <w:tc>
          <w:tcPr>
            <w:tcW w:w="780" w:type="dxa"/>
            <w:vAlign w:val="bottom"/>
            <w:vMerge w:val="restart"/>
          </w:tcPr>
          <w:p>
            <w:pPr>
              <w:jc w:val="right"/>
              <w:ind w:right="195"/>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Accumulated Other</w:t>
            </w:r>
          </w:p>
        </w:tc>
        <w:tc>
          <w:tcPr>
            <w:tcW w:w="180" w:type="dxa"/>
            <w:vAlign w:val="bottom"/>
          </w:tcPr>
          <w:p>
            <w:pPr>
              <w:spacing w:after="0"/>
              <w:rPr>
                <w:sz w:val="10"/>
                <w:szCs w:val="10"/>
                <w:color w:val="auto"/>
              </w:rPr>
            </w:pPr>
          </w:p>
        </w:tc>
        <w:tc>
          <w:tcPr>
            <w:tcW w:w="86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ind w:right="96"/>
              <w:spacing w:after="0" w:line="108" w:lineRule="exact"/>
              <w:rPr>
                <w:sz w:val="20"/>
                <w:szCs w:val="20"/>
                <w:color w:val="auto"/>
              </w:rPr>
            </w:pPr>
            <w:r>
              <w:rPr>
                <w:rFonts w:ascii="Arial" w:cs="Arial" w:eastAsia="Arial" w:hAnsi="Arial"/>
                <w:sz w:val="11"/>
                <w:szCs w:val="11"/>
                <w:color w:val="auto"/>
                <w:w w:val="98"/>
              </w:rPr>
              <w:t>Comprehensive</w:t>
            </w: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6"/>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1"/>
                <w:szCs w:val="11"/>
                <w:color w:val="auto"/>
              </w:rPr>
              <w:t>(in thousands)</w:t>
            </w:r>
          </w:p>
        </w:tc>
        <w:tc>
          <w:tcPr>
            <w:tcW w:w="100" w:type="dxa"/>
            <w:vAlign w:val="bottom"/>
          </w:tcPr>
          <w:p>
            <w:pPr>
              <w:spacing w:after="0"/>
              <w:rPr>
                <w:sz w:val="13"/>
                <w:szCs w:val="13"/>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color w:val="auto"/>
              </w:rPr>
              <w:t>Par Value</w:t>
            </w:r>
          </w:p>
        </w:tc>
        <w:tc>
          <w:tcPr>
            <w:tcW w:w="160" w:type="dxa"/>
            <w:vAlign w:val="bottom"/>
          </w:tcPr>
          <w:p>
            <w:pPr>
              <w:spacing w:after="0"/>
              <w:rPr>
                <w:sz w:val="13"/>
                <w:szCs w:val="13"/>
                <w:color w:val="auto"/>
              </w:rPr>
            </w:pPr>
          </w:p>
        </w:tc>
        <w:tc>
          <w:tcPr>
            <w:tcW w:w="780" w:type="dxa"/>
            <w:vAlign w:val="bottom"/>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Pr>
          <w:p>
            <w:pPr>
              <w:spacing w:after="0"/>
              <w:rPr>
                <w:sz w:val="13"/>
                <w:szCs w:val="13"/>
                <w:color w:val="auto"/>
              </w:rPr>
            </w:pPr>
          </w:p>
        </w:tc>
        <w:tc>
          <w:tcPr>
            <w:tcW w:w="940" w:type="dxa"/>
            <w:vAlign w:val="bottom"/>
          </w:tcPr>
          <w:p>
            <w:pPr>
              <w:jc w:val="right"/>
              <w:ind w:right="296"/>
              <w:spacing w:after="0"/>
              <w:rPr>
                <w:sz w:val="20"/>
                <w:szCs w:val="20"/>
                <w:color w:val="auto"/>
              </w:rPr>
            </w:pPr>
            <w:r>
              <w:rPr>
                <w:rFonts w:ascii="Arial" w:cs="Arial" w:eastAsia="Arial" w:hAnsi="Arial"/>
                <w:sz w:val="11"/>
                <w:szCs w:val="11"/>
                <w:color w:val="auto"/>
              </w:rPr>
              <w:t>Income</w:t>
            </w:r>
          </w:p>
        </w:tc>
        <w:tc>
          <w:tcPr>
            <w:tcW w:w="180" w:type="dxa"/>
            <w:vAlign w:val="bottom"/>
          </w:tcPr>
          <w:p>
            <w:pPr>
              <w:spacing w:after="0"/>
              <w:rPr>
                <w:sz w:val="13"/>
                <w:szCs w:val="13"/>
                <w:color w:val="auto"/>
              </w:rPr>
            </w:pPr>
          </w:p>
        </w:tc>
        <w:tc>
          <w:tcPr>
            <w:tcW w:w="860" w:type="dxa"/>
            <w:vAlign w:val="bottom"/>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Pr>
          <w:p>
            <w:pPr>
              <w:spacing w:after="0"/>
              <w:rPr>
                <w:sz w:val="13"/>
                <w:szCs w:val="13"/>
                <w:color w:val="auto"/>
              </w:rPr>
            </w:pPr>
          </w:p>
        </w:tc>
        <w:tc>
          <w:tcPr>
            <w:tcW w:w="880" w:type="dxa"/>
            <w:vAlign w:val="bottom"/>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Pr>
          <w:p>
            <w:pPr>
              <w:spacing w:after="0"/>
              <w:rPr>
                <w:sz w:val="13"/>
                <w:szCs w:val="13"/>
                <w:color w:val="auto"/>
              </w:rPr>
            </w:pPr>
          </w:p>
        </w:tc>
        <w:tc>
          <w:tcPr>
            <w:tcW w:w="860" w:type="dxa"/>
            <w:vAlign w:val="bottom"/>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Pr>
          <w:p>
            <w:pPr>
              <w:spacing w:after="0"/>
              <w:rPr>
                <w:sz w:val="13"/>
                <w:szCs w:val="13"/>
                <w:color w:val="auto"/>
              </w:rPr>
            </w:pPr>
          </w:p>
        </w:tc>
        <w:tc>
          <w:tcPr>
            <w:tcW w:w="900" w:type="dxa"/>
            <w:vAlign w:val="bottom"/>
          </w:tcPr>
          <w:p>
            <w:pPr>
              <w:jc w:val="center"/>
              <w:ind w:right="7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33"/>
        </w:trPr>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December 31, 2021</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389,456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7,126,761</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971,388</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(4,108,022)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12,086</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4,411,669</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14,311</w:t>
            </w:r>
          </w:p>
        </w:tc>
        <w:tc>
          <w:tcPr>
            <w:tcW w:w="0" w:type="dxa"/>
            <w:vAlign w:val="bottom"/>
          </w:tcPr>
          <w:p>
            <w:pPr>
              <w:spacing w:after="0"/>
              <w:rPr>
                <w:sz w:val="1"/>
                <w:szCs w:val="1"/>
                <w:color w:val="auto"/>
              </w:rPr>
            </w:pPr>
          </w:p>
        </w:tc>
      </w:tr>
      <w:tr>
        <w:trPr>
          <w:trHeight w:val="194"/>
        </w:trPr>
        <w:tc>
          <w:tcPr>
            <w:tcW w:w="346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96,566</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96,566</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(986)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986</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44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Change in redemption value of redeemable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(357)</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(357)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(15,497)</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(15,497)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(9,527)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(9,527)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color w:val="auto"/>
              </w:rPr>
              <w:t>Issuance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1,437</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1,437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6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1,677</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1,677</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46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(13,135)</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(13,135)</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March 31, 2022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rPr>
              <w:t>391,133</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7,206,888</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958,253</w:t>
            </w:r>
          </w:p>
        </w:tc>
        <w:tc>
          <w:tcPr>
            <w:tcW w:w="180" w:type="dxa"/>
            <w:vAlign w:val="bottom"/>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(4,116,112)</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12,779</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4,472,941</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14,331</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loss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(66,615)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(66,615)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Noncontrolling interest capital contribution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140</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140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Acquisition of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512</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512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(929)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929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Acquisition of redeemable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2,164</w:t>
            </w: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Net loss attributable to redeemable noncontrolling</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59</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59</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(59)</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Change in redemption value of redeemable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64</w:t>
            </w: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64</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64</w:t>
            </w: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noncontrolling interests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(872)</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(872)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(7,656)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(7,656)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3"/>
                <w:szCs w:val="13"/>
                <w:b w:val="1"/>
                <w:bCs w:val="1"/>
                <w:color w:val="auto"/>
              </w:rPr>
              <w:t>Repurchase of Class B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(24,776)</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b w:val="1"/>
                <w:bCs w:val="1"/>
                <w:color w:val="auto"/>
              </w:rPr>
              <w:t>(24,776)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Forfeiture of restricted stock awards, net of Class B</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(462)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(877)</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common stock issuances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2,302</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3"/>
                <w:szCs w:val="13"/>
                <w:b w:val="1"/>
                <w:bCs w:val="1"/>
                <w:color w:val="auto"/>
              </w:rPr>
              <w:t>2,302</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60" w:type="dxa"/>
            <w:vAlign w:val="bottom"/>
          </w:tcPr>
          <w:p>
            <w:pPr>
              <w:ind w:left="160"/>
              <w:spacing w:after="0"/>
              <w:rPr>
                <w:sz w:val="20"/>
                <w:szCs w:val="20"/>
                <w:color w:val="auto"/>
              </w:rPr>
            </w:pPr>
            <w:r>
              <w:rPr>
                <w:rFonts w:ascii="Arial" w:cs="Arial" w:eastAsia="Arial" w:hAnsi="Arial"/>
                <w:sz w:val="13"/>
                <w:szCs w:val="13"/>
                <w:b w:val="1"/>
                <w:bCs w:val="1"/>
                <w:color w:val="auto"/>
              </w:rPr>
              <w:t>stock option expense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3"/>
                <w:szCs w:val="13"/>
                <w:b w:val="1"/>
                <w:bCs w:val="1"/>
                <w:color w:val="auto"/>
              </w:rPr>
              <w:t>Other comprehensive loss, net of income taxes</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(52,979)</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(52,979)</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460" w:type="dxa"/>
            <w:vAlign w:val="bottom"/>
          </w:tcPr>
          <w:p>
            <w:pPr>
              <w:spacing w:after="0"/>
              <w:rPr>
                <w:sz w:val="20"/>
                <w:szCs w:val="20"/>
                <w:color w:val="auto"/>
              </w:rPr>
            </w:pPr>
            <w:r>
              <w:rPr>
                <w:rFonts w:ascii="Arial" w:cs="Arial" w:eastAsia="Arial" w:hAnsi="Arial"/>
                <w:sz w:val="13"/>
                <w:szCs w:val="13"/>
                <w:b w:val="1"/>
                <w:bCs w:val="1"/>
                <w:color w:val="auto"/>
              </w:rPr>
              <w:t>As of June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392,973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7,131,747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905,274</w:t>
            </w: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(4,141,303)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13,552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4,322,243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16,500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167640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44" w:right="3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ind w:left="20"/>
              <w:spacing w:after="0"/>
              <w:rPr>
                <w:sz w:val="20"/>
                <w:szCs w:val="20"/>
                <w:color w:val="auto"/>
              </w:rPr>
            </w:pPr>
            <w:r>
              <w:rPr>
                <w:rFonts w:ascii="Arial" w:cs="Arial" w:eastAsia="Arial" w:hAnsi="Arial"/>
                <w:sz w:val="11"/>
                <w:szCs w:val="11"/>
                <w:color w:val="auto"/>
              </w:rPr>
              <w:t>Common</w:t>
            </w:r>
          </w:p>
        </w:tc>
        <w:tc>
          <w:tcPr>
            <w:tcW w:w="14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1"/>
                <w:szCs w:val="11"/>
                <w:color w:val="auto"/>
              </w:rPr>
              <w:t>Retained</w:t>
            </w:r>
          </w:p>
        </w:tc>
        <w:tc>
          <w:tcPr>
            <w:tcW w:w="1060" w:type="dxa"/>
            <w:vAlign w:val="bottom"/>
            <w:gridSpan w:val="2"/>
          </w:tcPr>
          <w:p>
            <w:pPr>
              <w:jc w:val="center"/>
              <w:spacing w:after="0"/>
              <w:rPr>
                <w:sz w:val="20"/>
                <w:szCs w:val="20"/>
                <w:color w:val="auto"/>
              </w:rPr>
            </w:pPr>
            <w:r>
              <w:rPr>
                <w:rFonts w:ascii="Arial" w:cs="Arial" w:eastAsia="Arial" w:hAnsi="Arial"/>
                <w:sz w:val="11"/>
                <w:szCs w:val="11"/>
                <w:color w:val="auto"/>
                <w:w w:val="99"/>
              </w:rPr>
              <w:t>Accumulated Other</w:t>
            </w:r>
          </w:p>
        </w:tc>
        <w:tc>
          <w:tcPr>
            <w:tcW w:w="180" w:type="dxa"/>
            <w:vAlign w:val="bottom"/>
          </w:tcPr>
          <w:p>
            <w:pPr>
              <w:spacing w:after="0"/>
              <w:rPr>
                <w:sz w:val="10"/>
                <w:szCs w:val="10"/>
                <w:color w:val="auto"/>
              </w:rPr>
            </w:pPr>
          </w:p>
        </w:tc>
        <w:tc>
          <w:tcPr>
            <w:tcW w:w="840" w:type="dxa"/>
            <w:vAlign w:val="bottom"/>
            <w:vMerge w:val="restart"/>
          </w:tcPr>
          <w:p>
            <w:pPr>
              <w:jc w:val="right"/>
              <w:ind w:right="256"/>
              <w:spacing w:after="0"/>
              <w:rPr>
                <w:sz w:val="20"/>
                <w:szCs w:val="20"/>
                <w:color w:val="auto"/>
              </w:rPr>
            </w:pPr>
            <w:r>
              <w:rPr>
                <w:rFonts w:ascii="Arial" w:cs="Arial" w:eastAsia="Arial" w:hAnsi="Arial"/>
                <w:sz w:val="11"/>
                <w:szCs w:val="11"/>
                <w:color w:val="auto"/>
              </w:rPr>
              <w:t>Treasury</w:t>
            </w:r>
          </w:p>
        </w:tc>
        <w:tc>
          <w:tcPr>
            <w:tcW w:w="100" w:type="dxa"/>
            <w:vAlign w:val="bottom"/>
          </w:tcPr>
          <w:p>
            <w:pPr>
              <w:spacing w:after="0"/>
              <w:rPr>
                <w:sz w:val="10"/>
                <w:szCs w:val="10"/>
                <w:color w:val="auto"/>
              </w:rPr>
            </w:pPr>
          </w:p>
        </w:tc>
        <w:tc>
          <w:tcPr>
            <w:tcW w:w="880" w:type="dxa"/>
            <w:vAlign w:val="bottom"/>
            <w:vMerge w:val="restart"/>
          </w:tcPr>
          <w:p>
            <w:pPr>
              <w:jc w:val="right"/>
              <w:ind w:right="95"/>
              <w:spacing w:after="0"/>
              <w:rPr>
                <w:sz w:val="20"/>
                <w:szCs w:val="20"/>
                <w:color w:val="auto"/>
              </w:rPr>
            </w:pPr>
            <w:r>
              <w:rPr>
                <w:rFonts w:ascii="Arial" w:cs="Arial" w:eastAsia="Arial" w:hAnsi="Arial"/>
                <w:sz w:val="11"/>
                <w:szCs w:val="11"/>
                <w:color w:val="auto"/>
                <w:w w:val="99"/>
              </w:rPr>
              <w:t>Noncontrolling</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jc w:val="center"/>
              <w:ind w:right="77"/>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3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ind w:left="40"/>
              <w:spacing w:after="0" w:line="108"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6"/>
              <w:spacing w:after="0" w:line="108" w:lineRule="exact"/>
              <w:rPr>
                <w:sz w:val="20"/>
                <w:szCs w:val="20"/>
                <w:color w:val="auto"/>
              </w:rPr>
            </w:pPr>
            <w:r>
              <w:rPr>
                <w:rFonts w:ascii="Arial" w:cs="Arial" w:eastAsia="Arial" w:hAnsi="Arial"/>
                <w:sz w:val="11"/>
                <w:szCs w:val="11"/>
                <w:color w:val="auto"/>
                <w:w w:val="96"/>
              </w:rPr>
              <w:t>Comprehensive</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77"/>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69"/>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 thousands)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20"/>
              <w:spacing w:after="0"/>
              <w:rPr>
                <w:sz w:val="20"/>
                <w:szCs w:val="20"/>
                <w:color w:val="auto"/>
              </w:rPr>
            </w:pPr>
            <w:r>
              <w:rPr>
                <w:rFonts w:ascii="Arial" w:cs="Arial" w:eastAsia="Arial" w:hAnsi="Arial"/>
                <w:sz w:val="11"/>
                <w:szCs w:val="11"/>
                <w:color w:val="auto"/>
              </w:rPr>
              <w:t>Stock</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Par Value</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color w:val="auto"/>
              </w:rPr>
              <w:t>Earnings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1"/>
                <w:szCs w:val="11"/>
                <w:color w:val="auto"/>
                <w:w w:val="94"/>
              </w:rPr>
              <w:t>Income</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1"/>
                <w:szCs w:val="11"/>
                <w:color w:val="auto"/>
              </w:rPr>
              <w:t>Stock</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1"/>
                <w:szCs w:val="11"/>
                <w:color w:val="auto"/>
              </w:rPr>
              <w:t>Interest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color w:val="auto"/>
                <w:w w:val="99"/>
              </w:rPr>
              <w:t>Total Equity</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77"/>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December 31, 2020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388,159</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6,804,822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603,314</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(4,056,993)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7,091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3,766,393</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11,928</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112,635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112,635</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(185)</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185</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697</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761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(15,106)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(15,106)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forfeitures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(5,188)</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5,084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(104)</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1,589</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1,589</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(1,203)</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(1,203)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w:t>
            </w:r>
          </w:p>
        </w:tc>
        <w:tc>
          <w:tcPr>
            <w:tcW w:w="0" w:type="dxa"/>
            <w:vAlign w:val="bottom"/>
          </w:tcPr>
          <w:p>
            <w:pPr>
              <w:spacing w:after="0"/>
              <w:rPr>
                <w:sz w:val="1"/>
                <w:szCs w:val="1"/>
                <w:color w:val="auto"/>
              </w:rPr>
            </w:pPr>
          </w:p>
        </w:tc>
      </w:tr>
      <w:tr>
        <w:trPr>
          <w:trHeight w:val="190"/>
        </w:trPr>
        <w:tc>
          <w:tcPr>
            <w:tcW w:w="3560" w:type="dxa"/>
            <w:vAlign w:val="bottom"/>
          </w:tcPr>
          <w:p>
            <w:pPr>
              <w:ind w:left="20"/>
              <w:spacing w:after="0"/>
              <w:rPr>
                <w:sz w:val="20"/>
                <w:szCs w:val="20"/>
                <w:color w:val="auto"/>
              </w:rPr>
            </w:pPr>
            <w:r>
              <w:rPr>
                <w:rFonts w:ascii="Arial" w:cs="Arial" w:eastAsia="Arial" w:hAnsi="Arial"/>
                <w:sz w:val="13"/>
                <w:szCs w:val="13"/>
                <w:color w:val="auto"/>
              </w:rPr>
              <w:t>As of March 31, 2021</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385,257</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6,902,166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602,111</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(4,051,909)</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7,214</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3,864,839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7,786</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115,926</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115,926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Net income attributable to noncontrolling interests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(699)</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699</w:t>
            </w:r>
          </w:p>
        </w:tc>
        <w:tc>
          <w:tcPr>
            <w:tcW w:w="160" w:type="dxa"/>
            <w:vAlign w:val="bottom"/>
          </w:tcPr>
          <w:p>
            <w:pPr>
              <w:spacing w:after="0"/>
              <w:rPr>
                <w:sz w:val="17"/>
                <w:szCs w:val="17"/>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Net loss attributable to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131</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65</w:t>
            </w: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65</w:t>
            </w: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(152)</w:t>
            </w: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(152)</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(7,553)</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(7,553)</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Forfeiture of restricted stock awards, net of Class B</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rPr>
                <w:sz w:val="20"/>
                <w:szCs w:val="20"/>
                <w:color w:val="auto"/>
              </w:rPr>
            </w:pPr>
            <w:r>
              <w:rPr>
                <w:rFonts w:ascii="Arial" w:cs="Arial" w:eastAsia="Arial" w:hAnsi="Arial"/>
                <w:sz w:val="13"/>
                <w:szCs w:val="13"/>
                <w:color w:val="auto"/>
              </w:rPr>
              <w:t>common stock issuances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(96)</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1,672</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color w:val="auto"/>
              </w:rPr>
              <w:t>1,672</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56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1,080</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1,080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ind w:left="20"/>
              <w:spacing w:after="0"/>
              <w:rPr>
                <w:sz w:val="20"/>
                <w:szCs w:val="20"/>
                <w:color w:val="auto"/>
              </w:rPr>
            </w:pPr>
            <w:r>
              <w:rPr>
                <w:rFonts w:ascii="Arial" w:cs="Arial" w:eastAsia="Arial" w:hAnsi="Arial"/>
                <w:sz w:val="13"/>
                <w:szCs w:val="13"/>
                <w:color w:val="auto"/>
              </w:rPr>
              <w:t>As of June 30,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20,000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386,882</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7,009,971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603,191</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(4,051,958)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3,975,912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7,720</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Graham Holdings Company (the Company), is a diversified education and media company. The Company’s Kaplan subsidiary provides a wide variety of educational services, both domestically and outside the United States (U.S.). The Company’s media operations comprise the</w:t>
      </w:r>
    </w:p>
    <w:p>
      <w:pPr>
        <w:spacing w:after="0" w:line="235" w:lineRule="auto"/>
        <w:rPr>
          <w:sz w:val="20"/>
          <w:szCs w:val="20"/>
          <w:color w:val="auto"/>
        </w:rPr>
      </w:pPr>
      <w:r>
        <w:rPr>
          <w:rFonts w:ascii="Arial" w:cs="Arial" w:eastAsia="Arial" w:hAnsi="Arial"/>
          <w:sz w:val="18"/>
          <w:szCs w:val="18"/>
          <w:color w:val="auto"/>
        </w:rPr>
        <w:t>ownership and operation of seven television broadcasting stations, several websites and print publications, podcast content and a marketing</w:t>
      </w:r>
    </w:p>
    <w:p>
      <w:pPr>
        <w:ind w:right="420"/>
        <w:spacing w:after="0" w:line="237" w:lineRule="auto"/>
        <w:rPr>
          <w:sz w:val="20"/>
          <w:szCs w:val="20"/>
          <w:color w:val="auto"/>
        </w:rPr>
      </w:pPr>
      <w:r>
        <w:rPr>
          <w:rFonts w:ascii="Arial" w:cs="Arial" w:eastAsia="Arial" w:hAnsi="Arial"/>
          <w:sz w:val="18"/>
          <w:szCs w:val="18"/>
          <w:color w:val="auto"/>
        </w:rPr>
        <w:t>solutions provider. The Company’s other business operations include manufacturing, automotive dealerships, consumer internet brands, restaurants and entertainment venues, custom framing services and home health and hospice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1" w:lineRule="auto"/>
        <w:tabs>
          <w:tab w:leader="none" w:pos="21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2022 and 2021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2021.</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w:t>
      </w:r>
    </w:p>
    <w:p>
      <w:pPr>
        <w:ind w:right="40"/>
        <w:spacing w:after="0" w:line="226" w:lineRule="auto"/>
        <w:rPr>
          <w:sz w:val="20"/>
          <w:szCs w:val="20"/>
          <w:color w:val="auto"/>
        </w:rPr>
      </w:pPr>
      <w:r>
        <w:rPr>
          <w:rFonts w:ascii="Arial" w:cs="Arial" w:eastAsia="Arial" w:hAnsi="Arial"/>
          <w:sz w:val="18"/>
          <w:szCs w:val="18"/>
          <w:color w:val="auto"/>
        </w:rPr>
        <w:t>June 30, 2022 and through the date of this filing. The accounting matters assessed included, but were not limited to, the Company’s carrying value of goodwill and other long-lived assets, allowance for doubtful accounts, inventory valuation and related reserves, fair value of financial</w:t>
      </w:r>
    </w:p>
    <w:p>
      <w:pPr>
        <w:spacing w:after="0" w:line="236" w:lineRule="auto"/>
        <w:rPr>
          <w:sz w:val="20"/>
          <w:szCs w:val="20"/>
          <w:color w:val="auto"/>
        </w:rPr>
      </w:pPr>
      <w:r>
        <w:rPr>
          <w:rFonts w:ascii="Arial" w:cs="Arial" w:eastAsia="Arial" w:hAnsi="Arial"/>
          <w:sz w:val="18"/>
          <w:szCs w:val="18"/>
          <w:color w:val="auto"/>
        </w:rPr>
        <w:t>assets, valuation allowances for tax assets and revenue recognition. These assessments had no impact on the Company’s condensed</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consolidated financial statements as of and for the six months ended June 30, 2022. The Company’s assessments as of and for the six months ended June 30, 2021 resulted in other long-lived asset impairment charges (see Note 8). The Company’s future assessment of the</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magnitude and duration of COVID-19, as well as other factors, could result in material impacts to the Company’s condensed consolidated financial statements in future reporting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On July 5, 2022, the Company’s automotive subsidiary acquired two automotive dealerships, including the real property for the</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dealership operations. In addition to a cash payment and the assumption of $10.9 million in floor plan payables, the automotive subsidiary borrowed $77.4 million to finance the acquisition. The dealerships are operated and managed by an entity affiliated with Christopher J.</w:t>
      </w:r>
    </w:p>
    <w:p>
      <w:pPr>
        <w:spacing w:after="0" w:line="2"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Ourisman, a member of the Ourisman Automotive Group family of dealerships. These acquisitions expand the Company’s automotive business operations and will be included in automotive.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May 2022, Graham Healthcare Group (GHG) acquired two small businesses which are included in healthcare.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2021, the Company acquired six businesses: two in education, two in healthcare, one in automotive, and one in other businesses for</w:t>
      </w:r>
    </w:p>
    <w:p>
      <w:pPr>
        <w:spacing w:after="0" w:line="14"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$392.4 million in cash and contingent consideration and the assumption of floor plan payables. The assets and liabilities of the companies acquired were recorded at their estimated fair values at the date of the acquisition.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On June 14, 2021, the Company acquired all of the outstanding common shares of Leaf Group Ltd. (Leaf) for $308.6 million in cash and the</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assumption of $9.2 million in liabilities related to their previous stock compensation plan, which will be paid in the future. Leaf is a consumer internet company that builds creator-driven brands in lifestyle and home and art design categories. The acquisition is expected to provide</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benefits in the future by diversifying the Company’s business operations and providing operating synergies with other business units. The Company includes Leaf in other businesses.</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Kaplan acquired certain assets of Projects in Knowledge, a continuing medical education provider for healthcare professionals, and another small business in November 2021. These acquisitions are expected to build upon Kaplan’s existing customer base in the medical and test preparation fields. Both business are included in Kaplan’s supplemental education division.</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In December 2021, GHG acquired two businesses, a home health business in Florida and a 50.1% interest in Weiss, a physician practice specializing in allergies, asthma and immunology. The minority shareholder of Weiss has an option to put 10% of the shares to the Company</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annually starting in 2026 and may put all of the shares starting in 2033. The fair value of the redeemable noncontrolling interest in Weiss was $6.6 million at the acquisition date, determined using an income approach. These acquisitions are expected to expand the market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healthcare division serves and are included in healthcare.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2021, the Company’s automotive subsidiary acquired a Ford automotive dealership for cash and the assumption of</w:t>
      </w:r>
    </w:p>
    <w:p>
      <w:pPr>
        <w:ind w:right="420"/>
        <w:spacing w:after="0" w:line="248" w:lineRule="auto"/>
        <w:rPr>
          <w:sz w:val="20"/>
          <w:szCs w:val="20"/>
          <w:color w:val="auto"/>
        </w:rPr>
      </w:pPr>
      <w:r>
        <w:rPr>
          <w:rFonts w:ascii="Arial" w:cs="Arial" w:eastAsia="Arial" w:hAnsi="Arial"/>
          <w:sz w:val="17"/>
          <w:szCs w:val="17"/>
          <w:color w:val="auto"/>
        </w:rPr>
        <w:t>$16.2 million in floor plan payables (see Note 5). In connection with the acquisition, the automotive subsidiary of the Company borrowed $22.5 million to finance the acquisition. The dealership is operated and managed by an entity affiliated with Christopher J. Ourisman, a</w:t>
      </w:r>
    </w:p>
    <w:p>
      <w:pPr>
        <w:spacing w:after="0" w:line="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member of the Ourisman Automotive Group family of dealerships. The acquisition expands the Company’s automotive business operations and is included in automotive.</w:t>
      </w:r>
    </w:p>
    <w:p>
      <w:pPr>
        <w:spacing w:after="0" w:line="12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Acquisition-related costs for acquisitions that closed during the first six months of 2021 were $1.4 million and were expensed as incurred. The aggregate purchase price of the 2021 acquisitions was allocated as follows on a preliminary basis, based on acquisition date fair values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 the following assets and liabilities: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8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December 31, 2021</w:t>
            </w:r>
          </w:p>
        </w:tc>
      </w:tr>
      <w:tr>
        <w:trPr>
          <w:trHeight w:val="215"/>
        </w:trPr>
        <w:tc>
          <w:tcPr>
            <w:tcW w:w="85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240" w:type="dxa"/>
            <w:vAlign w:val="bottom"/>
          </w:tcPr>
          <w:p>
            <w:pPr>
              <w:jc w:val="right"/>
              <w:spacing w:after="0"/>
              <w:rPr>
                <w:sz w:val="20"/>
                <w:szCs w:val="20"/>
                <w:color w:val="auto"/>
              </w:rPr>
            </w:pPr>
            <w:r>
              <w:rPr>
                <w:rFonts w:ascii="Arial" w:cs="Arial" w:eastAsia="Arial" w:hAnsi="Arial"/>
                <w:sz w:val="16"/>
                <w:szCs w:val="16"/>
                <w:color w:val="auto"/>
              </w:rPr>
              <w:t>17,928</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25,383</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13,126</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25,890</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204,070</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22,200</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99,800</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4,911</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44,975</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(16,198)</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(52,760)</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(25,593)</w:t>
            </w:r>
          </w:p>
        </w:tc>
      </w:tr>
      <w:tr>
        <w:trPr>
          <w:trHeight w:val="239"/>
        </w:trPr>
        <w:tc>
          <w:tcPr>
            <w:tcW w:w="85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(6,616)</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357,116</w:t>
            </w:r>
          </w:p>
        </w:tc>
      </w:tr>
      <w:tr>
        <w:trPr>
          <w:trHeight w:val="21"/>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480"/>
        <w:spacing w:after="0" w:line="259" w:lineRule="auto"/>
        <w:rPr>
          <w:sz w:val="20"/>
          <w:szCs w:val="20"/>
          <w:color w:val="auto"/>
        </w:rPr>
      </w:pPr>
      <w:r>
        <w:rPr>
          <w:rFonts w:ascii="Arial" w:cs="Arial" w:eastAsia="Arial" w:hAnsi="Arial"/>
          <w:sz w:val="17"/>
          <w:szCs w:val="17"/>
          <w:color w:val="auto"/>
        </w:rPr>
        <w:t>The 2021 fair values recorded were based upon preliminary valuations and the estimates and assumptions used in such valuations are subject to change within the measurement period (up to one year from the acquisition date). These values include measurement period</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adjustments related to accounts receivable, goodwill, amortized intangible assets, current and noncurrent lease liabilities, deferred income taxes and contingent consideration. The recording of deferred tax assets and liabilities, working capital and the amounts of residual goodwill</w:t>
      </w:r>
    </w:p>
    <w:p>
      <w:pPr>
        <w:spacing w:after="0" w:line="236" w:lineRule="auto"/>
        <w:rPr>
          <w:sz w:val="20"/>
          <w:szCs w:val="20"/>
          <w:color w:val="auto"/>
        </w:rPr>
      </w:pPr>
      <w:r>
        <w:rPr>
          <w:rFonts w:ascii="Arial" w:cs="Arial" w:eastAsia="Arial" w:hAnsi="Arial"/>
          <w:sz w:val="18"/>
          <w:szCs w:val="18"/>
          <w:color w:val="auto"/>
        </w:rPr>
        <w:t>are not yet finalized. Goodwill is calculated as the excess of the consideration transferred over the net assets recognized and represents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estimated future economic benefits arising from other assets acquired that could not be individually identified and separately recognized. The goodwill recorded due to these acquisitions is attributable to the assembled workforces of the acquired companies and expected synergies.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deduct $80.0 million of goodwill for income tax purposes for the acquisitions completed in 2021.</w:t>
      </w:r>
    </w:p>
    <w:p>
      <w:pPr>
        <w:spacing w:after="0" w:line="140"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following unaudited pro forma financial information presents the Company’s results as if the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ind w:right="120"/>
        <w:spacing w:after="0" w:line="271" w:lineRule="auto"/>
        <w:rPr>
          <w:sz w:val="20"/>
          <w:szCs w:val="20"/>
          <w:color w:val="auto"/>
        </w:rPr>
      </w:pPr>
      <w:r>
        <w:rPr>
          <w:rFonts w:ascii="Arial" w:cs="Arial" w:eastAsia="Arial" w:hAnsi="Arial"/>
          <w:sz w:val="18"/>
          <w:szCs w:val="18"/>
          <w:color w:val="auto"/>
        </w:rPr>
        <w:t>current year acquisitions had occurred at the beginning of 2021. The unaudited pro forma information also includes the 2021 acquisitions as if they occurred at the beginning of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54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4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205"/>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2021</w:t>
            </w:r>
          </w:p>
        </w:tc>
      </w:tr>
      <w:tr>
        <w:trPr>
          <w:trHeight w:val="223"/>
        </w:trPr>
        <w:tc>
          <w:tcPr>
            <w:tcW w:w="542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ind w:left="380"/>
              <w:spacing w:after="0"/>
              <w:rPr>
                <w:sz w:val="20"/>
                <w:szCs w:val="20"/>
                <w:color w:val="auto"/>
              </w:rPr>
            </w:pPr>
            <w:r>
              <w:rPr>
                <w:rFonts w:ascii="Arial" w:cs="Arial" w:eastAsia="Arial" w:hAnsi="Arial"/>
                <w:sz w:val="16"/>
                <w:szCs w:val="16"/>
                <w:b w:val="1"/>
                <w:bCs w:val="1"/>
                <w:color w:val="auto"/>
              </w:rPr>
              <w:t>934,076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903,405</w:t>
            </w:r>
          </w:p>
        </w:tc>
        <w:tc>
          <w:tcPr>
            <w:tcW w:w="40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1,851,383</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1,728,945</w:t>
            </w:r>
          </w:p>
        </w:tc>
      </w:tr>
      <w:tr>
        <w:trPr>
          <w:trHeight w:val="229"/>
        </w:trPr>
        <w:tc>
          <w:tcPr>
            <w:tcW w:w="54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Pr>
          <w:p>
            <w:pPr>
              <w:spacing w:after="0"/>
              <w:rPr>
                <w:sz w:val="19"/>
                <w:szCs w:val="19"/>
                <w:color w:val="auto"/>
              </w:rPr>
            </w:pPr>
          </w:p>
        </w:tc>
        <w:tc>
          <w:tcPr>
            <w:tcW w:w="1100" w:type="dxa"/>
            <w:vAlign w:val="bottom"/>
          </w:tcPr>
          <w:p>
            <w:pPr>
              <w:jc w:val="right"/>
              <w:ind w:right="4"/>
              <w:spacing w:after="0"/>
              <w:rPr>
                <w:sz w:val="20"/>
                <w:szCs w:val="20"/>
                <w:color w:val="auto"/>
              </w:rPr>
            </w:pPr>
            <w:r>
              <w:rPr>
                <w:rFonts w:ascii="Arial" w:cs="Arial" w:eastAsia="Arial" w:hAnsi="Arial"/>
                <w:sz w:val="16"/>
                <w:szCs w:val="16"/>
                <w:b w:val="1"/>
                <w:bCs w:val="1"/>
                <w:color w:val="auto"/>
              </w:rPr>
              <w:t>(66,299)</w:t>
            </w:r>
          </w:p>
        </w:tc>
        <w:tc>
          <w:tcPr>
            <w:tcW w:w="440" w:type="dxa"/>
            <w:vAlign w:val="bottom"/>
          </w:tcPr>
          <w:p>
            <w:pPr>
              <w:spacing w:after="0"/>
              <w:rPr>
                <w:sz w:val="19"/>
                <w:szCs w:val="19"/>
                <w:color w:val="auto"/>
              </w:rPr>
            </w:pPr>
          </w:p>
        </w:tc>
        <w:tc>
          <w:tcPr>
            <w:tcW w:w="1020" w:type="dxa"/>
            <w:vAlign w:val="bottom"/>
          </w:tcPr>
          <w:p>
            <w:pPr>
              <w:jc w:val="right"/>
              <w:ind w:right="22"/>
              <w:spacing w:after="0"/>
              <w:rPr>
                <w:sz w:val="20"/>
                <w:szCs w:val="20"/>
                <w:color w:val="auto"/>
              </w:rPr>
            </w:pPr>
            <w:r>
              <w:rPr>
                <w:rFonts w:ascii="Arial" w:cs="Arial" w:eastAsia="Arial" w:hAnsi="Arial"/>
                <w:sz w:val="16"/>
                <w:szCs w:val="16"/>
                <w:color w:val="auto"/>
              </w:rPr>
              <w:t>113,875</w:t>
            </w:r>
          </w:p>
        </w:tc>
        <w:tc>
          <w:tcPr>
            <w:tcW w:w="40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31,152</w:t>
            </w:r>
          </w:p>
        </w:tc>
        <w:tc>
          <w:tcPr>
            <w:tcW w:w="460" w:type="dxa"/>
            <w:vAlign w:val="bottom"/>
          </w:tcPr>
          <w:p>
            <w:pPr>
              <w:spacing w:after="0"/>
              <w:rPr>
                <w:sz w:val="19"/>
                <w:szCs w:val="19"/>
                <w:color w:val="auto"/>
              </w:rPr>
            </w:pPr>
          </w:p>
        </w:tc>
        <w:tc>
          <w:tcPr>
            <w:tcW w:w="1000" w:type="dxa"/>
            <w:vAlign w:val="bottom"/>
          </w:tcPr>
          <w:p>
            <w:pPr>
              <w:jc w:val="right"/>
              <w:ind w:right="2"/>
              <w:spacing w:after="0"/>
              <w:rPr>
                <w:sz w:val="20"/>
                <w:szCs w:val="20"/>
                <w:color w:val="auto"/>
              </w:rPr>
            </w:pPr>
            <w:r>
              <w:rPr>
                <w:rFonts w:ascii="Arial" w:cs="Arial" w:eastAsia="Arial" w:hAnsi="Arial"/>
                <w:sz w:val="16"/>
                <w:szCs w:val="16"/>
                <w:color w:val="auto"/>
              </w:rPr>
              <w:t>225,206</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results of operations of the acquired companies and adjustments for depreciation and amortization of identified assets and the effect of pre-acquisition transaction related expenses incurred by the Company and the acquired entities. The pro forma information does not include</w:t>
      </w:r>
    </w:p>
    <w:p>
      <w:pPr>
        <w:spacing w:after="0" w:line="236" w:lineRule="auto"/>
        <w:rPr>
          <w:sz w:val="20"/>
          <w:szCs w:val="20"/>
          <w:color w:val="auto"/>
        </w:rPr>
      </w:pPr>
      <w:r>
        <w:rPr>
          <w:rFonts w:ascii="Arial" w:cs="Arial" w:eastAsia="Arial" w:hAnsi="Arial"/>
          <w:sz w:val="18"/>
          <w:szCs w:val="18"/>
          <w:color w:val="auto"/>
        </w:rPr>
        <w:t>efficiencies, cost reductions and synergies expected to result from the acquisitions. They are not the results that would have been realized</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2021, Hoover’s minority shareholders put the remaining outstanding shares to the Company, which had a</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value of $3.5 million. Following the redemption, the Company owns 100% of Hoover.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Money Market Investments. </w:t>
      </w:r>
      <w:r>
        <w:rPr>
          <w:rFonts w:ascii="Arial" w:cs="Arial" w:eastAsia="Arial" w:hAnsi="Arial"/>
          <w:sz w:val="18"/>
          <w:szCs w:val="18"/>
          <w:color w:val="auto"/>
        </w:rPr>
        <w:t>As of June 30, 2022, the Company had money market investments of $17.8 million that are classified as cash</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and cash equivalents in the Company’s Condensed Consolidated Balance Sheets. The Company had no money market investments as of December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3"/>
                <w:szCs w:val="13"/>
                <w:color w:val="auto"/>
              </w:rPr>
            </w:pPr>
          </w:p>
        </w:tc>
        <w:tc>
          <w:tcPr>
            <w:tcW w:w="1180" w:type="dxa"/>
            <w:vAlign w:val="bottom"/>
          </w:tcPr>
          <w:p>
            <w:pPr>
              <w:jc w:val="right"/>
              <w:ind w:right="383"/>
              <w:spacing w:after="0" w:line="153" w:lineRule="exact"/>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3"/>
                <w:szCs w:val="13"/>
                <w:color w:val="auto"/>
              </w:rPr>
            </w:pPr>
          </w:p>
        </w:tc>
        <w:tc>
          <w:tcPr>
            <w:tcW w:w="1200" w:type="dxa"/>
            <w:vAlign w:val="bottom"/>
          </w:tcPr>
          <w:p>
            <w:pPr>
              <w:jc w:val="right"/>
              <w:ind w:right="16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43"/>
              <w:spacing w:after="0"/>
              <w:rPr>
                <w:sz w:val="20"/>
                <w:szCs w:val="20"/>
                <w:color w:val="auto"/>
              </w:rPr>
            </w:pPr>
            <w:r>
              <w:rPr>
                <w:rFonts w:ascii="Arial" w:cs="Arial" w:eastAsia="Arial" w:hAnsi="Arial"/>
                <w:sz w:val="16"/>
                <w:szCs w:val="16"/>
                <w:b w:val="1"/>
                <w:bCs w:val="1"/>
                <w:color w:val="auto"/>
              </w:rPr>
              <w:t>269,576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273,201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40" w:type="dxa"/>
            <w:vAlign w:val="bottom"/>
          </w:tcPr>
          <w:p>
            <w:pPr>
              <w:spacing w:after="0"/>
              <w:rPr>
                <w:sz w:val="19"/>
                <w:szCs w:val="19"/>
                <w:color w:val="auto"/>
              </w:rPr>
            </w:pPr>
          </w:p>
        </w:tc>
        <w:tc>
          <w:tcPr>
            <w:tcW w:w="1180" w:type="dxa"/>
            <w:vAlign w:val="bottom"/>
          </w:tcPr>
          <w:p>
            <w:pPr>
              <w:jc w:val="right"/>
              <w:ind w:right="43"/>
              <w:spacing w:after="0"/>
              <w:rPr>
                <w:sz w:val="20"/>
                <w:szCs w:val="20"/>
                <w:color w:val="auto"/>
              </w:rPr>
            </w:pPr>
            <w:r>
              <w:rPr>
                <w:rFonts w:ascii="Arial" w:cs="Arial" w:eastAsia="Arial" w:hAnsi="Arial"/>
                <w:sz w:val="16"/>
                <w:szCs w:val="16"/>
                <w:b w:val="1"/>
                <w:bCs w:val="1"/>
                <w:color w:val="auto"/>
              </w:rPr>
              <w:t>382,007</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537,915</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(2,979)</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648,604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and December 31, 2021, the Company owned 55,430 and 44,430 shares in Markel Corporation (Markel) valued at $71.7</w:t>
      </w:r>
    </w:p>
    <w:p>
      <w:pPr>
        <w:spacing w:after="0" w:line="14"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million and $54.8 million, respectively. The Co-Chief Executive Officer of Markel, Mr. Thomas S. Gayner, is a member of the Company’s Board of Directors. As of June 30, 2022, there was no marketable equity security holding that exceeded 5% of the Company’s total assets.</w:t>
      </w:r>
    </w:p>
    <w:p>
      <w:pPr>
        <w:spacing w:after="0" w:line="107"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Company purchased $31.5 million of marketable equity securities during the first six months of 2022. The Company purchased $48.0 million of marketable equity securities during the first six months of 2021.</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the first six months of 2022, the gross cumulative realized gains from the sales of marketable equity securities were $39.1 million. The total proceeds from such sales were $74.2 million. During the first six months of 2021, the gross cumulative realized gains from the sales of marketable equity securities were $27.7 million. The total proceeds from such sales were $37.6 million.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net (loss) gain on marketable equity securities comprised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right"/>
              <w:ind w:right="401"/>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02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6"/>
                <w:szCs w:val="16"/>
                <w:color w:val="auto"/>
              </w:rPr>
              <w:t>(Loss) gain on marketable equity securities, net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
              <w:spacing w:after="0"/>
              <w:rPr>
                <w:sz w:val="20"/>
                <w:szCs w:val="20"/>
                <w:color w:val="auto"/>
              </w:rPr>
            </w:pPr>
            <w:r>
              <w:rPr>
                <w:rFonts w:ascii="Arial" w:cs="Arial" w:eastAsia="Arial" w:hAnsi="Arial"/>
                <w:sz w:val="16"/>
                <w:szCs w:val="16"/>
                <w:b w:val="1"/>
                <w:bCs w:val="1"/>
                <w:color w:val="auto"/>
              </w:rPr>
              <w:t>(165,540)</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83,698</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
              <w:spacing w:after="0"/>
              <w:rPr>
                <w:sz w:val="20"/>
                <w:szCs w:val="20"/>
                <w:color w:val="auto"/>
              </w:rPr>
            </w:pPr>
            <w:r>
              <w:rPr>
                <w:rFonts w:ascii="Arial" w:cs="Arial" w:eastAsia="Arial" w:hAnsi="Arial"/>
                <w:sz w:val="16"/>
                <w:szCs w:val="16"/>
                <w:b w:val="1"/>
                <w:bCs w:val="1"/>
                <w:color w:val="auto"/>
              </w:rPr>
              <w:t>(118,628)</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162,912</w:t>
            </w: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4,838</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(8,161)</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10,605</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(8,161)</w:t>
            </w:r>
          </w:p>
        </w:tc>
        <w:tc>
          <w:tcPr>
            <w:tcW w:w="0" w:type="dxa"/>
            <w:vAlign w:val="bottom"/>
          </w:tcPr>
          <w:p>
            <w:pPr>
              <w:spacing w:after="0"/>
              <w:rPr>
                <w:sz w:val="1"/>
                <w:szCs w:val="1"/>
                <w:color w:val="auto"/>
              </w:rPr>
            </w:pPr>
          </w:p>
        </w:tc>
      </w:tr>
      <w:tr>
        <w:trPr>
          <w:trHeight w:val="161"/>
        </w:trPr>
        <w:tc>
          <w:tcPr>
            <w:tcW w:w="66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Net unrealized (losses) gains in earnings from marketable equity securities still held</w:t>
            </w: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(160,702)</w:t>
            </w:r>
          </w:p>
        </w:tc>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ind w:right="41"/>
              <w:spacing w:after="0"/>
              <w:rPr>
                <w:sz w:val="20"/>
                <w:szCs w:val="20"/>
                <w:color w:val="auto"/>
              </w:rPr>
            </w:pPr>
            <w:r>
              <w:rPr>
                <w:rFonts w:ascii="Arial" w:cs="Arial" w:eastAsia="Arial" w:hAnsi="Arial"/>
                <w:sz w:val="16"/>
                <w:szCs w:val="16"/>
                <w:color w:val="auto"/>
              </w:rPr>
              <w:t>75,537</w:t>
            </w:r>
          </w:p>
        </w:tc>
        <w:tc>
          <w:tcPr>
            <w:tcW w:w="2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(108,023)</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
              <w:spacing w:after="0"/>
              <w:rPr>
                <w:sz w:val="20"/>
                <w:szCs w:val="20"/>
                <w:color w:val="auto"/>
              </w:rPr>
            </w:pPr>
            <w:r>
              <w:rPr>
                <w:rFonts w:ascii="Arial" w:cs="Arial" w:eastAsia="Arial" w:hAnsi="Arial"/>
                <w:sz w:val="16"/>
                <w:szCs w:val="16"/>
                <w:color w:val="auto"/>
              </w:rPr>
              <w:t>154,751</w:t>
            </w:r>
          </w:p>
        </w:tc>
        <w:tc>
          <w:tcPr>
            <w:tcW w:w="0" w:type="dxa"/>
            <w:vAlign w:val="bottom"/>
          </w:tcPr>
          <w:p>
            <w:pPr>
              <w:spacing w:after="0"/>
              <w:rPr>
                <w:sz w:val="1"/>
                <w:szCs w:val="1"/>
                <w:color w:val="auto"/>
              </w:rPr>
            </w:pPr>
          </w:p>
        </w:tc>
      </w:tr>
      <w:tr>
        <w:trPr>
          <w:trHeight w:val="208"/>
        </w:trPr>
        <w:tc>
          <w:tcPr>
            <w:tcW w:w="6640" w:type="dxa"/>
            <w:vAlign w:val="bottom"/>
          </w:tcPr>
          <w:p>
            <w:pPr>
              <w:ind w:left="180"/>
              <w:spacing w:after="0"/>
              <w:rPr>
                <w:sz w:val="20"/>
                <w:szCs w:val="20"/>
                <w:color w:val="auto"/>
              </w:rPr>
            </w:pPr>
            <w:r>
              <w:rPr>
                <w:rFonts w:ascii="Arial" w:cs="Arial" w:eastAsia="Arial" w:hAnsi="Arial"/>
                <w:sz w:val="16"/>
                <w:szCs w:val="16"/>
                <w:b w:val="1"/>
                <w:bCs w:val="1"/>
                <w:color w:val="auto"/>
              </w:rPr>
              <w:t>at the end of the period</w:t>
            </w: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June 30, 2022, the Company held an approximate 12% interest in Intersection Holdings, LLC (Intersection),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accounts for its investment under the equity method. The Company holds two of the ten seats of Intersection’s governing board, which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allows the Company to exercise significant influence over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color w:val="auto"/>
        </w:rPr>
        <w:t>Intersection. As of June 30, 2022, the Company also held investments in several other affiliates; GHG held a 40% interest in Residential</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Home Health Illinois, a 40% interest in Residential Hospice Illinois, a 40% interest in the joint venture formed between GHG and a Michigan hospital, and a 40% interest in the joint venture formed between GHG and Allegheny Health Network (AHN). During the first quarter of 2022,</w:t>
      </w:r>
    </w:p>
    <w:p>
      <w:pPr>
        <w:spacing w:after="0" w:line="236" w:lineRule="auto"/>
        <w:rPr>
          <w:sz w:val="20"/>
          <w:szCs w:val="20"/>
          <w:color w:val="auto"/>
        </w:rPr>
      </w:pPr>
      <w:r>
        <w:rPr>
          <w:rFonts w:ascii="Arial" w:cs="Arial" w:eastAsia="Arial" w:hAnsi="Arial"/>
          <w:sz w:val="18"/>
          <w:szCs w:val="18"/>
          <w:color w:val="auto"/>
        </w:rPr>
        <w:t>GHG invested an additional $18.5 million in the Residential Home Health Illinois and Residential Hospice Illinois affiliates to fund their</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acquisition of certain home health and hospice assets of the NorthShore University HealthSystem. The transaction diluted GHG’s interest in Residential Hospice Illinois resulting in a $0.6 million gain on the sale of investment in affiliate (see Note 12). For the three and six months</w:t>
      </w:r>
    </w:p>
    <w:p>
      <w:pPr>
        <w:spacing w:after="0" w:line="236" w:lineRule="auto"/>
        <w:rPr>
          <w:sz w:val="20"/>
          <w:szCs w:val="20"/>
          <w:color w:val="auto"/>
        </w:rPr>
      </w:pPr>
      <w:r>
        <w:rPr>
          <w:rFonts w:ascii="Arial" w:cs="Arial" w:eastAsia="Arial" w:hAnsi="Arial"/>
          <w:sz w:val="18"/>
          <w:szCs w:val="18"/>
          <w:color w:val="auto"/>
        </w:rPr>
        <w:t>ended June 30, 2022, the Company recorded $3.7 million and $7.0 million, respectively, in revenue for services provided to the affiliates of</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GHG. For the three and six months ended June 30, 2021, the Company recorded $2.7 million and $5.2 million, respectively, in revenue for services provided to the affiliates of GHG.</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$54.3 million and $ 52.5 million in its investment account that represents cumulative undistributed income in its investments in affiliates as of June 30, 2022 and December 31, 2021, respectively.</w:t>
      </w:r>
    </w:p>
    <w:p>
      <w:pPr>
        <w:spacing w:after="0" w:line="86"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 the joint venture £22 million, which loan is repayable over 25 years at an interest rate of 7% and guaranteed by the University of York. The loan is repayable by December 2041.</w:t>
      </w:r>
    </w:p>
    <w:p>
      <w:pPr>
        <w:spacing w:after="0" w:line="10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$52.3 million and $48.9 million as of</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June 30, 2022 and December 31, 2021, respectively. During the three and six months ended June 30, 2021, the Company recorded gains of $7.8 million and $10.5 million, respectively, to those equity securities based on observable transactions.</w:t>
      </w:r>
    </w:p>
    <w:p>
      <w:pPr>
        <w:spacing w:after="0" w:line="104" w:lineRule="exact"/>
        <w:rPr>
          <w:sz w:val="20"/>
          <w:szCs w:val="20"/>
          <w:color w:val="auto"/>
        </w:rPr>
      </w:pPr>
    </w:p>
    <w:p>
      <w:pPr>
        <w:ind w:right="4360"/>
        <w:spacing w:after="0" w:line="459" w:lineRule="auto"/>
        <w:rPr>
          <w:sz w:val="20"/>
          <w:szCs w:val="20"/>
          <w:color w:val="auto"/>
        </w:rPr>
      </w:pPr>
      <w:r>
        <w:rPr>
          <w:rFonts w:ascii="Arial" w:cs="Arial" w:eastAsia="Arial" w:hAnsi="Arial"/>
          <w:sz w:val="18"/>
          <w:szCs w:val="18"/>
          <w:b w:val="1"/>
          <w:bCs w:val="1"/>
          <w:color w:val="auto"/>
        </w:rPr>
        <w:t xml:space="preserve">4. ACCOUNTS RECEIVABLE, ACCOUNTS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4"/>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$22,093 and $21,836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4"/>
              <w:spacing w:after="0"/>
              <w:rPr>
                <w:sz w:val="20"/>
                <w:szCs w:val="20"/>
                <w:color w:val="auto"/>
              </w:rPr>
            </w:pPr>
            <w:r>
              <w:rPr>
                <w:rFonts w:ascii="Arial" w:cs="Arial" w:eastAsia="Arial" w:hAnsi="Arial"/>
                <w:sz w:val="16"/>
                <w:szCs w:val="16"/>
                <w:b w:val="1"/>
                <w:bCs w:val="1"/>
                <w:color w:val="auto"/>
              </w:rPr>
              <w:t>449,268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589,582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26,065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17,889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475,333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607,471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Credit loss expense was $0.7 million and $1.4 million for the three months ended June 30, 2022 and 2021, respectively. Credit loss expense was $2.2 million and $2.5 million for the six months ended June 30, 2022 and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3"/>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3"/>
              <w:spacing w:after="0"/>
              <w:rPr>
                <w:sz w:val="20"/>
                <w:szCs w:val="20"/>
                <w:color w:val="auto"/>
              </w:rPr>
            </w:pPr>
            <w:r>
              <w:rPr>
                <w:rFonts w:ascii="Arial" w:cs="Arial" w:eastAsia="Arial" w:hAnsi="Arial"/>
                <w:sz w:val="16"/>
                <w:szCs w:val="16"/>
                <w:b w:val="1"/>
                <w:bCs w:val="1"/>
                <w:color w:val="auto"/>
              </w:rPr>
              <w:t>143,196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126,985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40" w:type="dxa"/>
            <w:vAlign w:val="bottom"/>
          </w:tcPr>
          <w:p>
            <w:pPr>
              <w:spacing w:after="0"/>
              <w:rPr>
                <w:sz w:val="19"/>
                <w:szCs w:val="19"/>
                <w:color w:val="auto"/>
              </w:rPr>
            </w:pPr>
          </w:p>
        </w:tc>
        <w:tc>
          <w:tcPr>
            <w:tcW w:w="1160" w:type="dxa"/>
            <w:vAlign w:val="bottom"/>
          </w:tcPr>
          <w:p>
            <w:pPr>
              <w:jc w:val="right"/>
              <w:ind w:right="23"/>
              <w:spacing w:after="0"/>
              <w:rPr>
                <w:sz w:val="20"/>
                <w:szCs w:val="20"/>
                <w:color w:val="auto"/>
              </w:rPr>
            </w:pPr>
            <w:r>
              <w:rPr>
                <w:rFonts w:ascii="Arial" w:cs="Arial" w:eastAsia="Arial" w:hAnsi="Arial"/>
                <w:sz w:val="16"/>
                <w:szCs w:val="16"/>
                <w:b w:val="1"/>
                <w:bCs w:val="1"/>
                <w:color w:val="auto"/>
              </w:rPr>
              <w:t>155,031</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179,307</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261,895</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277,337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560,122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583,629</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$11.6 million and $5.5 million are included in accounts payable as of June 30, 2022 and December 31, 2021,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right="3940"/>
        <w:spacing w:after="0" w:line="451"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160" w:type="dxa"/>
            <w:vAlign w:val="bottom"/>
          </w:tcPr>
          <w:p>
            <w:pPr>
              <w:jc w:val="right"/>
              <w:ind w:right="362"/>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65,049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54,944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15,835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11,506</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19"/>
                <w:szCs w:val="19"/>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b w:val="1"/>
                <w:bCs w:val="1"/>
                <w:color w:val="auto"/>
              </w:rPr>
              <w:t>97,137</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72,796</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259</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178,280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141,471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finances new, used and service loaner vehicle inventory through standardized floor plan facilities with Truist Bank (Truist floor</w:t>
      </w:r>
    </w:p>
    <w:p>
      <w:pPr>
        <w:spacing w:after="0" w:line="14"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plan facility) and Ford Motor Credit Company (Ford floor plan facility). The Truist floor plan facility bears interest at variable rates that are based on Secured Overnight Financing Rate (SOFR) plus 1.19% per annum. The Ford floor plan facility bears interest at variable interest</w:t>
      </w:r>
    </w:p>
    <w:p>
      <w:pPr>
        <w:spacing w:after="0" w:line="235" w:lineRule="auto"/>
        <w:rPr>
          <w:sz w:val="20"/>
          <w:szCs w:val="20"/>
          <w:color w:val="auto"/>
        </w:rPr>
      </w:pPr>
      <w:r>
        <w:rPr>
          <w:rFonts w:ascii="Arial" w:cs="Arial" w:eastAsia="Arial" w:hAnsi="Arial"/>
          <w:sz w:val="18"/>
          <w:szCs w:val="18"/>
          <w:color w:val="auto"/>
        </w:rPr>
        <w:t>rates that are based on the prime rate, with a floor of 3.5%, plus 1.5% per annum. The weighted average interest rate for the floor plan</w:t>
      </w:r>
    </w:p>
    <w:p>
      <w:pPr>
        <w:ind w:right="200"/>
        <w:spacing w:after="0"/>
        <w:rPr>
          <w:sz w:val="20"/>
          <w:szCs w:val="20"/>
          <w:color w:val="auto"/>
        </w:rPr>
      </w:pPr>
      <w:r>
        <w:rPr>
          <w:rFonts w:ascii="Arial" w:cs="Arial" w:eastAsia="Arial" w:hAnsi="Arial"/>
          <w:sz w:val="17"/>
          <w:szCs w:val="17"/>
          <w:color w:val="auto"/>
        </w:rPr>
        <w:t>facilities was 2.2% and 1.2% for the three months ended June 30, 2022 and 2021, respectively. The weighted average interest rate for the floor plan facilities was 2.1% and 1.2% for the six months ended June 30, 2022 and 2021, respectively. As of June 30, 2022, the aggregate</w:t>
      </w:r>
    </w:p>
    <w:p>
      <w:pPr>
        <w:spacing w:after="0" w:line="235" w:lineRule="auto"/>
        <w:rPr>
          <w:sz w:val="20"/>
          <w:szCs w:val="20"/>
          <w:color w:val="auto"/>
        </w:rPr>
      </w:pPr>
      <w:r>
        <w:rPr>
          <w:rFonts w:ascii="Arial" w:cs="Arial" w:eastAsia="Arial" w:hAnsi="Arial"/>
          <w:sz w:val="18"/>
          <w:szCs w:val="18"/>
          <w:color w:val="auto"/>
        </w:rPr>
        <w:t>capacity under the floor plan facilities was $70.9 million, of which $45.7 million had been utilized, and is included in accounts payable and</w:t>
      </w:r>
    </w:p>
    <w:p>
      <w:pPr>
        <w:ind w:right="120"/>
        <w:spacing w:after="0" w:line="237" w:lineRule="auto"/>
        <w:rPr>
          <w:sz w:val="20"/>
          <w:szCs w:val="20"/>
          <w:color w:val="auto"/>
        </w:rPr>
      </w:pPr>
      <w:r>
        <w:rPr>
          <w:rFonts w:ascii="Arial" w:cs="Arial" w:eastAsia="Arial" w:hAnsi="Arial"/>
          <w:sz w:val="18"/>
          <w:szCs w:val="18"/>
          <w:color w:val="auto"/>
        </w:rPr>
        <w:t>accrued liabilities in the Condensed Consolidated Balance Sheet. Changes in the vehicle floor plan payable are reported as cash flows from financing activities in the Condensed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contains a number</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of covenants, including, among others, covenants restricting the dealership subsidiary with respect to the creation of liens and changes in ownership, officers and key management personnel. The Company was in compliance with all of these restrictive covenants as of June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Operations when the associated inventory is sold. For the three months ended June 30, 2022 and 2021, the Company recognized a reduction in cost of goods sold of $1.1 million and $0.8 million, respectively, related to manufacturer floor plan assistance. For the six months</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ended June 30, 2022 and 2021, the Company recognized a reduction in cost of goods sold of $2.0 million and $1.4 million, respectively, related to manufacturer floor plan assistance.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 assets for the three months ended June 30, 2022 and 2021, was $14.9 million and $13.9 million, respectively.</w:t>
      </w:r>
    </w:p>
    <w:p>
      <w:pPr>
        <w:spacing w:after="0" w:line="14"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Amortization of intangible assets for the six months ended June 30, 2022 and 2021, was $29.8 million and $27.8 million, respectively. Amortization of intangible assets is estimated to be approximately $29 million for the remainder of 2022, $51 million in 2023, $39 million in</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2024, $31 million in 2025, $26 million in 2026 and $41 million thereafter. The changes in the carrying amount of goodwill, by segment,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420" w:type="dxa"/>
            <w:vAlign w:val="bottom"/>
          </w:tcPr>
          <w:p>
            <w:pPr>
              <w:ind w:left="20"/>
              <w:spacing w:after="0" w:line="183"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1,186,236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118,329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45,826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253,399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2,029,598</w:t>
            </w:r>
          </w:p>
        </w:tc>
        <w:tc>
          <w:tcPr>
            <w:tcW w:w="0" w:type="dxa"/>
            <w:vAlign w:val="bottom"/>
          </w:tcPr>
          <w:p>
            <w:pPr>
              <w:spacing w:after="0"/>
              <w:rPr>
                <w:sz w:val="1"/>
                <w:szCs w:val="1"/>
                <w:color w:val="auto"/>
              </w:rPr>
            </w:pPr>
          </w:p>
        </w:tc>
      </w:tr>
      <w:tr>
        <w:trPr>
          <w:trHeight w:val="204"/>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Pr>
          <w:p>
            <w:pPr>
              <w:spacing w:after="0"/>
              <w:rPr>
                <w:sz w:val="17"/>
                <w:szCs w:val="17"/>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Pr>
          <w:p>
            <w:pPr>
              <w:spacing w:after="0"/>
              <w:rPr>
                <w:sz w:val="17"/>
                <w:szCs w:val="17"/>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color w:val="auto"/>
              </w:rPr>
              <w:t>(14,563)</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(380,016)</w:t>
            </w:r>
          </w:p>
        </w:tc>
        <w:tc>
          <w:tcPr>
            <w:tcW w:w="0" w:type="dxa"/>
            <w:vAlign w:val="bottom"/>
          </w:tcPr>
          <w:p>
            <w:pPr>
              <w:spacing w:after="0"/>
              <w:rPr>
                <w:sz w:val="1"/>
                <w:szCs w:val="1"/>
                <w:color w:val="auto"/>
              </w:rPr>
            </w:pPr>
          </w:p>
        </w:tc>
      </w:tr>
      <w:tr>
        <w:trPr>
          <w:trHeight w:val="216"/>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855,085</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118,329</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45,826</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238,836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203"/>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Measurement period</w:t>
            </w:r>
          </w:p>
        </w:tc>
        <w:tc>
          <w:tcPr>
            <w:tcW w:w="180" w:type="dxa"/>
            <w:vAlign w:val="bottom"/>
          </w:tcPr>
          <w:p>
            <w:pPr>
              <w:spacing w:after="0"/>
              <w:rPr>
                <w:sz w:val="17"/>
                <w:szCs w:val="17"/>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1,000</w:t>
            </w:r>
          </w:p>
        </w:tc>
        <w:tc>
          <w:tcPr>
            <w:tcW w:w="180" w:type="dxa"/>
            <w:vAlign w:val="bottom"/>
          </w:tcPr>
          <w:p>
            <w:pPr>
              <w:spacing w:after="0"/>
              <w:rPr>
                <w:sz w:val="17"/>
                <w:szCs w:val="17"/>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250</w:t>
            </w:r>
          </w:p>
        </w:tc>
        <w:tc>
          <w:tcPr>
            <w:tcW w:w="22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(2,183)</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(933)</w:t>
            </w:r>
          </w:p>
        </w:tc>
        <w:tc>
          <w:tcPr>
            <w:tcW w:w="0" w:type="dxa"/>
            <w:vAlign w:val="bottom"/>
          </w:tcPr>
          <w:p>
            <w:pPr>
              <w:spacing w:after="0"/>
              <w:rPr>
                <w:sz w:val="1"/>
                <w:szCs w:val="1"/>
                <w:color w:val="auto"/>
              </w:rPr>
            </w:pPr>
          </w:p>
        </w:tc>
      </w:tr>
      <w:tr>
        <w:trPr>
          <w:trHeight w:val="216"/>
        </w:trPr>
        <w:tc>
          <w:tcPr>
            <w:tcW w:w="2420" w:type="dxa"/>
            <w:vAlign w:val="bottom"/>
          </w:tcPr>
          <w:p>
            <w:pPr>
              <w:jc w:val="center"/>
              <w:ind w:right="1020"/>
              <w:spacing w:after="0"/>
              <w:rPr>
                <w:sz w:val="20"/>
                <w:szCs w:val="20"/>
                <w:color w:val="auto"/>
              </w:rPr>
            </w:pPr>
            <w:r>
              <w:rPr>
                <w:rFonts w:ascii="Arial" w:cs="Arial" w:eastAsia="Arial" w:hAnsi="Arial"/>
                <w:sz w:val="16"/>
                <w:szCs w:val="16"/>
                <w:b w:val="1"/>
                <w:bCs w:val="1"/>
                <w:color w:val="auto"/>
              </w:rPr>
              <w:t>adjustments</w:t>
            </w:r>
          </w:p>
        </w:tc>
        <w:tc>
          <w:tcPr>
            <w:tcW w:w="1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5,971</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5,971</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(36,972)</w:t>
            </w:r>
          </w:p>
        </w:tc>
        <w:tc>
          <w:tcPr>
            <w:tcW w:w="180" w:type="dxa"/>
            <w:vAlign w:val="bottom"/>
          </w:tcPr>
          <w:p>
            <w:pPr>
              <w:spacing w:after="0"/>
              <w:rPr>
                <w:sz w:val="17"/>
                <w:szCs w:val="17"/>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7"/>
                <w:szCs w:val="17"/>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(36,972)</w:t>
            </w:r>
          </w:p>
        </w:tc>
        <w:tc>
          <w:tcPr>
            <w:tcW w:w="0" w:type="dxa"/>
            <w:vAlign w:val="bottom"/>
          </w:tcPr>
          <w:p>
            <w:pPr>
              <w:spacing w:after="0"/>
              <w:rPr>
                <w:sz w:val="1"/>
                <w:szCs w:val="1"/>
                <w:color w:val="auto"/>
              </w:rPr>
            </w:pPr>
          </w:p>
        </w:tc>
      </w:tr>
      <w:tr>
        <w:trPr>
          <w:trHeight w:val="217"/>
        </w:trPr>
        <w:tc>
          <w:tcPr>
            <w:tcW w:w="2420" w:type="dxa"/>
            <w:vAlign w:val="bottom"/>
          </w:tcPr>
          <w:p>
            <w:pPr>
              <w:jc w:val="center"/>
              <w:ind w:right="9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1,150,264</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124,550</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45,826</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251,216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1,997,664</w:t>
            </w:r>
          </w:p>
        </w:tc>
        <w:tc>
          <w:tcPr>
            <w:tcW w:w="0" w:type="dxa"/>
            <w:vAlign w:val="bottom"/>
          </w:tcPr>
          <w:p>
            <w:pPr>
              <w:spacing w:after="0"/>
              <w:rPr>
                <w:sz w:val="1"/>
                <w:szCs w:val="1"/>
                <w:color w:val="auto"/>
              </w:rPr>
            </w:pPr>
          </w:p>
        </w:tc>
      </w:tr>
      <w:tr>
        <w:trPr>
          <w:trHeight w:val="196"/>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7"/>
                <w:szCs w:val="17"/>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(34,302)</w:t>
            </w:r>
          </w:p>
        </w:tc>
        <w:tc>
          <w:tcPr>
            <w:tcW w:w="180" w:type="dxa"/>
            <w:vAlign w:val="bottom"/>
          </w:tcPr>
          <w:p>
            <w:pPr>
              <w:spacing w:after="0"/>
              <w:rPr>
                <w:sz w:val="17"/>
                <w:szCs w:val="17"/>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(14,563)</w:t>
            </w: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(380,016)</w:t>
            </w:r>
          </w:p>
        </w:tc>
        <w:tc>
          <w:tcPr>
            <w:tcW w:w="0" w:type="dxa"/>
            <w:vAlign w:val="bottom"/>
          </w:tcPr>
          <w:p>
            <w:pPr>
              <w:spacing w:after="0"/>
              <w:rPr>
                <w:sz w:val="1"/>
                <w:szCs w:val="1"/>
                <w:color w:val="auto"/>
              </w:rPr>
            </w:pPr>
          </w:p>
        </w:tc>
      </w:tr>
      <w:tr>
        <w:trPr>
          <w:trHeight w:val="217"/>
        </w:trPr>
        <w:tc>
          <w:tcPr>
            <w:tcW w:w="2420" w:type="dxa"/>
            <w:vAlign w:val="bottom"/>
          </w:tcPr>
          <w:p>
            <w:pPr>
              <w:jc w:val="center"/>
              <w:ind w:right="104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819,113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124,550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45,826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236,653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1,617,648</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621,268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390,404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1,186,236</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621,268</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170,577</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855,085</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Measurement period adjustments</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1,000</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31"/>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(36,962)</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(36,972)</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584,306</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391,394</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1,150,264</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584,306</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171,567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819,113</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2022</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Gross</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3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2"/>
                <w:szCs w:val="12"/>
                <w:color w:val="auto"/>
              </w:rPr>
            </w:pPr>
          </w:p>
        </w:tc>
        <w:tc>
          <w:tcPr>
            <w:tcW w:w="82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2"/>
                <w:szCs w:val="12"/>
                <w:color w:val="auto"/>
              </w:rPr>
            </w:pPr>
          </w:p>
        </w:tc>
        <w:tc>
          <w:tcPr>
            <w:tcW w:w="82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2"/>
                <w:szCs w:val="12"/>
                <w:color w:val="auto"/>
              </w:rPr>
            </w:pPr>
          </w:p>
        </w:tc>
        <w:tc>
          <w:tcPr>
            <w:tcW w:w="1080" w:type="dxa"/>
            <w:vAlign w:val="bottom"/>
          </w:tcPr>
          <w:p>
            <w:pPr>
              <w:jc w:val="center"/>
              <w:ind w:right="121"/>
              <w:spacing w:after="0" w:line="149" w:lineRule="exact"/>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2"/>
                <w:szCs w:val="12"/>
                <w:color w:val="auto"/>
              </w:rPr>
            </w:pPr>
          </w:p>
        </w:tc>
        <w:tc>
          <w:tcPr>
            <w:tcW w:w="820" w:type="dxa"/>
            <w:vAlign w:val="bottom"/>
          </w:tcPr>
          <w:p>
            <w:pPr>
              <w:jc w:val="center"/>
              <w:ind w:right="82"/>
              <w:spacing w:after="0" w:line="14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11"/>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17"/>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297,886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218,349</w:t>
            </w:r>
          </w:p>
        </w:tc>
        <w:tc>
          <w:tcPr>
            <w:tcW w:w="18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79,537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300,027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206,714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93,313</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158,006</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75,092</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82,914</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158,365</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68,113</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90,252</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36,186</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29,309</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6,877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36,585</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26,464</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10,121</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9,497</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7,903</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8,628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8,772</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220" w:type="dxa"/>
            <w:vAlign w:val="bottom"/>
          </w:tcPr>
          <w:p>
            <w:pPr>
              <w:jc w:val="right"/>
              <w:ind w:right="81"/>
              <w:spacing w:after="0"/>
              <w:rPr>
                <w:sz w:val="20"/>
                <w:szCs w:val="20"/>
                <w:color w:val="auto"/>
              </w:rPr>
            </w:pPr>
            <w:r>
              <w:rPr>
                <w:rFonts w:ascii="Arial" w:cs="Arial" w:eastAsia="Arial" w:hAnsi="Arial"/>
                <w:sz w:val="16"/>
                <w:szCs w:val="16"/>
                <w:b w:val="1"/>
                <w:bCs w:val="1"/>
                <w:color w:val="auto"/>
              </w:rPr>
              <w:t>993</w:t>
            </w:r>
          </w:p>
        </w:tc>
        <w:tc>
          <w:tcPr>
            <w:tcW w:w="18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991</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68,900</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29,526</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39,374</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23,847</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44,653</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579,378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362,766</w:t>
            </w:r>
          </w:p>
        </w:tc>
        <w:tc>
          <w:tcPr>
            <w:tcW w:w="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216,612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581,877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334,757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247,120</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82,316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86,972</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44,058</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137,545</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142,180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300" w:type="dxa"/>
            <w:vAlign w:val="bottom"/>
          </w:tcPr>
          <w:p>
            <w:pPr>
              <w:spacing w:after="0"/>
              <w:rPr>
                <w:sz w:val="14"/>
                <w:szCs w:val="14"/>
                <w:color w:val="auto"/>
              </w:rPr>
            </w:pPr>
          </w:p>
        </w:tc>
        <w:tc>
          <w:tcPr>
            <w:tcW w:w="1320" w:type="dxa"/>
            <w:vAlign w:val="bottom"/>
          </w:tcPr>
          <w:p>
            <w:pPr>
              <w:jc w:val="right"/>
              <w:ind w:right="461"/>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4"/>
                <w:szCs w:val="14"/>
                <w:color w:val="auto"/>
              </w:rPr>
            </w:pPr>
          </w:p>
        </w:tc>
        <w:tc>
          <w:tcPr>
            <w:tcW w:w="1340" w:type="dxa"/>
            <w:vAlign w:val="bottom"/>
          </w:tcPr>
          <w:p>
            <w:pPr>
              <w:jc w:val="right"/>
              <w:ind w:right="26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line="224"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397,186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396,830</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2027</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1.61% - 4.38%</w:t>
            </w:r>
          </w:p>
        </w:tc>
        <w:tc>
          <w:tcPr>
            <w:tcW w:w="1780" w:type="dxa"/>
            <w:vAlign w:val="bottom"/>
          </w:tcPr>
          <w:p>
            <w:pPr>
              <w:jc w:val="center"/>
              <w:spacing w:after="0"/>
              <w:rPr>
                <w:sz w:val="20"/>
                <w:szCs w:val="20"/>
                <w:color w:val="auto"/>
              </w:rPr>
            </w:pPr>
            <w:r>
              <w:rPr>
                <w:rFonts w:ascii="Arial" w:cs="Arial" w:eastAsia="Arial" w:hAnsi="Arial"/>
                <w:sz w:val="16"/>
                <w:szCs w:val="16"/>
                <w:color w:val="auto"/>
              </w:rPr>
              <w:t>2.00%</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150,804</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209,643</w:t>
            </w:r>
          </w:p>
        </w:tc>
        <w:tc>
          <w:tcPr>
            <w:tcW w:w="0" w:type="dxa"/>
            <w:vAlign w:val="bottom"/>
          </w:tcPr>
          <w:p>
            <w:pPr>
              <w:spacing w:after="0"/>
              <w:rPr>
                <w:sz w:val="1"/>
                <w:szCs w:val="1"/>
                <w:color w:val="auto"/>
              </w:rPr>
            </w:pPr>
          </w:p>
        </w:tc>
      </w:tr>
      <w:tr>
        <w:trPr>
          <w:trHeight w:val="236"/>
        </w:trPr>
        <w:tc>
          <w:tcPr>
            <w:tcW w:w="284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1.85% - 2.72%</w:t>
            </w:r>
          </w:p>
        </w:tc>
        <w:tc>
          <w:tcPr>
            <w:tcW w:w="1780" w:type="dxa"/>
            <w:vAlign w:val="bottom"/>
          </w:tcPr>
          <w:p>
            <w:pPr>
              <w:jc w:val="center"/>
              <w:spacing w:after="0"/>
              <w:rPr>
                <w:sz w:val="20"/>
                <w:szCs w:val="20"/>
                <w:color w:val="auto"/>
              </w:rPr>
            </w:pPr>
            <w:r>
              <w:rPr>
                <w:rFonts w:ascii="Arial" w:cs="Arial" w:eastAsia="Arial" w:hAnsi="Arial"/>
                <w:sz w:val="16"/>
                <w:szCs w:val="16"/>
                <w:color w:val="auto"/>
              </w:rPr>
              <w:t>2.16%</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24,013</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24,504</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2.10% - 2.97%</w:t>
            </w:r>
          </w:p>
        </w:tc>
        <w:tc>
          <w:tcPr>
            <w:tcW w:w="1780" w:type="dxa"/>
            <w:vAlign w:val="bottom"/>
          </w:tcPr>
          <w:p>
            <w:pPr>
              <w:jc w:val="center"/>
              <w:spacing w:after="0"/>
              <w:rPr>
                <w:sz w:val="20"/>
                <w:szCs w:val="20"/>
                <w:color w:val="auto"/>
              </w:rPr>
            </w:pPr>
            <w:r>
              <w:rPr>
                <w:rFonts w:ascii="Arial" w:cs="Arial" w:eastAsia="Arial" w:hAnsi="Arial"/>
                <w:sz w:val="16"/>
                <w:szCs w:val="16"/>
                <w:color w:val="auto"/>
              </w:rPr>
              <w:t>2.41%</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21,563</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term loan</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2024</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4.15%</w:t>
            </w:r>
          </w:p>
        </w:tc>
        <w:tc>
          <w:tcPr>
            <w:tcW w:w="1780" w:type="dxa"/>
            <w:vAlign w:val="bottom"/>
          </w:tcPr>
          <w:p>
            <w:pPr>
              <w:jc w:val="center"/>
              <w:spacing w:after="0"/>
              <w:rPr>
                <w:sz w:val="20"/>
                <w:szCs w:val="20"/>
                <w:color w:val="auto"/>
              </w:rPr>
            </w:pPr>
            <w:r>
              <w:rPr>
                <w:rFonts w:ascii="Arial" w:cs="Arial" w:eastAsia="Arial" w:hAnsi="Arial"/>
                <w:sz w:val="16"/>
                <w:szCs w:val="16"/>
                <w:color w:val="auto"/>
              </w:rPr>
              <w:t>4.19%</w:t>
            </w: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8,996</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31"/>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2025 - 2030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3,590</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b w:val="1"/>
                <w:bCs w:val="1"/>
                <w:color w:val="auto"/>
              </w:rPr>
              <w:t>606,152</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667,501</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(94,578)</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(141,749)</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511,574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525,752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9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$2.8 million and $3.2 million of unamortized debt issuance costs as of June 30, 2022 and December 31, 2021, respectively.</w:t>
      </w:r>
    </w:p>
    <w:p>
      <w:pPr>
        <w:spacing w:after="0" w:line="55" w:lineRule="exact"/>
        <w:rPr>
          <w:rFonts w:ascii="Arial" w:cs="Arial" w:eastAsia="Arial" w:hAnsi="Arial"/>
          <w:sz w:val="14"/>
          <w:szCs w:val="14"/>
          <w:color w:val="auto"/>
        </w:rPr>
      </w:pPr>
    </w:p>
    <w:p>
      <w:pPr>
        <w:ind w:left="380" w:hanging="372"/>
        <w:spacing w:after="0"/>
        <w:tabs>
          <w:tab w:leader="none" w:pos="3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June 30, 2022 and December 31, 2021.</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At June 30, 2022 and December 31, 2021, the fair value of the Company’s 5.75% unsecured notes, based on quoted market prices (Level 2 fair value assessment), totaled $394.5 million and $417.5 million,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On May 3, 2022, the Company amended the revolving credit facility to, among other things, (i) extend the maturity of the facility to May 30,</w:t>
      </w:r>
    </w:p>
    <w:p>
      <w:pPr>
        <w:spacing w:after="0" w:line="1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2027, (ii) eliminate borrowings under separate U.S. Dollar and multicurrency tranches, (iii) update certain interest rate benchmarks including replacing USD London Interbank Offered Rate (LIBOR) with SOFR for borrowings denominated in U.S. dollars, (iv) incorporate a sub-facility</w:t>
      </w:r>
    </w:p>
    <w:p>
      <w:pPr>
        <w:spacing w:after="0" w:line="235" w:lineRule="auto"/>
        <w:rPr>
          <w:sz w:val="20"/>
          <w:szCs w:val="20"/>
          <w:color w:val="auto"/>
        </w:rPr>
      </w:pPr>
      <w:r>
        <w:rPr>
          <w:rFonts w:ascii="Arial" w:cs="Arial" w:eastAsia="Arial" w:hAnsi="Arial"/>
          <w:sz w:val="18"/>
          <w:szCs w:val="18"/>
          <w:color w:val="auto"/>
        </w:rPr>
        <w:t>for the issuance of letters of credit, and (v) allow for applicable margin for borrowings to be determined and adjusted quarterly based on the</w:t>
      </w:r>
    </w:p>
    <w:p>
      <w:pPr>
        <w:ind w:right="20"/>
        <w:spacing w:after="0"/>
        <w:rPr>
          <w:sz w:val="20"/>
          <w:szCs w:val="20"/>
          <w:color w:val="auto"/>
        </w:rPr>
      </w:pPr>
      <w:r>
        <w:rPr>
          <w:rFonts w:ascii="Arial" w:cs="Arial" w:eastAsia="Arial" w:hAnsi="Arial"/>
          <w:sz w:val="17"/>
          <w:szCs w:val="17"/>
          <w:color w:val="auto"/>
        </w:rPr>
        <w:t>Company’s Total Net Leverage Ratio. The outstanding balance on the Company’s $300 million unsecured revolving credit facility was $150.8 million as of June 30, 2022, consisting of U.S. dollar borrowings of $90 million with interest payable at SOFR plus 1.375%, and British Pound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(GBP) borrowings of £50 million with interest payable at Daily Sterling Overnight Index Average (SONIA) plus 1.375%.</w:t>
      </w:r>
    </w:p>
    <w:p>
      <w:pPr>
        <w:spacing w:after="0" w:line="140"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The fair value of the Company’s other debt, which is based on Level 2 inputs, approximates its carrying value as of June 30, 2022 and December 31, 2021. The Company is in compliance with all financial covenants of the revolving credit facility, commercial notes,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Pinnacle Bank term loan as of June 30, 2022.</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the three months ended June 30, 2022 and 2021, the Company had average borrowings outstanding of approximately $638.3 million and $525.5 million, respectively, at average annual interest rates of approximately 4.7% and 4.9%, respectively. During the three months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2022 and 2021, the Company incurred net interest expense of $15.3 million and $5.5 million, respectively.</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During the six months ended June 30, 2022 and 2021, the Company had average borrowings outstanding of approximately $648.8 million and $520.0 million, respectively, at average annual interest rates of approximately 4.5% and 5.0%, respectively. During the six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 the Company incurred net interest expense of $26.0 million and $13.0 million, respectively.</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During the three and six months ended June 30, 2022, the Company recorded interest expense of $8.0 million and $11.4 million, respectively, to adjust the fair value of the mandatorily redeemable noncontrolling interest. During the three and six months ended June 30,</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2021, the Company recorded interest income of $1.0 million and net interest expense of $0.1 million, respectively, to adjust the fair value of the mandatorily redeemable noncontrolling interest. The fair value of the mandatorily redeemable noncontrolling interest was based on the</w:t>
      </w:r>
    </w:p>
    <w:p>
      <w:pPr>
        <w:spacing w:after="0" w:line="235" w:lineRule="auto"/>
        <w:rPr>
          <w:sz w:val="20"/>
          <w:szCs w:val="20"/>
          <w:color w:val="auto"/>
        </w:rPr>
      </w:pPr>
      <w:r>
        <w:rPr>
          <w:rFonts w:ascii="Arial" w:cs="Arial" w:eastAsia="Arial" w:hAnsi="Arial"/>
          <w:sz w:val="18"/>
          <w:szCs w:val="18"/>
          <w:color w:val="auto"/>
        </w:rPr>
        <w:t>fair value of the underlying subsidiaries owned by GHC One, after taking into account any debt and other noncontrolling interests of its</w:t>
      </w:r>
    </w:p>
    <w:p>
      <w:pPr>
        <w:ind w:right="440"/>
        <w:spacing w:after="0" w:line="237" w:lineRule="auto"/>
        <w:rPr>
          <w:sz w:val="20"/>
          <w:szCs w:val="20"/>
          <w:color w:val="auto"/>
        </w:rPr>
      </w:pPr>
      <w:r>
        <w:rPr>
          <w:rFonts w:ascii="Arial" w:cs="Arial" w:eastAsia="Arial" w:hAnsi="Arial"/>
          <w:sz w:val="18"/>
          <w:szCs w:val="18"/>
          <w:color w:val="auto"/>
        </w:rPr>
        <w:t>subsidiary investments. The fair value of the owned subsidiaries is determined by reference to either a discounted cash flow or EBITDA multiple, which approximates fair value (Level 3 fair value assessment).</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 June 30, 2022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17,773</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17,773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648,604</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648,604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7,890</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6,337</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14,227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610</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656,494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24,720</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681,214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10,873</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10,873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(5)</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25,149</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36,022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809,997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7,230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817,227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(5)</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14,881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2,049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484</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13,661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28,542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hanging="454"/>
        <w:spacing w:after="0"/>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80" w:right="340" w:hanging="454"/>
        <w:spacing w:after="0" w:line="261"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corporations that are actively traded on U.S. stock exchanges. Price quotes for these shares are readily available.</w:t>
      </w:r>
    </w:p>
    <w:p>
      <w:pPr>
        <w:ind w:left="480" w:right="14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10" w:lineRule="exact"/>
        <w:rPr>
          <w:rFonts w:ascii="Arial" w:cs="Arial" w:eastAsia="Arial" w:hAnsi="Arial"/>
          <w:sz w:val="14"/>
          <w:szCs w:val="14"/>
          <w:color w:val="auto"/>
        </w:rPr>
      </w:pPr>
    </w:p>
    <w:p>
      <w:pPr>
        <w:ind w:left="480" w:right="24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Deferred Charges and Other Assets. The Company utilized a market approach model using the notional amount of the interest rate swap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60" w:hanging="454"/>
        <w:spacing w:after="0" w:line="25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17" w:lineRule="exact"/>
        <w:rPr>
          <w:rFonts w:ascii="Arial" w:cs="Arial" w:eastAsia="Arial" w:hAnsi="Arial"/>
          <w:sz w:val="14"/>
          <w:szCs w:val="14"/>
          <w:color w:val="auto"/>
        </w:rPr>
      </w:pPr>
    </w:p>
    <w:p>
      <w:pPr>
        <w:ind w:left="480" w:right="80" w:hanging="454"/>
        <w:spacing w:after="0" w:line="253"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20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0" w:lineRule="exact"/>
        <w:rPr>
          <w:rFonts w:ascii="Arial" w:cs="Arial" w:eastAsia="Arial" w:hAnsi="Arial"/>
          <w:sz w:val="14"/>
          <w:szCs w:val="14"/>
          <w:color w:val="auto"/>
        </w:rPr>
      </w:pPr>
    </w:p>
    <w:p>
      <w:pPr>
        <w:ind w:left="480" w:right="200" w:hanging="454"/>
        <w:spacing w:after="0" w:line="264" w:lineRule="auto"/>
        <w:tabs>
          <w:tab w:leader="none" w:pos="48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6" w:name="page17"/>
    <w:bookmarkEnd w:id="16"/>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8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Contingent consideration</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040" w:type="dxa"/>
            <w:vAlign w:val="bottom"/>
          </w:tcPr>
          <w:p>
            <w:pPr>
              <w:jc w:val="center"/>
              <w:ind w:left="2508"/>
              <w:spacing w:after="0"/>
              <w:rPr>
                <w:sz w:val="20"/>
                <w:szCs w:val="20"/>
                <w:color w:val="auto"/>
              </w:rPr>
            </w:pPr>
            <w:r>
              <w:rPr>
                <w:rFonts w:ascii="Arial" w:cs="Arial" w:eastAsia="Arial" w:hAnsi="Arial"/>
                <w:sz w:val="14"/>
                <w:szCs w:val="14"/>
                <w:b w:val="1"/>
                <w:bCs w:val="1"/>
                <w:color w:val="auto"/>
              </w:rPr>
              <w:t>liabilities</w:t>
            </w:r>
          </w:p>
        </w:tc>
        <w:tc>
          <w:tcPr>
            <w:tcW w:w="2000" w:type="dxa"/>
            <w:vAlign w:val="bottom"/>
          </w:tcPr>
          <w:p>
            <w:pPr>
              <w:jc w:val="center"/>
              <w:ind w:left="268"/>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December 31, 2021</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Acquisition of business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Capital contributions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 xml:space="preserve">Accretion of value included in net income </w:t>
      </w:r>
      <w:r>
        <w:rPr>
          <w:rFonts w:ascii="Arial" w:cs="Arial" w:eastAsia="Arial" w:hAnsi="Arial"/>
          <w:sz w:val="20"/>
          <w:szCs w:val="20"/>
          <w:b w:val="1"/>
          <w:bCs w:val="1"/>
          <w:color w:val="auto"/>
          <w:vertAlign w:val="superscript"/>
        </w:rPr>
        <w:t>(1)</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Settlements or distributions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 of June 30, 2022</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14,881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13,661</w:t>
            </w:r>
          </w:p>
        </w:tc>
      </w:tr>
      <w:tr>
        <w:trPr>
          <w:trHeight w:val="238"/>
        </w:trPr>
        <w:tc>
          <w:tcPr>
            <w:tcW w:w="20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397</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29"/>
        </w:trPr>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(3,317)</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11,430</w:t>
            </w:r>
          </w:p>
        </w:tc>
      </w:tr>
      <w:tr>
        <w:trPr>
          <w:trHeight w:val="229"/>
        </w:trPr>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242</w:t>
            </w:r>
          </w:p>
        </w:tc>
      </w:tr>
      <w:tr>
        <w:trPr>
          <w:trHeight w:val="230"/>
        </w:trPr>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662</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r>
      <w:tr>
        <w:trPr>
          <w:trHeight w:val="233"/>
        </w:trPr>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(1,750)</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(184)</w:t>
            </w: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10,873</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25,149</w:t>
            </w:r>
          </w:p>
        </w:tc>
      </w:tr>
      <w:tr>
        <w:trPr>
          <w:trHeight w:val="24"/>
        </w:trPr>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443"/>
        </w:trPr>
        <w:tc>
          <w:tcPr>
            <w:tcW w:w="200" w:type="dxa"/>
            <w:vAlign w:val="bottom"/>
          </w:tcPr>
          <w:p>
            <w:pPr>
              <w:spacing w:after="0"/>
              <w:rPr>
                <w:sz w:val="24"/>
                <w:szCs w:val="24"/>
                <w:color w:val="auto"/>
              </w:rPr>
            </w:pPr>
          </w:p>
        </w:tc>
        <w:tc>
          <w:tcPr>
            <w:tcW w:w="21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right"/>
              <w:ind w:right="241"/>
              <w:spacing w:after="0"/>
              <w:rPr>
                <w:sz w:val="20"/>
                <w:szCs w:val="20"/>
                <w:color w:val="auto"/>
              </w:rPr>
            </w:pPr>
            <w:r>
              <w:rPr>
                <w:rFonts w:ascii="Arial" w:cs="Arial" w:eastAsia="Arial" w:hAnsi="Arial"/>
                <w:sz w:val="14"/>
                <w:szCs w:val="14"/>
                <w:b w:val="1"/>
                <w:bCs w:val="1"/>
                <w:color w:val="auto"/>
              </w:rPr>
              <w:t>Mandatorily redeemable</w:t>
            </w:r>
          </w:p>
        </w:tc>
      </w:tr>
      <w:tr>
        <w:trPr>
          <w:trHeight w:val="196"/>
        </w:trPr>
        <w:tc>
          <w:tcPr>
            <w:tcW w:w="200" w:type="dxa"/>
            <w:vAlign w:val="bottom"/>
          </w:tcPr>
          <w:p>
            <w:pPr>
              <w:spacing w:after="0"/>
              <w:rPr>
                <w:sz w:val="17"/>
                <w:szCs w:val="17"/>
                <w:color w:val="auto"/>
              </w:rPr>
            </w:pPr>
          </w:p>
        </w:tc>
        <w:tc>
          <w:tcPr>
            <w:tcW w:w="2140" w:type="dxa"/>
            <w:vAlign w:val="bottom"/>
          </w:tcPr>
          <w:p>
            <w:pPr>
              <w:jc w:val="right"/>
              <w:ind w:right="80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Pr>
          <w:p>
            <w:pPr>
              <w:spacing w:after="0"/>
              <w:rPr>
                <w:sz w:val="17"/>
                <w:szCs w:val="17"/>
                <w:color w:val="auto"/>
              </w:rPr>
            </w:pPr>
          </w:p>
        </w:tc>
        <w:tc>
          <w:tcPr>
            <w:tcW w:w="2080" w:type="dxa"/>
            <w:vAlign w:val="bottom"/>
          </w:tcPr>
          <w:p>
            <w:pPr>
              <w:jc w:val="right"/>
              <w:ind w:right="281"/>
              <w:spacing w:after="0"/>
              <w:rPr>
                <w:sz w:val="20"/>
                <w:szCs w:val="20"/>
                <w:color w:val="auto"/>
              </w:rPr>
            </w:pPr>
            <w:r>
              <w:rPr>
                <w:rFonts w:ascii="Arial" w:cs="Arial" w:eastAsia="Arial" w:hAnsi="Arial"/>
                <w:sz w:val="14"/>
                <w:szCs w:val="14"/>
                <w:b w:val="1"/>
                <w:bCs w:val="1"/>
                <w:color w:val="auto"/>
              </w:rPr>
              <w:t>noncontrolling interest</w:t>
            </w:r>
          </w:p>
        </w:tc>
      </w:tr>
    </w:tbl>
    <w:p>
      <w:pPr>
        <w:spacing w:after="0" w:line="1" w:lineRule="exact"/>
        <w:rPr>
          <w:sz w:val="20"/>
          <w:szCs w:val="20"/>
          <w:color w:val="auto"/>
        </w:rPr>
      </w:pPr>
    </w:p>
    <w:p>
      <w:pPr>
        <w:sectPr>
          <w:pgSz w:w="11900" w:h="16838" w:orient="portrait"/>
          <w:cols w:equalWidth="0" w:num="2">
            <w:col w:w="5820" w:space="720"/>
            <w:col w:w="470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6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As of December 31, 2020</w:t>
            </w:r>
          </w:p>
        </w:tc>
        <w:tc>
          <w:tcPr>
            <w:tcW w:w="88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37,174</w:t>
            </w:r>
          </w:p>
        </w:tc>
        <w:tc>
          <w:tcPr>
            <w:tcW w:w="102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9,240</w:t>
            </w:r>
          </w:p>
        </w:tc>
      </w:tr>
      <w:tr>
        <w:trPr>
          <w:trHeight w:val="239"/>
        </w:trPr>
        <w:tc>
          <w:tcPr>
            <w:tcW w:w="6540" w:type="dxa"/>
            <w:vAlign w:val="bottom"/>
          </w:tcPr>
          <w:p>
            <w:pPr>
              <w:ind w:left="20"/>
              <w:spacing w:after="0" w:line="239" w:lineRule="exact"/>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8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(3,720)</w:t>
            </w:r>
          </w:p>
        </w:tc>
        <w:tc>
          <w:tcPr>
            <w:tcW w:w="10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Capital contributions</w:t>
            </w:r>
          </w:p>
        </w:tc>
        <w:tc>
          <w:tcPr>
            <w:tcW w:w="88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880" w:type="dxa"/>
            <w:vAlign w:val="bottom"/>
          </w:tcPr>
          <w:p>
            <w:pPr>
              <w:spacing w:after="0"/>
              <w:rPr>
                <w:sz w:val="21"/>
                <w:szCs w:val="21"/>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1,041</w:t>
            </w:r>
          </w:p>
        </w:tc>
        <w:tc>
          <w:tcPr>
            <w:tcW w:w="10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Settlements or distributions</w:t>
            </w:r>
          </w:p>
        </w:tc>
        <w:tc>
          <w:tcPr>
            <w:tcW w:w="8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(19,836)</w:t>
            </w:r>
          </w:p>
        </w:tc>
        <w:tc>
          <w:tcPr>
            <w:tcW w:w="10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9"/>
        </w:trPr>
        <w:tc>
          <w:tcPr>
            <w:tcW w:w="654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8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w:t>
            </w:r>
          </w:p>
        </w:tc>
        <w:tc>
          <w:tcPr>
            <w:tcW w:w="10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As of June 30, 2021</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14,693</w:t>
            </w:r>
          </w:p>
        </w:tc>
        <w:tc>
          <w:tcPr>
            <w:tcW w:w="10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9,332</w:t>
            </w:r>
          </w:p>
        </w:tc>
      </w:tr>
      <w:tr>
        <w:trPr>
          <w:trHeight w:val="21"/>
        </w:trPr>
        <w:tc>
          <w:tcPr>
            <w:tcW w:w="6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6"/>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2021, the Company recorded other long-lived asset impairment charges of $3.8 million and</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$4.8 million, respectively. The remeasurement of the other long-lived assets is classified as a Level 3 fair value assessment due to the significance of unobservable inputs developed in the determination of the fair value. The Company used a discounted cash flow model to</w:t>
      </w:r>
    </w:p>
    <w:p>
      <w:pPr>
        <w:spacing w:after="0" w:line="2"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determine the estimated fair value of the other long-lived assets. A market value approach was also utilized to supplement the discounted cash flow model. The Company made estimates and assumptions regarding future cash flows, discount rates and market values.</w:t>
      </w:r>
    </w:p>
    <w:p>
      <w:pPr>
        <w:spacing w:after="0" w:line="8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During the three and six months ended June 30, 2021, the Company recorded gains of $7.8 million and $10.5 million, respectively, to equity securities that are accounted for as cost method investments based on observable transactions for identical or similar investments of the same issuer.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generated 79% of its revenue from U.S. domestic sales for the three and six months ended June 30, 2022. The remaining</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21% of revenue was generated from non-U.S. sales for the three and six months ended June 30, 2022. For the three and six months ended June 30, 2021, 78% and 77% of revenue was from U.S. domestic sales and the remaining 22% and 23% of revenue was generated from</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non-U.S. sales.</w:t>
      </w:r>
    </w:p>
    <w:p>
      <w:pPr>
        <w:spacing w:after="0" w:line="14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For the three and six months ended June 30, 2022, the Company recognized 60% of its revenue over time as control of the services and goods transferred to the customer, and the remaining 40% at a point in time, when the customer obtained control of the promised goods. For</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the three and six months ended June 30, 2021, the Company recognized 66% and 68% of its revenue over time, and the remaining 34% and 32% at a point in time.</w:t>
      </w:r>
    </w:p>
    <w:p>
      <w:pPr>
        <w:spacing w:after="0" w:line="10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June 30, 2022, the Company recognized a contract asset of $19.0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$456.1 million related to this performance obligation within the next ten years. As of December 31, 2021, the contract asset was $17.7 million.</w:t>
      </w:r>
    </w:p>
    <w:p>
      <w:pPr>
        <w:spacing w:after="0" w:line="10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center"/>
              <w:ind w:right="186"/>
              <w:spacing w:after="0"/>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197"/>
        </w:trPr>
        <w:tc>
          <w:tcPr>
            <w:tcW w:w="706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26"/>
              <w:spacing w:after="0"/>
              <w:rPr>
                <w:sz w:val="20"/>
                <w:szCs w:val="20"/>
                <w:color w:val="auto"/>
              </w:rPr>
            </w:pPr>
            <w:r>
              <w:rPr>
                <w:rFonts w:ascii="Arial" w:cs="Arial" w:eastAsia="Arial" w:hAnsi="Arial"/>
                <w:sz w:val="16"/>
                <w:szCs w:val="16"/>
                <w:b w:val="1"/>
                <w:bCs w:val="1"/>
                <w:color w:val="auto"/>
              </w:rPr>
              <w:t>287,681</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363,065</w:t>
            </w:r>
          </w:p>
        </w:tc>
        <w:tc>
          <w:tcPr>
            <w:tcW w:w="1320" w:type="dxa"/>
            <w:vAlign w:val="bottom"/>
          </w:tcPr>
          <w:p>
            <w:pPr>
              <w:jc w:val="right"/>
              <w:ind w:right="445"/>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Coronavirus Aid, Relief, and Economic Security Act (CARES Act) as a result of COVID-19. The Department of Health and Human Services started to recoup this advance 365 days after the payment was issued. GHG recognized $5.6 million and $12.0 million of the balance in</w:t>
      </w:r>
    </w:p>
    <w:p>
      <w:pPr>
        <w:spacing w:after="0" w:line="235" w:lineRule="auto"/>
        <w:rPr>
          <w:sz w:val="20"/>
          <w:szCs w:val="20"/>
          <w:color w:val="auto"/>
        </w:rPr>
      </w:pPr>
      <w:r>
        <w:rPr>
          <w:rFonts w:ascii="Arial" w:cs="Arial" w:eastAsia="Arial" w:hAnsi="Arial"/>
          <w:sz w:val="18"/>
          <w:szCs w:val="18"/>
          <w:color w:val="auto"/>
        </w:rPr>
        <w:t>revenue for claims submitted for eligible services for the three and six months ended June 30, 2022, respectively. The remaining balance of</w:t>
      </w:r>
    </w:p>
    <w:p>
      <w:pPr>
        <w:jc w:val="both"/>
        <w:ind w:right="60"/>
        <w:spacing w:after="0" w:line="263" w:lineRule="auto"/>
        <w:rPr>
          <w:sz w:val="20"/>
          <w:szCs w:val="20"/>
          <w:color w:val="auto"/>
        </w:rPr>
      </w:pPr>
      <w:r>
        <w:rPr>
          <w:rFonts w:ascii="Arial" w:cs="Arial" w:eastAsia="Arial" w:hAnsi="Arial"/>
          <w:sz w:val="17"/>
          <w:szCs w:val="17"/>
          <w:color w:val="auto"/>
        </w:rPr>
        <w:t>$0.5 million is included in the current deferred revenue balance on the Condensed Consolidated Balance Sheet as of June 30, 2022. For the three and six months ended June 30, 2021, GHG recognized $5.0 million of the balance in revenue for claims submitted for eligible services.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international division.</w:t>
      </w:r>
    </w:p>
    <w:p>
      <w:pPr>
        <w:spacing w:after="0" w:line="1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During the six months ended June 30, 2022, the Company recognized $271.9 million related to the Company’s deferred revenue balance as of December 31,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periods. As of June 30, 2022, the deferred revenue balance related to certain medical and nursing qualifications with an original contract length greater than twelve months at Kaplan Supplemental Education was $7.7 million. Kaplan Supplemental Education expects to recognize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75% of this revenue over the next twelve months and the remainder thereafter.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6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1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140" w:type="dxa"/>
            <w:vAlign w:val="bottom"/>
          </w:tcPr>
          <w:p>
            <w:pPr>
              <w:jc w:val="center"/>
              <w:ind w:right="16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48"/>
        </w:trPr>
        <w:tc>
          <w:tcPr>
            <w:tcW w:w="30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6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associated with</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ind w:right="146"/>
              <w:spacing w:after="0" w:line="149" w:lineRule="exact"/>
              <w:rPr>
                <w:sz w:val="20"/>
                <w:szCs w:val="20"/>
                <w:color w:val="auto"/>
              </w:rPr>
            </w:pPr>
            <w:r>
              <w:rPr>
                <w:rFonts w:ascii="Arial" w:cs="Arial" w:eastAsia="Arial" w:hAnsi="Arial"/>
                <w:sz w:val="14"/>
                <w:szCs w:val="14"/>
                <w:b w:val="1"/>
                <w:bCs w:val="1"/>
                <w:color w:val="auto"/>
              </w:rPr>
              <w:t>End of</w:t>
            </w:r>
          </w:p>
        </w:tc>
      </w:tr>
      <w:tr>
        <w:trPr>
          <w:trHeight w:val="211"/>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b w:val="1"/>
                <w:bCs w:val="1"/>
                <w:color w:val="auto"/>
              </w:rPr>
              <w:t>26,081</w:t>
            </w:r>
          </w:p>
        </w:tc>
        <w:tc>
          <w:tcPr>
            <w:tcW w:w="32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20,991</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5"/>
              <w:spacing w:after="0"/>
              <w:rPr>
                <w:sz w:val="20"/>
                <w:szCs w:val="20"/>
                <w:color w:val="auto"/>
              </w:rPr>
            </w:pPr>
            <w:r>
              <w:rPr>
                <w:rFonts w:ascii="Arial" w:cs="Arial" w:eastAsia="Arial" w:hAnsi="Arial"/>
                <w:sz w:val="16"/>
                <w:szCs w:val="16"/>
                <w:b w:val="1"/>
                <w:bCs w:val="1"/>
                <w:color w:val="auto"/>
              </w:rPr>
              <w:t>(28,911)</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(1,733)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16,428</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six months ended June 30,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EARNINGS PER SHARE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w:t>
      </w:r>
    </w:p>
    <w:p>
      <w:pPr>
        <w:spacing w:after="0" w:line="14" w:lineRule="exact"/>
        <w:rPr>
          <w:sz w:val="20"/>
          <w:szCs w:val="20"/>
          <w:color w:val="auto"/>
        </w:rPr>
      </w:pPr>
    </w:p>
    <w:p>
      <w:pPr>
        <w:jc w:val="both"/>
        <w:ind w:right="40"/>
        <w:spacing w:after="0" w:line="226" w:lineRule="auto"/>
        <w:rPr>
          <w:sz w:val="20"/>
          <w:szCs w:val="20"/>
          <w:color w:val="auto"/>
        </w:rPr>
      </w:pPr>
      <w:r>
        <w:rPr>
          <w:rFonts w:ascii="Arial" w:cs="Arial" w:eastAsia="Arial" w:hAnsi="Arial"/>
          <w:sz w:val="18"/>
          <w:szCs w:val="18"/>
          <w:color w:val="auto"/>
        </w:rPr>
        <w:t>securities for purposes of computing earnings per share pursuant to the two-class method. The diluted earnings per share computed under the two-class method is lower than the diluted earnings per share computed under the treasury stock method, resulting in the presentation of</w:t>
      </w:r>
    </w:p>
    <w:p>
      <w:pPr>
        <w:spacing w:after="0" w:line="23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attributable to the unvested restricted stock awards from the numerator and excludes the dilutive impact of those underlying shares from the denominator.</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8" w:name="page19"/>
    <w:bookmarkEnd w:id="18"/>
    <w:p>
      <w:pPr>
        <w:ind w:right="140"/>
        <w:spacing w:after="0" w:line="271" w:lineRule="auto"/>
        <w:rPr>
          <w:sz w:val="20"/>
          <w:szCs w:val="20"/>
          <w:color w:val="auto"/>
        </w:rPr>
      </w:pPr>
      <w:r>
        <w:rPr>
          <w:rFonts w:ascii="Arial" w:cs="Arial" w:eastAsia="Arial" w:hAnsi="Arial"/>
          <w:sz w:val="18"/>
          <w:szCs w:val="18"/>
          <w:color w:val="auto"/>
        </w:rPr>
        <w:t>The following reflects the Company’s net (loss) income and share data used in the basic and diluted (loss) earnings per share computations using the two-class method: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5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6"/>
                <w:szCs w:val="16"/>
                <w:color w:val="auto"/>
              </w:rPr>
              <w:t>Numerator for basic (loss) earnings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640" w:type="dxa"/>
            <w:vAlign w:val="bottom"/>
          </w:tcPr>
          <w:p>
            <w:pPr>
              <w:ind w:left="220"/>
              <w:spacing w:after="0"/>
              <w:rPr>
                <w:sz w:val="20"/>
                <w:szCs w:val="20"/>
                <w:color w:val="auto"/>
              </w:rPr>
            </w:pPr>
            <w:r>
              <w:rPr>
                <w:rFonts w:ascii="Arial" w:cs="Arial" w:eastAsia="Arial" w:hAnsi="Arial"/>
                <w:sz w:val="16"/>
                <w:szCs w:val="16"/>
                <w:color w:val="auto"/>
              </w:rPr>
              <w:t>Net (loss) income attributable to Graham Holdings Company common</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(67,485)</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80"/>
              <w:spacing w:after="0"/>
              <w:rPr>
                <w:sz w:val="20"/>
                <w:szCs w:val="20"/>
                <w:color w:val="auto"/>
              </w:rPr>
            </w:pPr>
            <w:r>
              <w:rPr>
                <w:rFonts w:ascii="Arial" w:cs="Arial" w:eastAsia="Arial" w:hAnsi="Arial"/>
                <w:sz w:val="16"/>
                <w:szCs w:val="16"/>
                <w:color w:val="auto"/>
              </w:rPr>
              <w:t>115,358</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28,139</w:t>
            </w:r>
          </w:p>
        </w:tc>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0"/>
              <w:spacing w:after="0"/>
              <w:rPr>
                <w:sz w:val="20"/>
                <w:szCs w:val="20"/>
                <w:color w:val="auto"/>
              </w:rPr>
            </w:pPr>
            <w:r>
              <w:rPr>
                <w:rFonts w:ascii="Arial" w:cs="Arial" w:eastAsia="Arial" w:hAnsi="Arial"/>
                <w:sz w:val="16"/>
                <w:szCs w:val="16"/>
                <w:color w:val="auto"/>
              </w:rPr>
              <w:t>227,808</w:t>
            </w:r>
          </w:p>
        </w:tc>
        <w:tc>
          <w:tcPr>
            <w:tcW w:w="0" w:type="dxa"/>
            <w:vAlign w:val="bottom"/>
          </w:tcPr>
          <w:p>
            <w:pPr>
              <w:spacing w:after="0"/>
              <w:rPr>
                <w:sz w:val="1"/>
                <w:szCs w:val="1"/>
                <w:color w:val="auto"/>
              </w:rPr>
            </w:pPr>
          </w:p>
        </w:tc>
      </w:tr>
      <w:tr>
        <w:trPr>
          <w:trHeight w:val="215"/>
        </w:trPr>
        <w:tc>
          <w:tcPr>
            <w:tcW w:w="564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30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640" w:type="dxa"/>
            <w:vAlign w:val="bottom"/>
          </w:tcPr>
          <w:p>
            <w:pPr>
              <w:ind w:left="22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(7,656)</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(7,553)</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(23,153)</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(22,659)</w:t>
            </w:r>
          </w:p>
        </w:tc>
        <w:tc>
          <w:tcPr>
            <w:tcW w:w="0" w:type="dxa"/>
            <w:vAlign w:val="bottom"/>
          </w:tcPr>
          <w:p>
            <w:pPr>
              <w:spacing w:after="0"/>
              <w:rPr>
                <w:sz w:val="1"/>
                <w:szCs w:val="1"/>
                <w:color w:val="auto"/>
              </w:rPr>
            </w:pPr>
          </w:p>
        </w:tc>
      </w:tr>
      <w:tr>
        <w:trPr>
          <w:trHeight w:val="223"/>
        </w:trPr>
        <w:tc>
          <w:tcPr>
            <w:tcW w:w="5640" w:type="dxa"/>
            <w:vAlign w:val="bottom"/>
          </w:tcPr>
          <w:p>
            <w:pPr>
              <w:ind w:left="220"/>
              <w:spacing w:after="0"/>
              <w:rPr>
                <w:sz w:val="20"/>
                <w:szCs w:val="20"/>
                <w:color w:val="auto"/>
              </w:rPr>
            </w:pPr>
            <w:r>
              <w:rPr>
                <w:rFonts w:ascii="Arial" w:cs="Arial" w:eastAsia="Arial" w:hAnsi="Arial"/>
                <w:sz w:val="16"/>
                <w:szCs w:val="16"/>
                <w:color w:val="auto"/>
              </w:rPr>
              <w:t>Undistributed (loss) earnings</w:t>
            </w:r>
          </w:p>
        </w:tc>
        <w:tc>
          <w:tcPr>
            <w:tcW w:w="300" w:type="dxa"/>
            <w:vAlign w:val="bottom"/>
          </w:tcPr>
          <w:p>
            <w:pPr>
              <w:spacing w:after="0"/>
              <w:rPr>
                <w:sz w:val="19"/>
                <w:szCs w:val="19"/>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b w:val="1"/>
                <w:bCs w:val="1"/>
                <w:color w:val="auto"/>
              </w:rPr>
              <w:t>(75,141)</w:t>
            </w:r>
          </w:p>
        </w:tc>
        <w:tc>
          <w:tcPr>
            <w:tcW w:w="380" w:type="dxa"/>
            <w:vAlign w:val="bottom"/>
          </w:tcPr>
          <w:p>
            <w:pPr>
              <w:spacing w:after="0"/>
              <w:rPr>
                <w:sz w:val="19"/>
                <w:szCs w:val="19"/>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107,805</w:t>
            </w:r>
          </w:p>
        </w:tc>
        <w:tc>
          <w:tcPr>
            <w:tcW w:w="360" w:type="dxa"/>
            <w:vAlign w:val="bottom"/>
          </w:tcPr>
          <w:p>
            <w:pPr>
              <w:spacing w:after="0"/>
              <w:rPr>
                <w:sz w:val="19"/>
                <w:szCs w:val="19"/>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4,986</w:t>
            </w:r>
          </w:p>
        </w:tc>
        <w:tc>
          <w:tcPr>
            <w:tcW w:w="440" w:type="dxa"/>
            <w:vAlign w:val="bottom"/>
          </w:tcPr>
          <w:p>
            <w:pPr>
              <w:spacing w:after="0"/>
              <w:rPr>
                <w:sz w:val="19"/>
                <w:szCs w:val="19"/>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205,149</w:t>
            </w:r>
          </w:p>
        </w:tc>
        <w:tc>
          <w:tcPr>
            <w:tcW w:w="0" w:type="dxa"/>
            <w:vAlign w:val="bottom"/>
          </w:tcPr>
          <w:p>
            <w:pPr>
              <w:spacing w:after="0"/>
              <w:rPr>
                <w:sz w:val="1"/>
                <w:szCs w:val="1"/>
                <w:color w:val="auto"/>
              </w:rPr>
            </w:pPr>
          </w:p>
        </w:tc>
      </w:tr>
      <w:tr>
        <w:trPr>
          <w:trHeight w:val="236"/>
        </w:trPr>
        <w:tc>
          <w:tcPr>
            <w:tcW w:w="5640" w:type="dxa"/>
            <w:vAlign w:val="bottom"/>
          </w:tcPr>
          <w:p>
            <w:pPr>
              <w:ind w:left="220"/>
              <w:spacing w:after="0" w:line="236" w:lineRule="exact"/>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100.00 %</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99.34 %</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99.40 %</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99.34 %</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41"/>
              <w:spacing w:after="0"/>
              <w:rPr>
                <w:sz w:val="20"/>
                <w:szCs w:val="20"/>
                <w:color w:val="auto"/>
              </w:rPr>
            </w:pPr>
            <w:r>
              <w:rPr>
                <w:rFonts w:ascii="Arial" w:cs="Arial" w:eastAsia="Arial" w:hAnsi="Arial"/>
                <w:sz w:val="16"/>
                <w:szCs w:val="16"/>
                <w:b w:val="1"/>
                <w:bCs w:val="1"/>
                <w:color w:val="auto"/>
              </w:rPr>
              <w:t>(75,141)</w:t>
            </w:r>
          </w:p>
        </w:tc>
        <w:tc>
          <w:tcPr>
            <w:tcW w:w="380" w:type="dxa"/>
            <w:vAlign w:val="bottom"/>
          </w:tcPr>
          <w:p>
            <w:pPr>
              <w:spacing w:after="0"/>
              <w:rPr>
                <w:sz w:val="18"/>
                <w:szCs w:val="18"/>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107,089</w:t>
            </w:r>
          </w:p>
        </w:tc>
        <w:tc>
          <w:tcPr>
            <w:tcW w:w="360" w:type="dxa"/>
            <w:vAlign w:val="bottom"/>
          </w:tcPr>
          <w:p>
            <w:pPr>
              <w:spacing w:after="0"/>
              <w:rPr>
                <w:sz w:val="18"/>
                <w:szCs w:val="18"/>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4,956</w:t>
            </w:r>
          </w:p>
        </w:tc>
        <w:tc>
          <w:tcPr>
            <w:tcW w:w="440" w:type="dxa"/>
            <w:vAlign w:val="bottom"/>
          </w:tcPr>
          <w:p>
            <w:pPr>
              <w:spacing w:after="0"/>
              <w:rPr>
                <w:sz w:val="18"/>
                <w:szCs w:val="18"/>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203,786</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color w:val="auto"/>
              </w:rPr>
              <w:t>Add: Dividends-common stock outstanding</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7,610</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7,503</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23,016</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22,508</w:t>
            </w:r>
          </w:p>
        </w:tc>
        <w:tc>
          <w:tcPr>
            <w:tcW w:w="0" w:type="dxa"/>
            <w:vAlign w:val="bottom"/>
          </w:tcPr>
          <w:p>
            <w:pPr>
              <w:spacing w:after="0"/>
              <w:rPr>
                <w:sz w:val="1"/>
                <w:szCs w:val="1"/>
                <w:color w:val="auto"/>
              </w:rPr>
            </w:pPr>
          </w:p>
        </w:tc>
      </w:tr>
      <w:tr>
        <w:trPr>
          <w:trHeight w:val="227"/>
        </w:trPr>
        <w:tc>
          <w:tcPr>
            <w:tcW w:w="5640" w:type="dxa"/>
            <w:vAlign w:val="bottom"/>
          </w:tcPr>
          <w:p>
            <w:pPr>
              <w:ind w:left="220"/>
              <w:spacing w:after="0"/>
              <w:rPr>
                <w:sz w:val="20"/>
                <w:szCs w:val="20"/>
                <w:color w:val="auto"/>
              </w:rPr>
            </w:pPr>
            <w:r>
              <w:rPr>
                <w:rFonts w:ascii="Arial" w:cs="Arial" w:eastAsia="Arial" w:hAnsi="Arial"/>
                <w:sz w:val="16"/>
                <w:szCs w:val="16"/>
                <w:color w:val="auto"/>
              </w:rPr>
              <w:t>Numerator for basic (loss)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(67,531)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114,592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27,972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226,294</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640" w:type="dxa"/>
            <w:vAlign w:val="bottom"/>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6"/>
        </w:trPr>
        <w:tc>
          <w:tcPr>
            <w:tcW w:w="5640" w:type="dxa"/>
            <w:vAlign w:val="bottom"/>
          </w:tcPr>
          <w:p>
            <w:pPr>
              <w:ind w:left="140"/>
              <w:spacing w:after="0"/>
              <w:rPr>
                <w:sz w:val="20"/>
                <w:szCs w:val="20"/>
                <w:color w:val="auto"/>
              </w:rPr>
            </w:pPr>
            <w:r>
              <w:rPr>
                <w:rFonts w:ascii="Arial" w:cs="Arial" w:eastAsia="Arial" w:hAnsi="Arial"/>
                <w:sz w:val="16"/>
                <w:szCs w:val="16"/>
                <w:color w:val="auto"/>
              </w:rPr>
              <w:t>Numerator for diluted (loss)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(67,531)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114,594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27,972</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226,298</w:t>
            </w:r>
          </w:p>
        </w:tc>
        <w:tc>
          <w:tcPr>
            <w:tcW w:w="0" w:type="dxa"/>
            <w:vAlign w:val="bottom"/>
          </w:tcPr>
          <w:p>
            <w:pPr>
              <w:spacing w:after="0"/>
              <w:rPr>
                <w:sz w:val="1"/>
                <w:szCs w:val="1"/>
                <w:color w:val="auto"/>
              </w:rPr>
            </w:pPr>
          </w:p>
        </w:tc>
      </w:tr>
      <w:tr>
        <w:trPr>
          <w:trHeight w:val="20"/>
        </w:trPr>
        <w:tc>
          <w:tcPr>
            <w:tcW w:w="564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5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140"/>
              <w:spacing w:after="0"/>
              <w:rPr>
                <w:sz w:val="20"/>
                <w:szCs w:val="20"/>
                <w:color w:val="auto"/>
              </w:rPr>
            </w:pPr>
            <w:r>
              <w:rPr>
                <w:rFonts w:ascii="Arial" w:cs="Arial" w:eastAsia="Arial" w:hAnsi="Arial"/>
                <w:sz w:val="16"/>
                <w:szCs w:val="16"/>
                <w:color w:val="auto"/>
              </w:rPr>
              <w:t>Denominator for basic (loss) earnings per share:</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00" w:type="dxa"/>
            <w:vAlign w:val="bottom"/>
          </w:tcPr>
          <w:p>
            <w:pPr>
              <w:spacing w:after="0"/>
              <w:rPr>
                <w:sz w:val="20"/>
                <w:szCs w:val="20"/>
                <w:color w:val="auto"/>
              </w:rPr>
            </w:pPr>
          </w:p>
        </w:tc>
        <w:tc>
          <w:tcPr>
            <w:tcW w:w="1040" w:type="dxa"/>
            <w:vAlign w:val="bottom"/>
          </w:tcPr>
          <w:p>
            <w:pPr>
              <w:jc w:val="right"/>
              <w:ind w:right="181"/>
              <w:spacing w:after="0"/>
              <w:rPr>
                <w:sz w:val="20"/>
                <w:szCs w:val="20"/>
                <w:color w:val="auto"/>
              </w:rPr>
            </w:pPr>
            <w:r>
              <w:rPr>
                <w:rFonts w:ascii="Arial" w:cs="Arial" w:eastAsia="Arial" w:hAnsi="Arial"/>
                <w:sz w:val="16"/>
                <w:szCs w:val="16"/>
                <w:b w:val="1"/>
                <w:bCs w:val="1"/>
                <w:color w:val="auto"/>
              </w:rPr>
              <w:t>4,842</w:t>
            </w:r>
          </w:p>
        </w:tc>
        <w:tc>
          <w:tcPr>
            <w:tcW w:w="380" w:type="dxa"/>
            <w:vAlign w:val="bottom"/>
          </w:tcPr>
          <w:p>
            <w:pPr>
              <w:spacing w:after="0"/>
              <w:rPr>
                <w:sz w:val="20"/>
                <w:szCs w:val="20"/>
                <w:color w:val="auto"/>
              </w:rPr>
            </w:pP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4,968</w:t>
            </w:r>
          </w:p>
        </w:tc>
        <w:tc>
          <w:tcPr>
            <w:tcW w:w="360" w:type="dxa"/>
            <w:vAlign w:val="bottom"/>
          </w:tcPr>
          <w:p>
            <w:pPr>
              <w:spacing w:after="0"/>
              <w:rPr>
                <w:sz w:val="20"/>
                <w:szCs w:val="20"/>
                <w:color w:val="auto"/>
              </w:rPr>
            </w:pPr>
          </w:p>
        </w:tc>
        <w:tc>
          <w:tcPr>
            <w:tcW w:w="1100" w:type="dxa"/>
            <w:vAlign w:val="bottom"/>
          </w:tcPr>
          <w:p>
            <w:pPr>
              <w:jc w:val="right"/>
              <w:ind w:right="181"/>
              <w:spacing w:after="0"/>
              <w:rPr>
                <w:sz w:val="20"/>
                <w:szCs w:val="20"/>
                <w:color w:val="auto"/>
              </w:rPr>
            </w:pPr>
            <w:r>
              <w:rPr>
                <w:rFonts w:ascii="Arial" w:cs="Arial" w:eastAsia="Arial" w:hAnsi="Arial"/>
                <w:sz w:val="16"/>
                <w:szCs w:val="16"/>
                <w:b w:val="1"/>
                <w:bCs w:val="1"/>
                <w:color w:val="auto"/>
              </w:rPr>
              <w:t>4,857</w:t>
            </w:r>
          </w:p>
        </w:tc>
        <w:tc>
          <w:tcPr>
            <w:tcW w:w="440" w:type="dxa"/>
            <w:vAlign w:val="bottom"/>
          </w:tcPr>
          <w:p>
            <w:pPr>
              <w:spacing w:after="0"/>
              <w:rPr>
                <w:sz w:val="20"/>
                <w:szCs w:val="20"/>
                <w:color w:val="auto"/>
              </w:rPr>
            </w:pPr>
          </w:p>
        </w:tc>
        <w:tc>
          <w:tcPr>
            <w:tcW w:w="1000" w:type="dxa"/>
            <w:vAlign w:val="bottom"/>
          </w:tcPr>
          <w:p>
            <w:pPr>
              <w:jc w:val="right"/>
              <w:ind w:right="120"/>
              <w:spacing w:after="0"/>
              <w:rPr>
                <w:sz w:val="20"/>
                <w:szCs w:val="20"/>
                <w:color w:val="auto"/>
              </w:rPr>
            </w:pPr>
            <w:r>
              <w:rPr>
                <w:rFonts w:ascii="Arial" w:cs="Arial" w:eastAsia="Arial" w:hAnsi="Arial"/>
                <w:sz w:val="16"/>
                <w:szCs w:val="16"/>
                <w:color w:val="auto"/>
              </w:rPr>
              <w:t>4,968</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17</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13</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7"/>
        </w:trPr>
        <w:tc>
          <w:tcPr>
            <w:tcW w:w="5640" w:type="dxa"/>
            <w:vAlign w:val="bottom"/>
          </w:tcPr>
          <w:p>
            <w:pPr>
              <w:ind w:left="140"/>
              <w:spacing w:after="0"/>
              <w:rPr>
                <w:sz w:val="20"/>
                <w:szCs w:val="20"/>
                <w:color w:val="auto"/>
              </w:rPr>
            </w:pPr>
            <w:r>
              <w:rPr>
                <w:rFonts w:ascii="Arial" w:cs="Arial" w:eastAsia="Arial" w:hAnsi="Arial"/>
                <w:sz w:val="16"/>
                <w:szCs w:val="16"/>
                <w:color w:val="auto"/>
              </w:rPr>
              <w:t>Denominator for diluted (loss) earnings per share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4,842</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4,985</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4,870</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4,981</w:t>
            </w:r>
          </w:p>
        </w:tc>
        <w:tc>
          <w:tcPr>
            <w:tcW w:w="0" w:type="dxa"/>
            <w:vAlign w:val="bottom"/>
          </w:tcPr>
          <w:p>
            <w:pPr>
              <w:spacing w:after="0"/>
              <w:rPr>
                <w:sz w:val="1"/>
                <w:szCs w:val="1"/>
                <w:color w:val="auto"/>
              </w:rPr>
            </w:pPr>
          </w:p>
        </w:tc>
      </w:tr>
      <w:tr>
        <w:trPr>
          <w:trHeight w:val="21"/>
        </w:trPr>
        <w:tc>
          <w:tcPr>
            <w:tcW w:w="5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640" w:type="dxa"/>
            <w:vAlign w:val="bottom"/>
            <w:vMerge w:val="continue"/>
          </w:tcPr>
          <w:p>
            <w:pPr>
              <w:spacing w:after="0"/>
              <w:rPr>
                <w:sz w:val="18"/>
                <w:szCs w:val="18"/>
                <w:color w:val="auto"/>
              </w:rPr>
            </w:pP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(13.95)</w:t>
            </w:r>
          </w:p>
        </w:tc>
        <w:tc>
          <w:tcPr>
            <w:tcW w:w="38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80"/>
              <w:spacing w:after="0"/>
              <w:rPr>
                <w:sz w:val="20"/>
                <w:szCs w:val="20"/>
                <w:color w:val="auto"/>
              </w:rPr>
            </w:pPr>
            <w:r>
              <w:rPr>
                <w:rFonts w:ascii="Arial" w:cs="Arial" w:eastAsia="Arial" w:hAnsi="Arial"/>
                <w:sz w:val="16"/>
                <w:szCs w:val="16"/>
                <w:color w:val="auto"/>
              </w:rPr>
              <w:t>23.07</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vMerge w:val="restart"/>
          </w:tcPr>
          <w:p>
            <w:pPr>
              <w:jc w:val="right"/>
              <w:ind w:right="181"/>
              <w:spacing w:after="0"/>
              <w:rPr>
                <w:sz w:val="20"/>
                <w:szCs w:val="20"/>
                <w:color w:val="auto"/>
              </w:rPr>
            </w:pPr>
            <w:r>
              <w:rPr>
                <w:rFonts w:ascii="Arial" w:cs="Arial" w:eastAsia="Arial" w:hAnsi="Arial"/>
                <w:sz w:val="16"/>
                <w:szCs w:val="16"/>
                <w:b w:val="1"/>
                <w:bCs w:val="1"/>
                <w:color w:val="auto"/>
              </w:rPr>
              <w:t>5.76</w:t>
            </w:r>
          </w:p>
        </w:tc>
        <w:tc>
          <w:tcPr>
            <w:tcW w:w="440" w:type="dxa"/>
            <w:vAlign w:val="bottom"/>
            <w:vMerge w:val="restart"/>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120"/>
              <w:spacing w:after="0"/>
              <w:rPr>
                <w:sz w:val="20"/>
                <w:szCs w:val="20"/>
                <w:color w:val="auto"/>
              </w:rPr>
            </w:pPr>
            <w:r>
              <w:rPr>
                <w:rFonts w:ascii="Arial" w:cs="Arial" w:eastAsia="Arial" w:hAnsi="Arial"/>
                <w:sz w:val="16"/>
                <w:szCs w:val="16"/>
                <w:color w:val="auto"/>
              </w:rPr>
              <w:t>45.55</w:t>
            </w:r>
          </w:p>
        </w:tc>
        <w:tc>
          <w:tcPr>
            <w:tcW w:w="0" w:type="dxa"/>
            <w:vAlign w:val="bottom"/>
          </w:tcPr>
          <w:p>
            <w:pPr>
              <w:spacing w:after="0"/>
              <w:rPr>
                <w:sz w:val="1"/>
                <w:szCs w:val="1"/>
                <w:color w:val="auto"/>
              </w:rPr>
            </w:pPr>
          </w:p>
        </w:tc>
      </w:tr>
      <w:tr>
        <w:trPr>
          <w:trHeight w:val="242"/>
        </w:trPr>
        <w:tc>
          <w:tcPr>
            <w:tcW w:w="5640" w:type="dxa"/>
            <w:vAlign w:val="bottom"/>
          </w:tcPr>
          <w:p>
            <w:pPr>
              <w:ind w:left="140"/>
              <w:spacing w:after="0"/>
              <w:rPr>
                <w:sz w:val="20"/>
                <w:szCs w:val="20"/>
                <w:color w:val="auto"/>
              </w:rPr>
            </w:pPr>
            <w:r>
              <w:rPr>
                <w:rFonts w:ascii="Arial" w:cs="Arial" w:eastAsia="Arial" w:hAnsi="Arial"/>
                <w:sz w:val="16"/>
                <w:szCs w:val="16"/>
                <w:b w:val="1"/>
                <w:bCs w:val="1"/>
                <w:color w:val="auto"/>
              </w:rPr>
              <w:t>Basic (loss) earnings per share</w:t>
            </w:r>
          </w:p>
        </w:tc>
        <w:tc>
          <w:tcPr>
            <w:tcW w:w="30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140"/>
              <w:spacing w:after="0"/>
              <w:rPr>
                <w:sz w:val="20"/>
                <w:szCs w:val="20"/>
                <w:color w:val="auto"/>
              </w:rPr>
            </w:pPr>
            <w:r>
              <w:rPr>
                <w:rFonts w:ascii="Arial" w:cs="Arial" w:eastAsia="Arial" w:hAnsi="Arial"/>
                <w:sz w:val="16"/>
                <w:szCs w:val="16"/>
                <w:b w:val="1"/>
                <w:bCs w:val="1"/>
                <w:color w:val="auto"/>
              </w:rPr>
              <w:t>Diluted (loss) earnings per share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(13.95)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22.99</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5.74</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45.43</w:t>
            </w:r>
          </w:p>
        </w:tc>
        <w:tc>
          <w:tcPr>
            <w:tcW w:w="0" w:type="dxa"/>
            <w:vAlign w:val="bottom"/>
          </w:tcPr>
          <w:p>
            <w:pPr>
              <w:spacing w:after="0"/>
              <w:rPr>
                <w:sz w:val="1"/>
                <w:szCs w:val="1"/>
                <w:color w:val="auto"/>
              </w:rPr>
            </w:pPr>
          </w:p>
        </w:tc>
      </w:tr>
      <w:tr>
        <w:trPr>
          <w:trHeight w:val="21"/>
        </w:trPr>
        <w:tc>
          <w:tcPr>
            <w:tcW w:w="5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(Loss) earnings per share amounts may not recalculate due to rounding.</w:t>
      </w:r>
    </w:p>
    <w:p>
      <w:pPr>
        <w:spacing w:after="0" w:line="123"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2"/>
          <w:szCs w:val="12"/>
          <w:color w:val="auto"/>
        </w:rPr>
      </w:pPr>
      <w:r>
        <w:rPr>
          <w:rFonts w:ascii="Arial" w:cs="Arial" w:eastAsia="Arial" w:hAnsi="Arial"/>
          <w:sz w:val="12"/>
          <w:szCs w:val="12"/>
          <w:color w:val="auto"/>
        </w:rPr>
        <w:t>Percent of undistributed losses allocated to common stockholders is 100% in the three months ended June 30, 2022 as participating securities are not contractually obligated to share in losses.</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Diluted (loss) earnings per share excludes the following weighted average potential common shares, as the effect would be antidilutive, as computed under the treasury stock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680" w:type="dxa"/>
            <w:vAlign w:val="bottom"/>
            <w:gridSpan w:val="2"/>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2500" w:type="dxa"/>
            <w:vAlign w:val="bottom"/>
            <w:gridSpan w:val="2"/>
          </w:tcPr>
          <w:p>
            <w:pPr>
              <w:jc w:val="right"/>
              <w:ind w:right="64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060" w:type="dxa"/>
            <w:vAlign w:val="bottom"/>
          </w:tcPr>
          <w:p>
            <w:pPr>
              <w:spacing w:after="0"/>
              <w:rPr>
                <w:sz w:val="17"/>
                <w:szCs w:val="17"/>
                <w:color w:val="auto"/>
              </w:rPr>
            </w:pPr>
          </w:p>
        </w:tc>
        <w:tc>
          <w:tcPr>
            <w:tcW w:w="160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r>
      <w:tr>
        <w:trPr>
          <w:trHeight w:val="205"/>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0" w:type="dxa"/>
            <w:vAlign w:val="bottom"/>
            <w:tcBorders>
              <w:bottom w:val="single" w:sz="8" w:color="auto"/>
            </w:tcBorders>
          </w:tcPr>
          <w:p>
            <w:pPr>
              <w:jc w:val="right"/>
              <w:ind w:right="764"/>
              <w:spacing w:after="0"/>
              <w:rPr>
                <w:sz w:val="20"/>
                <w:szCs w:val="20"/>
                <w:color w:val="auto"/>
              </w:rPr>
            </w:pPr>
            <w:r>
              <w:rPr>
                <w:rFonts w:ascii="Arial" w:cs="Arial" w:eastAsia="Arial" w:hAnsi="Arial"/>
                <w:sz w:val="14"/>
                <w:szCs w:val="14"/>
                <w:b w:val="1"/>
                <w:bCs w:val="1"/>
                <w:color w:val="auto"/>
              </w:rPr>
              <w:t>2022</w:t>
            </w:r>
          </w:p>
        </w:tc>
        <w:tc>
          <w:tcPr>
            <w:tcW w:w="1080" w:type="dxa"/>
            <w:vAlign w:val="bottom"/>
            <w:tcBorders>
              <w:bottom w:val="single" w:sz="8" w:color="auto"/>
            </w:tcBorders>
          </w:tcPr>
          <w:p>
            <w:pPr>
              <w:jc w:val="right"/>
              <w:ind w:right="582"/>
              <w:spacing w:after="0"/>
              <w:rPr>
                <w:sz w:val="20"/>
                <w:szCs w:val="20"/>
                <w:color w:val="auto"/>
              </w:rPr>
            </w:pPr>
            <w:r>
              <w:rPr>
                <w:rFonts w:ascii="Arial" w:cs="Arial" w:eastAsia="Arial" w:hAnsi="Arial"/>
                <w:sz w:val="14"/>
                <w:szCs w:val="14"/>
                <w:color w:val="auto"/>
              </w:rPr>
              <w:t>2021</w:t>
            </w:r>
          </w:p>
        </w:tc>
        <w:tc>
          <w:tcPr>
            <w:tcW w:w="158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2022</w:t>
            </w:r>
          </w:p>
        </w:tc>
        <w:tc>
          <w:tcPr>
            <w:tcW w:w="9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r>
      <w:tr>
        <w:trPr>
          <w:trHeight w:val="223"/>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600" w:type="dxa"/>
            <w:vAlign w:val="bottom"/>
          </w:tcPr>
          <w:p>
            <w:pPr>
              <w:jc w:val="right"/>
              <w:ind w:right="404"/>
              <w:spacing w:after="0"/>
              <w:rPr>
                <w:sz w:val="20"/>
                <w:szCs w:val="20"/>
                <w:color w:val="auto"/>
              </w:rPr>
            </w:pPr>
            <w:r>
              <w:rPr>
                <w:rFonts w:ascii="Arial" w:cs="Arial" w:eastAsia="Arial" w:hAnsi="Arial"/>
                <w:sz w:val="16"/>
                <w:szCs w:val="16"/>
                <w:b w:val="1"/>
                <w:bCs w:val="1"/>
                <w:color w:val="auto"/>
              </w:rPr>
              <w:t>17</w:t>
            </w: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13</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17</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10</w:t>
            </w:r>
          </w:p>
        </w:tc>
      </w:tr>
      <w:tr>
        <w:trPr>
          <w:trHeight w:val="229"/>
        </w:trPr>
        <w:tc>
          <w:tcPr>
            <w:tcW w:w="6060" w:type="dxa"/>
            <w:vAlign w:val="bottom"/>
          </w:tcPr>
          <w:p>
            <w:pPr>
              <w:ind w:left="140"/>
              <w:spacing w:after="0"/>
              <w:rPr>
                <w:sz w:val="20"/>
                <w:szCs w:val="20"/>
                <w:color w:val="auto"/>
              </w:rPr>
            </w:pPr>
            <w:r>
              <w:rPr>
                <w:rFonts w:ascii="Arial" w:cs="Arial" w:eastAsia="Arial" w:hAnsi="Arial"/>
                <w:sz w:val="16"/>
                <w:szCs w:val="16"/>
                <w:color w:val="auto"/>
              </w:rPr>
              <w:t>Weighted average stock options</w:t>
            </w:r>
          </w:p>
        </w:tc>
        <w:tc>
          <w:tcPr>
            <w:tcW w:w="1600" w:type="dxa"/>
            <w:vAlign w:val="bottom"/>
          </w:tcPr>
          <w:p>
            <w:pPr>
              <w:jc w:val="right"/>
              <w:ind w:right="404"/>
              <w:spacing w:after="0"/>
              <w:rPr>
                <w:sz w:val="20"/>
                <w:szCs w:val="20"/>
                <w:color w:val="auto"/>
              </w:rPr>
            </w:pPr>
            <w:r>
              <w:rPr>
                <w:rFonts w:ascii="Arial" w:cs="Arial" w:eastAsia="Arial" w:hAnsi="Arial"/>
                <w:sz w:val="16"/>
                <w:szCs w:val="16"/>
                <w:b w:val="1"/>
                <w:bCs w:val="1"/>
                <w:color w:val="auto"/>
              </w:rPr>
              <w:t>13</w:t>
            </w:r>
          </w:p>
        </w:tc>
        <w:tc>
          <w:tcPr>
            <w:tcW w:w="108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44"/>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diluted (loss) earnings per share amounts for the three and six months ended June 30, 2022 and June 30, 2021 exclude the effects of 105,000 and 104,000 stock options and contingently issuable shares outstanding, respectively, as their inclusion would have been antidilutive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due to a market condition.</w:t>
      </w:r>
    </w:p>
    <w:p>
      <w:pPr>
        <w:spacing w:after="0" w:line="140"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In the three and six months ended June 30, 2022, the Company declared regular dividends totaling $1.58 and $4.74 per common share, respectively. In the three and six months ended June 30, 2021, the Company declared regular dividends totaling $1.51 and $4.53 per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common share, respectively.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2021</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4,993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5,877</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11,024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11,479</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7,611</w:t>
            </w:r>
          </w:p>
        </w:tc>
        <w:tc>
          <w:tcPr>
            <w:tcW w:w="4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6,754</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15,281</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13,408</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(41,963)</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(33,702)</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(83,926)</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(68,278)</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709</w:t>
            </w:r>
          </w:p>
        </w:tc>
        <w:tc>
          <w:tcPr>
            <w:tcW w:w="4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712</w:t>
            </w:r>
          </w:p>
        </w:tc>
        <w:tc>
          <w:tcPr>
            <w:tcW w:w="38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1,418</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1,423</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(17,539)</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(1,671)</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(34,768)</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(4,563)</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(46,189)</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(22,030)</w:t>
            </w:r>
          </w:p>
        </w:tc>
        <w:tc>
          <w:tcPr>
            <w:tcW w:w="380" w:type="dxa"/>
            <w:vAlign w:val="bottom"/>
          </w:tcPr>
          <w:p>
            <w:pPr>
              <w:spacing w:after="0"/>
              <w:rPr>
                <w:sz w:val="19"/>
                <w:szCs w:val="19"/>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b w:val="1"/>
                <w:bCs w:val="1"/>
                <w:color w:val="auto"/>
              </w:rPr>
              <w:t>(90,971)</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(46,531)</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1,118</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(46,189)</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(20,912)</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(90,971)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(45,413)</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In the second quarter of 2021, the Company recorded $1.1 million in expenses related to a Separation Incentive Program for certain Dekko employees, which was funded from the assets of the Company’s pension plan.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3"/>
          </w:tcPr>
          <w:p>
            <w:pPr>
              <w:jc w:val="right"/>
              <w:ind w:right="621"/>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2021</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228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256</w:t>
            </w:r>
          </w:p>
        </w:tc>
        <w:tc>
          <w:tcPr>
            <w:tcW w:w="40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456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511</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822</w:t>
            </w:r>
          </w:p>
        </w:tc>
        <w:tc>
          <w:tcPr>
            <w:tcW w:w="4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735</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1,644</w:t>
            </w:r>
          </w:p>
        </w:tc>
        <w:tc>
          <w:tcPr>
            <w:tcW w:w="4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1,471</w:t>
            </w:r>
          </w:p>
        </w:tc>
      </w:tr>
      <w:tr>
        <w:trPr>
          <w:trHeight w:val="230"/>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b w:val="1"/>
                <w:bCs w:val="1"/>
                <w:color w:val="auto"/>
              </w:rPr>
              <w:t>9</w:t>
            </w:r>
          </w:p>
        </w:tc>
        <w:tc>
          <w:tcPr>
            <w:tcW w:w="440" w:type="dxa"/>
            <w:vAlign w:val="bottom"/>
          </w:tcPr>
          <w:p>
            <w:pPr>
              <w:spacing w:after="0"/>
              <w:rPr>
                <w:sz w:val="19"/>
                <w:szCs w:val="19"/>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82</w:t>
            </w:r>
          </w:p>
        </w:tc>
        <w:tc>
          <w:tcPr>
            <w:tcW w:w="400" w:type="dxa"/>
            <w:vAlign w:val="bottom"/>
          </w:tcPr>
          <w:p>
            <w:pPr>
              <w:spacing w:after="0"/>
              <w:rPr>
                <w:sz w:val="19"/>
                <w:szCs w:val="19"/>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b w:val="1"/>
                <w:bCs w:val="1"/>
                <w:color w:val="auto"/>
              </w:rPr>
              <w:t>18</w:t>
            </w:r>
          </w:p>
        </w:tc>
        <w:tc>
          <w:tcPr>
            <w:tcW w:w="44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165</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167</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1,483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333</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2,965</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1,226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2,556</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2,451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5,112</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 U.S. stock index fund, and a relatively small number of stocks and high-quality fixed-income securities that are held by a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trustee. The assets of the Company’s pension plans were allocated as follows:</w:t>
      </w:r>
    </w:p>
    <w:p>
      <w:pPr>
        <w:spacing w:after="0" w:line="203"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As of</w:t>
            </w:r>
          </w:p>
        </w:tc>
      </w:tr>
      <w:tr>
        <w:trPr>
          <w:trHeight w:val="207"/>
        </w:trPr>
        <w:tc>
          <w:tcPr>
            <w:tcW w:w="1160" w:type="dxa"/>
            <w:vAlign w:val="bottom"/>
          </w:tcPr>
          <w:p>
            <w:pPr>
              <w:jc w:val="center"/>
              <w:ind w:left="188"/>
              <w:spacing w:after="0"/>
              <w:rPr>
                <w:sz w:val="20"/>
                <w:szCs w:val="20"/>
                <w:color w:val="auto"/>
              </w:rPr>
            </w:pPr>
            <w:r>
              <w:rPr>
                <w:rFonts w:ascii="Arial" w:cs="Arial" w:eastAsia="Arial" w:hAnsi="Arial"/>
                <w:sz w:val="14"/>
                <w:szCs w:val="14"/>
                <w:b w:val="1"/>
                <w:bCs w:val="1"/>
                <w:color w:val="auto"/>
              </w:rPr>
              <w:t>June 30,</w:t>
            </w:r>
          </w:p>
        </w:tc>
        <w:tc>
          <w:tcPr>
            <w:tcW w:w="1820" w:type="dxa"/>
            <w:vAlign w:val="bottom"/>
          </w:tcPr>
          <w:p>
            <w:pPr>
              <w:jc w:val="center"/>
              <w:ind w:left="288"/>
              <w:spacing w:after="0"/>
              <w:rPr>
                <w:sz w:val="20"/>
                <w:szCs w:val="20"/>
                <w:color w:val="auto"/>
              </w:rPr>
            </w:pPr>
            <w:r>
              <w:rPr>
                <w:rFonts w:ascii="Arial" w:cs="Arial" w:eastAsia="Arial" w:hAnsi="Arial"/>
                <w:sz w:val="14"/>
                <w:szCs w:val="14"/>
                <w:color w:val="auto"/>
              </w:rPr>
              <w:t>December 31,</w:t>
            </w:r>
          </w:p>
        </w:tc>
      </w:tr>
      <w:tr>
        <w:trPr>
          <w:trHeight w:val="196"/>
        </w:trPr>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820" w:type="dxa"/>
            <w:vAlign w:val="bottom"/>
          </w:tcPr>
          <w:p>
            <w:pPr>
              <w:jc w:val="right"/>
              <w:ind w:right="48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63 %</w:t>
      </w:r>
      <w:r>
        <w:rPr>
          <w:sz w:val="20"/>
          <w:szCs w:val="20"/>
          <w:color w:val="auto"/>
        </w:rPr>
        <w:tab/>
      </w:r>
      <w:r>
        <w:rPr>
          <w:rFonts w:ascii="Arial" w:cs="Arial" w:eastAsia="Arial" w:hAnsi="Arial"/>
          <w:sz w:val="15"/>
          <w:szCs w:val="15"/>
          <w:color w:val="auto"/>
        </w:rPr>
        <w:t>61 %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16 %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8 %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8 %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1039" w:right="339" w:bottom="1440" w:gutter="0" w:footer="0" w:header="0"/>
          <w:type w:val="continuous"/>
        </w:sectPr>
      </w:pP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Company manages approximately 40% of the pension assets internally, of which the majority is invested in private investment funds with the remaining investments in Berkshire Hathaway stock, a U.S. stock index fund, and short-term fixed-income securities. The remaining 60%</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of plan assets are managed by two investment companies. The goal of the investment managers is to produce moderate long-term growth in the value of these assets, while protecting them against large decreases in value. Both investment managers may invest in a combination of</w:t>
      </w:r>
    </w:p>
    <w:p>
      <w:pPr>
        <w:spacing w:after="0" w:line="235" w:lineRule="auto"/>
        <w:rPr>
          <w:sz w:val="20"/>
          <w:szCs w:val="20"/>
          <w:color w:val="auto"/>
        </w:rPr>
      </w:pPr>
      <w:r>
        <w:rPr>
          <w:rFonts w:ascii="Arial" w:cs="Arial" w:eastAsia="Arial" w:hAnsi="Arial"/>
          <w:sz w:val="18"/>
          <w:szCs w:val="18"/>
          <w:color w:val="auto"/>
        </w:rPr>
        <w:t>equity and fixed-income securities and cash. The managers are not permitted to invest in securities of the Company or in alternative</w:t>
      </w:r>
    </w:p>
    <w:p>
      <w:pPr>
        <w:ind w:right="520"/>
        <w:spacing w:after="0"/>
        <w:rPr>
          <w:sz w:val="20"/>
          <w:szCs w:val="20"/>
          <w:color w:val="auto"/>
        </w:rPr>
      </w:pPr>
      <w:r>
        <w:rPr>
          <w:rFonts w:ascii="Arial" w:cs="Arial" w:eastAsia="Arial" w:hAnsi="Arial"/>
          <w:sz w:val="17"/>
          <w:szCs w:val="17"/>
          <w:color w:val="auto"/>
        </w:rPr>
        <w:t>investments. One investment manager cannot invest more than 15% of the assets at the time of purchase in the stock of Alphabet and Berkshire Hathaway, and no more than 30% of the assets it manages in specified international exchanges at the time the investment is</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made. The other investment manager cannot invest more than 20% of the assets at the time of purchase in the stock of Berkshire Hathaway, and no more than 15% of the assets it manages in specified international exchanges at the time the investment is made, and no less than</w:t>
      </w:r>
    </w:p>
    <w:p>
      <w:pPr>
        <w:spacing w:after="0" w:line="235" w:lineRule="auto"/>
        <w:rPr>
          <w:sz w:val="20"/>
          <w:szCs w:val="20"/>
          <w:color w:val="auto"/>
        </w:rPr>
      </w:pPr>
      <w:r>
        <w:rPr>
          <w:rFonts w:ascii="Arial" w:cs="Arial" w:eastAsia="Arial" w:hAnsi="Arial"/>
          <w:sz w:val="18"/>
          <w:szCs w:val="18"/>
          <w:color w:val="auto"/>
        </w:rPr>
        <w:t>10% of the assets could be invested in fixed-income securities. Excluding the exceptions noted above, the investment managers cannot</w:t>
      </w:r>
    </w:p>
    <w:p>
      <w:pPr>
        <w:ind w:right="680"/>
        <w:spacing w:after="0" w:line="237" w:lineRule="auto"/>
        <w:rPr>
          <w:sz w:val="20"/>
          <w:szCs w:val="20"/>
          <w:color w:val="auto"/>
        </w:rPr>
      </w:pPr>
      <w:r>
        <w:rPr>
          <w:rFonts w:ascii="Arial" w:cs="Arial" w:eastAsia="Arial" w:hAnsi="Arial"/>
          <w:sz w:val="18"/>
          <w:szCs w:val="18"/>
          <w:color w:val="auto"/>
        </w:rPr>
        <w:t>invest more than 10% of the assets in the securities of any other single issuer, except for obligations of the U.S. Government, without receiving prior approval from the Plan administrator.</w:t>
      </w:r>
    </w:p>
    <w:p>
      <w:pPr>
        <w:spacing w:after="0" w:line="127"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w:t>
      </w:r>
    </w:p>
    <w:p>
      <w:pPr>
        <w:sectPr>
          <w:pgSz w:w="11900" w:h="16838" w:orient="portrait"/>
          <w:cols w:equalWidth="0" w:num="1">
            <w:col w:w="11240"/>
          </w:cols>
          <w:pgMar w:left="320" w:top="1039" w:right="33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0" w:name="page21"/>
    <w:bookmarkEnd w:id="20"/>
    <w:p>
      <w:pPr>
        <w:ind w:right="360"/>
        <w:spacing w:after="0" w:line="271" w:lineRule="auto"/>
        <w:rPr>
          <w:sz w:val="20"/>
          <w:szCs w:val="20"/>
          <w:color w:val="auto"/>
        </w:rPr>
      </w:pPr>
      <w:r>
        <w:rPr>
          <w:rFonts w:ascii="Arial" w:cs="Arial" w:eastAsia="Arial" w:hAnsi="Arial"/>
          <w:sz w:val="18"/>
          <w:szCs w:val="18"/>
          <w:color w:val="auto"/>
        </w:rPr>
        <w:t>indicators of future performance. In addition, the Company may consult with and consider the input of financial and other professionals in developing appropriate return benchmarks.</w:t>
      </w:r>
    </w:p>
    <w:p>
      <w:pPr>
        <w:spacing w:after="0" w:line="86"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2022. Types of concentrations that were evaluated include, but are not limited to,</w:t>
      </w:r>
    </w:p>
    <w:p>
      <w:pPr>
        <w:ind w:right="400"/>
        <w:spacing w:after="0"/>
        <w:rPr>
          <w:sz w:val="20"/>
          <w:szCs w:val="20"/>
          <w:color w:val="auto"/>
        </w:rPr>
      </w:pPr>
      <w:r>
        <w:rPr>
          <w:rFonts w:ascii="Arial" w:cs="Arial" w:eastAsia="Arial" w:hAnsi="Arial"/>
          <w:sz w:val="17"/>
          <w:szCs w:val="17"/>
          <w:color w:val="auto"/>
        </w:rPr>
        <w:t>investment concentrations in a single entity, type of industry, foreign country and individual fund. At June 30, 2022, the pension plan held investments in one common stock and one private investment fund that exceeded 10% of total plan assets, valued at $782.4 million, or</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approximately 31% of total plan assets. At December 31, 2021, the pension plan held investments in one common stock and one private investment fund that exceeded 10% of total plan assets, valued at $998.8 million, or approximately 29% of total plan assets.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benefit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3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56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5"/>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2021</w:t>
            </w:r>
          </w:p>
        </w:tc>
        <w:tc>
          <w:tcPr>
            <w:tcW w:w="5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80" w:type="dxa"/>
            <w:vAlign w:val="bottom"/>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ind w:right="41"/>
              <w:spacing w:after="0"/>
              <w:rPr>
                <w:sz w:val="20"/>
                <w:szCs w:val="20"/>
                <w:color w:val="auto"/>
              </w:rPr>
            </w:pPr>
            <w:r>
              <w:rPr>
                <w:rFonts w:ascii="Arial" w:cs="Arial" w:eastAsia="Arial" w:hAnsi="Arial"/>
                <w:sz w:val="16"/>
                <w:szCs w:val="16"/>
                <w:b w:val="1"/>
                <w:bCs w:val="1"/>
                <w:color w:val="auto"/>
              </w:rPr>
              <w:t>25</w:t>
            </w:r>
          </w:p>
        </w:tc>
        <w:tc>
          <w:tcPr>
            <w:tcW w:w="920" w:type="dxa"/>
            <w:vAlign w:val="bottom"/>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b w:val="1"/>
                <w:bCs w:val="1"/>
                <w:color w:val="auto"/>
              </w:rPr>
              <w:t>49</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46</w:t>
            </w:r>
          </w:p>
        </w:tc>
      </w:tr>
      <w:tr>
        <w:trPr>
          <w:trHeight w:val="229"/>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880" w:type="dxa"/>
            <w:vAlign w:val="bottom"/>
          </w:tcPr>
          <w:p>
            <w:pPr>
              <w:spacing w:after="0"/>
              <w:rPr>
                <w:sz w:val="19"/>
                <w:szCs w:val="19"/>
                <w:color w:val="auto"/>
              </w:rPr>
            </w:pPr>
          </w:p>
        </w:tc>
        <w:tc>
          <w:tcPr>
            <w:tcW w:w="500" w:type="dxa"/>
            <w:vAlign w:val="bottom"/>
          </w:tcPr>
          <w:p>
            <w:pPr>
              <w:jc w:val="right"/>
              <w:ind w:right="1"/>
              <w:spacing w:after="0"/>
              <w:rPr>
                <w:sz w:val="20"/>
                <w:szCs w:val="20"/>
                <w:color w:val="auto"/>
              </w:rPr>
            </w:pPr>
            <w:r>
              <w:rPr>
                <w:rFonts w:ascii="Arial" w:cs="Arial" w:eastAsia="Arial" w:hAnsi="Arial"/>
                <w:sz w:val="16"/>
                <w:szCs w:val="16"/>
                <w:b w:val="1"/>
                <w:bCs w:val="1"/>
                <w:color w:val="auto"/>
              </w:rPr>
              <w:t>(2)</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b w:val="1"/>
                <w:bCs w:val="1"/>
                <w:color w:val="auto"/>
              </w:rPr>
              <w:t>(4)</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(710)</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(1,421)</w:t>
            </w: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(1,755)</w:t>
            </w:r>
          </w:p>
        </w:tc>
      </w:tr>
      <w:tr>
        <w:trPr>
          <w:trHeight w:val="227"/>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(687)</w:t>
            </w:r>
          </w:p>
        </w:tc>
        <w:tc>
          <w:tcPr>
            <w:tcW w:w="920" w:type="dxa"/>
            <w:vAlign w:val="bottom"/>
            <w:tcBorders>
              <w:bottom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(1,376)</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r>
      <w:tr>
        <w:trPr>
          <w:trHeight w:val="21"/>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820" w:type="dxa"/>
            <w:vAlign w:val="bottom"/>
            <w:gridSpan w:val="2"/>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2800" w:type="dxa"/>
            <w:vAlign w:val="bottom"/>
            <w:gridSpan w:val="2"/>
          </w:tcPr>
          <w:p>
            <w:pPr>
              <w:jc w:val="right"/>
              <w:ind w:right="70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1008"/>
              <w:spacing w:after="0"/>
              <w:rPr>
                <w:sz w:val="20"/>
                <w:szCs w:val="20"/>
                <w:color w:val="auto"/>
              </w:rPr>
            </w:pPr>
            <w:r>
              <w:rPr>
                <w:rFonts w:ascii="Arial" w:cs="Arial" w:eastAsia="Arial" w:hAnsi="Arial"/>
                <w:sz w:val="14"/>
                <w:szCs w:val="14"/>
                <w:b w:val="1"/>
                <w:bCs w:val="1"/>
                <w:color w:val="auto"/>
              </w:rPr>
              <w:t>June 30</w:t>
            </w:r>
          </w:p>
        </w:tc>
      </w:tr>
      <w:tr>
        <w:trPr>
          <w:trHeight w:val="196"/>
        </w:trPr>
        <w:tc>
          <w:tcPr>
            <w:tcW w:w="5600" w:type="dxa"/>
            <w:vAlign w:val="bottom"/>
          </w:tcPr>
          <w:p>
            <w:pPr>
              <w:spacing w:after="0"/>
              <w:rPr>
                <w:sz w:val="20"/>
                <w:szCs w:val="20"/>
                <w:color w:val="auto"/>
              </w:rPr>
            </w:pPr>
            <w:r>
              <w:rPr>
                <w:rFonts w:ascii="Arial" w:cs="Arial" w:eastAsia="Arial" w:hAnsi="Arial"/>
                <w:sz w:val="14"/>
                <w:szCs w:val="14"/>
                <w:color w:val="auto"/>
              </w:rPr>
              <w:t>(in thousands)</w:t>
            </w: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840" w:type="dxa"/>
            <w:vAlign w:val="bottom"/>
          </w:tcPr>
          <w:p>
            <w:pPr>
              <w:jc w:val="right"/>
              <w:ind w:right="488"/>
              <w:spacing w:after="0"/>
              <w:rPr>
                <w:sz w:val="20"/>
                <w:szCs w:val="20"/>
                <w:color w:val="auto"/>
              </w:rPr>
            </w:pPr>
            <w:r>
              <w:rPr>
                <w:rFonts w:ascii="Arial" w:cs="Arial" w:eastAsia="Arial" w:hAnsi="Arial"/>
                <w:sz w:val="14"/>
                <w:szCs w:val="14"/>
                <w:color w:val="auto"/>
              </w:rPr>
              <w:t>2021</w:t>
            </w: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780" w:type="dxa"/>
            <w:vAlign w:val="bottom"/>
          </w:tcPr>
          <w:p>
            <w:pPr>
              <w:jc w:val="right"/>
              <w:ind w:right="4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Gain on sale of businesses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Foreign currency (loss) gain, net</w:t>
      </w:r>
    </w:p>
    <w:p>
      <w:pPr>
        <w:spacing w:after="0" w:line="46" w:lineRule="exact"/>
        <w:rPr>
          <w:sz w:val="20"/>
          <w:szCs w:val="20"/>
          <w:color w:val="auto"/>
        </w:rPr>
      </w:pPr>
    </w:p>
    <w:p>
      <w:pPr>
        <w:ind w:left="20" w:right="1480"/>
        <w:spacing w:after="0" w:line="299" w:lineRule="auto"/>
        <w:rPr>
          <w:sz w:val="20"/>
          <w:szCs w:val="20"/>
          <w:color w:val="auto"/>
        </w:rPr>
      </w:pPr>
      <w:r>
        <w:rPr>
          <w:rFonts w:ascii="Arial" w:cs="Arial" w:eastAsia="Arial" w:hAnsi="Arial"/>
          <w:sz w:val="16"/>
          <w:szCs w:val="16"/>
          <w:color w:val="auto"/>
        </w:rPr>
        <w:t>(Loss) gain on sale of cost method investments Gain on sale of investment in affiliate Gain on cost method investments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gain,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Other Non-Operating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753</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644</w:t>
            </w:r>
          </w:p>
        </w:tc>
        <w:tc>
          <w:tcPr>
            <w:tcW w:w="54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1,698</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1,446</w:t>
            </w:r>
          </w:p>
        </w:tc>
      </w:tr>
      <w:tr>
        <w:trPr>
          <w:trHeight w:val="229"/>
        </w:trPr>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(478)</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(1,525)</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30"/>
        </w:trPr>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6,699</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1,024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6,793</w:t>
            </w:r>
          </w:p>
        </w:tc>
      </w:tr>
      <w:tr>
        <w:trPr>
          <w:trHeight w:val="230"/>
        </w:trPr>
        <w:tc>
          <w:tcPr>
            <w:tcW w:w="4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604</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8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7,783</w:t>
            </w:r>
          </w:p>
        </w:tc>
        <w:tc>
          <w:tcPr>
            <w:tcW w:w="5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10,506</w:t>
            </w:r>
          </w:p>
        </w:tc>
      </w:tr>
      <w:tr>
        <w:trPr>
          <w:trHeight w:val="233"/>
        </w:trPr>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952</w:t>
            </w:r>
          </w:p>
        </w:tc>
        <w:tc>
          <w:tcPr>
            <w:tcW w:w="4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2,251</w:t>
            </w: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3,017</w:t>
            </w:r>
          </w:p>
        </w:tc>
      </w:tr>
      <w:tr>
        <w:trPr>
          <w:trHeight w:val="223"/>
        </w:trPr>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1,176</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16,122</w:t>
            </w:r>
          </w:p>
        </w:tc>
        <w:tc>
          <w:tcPr>
            <w:tcW w:w="5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4,052</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22,442</w:t>
            </w:r>
          </w:p>
        </w:tc>
      </w:tr>
      <w:tr>
        <w:trPr>
          <w:trHeight w:val="24"/>
        </w:trPr>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4900" w:space="720"/>
            <w:col w:w="5620"/>
          </w:cols>
          <w:pgMar w:left="320" w:top="931" w:right="339" w:bottom="1440" w:gutter="0" w:footer="0" w:header="0"/>
          <w:type w:val="continuous"/>
        </w:sectPr>
      </w:pPr>
    </w:p>
    <w:p>
      <w:pPr>
        <w:spacing w:after="0" w:line="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gains on cost method investments result from observable price changes in the fair value of the underlying equity securities accounted for under the cost method (see Notes 3 and 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June 30, 2022, the Company recorded contingent consideration gains of $0.8 million and $1.7 million,</w:t>
      </w:r>
    </w:p>
    <w:p>
      <w:pPr>
        <w:spacing w:after="0" w:line="14" w:lineRule="exact"/>
        <w:rPr>
          <w:sz w:val="20"/>
          <w:szCs w:val="20"/>
          <w:color w:val="auto"/>
        </w:rPr>
      </w:pPr>
    </w:p>
    <w:p>
      <w:pPr>
        <w:ind w:right="800"/>
        <w:spacing w:after="0" w:line="237" w:lineRule="auto"/>
        <w:rPr>
          <w:sz w:val="20"/>
          <w:szCs w:val="20"/>
          <w:color w:val="auto"/>
        </w:rPr>
      </w:pPr>
      <w:r>
        <w:rPr>
          <w:rFonts w:ascii="Arial" w:cs="Arial" w:eastAsia="Arial" w:hAnsi="Arial"/>
          <w:sz w:val="18"/>
          <w:szCs w:val="18"/>
          <w:color w:val="auto"/>
        </w:rPr>
        <w:t>respectively, related to the disposition of Kaplan University (KU) in 2018. During the three and six months ended June 30, 2021, the Company recorded contingent consideration gains of $0.6 million and $1.5 million, respectively.</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income consists of the following components: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10"/>
        </w:trPr>
        <w:tc>
          <w:tcPr>
            <w:tcW w:w="4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0"/>
        </w:trPr>
        <w:tc>
          <w:tcPr>
            <w:tcW w:w="4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17"/>
                <w:szCs w:val="17"/>
                <w:color w:val="auto"/>
              </w:rPr>
            </w:pPr>
          </w:p>
        </w:tc>
        <w:tc>
          <w:tcPr>
            <w:tcW w:w="800" w:type="dxa"/>
            <w:vAlign w:val="bottom"/>
          </w:tcPr>
          <w:p>
            <w:pPr>
              <w:jc w:val="center"/>
              <w:ind w:right="162"/>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7"/>
                <w:szCs w:val="17"/>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00" w:type="dxa"/>
            <w:vAlign w:val="bottom"/>
          </w:tcPr>
          <w:p>
            <w:pPr>
              <w:jc w:val="center"/>
              <w:ind w:right="12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17"/>
                <w:szCs w:val="17"/>
                <w:color w:val="auto"/>
              </w:rPr>
            </w:pPr>
          </w:p>
        </w:tc>
        <w:tc>
          <w:tcPr>
            <w:tcW w:w="820" w:type="dxa"/>
            <w:vAlign w:val="bottom"/>
          </w:tcPr>
          <w:p>
            <w:pPr>
              <w:jc w:val="center"/>
              <w:ind w:right="10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7"/>
                <w:szCs w:val="17"/>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color w:val="auto"/>
              </w:rPr>
              <w:t>After-Tax</w:t>
            </w:r>
          </w:p>
        </w:tc>
      </w:tr>
      <w:tr>
        <w:trPr>
          <w:trHeight w:val="22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99"/>
              </w:rPr>
              <w:t>Tax</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w w:val="94"/>
              </w:rPr>
              <w:t>Tax</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478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80" w:type="dxa"/>
            <w:vAlign w:val="bottom"/>
            <w:gridSpan w:val="2"/>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(40,928)</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(40,928)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1,167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1,167</w:t>
            </w:r>
          </w:p>
        </w:tc>
      </w:tr>
      <w:tr>
        <w:trPr>
          <w:trHeight w:val="221"/>
        </w:trPr>
        <w:tc>
          <w:tcPr>
            <w:tcW w:w="478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b w:val="1"/>
                <w:bCs w:val="1"/>
                <w:color w:val="auto"/>
              </w:rPr>
              <w:t>716</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(185)</w:t>
            </w:r>
          </w:p>
        </w:tc>
        <w:tc>
          <w:tcPr>
            <w:tcW w:w="180" w:type="dxa"/>
            <w:vAlign w:val="bottom"/>
          </w:tcPr>
          <w:p>
            <w:pPr>
              <w:spacing w:after="0"/>
              <w:rPr>
                <w:sz w:val="20"/>
                <w:szCs w:val="20"/>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531</w:t>
            </w:r>
          </w:p>
        </w:tc>
        <w:tc>
          <w:tcPr>
            <w:tcW w:w="200" w:type="dxa"/>
            <w:vAlign w:val="bottom"/>
          </w:tcPr>
          <w:p>
            <w:pPr>
              <w:spacing w:after="0"/>
              <w:rPr>
                <w:sz w:val="20"/>
                <w:szCs w:val="20"/>
                <w:color w:val="auto"/>
              </w:rPr>
            </w:pPr>
          </w:p>
        </w:tc>
        <w:tc>
          <w:tcPr>
            <w:tcW w:w="900" w:type="dxa"/>
            <w:vAlign w:val="bottom"/>
          </w:tcPr>
          <w:p>
            <w:pPr>
              <w:jc w:val="right"/>
              <w:ind w:right="61"/>
              <w:spacing w:after="0"/>
              <w:rPr>
                <w:sz w:val="20"/>
                <w:szCs w:val="20"/>
                <w:color w:val="auto"/>
              </w:rPr>
            </w:pPr>
            <w:r>
              <w:rPr>
                <w:rFonts w:ascii="Arial" w:cs="Arial" w:eastAsia="Arial" w:hAnsi="Arial"/>
                <w:sz w:val="16"/>
                <w:szCs w:val="16"/>
                <w:color w:val="auto"/>
              </w:rPr>
              <w:t>792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(214)</w:t>
            </w:r>
          </w:p>
        </w:tc>
        <w:tc>
          <w:tcPr>
            <w:tcW w:w="24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578</w:t>
            </w:r>
          </w:p>
        </w:tc>
      </w:tr>
      <w:tr>
        <w:trPr>
          <w:trHeight w:val="233"/>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(18,082)</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4,660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(13,422)</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(924)</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249</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w:t>
            </w:r>
          </w:p>
        </w:tc>
      </w:tr>
      <w:tr>
        <w:trPr>
          <w:trHeight w:val="220"/>
        </w:trPr>
        <w:tc>
          <w:tcPr>
            <w:tcW w:w="47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(17,366)</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4,475</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(12,891)</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(132)</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14"/>
        </w:trPr>
        <w:tc>
          <w:tcPr>
            <w:tcW w:w="4780" w:type="dxa"/>
            <w:vAlign w:val="bottom"/>
          </w:tcPr>
          <w:p>
            <w:pPr>
              <w:ind w:left="20"/>
              <w:spacing w:after="0"/>
              <w:rPr>
                <w:sz w:val="20"/>
                <w:szCs w:val="20"/>
                <w:color w:val="auto"/>
              </w:rPr>
            </w:pPr>
            <w:r>
              <w:rPr>
                <w:rFonts w:ascii="Arial" w:cs="Arial" w:eastAsia="Arial" w:hAnsi="Arial"/>
                <w:sz w:val="16"/>
                <w:szCs w:val="16"/>
                <w:color w:val="auto"/>
              </w:rPr>
              <w:t>Cash flow hedge: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1"/>
        </w:trPr>
        <w:tc>
          <w:tcPr>
            <w:tcW w:w="4780" w:type="dxa"/>
            <w:vAlign w:val="bottom"/>
          </w:tcPr>
          <w:p>
            <w:pPr>
              <w:ind w:left="140"/>
              <w:spacing w:after="0"/>
              <w:rPr>
                <w:sz w:val="20"/>
                <w:szCs w:val="20"/>
                <w:color w:val="auto"/>
              </w:rPr>
            </w:pPr>
            <w:r>
              <w:rPr>
                <w:rFonts w:ascii="Arial" w:cs="Arial" w:eastAsia="Arial" w:hAnsi="Arial"/>
                <w:sz w:val="16"/>
                <w:szCs w:val="16"/>
                <w:color w:val="auto"/>
              </w:rPr>
              <w:t>Gain for the period</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161"/>
              <w:spacing w:after="0"/>
              <w:rPr>
                <w:sz w:val="20"/>
                <w:szCs w:val="20"/>
                <w:color w:val="auto"/>
              </w:rPr>
            </w:pPr>
            <w:r>
              <w:rPr>
                <w:rFonts w:ascii="Arial" w:cs="Arial" w:eastAsia="Arial" w:hAnsi="Arial"/>
                <w:sz w:val="16"/>
                <w:szCs w:val="16"/>
                <w:b w:val="1"/>
                <w:bCs w:val="1"/>
                <w:color w:val="auto"/>
              </w:rPr>
              <w:t>1,091</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840</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r>
      <w:tr>
        <w:trPr>
          <w:trHeight w:val="227"/>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 Income</w:t>
            </w:r>
          </w:p>
        </w:tc>
        <w:tc>
          <w:tcPr>
            <w:tcW w:w="18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(57,203)</w:t>
            </w:r>
          </w:p>
        </w:tc>
        <w:tc>
          <w:tcPr>
            <w:tcW w:w="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4,224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1,048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1,080</w:t>
            </w:r>
          </w:p>
        </w:tc>
      </w:tr>
      <w:tr>
        <w:trPr>
          <w:trHeight w:val="21"/>
        </w:trPr>
        <w:tc>
          <w:tcPr>
            <w:tcW w:w="4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87"/>
        </w:trPr>
        <w:tc>
          <w:tcPr>
            <w:tcW w:w="4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09"/>
        </w:trPr>
        <w:tc>
          <w:tcPr>
            <w:tcW w:w="4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0"/>
        </w:trPr>
        <w:tc>
          <w:tcPr>
            <w:tcW w:w="4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4"/>
                <w:szCs w:val="14"/>
                <w:b w:val="1"/>
                <w:bCs w:val="1"/>
                <w:color w:val="auto"/>
              </w:rPr>
              <w:t>Before-Tax</w:t>
            </w:r>
          </w:p>
        </w:tc>
        <w:tc>
          <w:tcPr>
            <w:tcW w:w="240" w:type="dxa"/>
            <w:vAlign w:val="bottom"/>
          </w:tcPr>
          <w:p>
            <w:pPr>
              <w:spacing w:after="0"/>
              <w:rPr>
                <w:sz w:val="17"/>
                <w:szCs w:val="17"/>
                <w:color w:val="auto"/>
              </w:rPr>
            </w:pPr>
          </w:p>
        </w:tc>
        <w:tc>
          <w:tcPr>
            <w:tcW w:w="800" w:type="dxa"/>
            <w:vAlign w:val="bottom"/>
          </w:tcPr>
          <w:p>
            <w:pPr>
              <w:jc w:val="right"/>
              <w:ind w:right="162"/>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7"/>
                <w:szCs w:val="17"/>
                <w:color w:val="auto"/>
              </w:rPr>
            </w:pPr>
          </w:p>
        </w:tc>
        <w:tc>
          <w:tcPr>
            <w:tcW w:w="920" w:type="dxa"/>
            <w:vAlign w:val="bottom"/>
          </w:tcPr>
          <w:p>
            <w:pPr>
              <w:jc w:val="center"/>
              <w:ind w:right="62"/>
              <w:spacing w:after="0"/>
              <w:rPr>
                <w:sz w:val="20"/>
                <w:szCs w:val="20"/>
                <w:color w:val="auto"/>
              </w:rPr>
            </w:pPr>
            <w:r>
              <w:rPr>
                <w:rFonts w:ascii="Arial" w:cs="Arial" w:eastAsia="Arial" w:hAnsi="Arial"/>
                <w:sz w:val="14"/>
                <w:szCs w:val="14"/>
                <w:b w:val="1"/>
                <w:bCs w:val="1"/>
                <w:color w:val="auto"/>
              </w:rPr>
              <w:t>After-Tax</w:t>
            </w:r>
          </w:p>
        </w:tc>
        <w:tc>
          <w:tcPr>
            <w:tcW w:w="200" w:type="dxa"/>
            <w:vAlign w:val="bottom"/>
          </w:tcPr>
          <w:p>
            <w:pPr>
              <w:spacing w:after="0"/>
              <w:rPr>
                <w:sz w:val="17"/>
                <w:szCs w:val="17"/>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color w:val="auto"/>
                <w:w w:val="98"/>
              </w:rPr>
              <w:t>Before-Tax</w:t>
            </w:r>
          </w:p>
        </w:tc>
        <w:tc>
          <w:tcPr>
            <w:tcW w:w="220" w:type="dxa"/>
            <w:vAlign w:val="bottom"/>
          </w:tcPr>
          <w:p>
            <w:pPr>
              <w:spacing w:after="0"/>
              <w:rPr>
                <w:sz w:val="17"/>
                <w:szCs w:val="17"/>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7"/>
                <w:szCs w:val="17"/>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After-Tax</w:t>
            </w:r>
          </w:p>
        </w:tc>
      </w:tr>
      <w:tr>
        <w:trPr>
          <w:trHeight w:val="225"/>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Tax</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color w:val="auto"/>
                <w:w w:val="99"/>
              </w:rPr>
              <w:t>Amount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color w:val="auto"/>
              </w:rPr>
              <w:t>Tax</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Amount</w:t>
            </w: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478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center"/>
              <w:ind w:left="181"/>
              <w:spacing w:after="0"/>
              <w:rPr>
                <w:sz w:val="20"/>
                <w:szCs w:val="20"/>
                <w:color w:val="auto"/>
              </w:rPr>
            </w:pPr>
            <w:r>
              <w:rPr>
                <w:rFonts w:ascii="Arial" w:cs="Arial" w:eastAsia="Arial" w:hAnsi="Arial"/>
                <w:sz w:val="16"/>
                <w:szCs w:val="16"/>
                <w:b w:val="1"/>
                <w:bCs w:val="1"/>
                <w:color w:val="auto"/>
              </w:rPr>
              <w:t>(42,666)</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(42,666)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681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681</w:t>
            </w:r>
          </w:p>
        </w:tc>
      </w:tr>
      <w:tr>
        <w:trPr>
          <w:trHeight w:val="222"/>
        </w:trPr>
        <w:tc>
          <w:tcPr>
            <w:tcW w:w="478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8"/>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1,432</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(369)</w:t>
            </w:r>
          </w:p>
        </w:tc>
        <w:tc>
          <w:tcPr>
            <w:tcW w:w="180" w:type="dxa"/>
            <w:vAlign w:val="bottom"/>
          </w:tcPr>
          <w:p>
            <w:pPr>
              <w:spacing w:after="0"/>
              <w:rPr>
                <w:sz w:val="20"/>
                <w:szCs w:val="20"/>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b w:val="1"/>
                <w:bCs w:val="1"/>
                <w:color w:val="auto"/>
              </w:rPr>
              <w:t>1,063</w:t>
            </w:r>
          </w:p>
        </w:tc>
        <w:tc>
          <w:tcPr>
            <w:tcW w:w="20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1,584</w:t>
            </w:r>
          </w:p>
        </w:tc>
        <w:tc>
          <w:tcPr>
            <w:tcW w:w="22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(427)</w:t>
            </w:r>
          </w:p>
        </w:tc>
        <w:tc>
          <w:tcPr>
            <w:tcW w:w="240" w:type="dxa"/>
            <w:vAlign w:val="bottom"/>
          </w:tcPr>
          <w:p>
            <w:pPr>
              <w:spacing w:after="0"/>
              <w:rPr>
                <w:sz w:val="20"/>
                <w:szCs w:val="20"/>
                <w:color w:val="auto"/>
              </w:rPr>
            </w:pPr>
          </w:p>
        </w:tc>
        <w:tc>
          <w:tcPr>
            <w:tcW w:w="820" w:type="dxa"/>
            <w:vAlign w:val="bottom"/>
          </w:tcPr>
          <w:p>
            <w:pPr>
              <w:jc w:val="right"/>
              <w:ind w:right="1"/>
              <w:spacing w:after="0"/>
              <w:rPr>
                <w:sz w:val="20"/>
                <w:szCs w:val="20"/>
                <w:color w:val="auto"/>
              </w:rPr>
            </w:pPr>
            <w:r>
              <w:rPr>
                <w:rFonts w:ascii="Arial" w:cs="Arial" w:eastAsia="Arial" w:hAnsi="Arial"/>
                <w:sz w:val="16"/>
                <w:szCs w:val="16"/>
                <w:color w:val="auto"/>
              </w:rPr>
              <w:t>1,157</w:t>
            </w:r>
          </w:p>
        </w:tc>
      </w:tr>
      <w:tr>
        <w:trPr>
          <w:trHeight w:val="233"/>
        </w:trPr>
        <w:tc>
          <w:tcPr>
            <w:tcW w:w="478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b w:val="1"/>
                <w:bCs w:val="1"/>
                <w:color w:val="auto"/>
              </w:rPr>
              <w:t>(35,856)</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9,241</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(26,615)</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(3,353)</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905</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(2,448)</w:t>
            </w:r>
          </w:p>
        </w:tc>
      </w:tr>
      <w:tr>
        <w:trPr>
          <w:trHeight w:val="220"/>
        </w:trPr>
        <w:tc>
          <w:tcPr>
            <w:tcW w:w="4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b w:val="1"/>
                <w:bCs w:val="1"/>
                <w:color w:val="auto"/>
              </w:rPr>
              <w:t>(34,424)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8,872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(25,552)</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(1,769)</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478</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r>
      <w:tr>
        <w:trPr>
          <w:trHeight w:val="214"/>
        </w:trPr>
        <w:tc>
          <w:tcPr>
            <w:tcW w:w="4780" w:type="dxa"/>
            <w:vAlign w:val="bottom"/>
          </w:tcPr>
          <w:p>
            <w:pPr>
              <w:ind w:left="20"/>
              <w:spacing w:after="0"/>
              <w:rPr>
                <w:sz w:val="20"/>
                <w:szCs w:val="20"/>
                <w:color w:val="auto"/>
              </w:rPr>
            </w:pPr>
            <w:r>
              <w:rPr>
                <w:rFonts w:ascii="Arial" w:cs="Arial" w:eastAsia="Arial" w:hAnsi="Arial"/>
                <w:sz w:val="16"/>
                <w:szCs w:val="16"/>
                <w:color w:val="auto"/>
              </w:rPr>
              <w:t>Cash flow hedge: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41"/>
        </w:trPr>
        <w:tc>
          <w:tcPr>
            <w:tcW w:w="4780" w:type="dxa"/>
            <w:vAlign w:val="bottom"/>
          </w:tcPr>
          <w:p>
            <w:pPr>
              <w:ind w:left="140"/>
              <w:spacing w:after="0"/>
              <w:rPr>
                <w:sz w:val="20"/>
                <w:szCs w:val="20"/>
                <w:color w:val="auto"/>
              </w:rPr>
            </w:pPr>
            <w:r>
              <w:rPr>
                <w:rFonts w:ascii="Arial" w:cs="Arial" w:eastAsia="Arial" w:hAnsi="Arial"/>
                <w:sz w:val="16"/>
                <w:szCs w:val="16"/>
                <w:color w:val="auto"/>
              </w:rPr>
              <w:t>Gain for the period</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2,733</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(629)</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2,104</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634</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(147)</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487</w:t>
            </w:r>
          </w:p>
        </w:tc>
      </w:tr>
      <w:tr>
        <w:trPr>
          <w:trHeight w:val="227"/>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center"/>
              <w:ind w:left="181"/>
              <w:spacing w:after="0"/>
              <w:rPr>
                <w:sz w:val="20"/>
                <w:szCs w:val="20"/>
                <w:color w:val="auto"/>
              </w:rPr>
            </w:pPr>
            <w:r>
              <w:rPr>
                <w:rFonts w:ascii="Arial" w:cs="Arial" w:eastAsia="Arial" w:hAnsi="Arial"/>
                <w:sz w:val="16"/>
                <w:szCs w:val="16"/>
                <w:b w:val="1"/>
                <w:bCs w:val="1"/>
                <w:color w:val="auto"/>
              </w:rPr>
              <w:t>(74,357)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8,243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0"/>
        </w:trPr>
        <w:tc>
          <w:tcPr>
            <w:tcW w:w="4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Hedge</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(6,298)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979,157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(1,471)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971,388</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(42,666)</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1,769</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(40,897)</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(25,552)</w:t>
            </w:r>
          </w:p>
        </w:tc>
        <w:tc>
          <w:tcPr>
            <w:tcW w:w="160" w:type="dxa"/>
            <w:vAlign w:val="bottom"/>
          </w:tcPr>
          <w:p>
            <w:pPr>
              <w:spacing w:after="0"/>
              <w:rPr>
                <w:sz w:val="15"/>
                <w:szCs w:val="1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335</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(25,217)</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net of tax</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(42,666)</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(25,552)</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2,104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(66,114)</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(48,964)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953,605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633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905,274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Six Months Ended</w:t>
            </w:r>
          </w:p>
        </w:tc>
        <w:tc>
          <w:tcPr>
            <w:tcW w:w="2940" w:type="dxa"/>
            <w:vAlign w:val="bottom"/>
          </w:tcPr>
          <w:p>
            <w:pPr>
              <w:spacing w:after="0"/>
              <w:rPr>
                <w:sz w:val="14"/>
                <w:szCs w:val="14"/>
                <w:color w:val="auto"/>
              </w:rPr>
            </w:pPr>
          </w:p>
        </w:tc>
      </w:tr>
      <w:tr>
        <w:trPr>
          <w:trHeight w:val="205"/>
        </w:trPr>
        <w:tc>
          <w:tcPr>
            <w:tcW w:w="390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June 30</w:t>
            </w:r>
          </w:p>
        </w:tc>
        <w:tc>
          <w:tcPr>
            <w:tcW w:w="2940" w:type="dxa"/>
            <w:vAlign w:val="bottom"/>
          </w:tcPr>
          <w:p>
            <w:pPr>
              <w:jc w:val="center"/>
              <w:ind w:left="148"/>
              <w:spacing w:after="0"/>
              <w:rPr>
                <w:sz w:val="20"/>
                <w:szCs w:val="20"/>
                <w:color w:val="auto"/>
              </w:rPr>
            </w:pPr>
            <w:r>
              <w:rPr>
                <w:rFonts w:ascii="Arial" w:cs="Arial" w:eastAsia="Arial" w:hAnsi="Arial"/>
                <w:sz w:val="14"/>
                <w:szCs w:val="14"/>
                <w:b w:val="1"/>
                <w:bCs w:val="1"/>
                <w:color w:val="auto"/>
              </w:rPr>
              <w:t>Affected Line Item in the Condensed</w:t>
            </w:r>
          </w:p>
        </w:tc>
      </w:tr>
      <w:tr>
        <w:trPr>
          <w:trHeight w:val="200"/>
        </w:trPr>
        <w:tc>
          <w:tcPr>
            <w:tcW w:w="3900" w:type="dxa"/>
            <w:vAlign w:val="bottom"/>
          </w:tcPr>
          <w:p>
            <w:pPr>
              <w:spacing w:after="0"/>
              <w:rPr>
                <w:sz w:val="20"/>
                <w:szCs w:val="20"/>
                <w:color w:val="auto"/>
              </w:rPr>
            </w:pPr>
            <w:r>
              <w:rPr>
                <w:rFonts w:ascii="Arial" w:cs="Arial" w:eastAsia="Arial" w:hAnsi="Arial"/>
                <w:sz w:val="14"/>
                <w:szCs w:val="14"/>
                <w:color w:val="auto"/>
              </w:rPr>
              <w:t>(in thousands)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2021</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2022</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2021</w:t>
            </w:r>
          </w:p>
        </w:tc>
        <w:tc>
          <w:tcPr>
            <w:tcW w:w="2940" w:type="dxa"/>
            <w:vAlign w:val="bottom"/>
          </w:tcPr>
          <w:p>
            <w:pPr>
              <w:jc w:val="center"/>
              <w:ind w:left="168"/>
              <w:spacing w:after="0"/>
              <w:rPr>
                <w:sz w:val="20"/>
                <w:szCs w:val="20"/>
                <w:color w:val="auto"/>
              </w:rPr>
            </w:pPr>
            <w:r>
              <w:rPr>
                <w:rFonts w:ascii="Arial" w:cs="Arial" w:eastAsia="Arial" w:hAnsi="Arial"/>
                <w:sz w:val="14"/>
                <w:szCs w:val="14"/>
                <w:b w:val="1"/>
                <w:bCs w:val="1"/>
                <w:color w:val="auto"/>
              </w:rPr>
              <w:t>Consolidated Statements of Operations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716</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1,432</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1,584</w:t>
            </w:r>
          </w:p>
        </w:tc>
        <w:tc>
          <w:tcPr>
            <w:tcW w:w="30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392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(18,082)</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(35,856)</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(3,353)</w:t>
            </w:r>
          </w:p>
        </w:tc>
        <w:tc>
          <w:tcPr>
            <w:tcW w:w="30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(17,366)</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(34,424)</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(1,769)</w:t>
            </w:r>
          </w:p>
        </w:tc>
        <w:tc>
          <w:tcPr>
            <w:tcW w:w="306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3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4,475</w:t>
            </w:r>
          </w:p>
        </w:tc>
        <w:tc>
          <w:tcPr>
            <w:tcW w:w="4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8,872</w:t>
            </w: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3060" w:type="dxa"/>
            <w:vAlign w:val="bottom"/>
          </w:tcPr>
          <w:p>
            <w:pPr>
              <w:ind w:left="120"/>
              <w:spacing w:after="0"/>
              <w:rPr>
                <w:sz w:val="20"/>
                <w:szCs w:val="20"/>
                <w:color w:val="auto"/>
              </w:rPr>
            </w:pPr>
            <w:r>
              <w:rPr>
                <w:rFonts w:ascii="Arial" w:cs="Arial" w:eastAsia="Arial" w:hAnsi="Arial"/>
                <w:sz w:val="14"/>
                <w:szCs w:val="14"/>
                <w:color w:val="auto"/>
              </w:rPr>
              <w:t>(Benefit from) Provision for Income Taxes</w:t>
            </w:r>
          </w:p>
        </w:tc>
        <w:tc>
          <w:tcPr>
            <w:tcW w:w="0" w:type="dxa"/>
            <w:vAlign w:val="bottom"/>
          </w:tcPr>
          <w:p>
            <w:pPr>
              <w:spacing w:after="0"/>
              <w:rPr>
                <w:sz w:val="1"/>
                <w:szCs w:val="1"/>
                <w:color w:val="auto"/>
              </w:rPr>
            </w:pPr>
          </w:p>
        </w:tc>
      </w:tr>
      <w:tr>
        <w:trPr>
          <w:trHeight w:val="220"/>
        </w:trPr>
        <w:tc>
          <w:tcPr>
            <w:tcW w:w="3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(12,891)</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(25,552)</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w:t>
            </w:r>
          </w:p>
        </w:tc>
        <w:tc>
          <w:tcPr>
            <w:tcW w:w="30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6"/>
        </w:trPr>
        <w:tc>
          <w:tcPr>
            <w:tcW w:w="3920" w:type="dxa"/>
            <w:vAlign w:val="bottom"/>
          </w:tcPr>
          <w:p>
            <w:pPr>
              <w:ind w:left="40"/>
              <w:spacing w:after="0"/>
              <w:rPr>
                <w:sz w:val="20"/>
                <w:szCs w:val="20"/>
                <w:color w:val="auto"/>
              </w:rPr>
            </w:pPr>
            <w:r>
              <w:rPr>
                <w:rFonts w:ascii="Arial" w:cs="Arial" w:eastAsia="Arial" w:hAnsi="Arial"/>
                <w:sz w:val="16"/>
                <w:szCs w:val="16"/>
                <w:color w:val="auto"/>
              </w:rPr>
              <w:t>Cash Flow Hedge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151</w:t>
            </w: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335</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30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(12,740)</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(25,217)</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w:t>
            </w:r>
          </w:p>
        </w:tc>
        <w:tc>
          <w:tcPr>
            <w:tcW w:w="30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392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9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120" w:hanging="412"/>
        <w:spacing w:after="0" w:line="264" w:lineRule="auto"/>
        <w:tabs>
          <w:tab w:leader="none" w:pos="348"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p>
    <w:p>
      <w:pPr>
        <w:spacing w:after="0" w:line="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w:t>
      </w:r>
    </w:p>
    <w:p>
      <w:pPr>
        <w:spacing w:after="0" w:line="236" w:lineRule="auto"/>
        <w:rPr>
          <w:sz w:val="20"/>
          <w:szCs w:val="20"/>
          <w:color w:val="auto"/>
        </w:rPr>
      </w:pPr>
      <w:r>
        <w:rPr>
          <w:rFonts w:ascii="Arial" w:cs="Arial" w:eastAsia="Arial" w:hAnsi="Arial"/>
          <w:sz w:val="18"/>
          <w:szCs w:val="18"/>
          <w:color w:val="auto"/>
        </w:rPr>
        <w:t>applicable wage and hour laws; and statutory or common law claims involving current and former students and employees. Although the</w:t>
      </w:r>
    </w:p>
    <w:p>
      <w:pPr>
        <w:spacing w:after="0" w:line="1" w:lineRule="exact"/>
        <w:rPr>
          <w:sz w:val="20"/>
          <w:szCs w:val="20"/>
          <w:color w:val="auto"/>
        </w:rPr>
      </w:pPr>
    </w:p>
    <w:p>
      <w:pPr>
        <w:ind w:right="80"/>
        <w:spacing w:after="0"/>
        <w:rPr>
          <w:sz w:val="20"/>
          <w:szCs w:val="20"/>
          <w:color w:val="auto"/>
        </w:rPr>
      </w:pPr>
      <w:r>
        <w:rPr>
          <w:rFonts w:ascii="Arial" w:cs="Arial" w:eastAsia="Arial" w:hAnsi="Arial"/>
          <w:sz w:val="17"/>
          <w:szCs w:val="17"/>
          <w:color w:val="auto"/>
        </w:rPr>
        <w:t>outcomes of the legal claims and proceedings against the Company cannot be predicted with certainty, based on currently available information, management believes that there are no existing claims or proceedings that are likely to have a material effect on the Company’s</w:t>
      </w:r>
    </w:p>
    <w:p>
      <w:pPr>
        <w:spacing w:after="0" w:line="235" w:lineRule="auto"/>
        <w:rPr>
          <w:sz w:val="20"/>
          <w:szCs w:val="20"/>
          <w:color w:val="auto"/>
        </w:rPr>
      </w:pPr>
      <w:r>
        <w:rPr>
          <w:rFonts w:ascii="Arial" w:cs="Arial" w:eastAsia="Arial" w:hAnsi="Arial"/>
          <w:sz w:val="18"/>
          <w:szCs w:val="18"/>
          <w:color w:val="auto"/>
        </w:rPr>
        <w:t>business, financial condition, results of operations or cash flows. However, based on currently available information, management believes it</w:t>
      </w:r>
    </w:p>
    <w:p>
      <w:pPr>
        <w:ind w:right="500"/>
        <w:spacing w:after="0" w:line="237" w:lineRule="auto"/>
        <w:rPr>
          <w:sz w:val="20"/>
          <w:szCs w:val="20"/>
          <w:color w:val="auto"/>
        </w:rPr>
      </w:pPr>
      <w:r>
        <w:rPr>
          <w:rFonts w:ascii="Arial" w:cs="Arial" w:eastAsia="Arial" w:hAnsi="Arial"/>
          <w:sz w:val="18"/>
          <w:szCs w:val="18"/>
          <w:color w:val="auto"/>
        </w:rPr>
        <w:t>is reasonably possible that future losses from existing and threatened legal, regulatory and other proceedings in excess of the amounts recorded could reach approximately $15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2015, Kaplan sold substantially all of the assets of the KHE Campuses (KHEC) business to Education Corporation of America. In 2018,</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certain subsidiaries of Kaplan contributed the institutional assets and operations of KU to a new university: an Indiana nonprofit, public-benefit corporation affiliated with Purdue University, known as Purdue University Global. Kaplan could be held liable to the current owners of</w:t>
      </w:r>
    </w:p>
    <w:p>
      <w:pPr>
        <w:spacing w:after="0" w:line="235" w:lineRule="auto"/>
        <w:rPr>
          <w:sz w:val="20"/>
          <w:szCs w:val="20"/>
          <w:color w:val="auto"/>
        </w:rPr>
      </w:pPr>
      <w:r>
        <w:rPr>
          <w:rFonts w:ascii="Arial" w:cs="Arial" w:eastAsia="Arial" w:hAnsi="Arial"/>
          <w:sz w:val="18"/>
          <w:szCs w:val="18"/>
          <w:color w:val="auto"/>
        </w:rPr>
        <w:t>KU and the KHEC schools related to the pre-sale conduct of the schools, and the pre-sale conduct of the schools has been and could be the</w:t>
      </w:r>
    </w:p>
    <w:p>
      <w:pPr>
        <w:spacing w:after="0" w:line="226" w:lineRule="auto"/>
        <w:rPr>
          <w:sz w:val="20"/>
          <w:szCs w:val="20"/>
          <w:color w:val="auto"/>
        </w:rPr>
      </w:pPr>
      <w:r>
        <w:rPr>
          <w:rFonts w:ascii="Arial" w:cs="Arial" w:eastAsia="Arial" w:hAnsi="Arial"/>
          <w:sz w:val="18"/>
          <w:szCs w:val="18"/>
          <w:color w:val="auto"/>
        </w:rPr>
        <w:t>subject of future compliance reviews, regulatory proceedings or lawsuits that could result in monetary liabilities or fines or other sanctions. On May 6, 2021, Kaplan received a notice from the Department of Education (ED) that it would be conducting a fact-finding process pursuant to</w:t>
      </w:r>
    </w:p>
    <w:p>
      <w:pPr>
        <w:spacing w:after="0" w:line="236" w:lineRule="auto"/>
        <w:rPr>
          <w:sz w:val="20"/>
          <w:szCs w:val="20"/>
          <w:color w:val="auto"/>
        </w:rPr>
      </w:pPr>
      <w:r>
        <w:rPr>
          <w:rFonts w:ascii="Arial" w:cs="Arial" w:eastAsia="Arial" w:hAnsi="Arial"/>
          <w:sz w:val="18"/>
          <w:szCs w:val="18"/>
          <w:color w:val="auto"/>
        </w:rPr>
        <w:t>the borrower defense to repayment (BDTR) regulations to determine the validity of more than 800 BDTR claims and a request for documents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related to several of Kaplan’s previously owned schools. Beginning in July 2021, Kaplan started receiving the claims and related information requests. In total, Kaplan received 1,449 borrower defense applications that seek discharge of approximately $35 million in loans (excluding</w:t>
      </w:r>
    </w:p>
    <w:p>
      <w:pPr>
        <w:spacing w:after="0" w:line="236" w:lineRule="auto"/>
        <w:rPr>
          <w:sz w:val="20"/>
          <w:szCs w:val="20"/>
          <w:color w:val="auto"/>
        </w:rPr>
      </w:pPr>
      <w:r>
        <w:rPr>
          <w:rFonts w:ascii="Arial" w:cs="Arial" w:eastAsia="Arial" w:hAnsi="Arial"/>
          <w:sz w:val="18"/>
          <w:szCs w:val="18"/>
          <w:color w:val="auto"/>
        </w:rPr>
        <w:t>interest). Most claims received are from former KU students. The ED’s process for adjudicating these claims is subject to the borrower</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defense regulations but it is not clear to what extent the ED will exclude claims based on the underlying statutes of limitations, evidence provided by Kaplan, or any prior investigation related to schools attended by the student applicants.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On June 22, 2022, the ED filed a joint motion for approval of a settlement agreement in </w:t>
      </w:r>
      <w:r>
        <w:rPr>
          <w:rFonts w:ascii="Arial" w:cs="Arial" w:eastAsia="Arial" w:hAnsi="Arial"/>
          <w:sz w:val="18"/>
          <w:szCs w:val="18"/>
          <w:i w:val="1"/>
          <w:iCs w:val="1"/>
          <w:color w:val="auto"/>
        </w:rPr>
        <w:t>Sweet, et al. vs. Cardona</w:t>
      </w:r>
      <w:r>
        <w:rPr>
          <w:rFonts w:ascii="Arial" w:cs="Arial" w:eastAsia="Arial" w:hAnsi="Arial"/>
          <w:sz w:val="18"/>
          <w:szCs w:val="18"/>
          <w:color w:val="auto"/>
        </w:rPr>
        <w:t>, a case pending in the</w:t>
      </w:r>
    </w:p>
    <w:p>
      <w:pPr>
        <w:spacing w:after="0" w:line="14" w:lineRule="exact"/>
        <w:rPr>
          <w:sz w:val="20"/>
          <w:szCs w:val="20"/>
          <w:color w:val="auto"/>
        </w:rPr>
      </w:pPr>
    </w:p>
    <w:p>
      <w:pPr>
        <w:ind w:right="240"/>
        <w:spacing w:after="0"/>
        <w:rPr>
          <w:sz w:val="20"/>
          <w:szCs w:val="20"/>
          <w:color w:val="auto"/>
        </w:rPr>
      </w:pPr>
      <w:r>
        <w:rPr>
          <w:rFonts w:ascii="Arial" w:cs="Arial" w:eastAsia="Arial" w:hAnsi="Arial"/>
          <w:sz w:val="17"/>
          <w:szCs w:val="17"/>
          <w:color w:val="auto"/>
        </w:rPr>
        <w:t>United States District Court for the Northern District of California. Kaplan is not a party to this case. This case was brought in 2019 by a purported class of borrowers demanding that the ED adjudicate all pending borrower defense claims. The settlement proposes that the ED</w:t>
      </w:r>
    </w:p>
    <w:p>
      <w:pPr>
        <w:spacing w:after="0" w:line="235" w:lineRule="auto"/>
        <w:rPr>
          <w:sz w:val="20"/>
          <w:szCs w:val="20"/>
          <w:color w:val="auto"/>
        </w:rPr>
      </w:pPr>
      <w:r>
        <w:rPr>
          <w:rFonts w:ascii="Arial" w:cs="Arial" w:eastAsia="Arial" w:hAnsi="Arial"/>
          <w:sz w:val="18"/>
          <w:szCs w:val="18"/>
          <w:color w:val="auto"/>
        </w:rPr>
        <w:t>will discharge the loans for students who borrowed to attend any school on a specified list. The list includes approximately 150 schools,</w:t>
      </w:r>
    </w:p>
    <w:p>
      <w:pPr>
        <w:ind w:right="100"/>
        <w:spacing w:after="0"/>
        <w:rPr>
          <w:sz w:val="20"/>
          <w:szCs w:val="20"/>
          <w:color w:val="auto"/>
        </w:rPr>
      </w:pPr>
      <w:r>
        <w:rPr>
          <w:rFonts w:ascii="Arial" w:cs="Arial" w:eastAsia="Arial" w:hAnsi="Arial"/>
          <w:sz w:val="17"/>
          <w:szCs w:val="17"/>
          <w:color w:val="auto"/>
        </w:rPr>
        <w:t>including Bauder College, Mount Washington College, Kaplan Career Institute and Kaplan College, as well as Purdue University Global (encompassing the former Kaplan University). This proposed settlement would cover all claims to which Kaplan has previously responded to</w:t>
      </w:r>
    </w:p>
    <w:p>
      <w:pPr>
        <w:spacing w:after="0" w:line="235" w:lineRule="auto"/>
        <w:rPr>
          <w:sz w:val="20"/>
          <w:szCs w:val="20"/>
          <w:color w:val="auto"/>
        </w:rPr>
      </w:pPr>
      <w:r>
        <w:rPr>
          <w:rFonts w:ascii="Arial" w:cs="Arial" w:eastAsia="Arial" w:hAnsi="Arial"/>
          <w:sz w:val="18"/>
          <w:szCs w:val="18"/>
          <w:color w:val="auto"/>
        </w:rPr>
        <w:t>the ED and may also include new claims for which Kaplan has not received any information or which may still be filed prior to any final</w:t>
      </w:r>
    </w:p>
    <w:p>
      <w:pPr>
        <w:ind w:right="200"/>
        <w:spacing w:after="0" w:line="226" w:lineRule="auto"/>
        <w:rPr>
          <w:sz w:val="20"/>
          <w:szCs w:val="20"/>
          <w:color w:val="auto"/>
        </w:rPr>
      </w:pPr>
      <w:r>
        <w:rPr>
          <w:rFonts w:ascii="Arial" w:cs="Arial" w:eastAsia="Arial" w:hAnsi="Arial"/>
          <w:sz w:val="18"/>
          <w:szCs w:val="18"/>
          <w:color w:val="auto"/>
        </w:rPr>
        <w:t>approval of the settlement by the court. ED has clarified that while attendance at one of the listed schools justifies presumptive relief for the borrowers, inclusion on the list is not a finding of misconduct by the school and does not provide an evidentiary basis upon which ED could</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rely to take action against any of the schools. In its July 25, 2022 filing, the ED stated that the proposed settlement in Sweet “creates no independent basis for action against the schools” and “any concrete consequences on the schools – financial or otherwise—could be</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imposed only after the ED initiates a separate, future proceeding...” The proposed settlement agreement will not be effective unless and until it achieves final court approval; a hearing on the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preliminary settlement approval is scheduled for later in August 2022. In the event the settlement is approved, the ED will likely be required to</w:t>
      </w:r>
    </w:p>
    <w:p>
      <w:pPr>
        <w:spacing w:after="0" w:line="14" w:lineRule="exact"/>
        <w:rPr>
          <w:sz w:val="20"/>
          <w:szCs w:val="20"/>
          <w:color w:val="auto"/>
        </w:rPr>
      </w:pPr>
    </w:p>
    <w:p>
      <w:pPr>
        <w:ind w:right="880"/>
        <w:spacing w:after="0" w:line="237" w:lineRule="auto"/>
        <w:rPr>
          <w:sz w:val="20"/>
          <w:szCs w:val="20"/>
          <w:color w:val="auto"/>
        </w:rPr>
      </w:pPr>
      <w:r>
        <w:rPr>
          <w:rFonts w:ascii="Arial" w:cs="Arial" w:eastAsia="Arial" w:hAnsi="Arial"/>
          <w:sz w:val="18"/>
          <w:szCs w:val="18"/>
          <w:color w:val="auto"/>
        </w:rPr>
        <w:t>separately fully adjudicate the borrowers’ claims under the borrower defense rules process if it wishes to ultimately apply liability to institutions and seek recoupment of discharged amounts.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any such process Kaplan believes it has defenses that would bar any student discharge or school liability including that the claims are</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barred by the applicable statute of limitations, unproven, incomplete and fail to meet regulatory filing requirements. Kaplan will vigorously defend any attempt by the ED to hold Kaplan liable for any ultimate student discharges and is responding to all claims with documentary and</w:t>
      </w:r>
    </w:p>
    <w:p>
      <w:pPr>
        <w:spacing w:after="0" w:line="236" w:lineRule="auto"/>
        <w:rPr>
          <w:sz w:val="20"/>
          <w:szCs w:val="20"/>
          <w:color w:val="auto"/>
        </w:rPr>
      </w:pPr>
      <w:r>
        <w:rPr>
          <w:rFonts w:ascii="Arial" w:cs="Arial" w:eastAsia="Arial" w:hAnsi="Arial"/>
          <w:sz w:val="18"/>
          <w:szCs w:val="18"/>
          <w:color w:val="auto"/>
        </w:rPr>
        <w:t>narrative evidence to refute the allegations, demonstrate their lack of merit, and support the denial of all such claims by the ED. If the ED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grants borrower claims through the BTDR process, the ED may seek reimbursement for the amount discharged from Kaplan. If the ED were to initiate a recoupment action against Kaplan, and that action successfully overcame Kaplan’s defenses, Kaplan could be subject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liability.</w:t>
      </w:r>
    </w:p>
    <w:p>
      <w:pPr>
        <w:spacing w:after="0" w:line="14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On July 6, 2022 the ED released the draft Borrower Defense to Repayment rule for comment with the intention of publishing a final rule by November 1, 2022 with an effective date of July 1, 2023. Compared to the previous rule, this new rule in part, would expand actions that can</w:t>
      </w:r>
    </w:p>
    <w:p>
      <w:pPr>
        <w:spacing w:after="0" w:line="235" w:lineRule="auto"/>
        <w:rPr>
          <w:sz w:val="20"/>
          <w:szCs w:val="20"/>
          <w:color w:val="auto"/>
        </w:rPr>
      </w:pPr>
      <w:r>
        <w:rPr>
          <w:rFonts w:ascii="Arial" w:cs="Arial" w:eastAsia="Arial" w:hAnsi="Arial"/>
          <w:sz w:val="18"/>
          <w:szCs w:val="18"/>
          <w:color w:val="auto"/>
        </w:rPr>
        <w:t>give rise to claims for discharge; provides that the borrower’s claim will be presumed true if the institution does not provide any responsive</w:t>
      </w:r>
    </w:p>
    <w:p>
      <w:pPr>
        <w:ind w:right="660"/>
        <w:spacing w:after="0" w:line="226" w:lineRule="auto"/>
        <w:rPr>
          <w:sz w:val="20"/>
          <w:szCs w:val="20"/>
          <w:color w:val="auto"/>
        </w:rPr>
      </w:pPr>
      <w:r>
        <w:rPr>
          <w:rFonts w:ascii="Arial" w:cs="Arial" w:eastAsia="Arial" w:hAnsi="Arial"/>
          <w:sz w:val="18"/>
          <w:szCs w:val="18"/>
          <w:color w:val="auto"/>
        </w:rPr>
        <w:t>evidence; provides an easier process for group claims; and relies on current program review penalty hearing processes for discharge recoupment. Under the proposed rule, the recoupment process applies only to loans first disbursed after July 1, 2023; however,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discharge process and standards apply to any pending application regardless of loan date.</w:t>
      </w:r>
    </w:p>
    <w:p>
      <w:pPr>
        <w:spacing w:after="0" w:line="140"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In August 2018, Purdue University Global received an updated Provisional Program Participation Agreement (PPPA) from the ED which is necessary for continued participation in the federal Title IV programs after the change in ownership from Kaplan to Purdue. The PPPA</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expired on June 30, 2021 but was extended to June 30, 2022. Purdue Global submitted its renewed application for recertification in March 2022 which is pending review. The PPPA remains in effect as it is automatically extended on a month to month basis until the ED takes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action to approve a full Program Participation Agreement.</w:t>
      </w:r>
    </w:p>
    <w:p>
      <w:pPr>
        <w:spacing w:after="0" w:line="14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 marketing diploma programs on both a full and part-time basis due to noncompliance with minimum entry level requirements for admission</w:t>
      </w:r>
    </w:p>
    <w:p>
      <w:pPr>
        <w:spacing w:after="0" w:line="235" w:lineRule="auto"/>
        <w:rPr>
          <w:sz w:val="20"/>
          <w:szCs w:val="20"/>
          <w:color w:val="auto"/>
        </w:rPr>
      </w:pPr>
      <w:r>
        <w:rPr>
          <w:rFonts w:ascii="Arial" w:cs="Arial" w:eastAsia="Arial" w:hAnsi="Arial"/>
          <w:sz w:val="18"/>
          <w:szCs w:val="18"/>
          <w:color w:val="auto"/>
        </w:rPr>
        <w:t>and to teach out existing students in these programs. On August 23, 2021, the CPE issued the same instructions with respect to the Kaplan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Foundation diploma and four information technology diploma programs on both a full and part-time basis. In November 2021, the CPE issued the same instructions with respect to a further 23 full-time or part-time diploma programs. Post regulatory action, Kaplan Singapore was still</w:t>
      </w:r>
    </w:p>
    <w:p>
      <w:pPr>
        <w:spacing w:after="0" w:line="236" w:lineRule="auto"/>
        <w:rPr>
          <w:sz w:val="20"/>
          <w:szCs w:val="20"/>
          <w:color w:val="auto"/>
        </w:rPr>
      </w:pPr>
      <w:r>
        <w:rPr>
          <w:rFonts w:ascii="Arial" w:cs="Arial" w:eastAsia="Arial" w:hAnsi="Arial"/>
          <w:sz w:val="18"/>
          <w:szCs w:val="18"/>
          <w:color w:val="auto"/>
        </w:rPr>
        <w:t>able to offer 449 programs that remained registered with the CPE, out of which there were 16 diplomas, 361 bachelors and the balance of</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which were certificate and postgraduate courses. In April 2022, Kaplan Singapore applied for re-registration for certain of the diploma programs and in July 2022 received approval from the CPE. In May 2022, CPE also renewed Kaplan Singapore’s registrations as a private</w:t>
      </w:r>
    </w:p>
    <w:p>
      <w:pPr>
        <w:spacing w:after="0" w:line="235" w:lineRule="auto"/>
        <w:rPr>
          <w:sz w:val="20"/>
          <w:szCs w:val="20"/>
          <w:color w:val="auto"/>
        </w:rPr>
      </w:pPr>
      <w:r>
        <w:rPr>
          <w:rFonts w:ascii="Arial" w:cs="Arial" w:eastAsia="Arial" w:hAnsi="Arial"/>
          <w:sz w:val="18"/>
          <w:szCs w:val="18"/>
          <w:color w:val="auto"/>
        </w:rPr>
        <w:t>education institution for a four year period expiring in 2026. While the regulatory actions by the CPE in 2021 will have a significant adverse</w:t>
      </w:r>
    </w:p>
    <w:p>
      <w:pPr>
        <w:ind w:right="180"/>
        <w:spacing w:after="0" w:line="237" w:lineRule="auto"/>
        <w:rPr>
          <w:sz w:val="20"/>
          <w:szCs w:val="20"/>
          <w:color w:val="auto"/>
        </w:rPr>
      </w:pPr>
      <w:r>
        <w:rPr>
          <w:rFonts w:ascii="Arial" w:cs="Arial" w:eastAsia="Arial" w:hAnsi="Arial"/>
          <w:sz w:val="18"/>
          <w:szCs w:val="18"/>
          <w:color w:val="auto"/>
        </w:rPr>
        <w:t>impact on Kaplan Singapore’s revenues, operating results and cash flows in the future, the impact is expected to be mitigated as a result of the recently approved registrations of certain impacted programs.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28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Six months ended</w:t>
            </w:r>
          </w:p>
        </w:tc>
      </w:tr>
      <w:tr>
        <w:trPr>
          <w:trHeight w:val="225"/>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353,013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339,984</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711,025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669,301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122,386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119,966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245,805</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233,591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127,062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141,123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243,002</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257,083</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76,385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54,696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143,640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104,739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147,602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90,273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298,569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158,000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107,326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55,626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206,943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91,938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(472)</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(961)</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933,302</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801,152</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1,848,023</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1,513,607</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22,769</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19,221</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47,327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43,369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41,042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36,964</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82,300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71,301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9,666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19,038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24,804</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34,932</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7,250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9,375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14,538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17,296</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7,365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3,785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14,443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4,309</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(23,031)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(18,565)</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(50,461)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(37,781)</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(10,844)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(23,851)</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(29,350)</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54,217</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55,248</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109,100</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104,076</w:t>
            </w: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4,064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6,073</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8,210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11,285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1,361</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2,720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2,720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5,164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6,610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10,327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13,597</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988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780</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1,917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3,313</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2,833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6,627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14,889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17,657</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29,801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32,641</w:t>
            </w:r>
          </w:p>
        </w:tc>
      </w:tr>
      <w:tr>
        <w:trPr>
          <w:trHeight w:val="208"/>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18,705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13,148</w:t>
            </w:r>
          </w:p>
        </w:tc>
        <w:tc>
          <w:tcPr>
            <w:tcW w:w="32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39,117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32,084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39,682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35,603</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79,580</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68,581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4,502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12,428</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14,477</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21,335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6,262</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8,595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12,621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15,735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7,365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3,785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14,443</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4,309</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(26,344)</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(21,398)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(57,088)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(41,259)</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(10,844)</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(23,851)</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(29,350)</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39,328</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37,591</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79,299</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71,435</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1,427</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1,776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4,031</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15,204</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(15,277)</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(5,477)</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(25,979)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(13,035)</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50,871</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25,216</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101,376</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54,003</w:t>
            </w:r>
          </w:p>
        </w:tc>
      </w:tr>
      <w:tr>
        <w:trPr>
          <w:trHeight w:val="23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(Loss) Gain on Marketable Equity Securities,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(165,540)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83,698</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(118,628)</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162,912</w:t>
            </w:r>
          </w:p>
        </w:tc>
      </w:tr>
      <w:tr>
        <w:trPr>
          <w:trHeight w:val="23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1,176</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16,122</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4,052</w:t>
            </w: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22,442</w:t>
            </w: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(88,015)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158,926</w:t>
            </w:r>
          </w:p>
        </w:tc>
        <w:tc>
          <w:tcPr>
            <w:tcW w:w="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44,151</w:t>
            </w:r>
          </w:p>
        </w:tc>
        <w:tc>
          <w:tcPr>
            <w:tcW w:w="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312,961</w:t>
            </w:r>
          </w:p>
        </w:tc>
      </w:tr>
      <w:tr>
        <w:trPr>
          <w:trHeight w:val="21"/>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7"/>
                <w:szCs w:val="17"/>
                <w:color w:val="auto"/>
              </w:rPr>
            </w:pPr>
          </w:p>
        </w:tc>
        <w:tc>
          <w:tcPr>
            <w:tcW w:w="2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Six months ended</w:t>
            </w:r>
          </w:p>
        </w:tc>
      </w:tr>
      <w:tr>
        <w:trPr>
          <w:trHeight w:val="225"/>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color w:val="auto"/>
              </w:rPr>
              <w:t>2021</w:t>
            </w:r>
          </w:p>
        </w:tc>
      </w:tr>
      <w:tr>
        <w:trPr>
          <w:trHeight w:val="40"/>
        </w:trPr>
        <w:tc>
          <w:tcPr>
            <w:tcW w:w="6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8,531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7,482</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17,036</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15,262</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3,085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6,374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7,016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2,323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4,751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4,944</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455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865</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648</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752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1,529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4,114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8,029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3,929</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153</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304</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19,413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38,888</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33,145</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1,931</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2,398</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4,467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4,681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856</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1,782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1,791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224</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552</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93</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279</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5</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11</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477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b w:val="1"/>
                <w:bCs w:val="1"/>
                <w:color w:val="auto"/>
              </w:rPr>
              <w:t>997</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1,407</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2,936</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3,230</w:t>
            </w:r>
          </w:p>
        </w:tc>
      </w:tr>
      <w:tr>
        <w:trPr>
          <w:trHeight w:val="236"/>
        </w:trPr>
        <w:tc>
          <w:tcPr>
            <w:tcW w:w="606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4,993</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5,877</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11,024</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11,479</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1,824,482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2,026,782</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429,070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448,627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500,918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486,304</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217,190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194,823</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268,156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238,200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623,159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689,872</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112,979</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68,962</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3,975,954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4,153,570</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648,604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40" w:type="dxa"/>
            <w:vAlign w:val="bottom"/>
          </w:tcPr>
          <w:p>
            <w:pPr>
              <w:spacing w:after="0"/>
              <w:rPr>
                <w:sz w:val="19"/>
                <w:szCs w:val="19"/>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172,612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155,444</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2,364,135</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2,306,514</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7,161,305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3"/>
          </w:tcPr>
          <w:p>
            <w:pPr>
              <w:jc w:val="right"/>
              <w:ind w:right="51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26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Six months ended</w:t>
            </w:r>
          </w:p>
        </w:tc>
      </w:tr>
      <w:tr>
        <w:trPr>
          <w:trHeight w:val="225"/>
        </w:trPr>
        <w:tc>
          <w:tcPr>
            <w:tcW w:w="6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9"/>
                <w:szCs w:val="19"/>
                <w:color w:val="auto"/>
              </w:rPr>
            </w:pPr>
          </w:p>
        </w:tc>
      </w:tr>
      <w:tr>
        <w:trPr>
          <w:trHeight w:val="210"/>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color w:val="auto"/>
              </w:rPr>
              <w:t>2021</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2021</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200,871</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181,276</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405,384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353,171</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72,975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78,740</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148,783</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154,426</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77,546</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77,911</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153,850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157,566</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4,454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3,615</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8,799</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6,978</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353,013</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339,984</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711,025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669,301</w:t>
            </w:r>
          </w:p>
        </w:tc>
      </w:tr>
      <w:tr>
        <w:trPr>
          <w:trHeight w:val="161"/>
        </w:trPr>
        <w:tc>
          <w:tcPr>
            <w:tcW w:w="60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19,063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14,077</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39,627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24,284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2,704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2,374</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7,741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8,627</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4,829</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8,813</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8,200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21,310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(3,771)</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(6,042)</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(8,204)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(10,949)</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22,769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19,221</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47,327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43,369</w:t>
            </w: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4,064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3,914</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8,210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8,079</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2,159</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3,206</w:t>
            </w: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19,063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14,077</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39,627</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24,284</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2,704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2,374</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7,741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8,627</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4,829</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8,813</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8,200</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21,310</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(7,835)</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(12,115)</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(16,414)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(22,234)</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18,705</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13,148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39,117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32,084</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5,794</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4,835</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11,549</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10,087</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1,064</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873</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2,084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1,725</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1,578</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1,670</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3,217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3,246</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186</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20"/>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8,531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7,482</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17,036</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15,262</w:t>
            </w:r>
          </w:p>
        </w:tc>
      </w:tr>
      <w:tr>
        <w:trPr>
          <w:trHeight w:val="22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63</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30"/>
        </w:trPr>
        <w:tc>
          <w:tcPr>
            <w:tcW w:w="60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820</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1,137</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1,901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2,220</w:t>
            </w:r>
          </w:p>
        </w:tc>
      </w:tr>
      <w:tr>
        <w:trPr>
          <w:trHeight w:val="229"/>
        </w:trPr>
        <w:tc>
          <w:tcPr>
            <w:tcW w:w="60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8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895</w:t>
            </w:r>
          </w:p>
        </w:tc>
        <w:tc>
          <w:tcPr>
            <w:tcW w:w="3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976</w:t>
            </w:r>
          </w:p>
        </w:tc>
        <w:tc>
          <w:tcPr>
            <w:tcW w:w="34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2,077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1,907</w:t>
            </w:r>
          </w:p>
        </w:tc>
      </w:tr>
      <w:tr>
        <w:trPr>
          <w:trHeight w:val="233"/>
        </w:trPr>
        <w:tc>
          <w:tcPr>
            <w:tcW w:w="60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153</w:t>
            </w: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208</w:t>
            </w: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354</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w:t>
            </w:r>
          </w:p>
        </w:tc>
      </w:tr>
      <w:tr>
        <w:trPr>
          <w:trHeight w:val="223"/>
        </w:trPr>
        <w:tc>
          <w:tcPr>
            <w:tcW w:w="606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1,931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2,398</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4,467</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4,681</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11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1,320,183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1,493,868</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177,954</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187,789</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4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268,054</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286,877</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58,291</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58,248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1,824,482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2,026,782</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ind w:right="700"/>
        <w:spacing w:after="0" w:line="256" w:lineRule="auto"/>
        <w:rPr>
          <w:sz w:val="20"/>
          <w:szCs w:val="20"/>
          <w:color w:val="auto"/>
        </w:rPr>
      </w:pPr>
      <w:r>
        <w:rPr>
          <w:rFonts w:ascii="Arial" w:cs="Arial" w:eastAsia="Arial" w:hAnsi="Arial"/>
          <w:sz w:val="18"/>
          <w:szCs w:val="18"/>
          <w:color w:val="auto"/>
        </w:rPr>
        <w:t>The Company reported a net loss attributable to common shares of $67.5 million ($13.95 per share) for the second quarter of 2022, compared to income of $115.4 million ($22.99 per share) for the second quarter of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loss for the second quarter of 2022:</w:t>
      </w:r>
    </w:p>
    <w:p>
      <w:pPr>
        <w:spacing w:after="0" w:line="131" w:lineRule="exact"/>
        <w:rPr>
          <w:sz w:val="20"/>
          <w:szCs w:val="20"/>
          <w:color w:val="auto"/>
        </w:rPr>
      </w:pPr>
    </w:p>
    <w:p>
      <w:pPr>
        <w:ind w:left="180" w:right="100" w:hanging="172"/>
        <w:spacing w:after="0" w:line="271"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$3.2 million, or $0.66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$165.5 million in net losses on marketable equity securities (after-tax impact of $122.4 million, or $25.05 per share);</w:t>
      </w:r>
    </w:p>
    <w:p>
      <w:pPr>
        <w:spacing w:after="0" w:line="157" w:lineRule="exact"/>
        <w:rPr>
          <w:rFonts w:ascii="Arial" w:cs="Arial" w:eastAsia="Arial" w:hAnsi="Arial"/>
          <w:sz w:val="18"/>
          <w:szCs w:val="18"/>
          <w:color w:val="auto"/>
        </w:rPr>
      </w:pPr>
    </w:p>
    <w:p>
      <w:pPr>
        <w:ind w:left="180" w:right="300" w:hanging="172"/>
        <w:spacing w:after="0" w:line="271"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$0.4 million in net losses of affiliates whose operations are not managed by the Company (after-tax impact of $0.3 million, or $0.07 per share); and</w:t>
      </w:r>
    </w:p>
    <w:p>
      <w:pPr>
        <w:spacing w:after="0" w:line="86" w:lineRule="exact"/>
        <w:rPr>
          <w:rFonts w:ascii="Arial" w:cs="Arial" w:eastAsia="Arial" w:hAnsi="Arial"/>
          <w:sz w:val="18"/>
          <w:szCs w:val="18"/>
          <w:color w:val="auto"/>
        </w:rPr>
      </w:pPr>
    </w:p>
    <w:p>
      <w:pPr>
        <w:ind w:left="180" w:right="460" w:hanging="172"/>
        <w:spacing w:after="0" w:line="271"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$8.0 million in interest expense to adjust the fair value of the mandatorily redeemable noncontrolling interest (after-tax impact of $7.6 million, or $1.56 per share).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second quarter of 2021:</w:t>
      </w:r>
    </w:p>
    <w:p>
      <w:pPr>
        <w:spacing w:after="0" w:line="14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$2.6 million net credit related to a fair value change in contingent consideration from a prior acquisition at Corporate ($0.52 per share);</w:t>
      </w:r>
    </w:p>
    <w:p>
      <w:pPr>
        <w:spacing w:after="0" w:line="130"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$3.4 million in long-lived asset impairment charges (after-tax impact of $2.6 million, or $0.51 per share);</w:t>
      </w:r>
    </w:p>
    <w:p>
      <w:pPr>
        <w:spacing w:after="0" w:line="157" w:lineRule="exact"/>
        <w:rPr>
          <w:rFonts w:ascii="Arial" w:cs="Arial" w:eastAsia="Arial" w:hAnsi="Arial"/>
          <w:sz w:val="18"/>
          <w:szCs w:val="18"/>
          <w:color w:val="auto"/>
        </w:rPr>
      </w:pPr>
    </w:p>
    <w:p>
      <w:pPr>
        <w:ind w:left="180" w:right="100" w:hanging="172"/>
        <w:spacing w:after="0" w:line="256"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Separation Incentive Program (SIP) at manufacturing (after-tax impact of $0.8 million, or $0.16 per share);</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$83.7 million in net gains on marketable equity securities (after-tax impact of $60.9 million, or $12.18 per share);</w:t>
      </w:r>
    </w:p>
    <w:p>
      <w:pPr>
        <w:spacing w:after="0" w:line="157" w:lineRule="exact"/>
        <w:rPr>
          <w:rFonts w:ascii="Arial" w:cs="Arial" w:eastAsia="Arial" w:hAnsi="Arial"/>
          <w:sz w:val="18"/>
          <w:szCs w:val="18"/>
          <w:color w:val="auto"/>
        </w:rPr>
      </w:pPr>
    </w:p>
    <w:p>
      <w:pPr>
        <w:ind w:left="180" w:right="300" w:hanging="172"/>
        <w:spacing w:after="0" w:line="256"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 million in net losses of affiliates whose operations are not managed by the Company (after-tax impact of $1.0 million, or $0.21 per share);</w:t>
      </w:r>
    </w:p>
    <w:p>
      <w:pPr>
        <w:spacing w:after="0" w:line="111" w:lineRule="exact"/>
        <w:rPr>
          <w:rFonts w:ascii="Arial" w:cs="Arial" w:eastAsia="Arial" w:hAnsi="Arial"/>
          <w:sz w:val="18"/>
          <w:szCs w:val="18"/>
          <w:color w:val="auto"/>
        </w:rPr>
      </w:pPr>
    </w:p>
    <w:p>
      <w:pPr>
        <w:ind w:left="180" w:right="20" w:hanging="172"/>
        <w:spacing w:after="0" w:line="271"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net non-operating gain of $14.5 million from the sale and write-up of cost method investments (after-tax impact of $10.7 million, or $2.13 per share); and</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million in interest income to adjust the fair value of the mandatorily redeemable noncontrolling interest ($0.19 per share).</w:t>
      </w:r>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Revenue for the second quarter of 2022 was $933.3 million, up 16% from $801.2 million in the second quarter of 2021. Revenues increased at education, television broadcasting, healthcare, automotive and other businesses, partially offset by a decline at manufacturing. The</w:t>
      </w:r>
    </w:p>
    <w:p>
      <w:pPr>
        <w:spacing w:after="0" w:line="235" w:lineRule="auto"/>
        <w:rPr>
          <w:sz w:val="20"/>
          <w:szCs w:val="20"/>
          <w:color w:val="auto"/>
        </w:rPr>
      </w:pPr>
      <w:r>
        <w:rPr>
          <w:rFonts w:ascii="Arial" w:cs="Arial" w:eastAsia="Arial" w:hAnsi="Arial"/>
          <w:sz w:val="18"/>
          <w:szCs w:val="18"/>
          <w:color w:val="auto"/>
        </w:rPr>
        <w:t>Company reported operating income of $39.3 million for the second quarter of 2022, compared to $37.6 million for the second quarter of</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2021. Operating results increased at education, television broadcasting and automotive, offset by declines at manufacturing, healthcare and other businesses.</w:t>
      </w:r>
    </w:p>
    <w:p>
      <w:pPr>
        <w:spacing w:after="0" w:line="113"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For the first six months of 2022, the Company reported net income attributable to common shares of $28.1 million ($5.74 per share), compared to $227.8 million ($45.43 per share) for the first six months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six months of 2022:</w:t>
      </w:r>
    </w:p>
    <w:p>
      <w:pPr>
        <w:spacing w:after="0" w:line="131" w:lineRule="exact"/>
        <w:rPr>
          <w:sz w:val="20"/>
          <w:szCs w:val="20"/>
          <w:color w:val="auto"/>
        </w:rPr>
      </w:pPr>
    </w:p>
    <w:p>
      <w:pPr>
        <w:ind w:left="180" w:right="100" w:hanging="172"/>
        <w:spacing w:after="0" w:line="271"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$3.2 million net credit related to a fair value change in contingent consideration from a prior acquisition at Corporate (after-tax impact of $3.1 million, or $0.64 per share);</w:t>
      </w:r>
    </w:p>
    <w:p>
      <w:pPr>
        <w:spacing w:after="0" w:line="72"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$118.6 million in net losses on marketable equity securities (after-tax impact of $87.7 million, or $17.90 per share);</w:t>
      </w:r>
    </w:p>
    <w:p>
      <w:pPr>
        <w:spacing w:after="0" w:line="144" w:lineRule="exact"/>
        <w:rPr>
          <w:rFonts w:ascii="Arial" w:cs="Arial" w:eastAsia="Arial" w:hAnsi="Arial"/>
          <w:sz w:val="18"/>
          <w:szCs w:val="18"/>
          <w:color w:val="auto"/>
        </w:rPr>
      </w:pPr>
    </w:p>
    <w:p>
      <w:pPr>
        <w:ind w:left="180" w:right="30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$0.1 million in net losses of affiliates whose operations are not managed by the Company (after-tax impact of $0.1 million, or $0.01 per share);</w:t>
      </w:r>
    </w:p>
    <w:p>
      <w:pPr>
        <w:spacing w:after="0" w:line="111"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Non-operating gain of $1.7 million from sales of an equity method and cost method investment (after-tax impact of $1.3 million, or $0.26 per share); and</w:t>
      </w:r>
    </w:p>
    <w:p>
      <w:pPr>
        <w:spacing w:after="0" w:line="98" w:lineRule="exact"/>
        <w:rPr>
          <w:rFonts w:ascii="Arial" w:cs="Arial" w:eastAsia="Arial" w:hAnsi="Arial"/>
          <w:sz w:val="18"/>
          <w:szCs w:val="18"/>
          <w:color w:val="auto"/>
        </w:rPr>
      </w:pPr>
    </w:p>
    <w:p>
      <w:pPr>
        <w:ind w:left="180" w:right="260" w:hanging="172"/>
        <w:spacing w:after="0" w:line="256"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$11.4 million in interest expense to adjust the fair value of the mandatorily redeemable noncontrolling interest (after-tax impact of $10.9 million, or $2.23 per share).</w:t>
      </w: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Items included in the Company’s net income for the first six months of 2021:</w:t>
      </w:r>
    </w:p>
    <w:p>
      <w:pPr>
        <w:spacing w:after="0" w:line="158" w:lineRule="exact"/>
        <w:rPr>
          <w:sz w:val="20"/>
          <w:szCs w:val="20"/>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$2.2 million net credit related to a fair value change in contingent consideration from a prior acquisition at Corporate ($0.44 per share);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 million in long-lived asset impairment charges (after-tax impact of $2.6 million, or $0.51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 million in expenses related to a non-operating SIP at manufacturing (after-tax impact of $0.8 million, or $0.16 per share);</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$162.9 million in net gains on marketable equity securities (after-tax impact of $118.5 million, or $23.64 per share);</w:t>
      </w:r>
    </w:p>
    <w:p>
      <w:pPr>
        <w:spacing w:after="0" w:line="144" w:lineRule="exact"/>
        <w:rPr>
          <w:rFonts w:ascii="Arial" w:cs="Arial" w:eastAsia="Arial" w:hAnsi="Arial"/>
          <w:sz w:val="18"/>
          <w:szCs w:val="18"/>
          <w:color w:val="auto"/>
        </w:rPr>
      </w:pPr>
    </w:p>
    <w:p>
      <w:pPr>
        <w:ind w:left="180" w:right="200" w:hanging="172"/>
        <w:spacing w:after="0" w:line="271"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$8.9 million in net earnings of affiliates whose operations are not managed by the Company (after-tax impact of $6.5 million, or $1.29 per share);</w:t>
      </w:r>
    </w:p>
    <w:p>
      <w:pPr>
        <w:spacing w:after="0" w:line="99" w:lineRule="exact"/>
        <w:rPr>
          <w:rFonts w:ascii="Arial" w:cs="Arial" w:eastAsia="Arial" w:hAnsi="Arial"/>
          <w:sz w:val="18"/>
          <w:szCs w:val="18"/>
          <w:color w:val="auto"/>
        </w:rPr>
      </w:pPr>
    </w:p>
    <w:p>
      <w:pPr>
        <w:ind w:left="180" w:right="100" w:hanging="172"/>
        <w:spacing w:after="0" w:line="256" w:lineRule="auto"/>
        <w:tabs>
          <w:tab w:leader="none" w:pos="1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non-operating gain of $17.2 million from the sale and write-up of cost method investments (after-tax impact of $12.7 million, or $2.54 per share); and</w:t>
      </w:r>
    </w:p>
    <w:p>
      <w:pPr>
        <w:spacing w:after="0" w:line="111" w:lineRule="exact"/>
        <w:rPr>
          <w:rFonts w:ascii="Arial" w:cs="Arial" w:eastAsia="Arial" w:hAnsi="Arial"/>
          <w:sz w:val="18"/>
          <w:szCs w:val="18"/>
          <w:color w:val="auto"/>
        </w:rPr>
      </w:pPr>
    </w:p>
    <w:p>
      <w:pPr>
        <w:ind w:left="160" w:hanging="152"/>
        <w:spacing w:after="0"/>
        <w:tabs>
          <w:tab w:leader="none" w:pos="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$0.1 million in net interest expense to adjust the fair value of the mandatorily redeemable noncontrolling interest ($0.02 per share).</w:t>
      </w:r>
    </w:p>
    <w:p>
      <w:pPr>
        <w:spacing w:after="0" w:line="158"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Revenue for the first six months of 2022 was $1,848.0 million, up 22% from $1,513.6 million in the first six months of 2021. Revenues increased at education, television broadcasting, healthcare, automotive and other businesses, partially offset by a decline at manufacturing.</w:t>
      </w:r>
    </w:p>
    <w:p>
      <w:pPr>
        <w:spacing w:after="0" w:line="235" w:lineRule="auto"/>
        <w:rPr>
          <w:sz w:val="20"/>
          <w:szCs w:val="20"/>
          <w:color w:val="auto"/>
        </w:rPr>
      </w:pPr>
      <w:r>
        <w:rPr>
          <w:rFonts w:ascii="Arial" w:cs="Arial" w:eastAsia="Arial" w:hAnsi="Arial"/>
          <w:sz w:val="18"/>
          <w:szCs w:val="18"/>
          <w:color w:val="auto"/>
        </w:rPr>
        <w:t>The Company reported operating income of $79.3 million for the first six months of 2022, compared to $71.4 million for the first six months of</w:t>
      </w:r>
    </w:p>
    <w:p>
      <w:pPr>
        <w:ind w:right="100"/>
        <w:spacing w:after="0" w:line="237" w:lineRule="auto"/>
        <w:rPr>
          <w:sz w:val="20"/>
          <w:szCs w:val="20"/>
          <w:color w:val="auto"/>
        </w:rPr>
      </w:pPr>
      <w:r>
        <w:rPr>
          <w:rFonts w:ascii="Arial" w:cs="Arial" w:eastAsia="Arial" w:hAnsi="Arial"/>
          <w:sz w:val="18"/>
          <w:szCs w:val="18"/>
          <w:color w:val="auto"/>
        </w:rPr>
        <w:t>2021. Operating results increased at education, television broadcasting and automotive, offset by declines at manufacturing, healthcare and other businesses.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COVID-19 pandemic and measures taken to prevent its spread significantly impacted the Company’s results for 2021 and, to a lesser</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extent, the first six months of 2022, largely from reduced demand for the Company’s products and services. The Company cannot predict the severity or duration of the pandemic, the extent to which demand for the Company’s products and services will be adversely affected or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degree to which financial and operating results will be negatively impacted.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Education division revenue totaled $353.0 million for the second quarter of 2022, up 4% from $340.0 million for the same period of 2021.</w:t>
      </w:r>
    </w:p>
    <w:p>
      <w:pPr>
        <w:spacing w:after="0"/>
        <w:rPr>
          <w:sz w:val="20"/>
          <w:szCs w:val="20"/>
          <w:color w:val="auto"/>
        </w:rPr>
      </w:pPr>
      <w:r>
        <w:rPr>
          <w:rFonts w:ascii="Arial" w:cs="Arial" w:eastAsia="Arial" w:hAnsi="Arial"/>
          <w:sz w:val="18"/>
          <w:szCs w:val="18"/>
          <w:color w:val="auto"/>
        </w:rPr>
        <w:t>Kaplan reported operating income of $18.7 million for the second quarter of 2022, compared to $13.1 million for the second quarter of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2022, education division revenue totaled $711.0 million, up 6% from $669.3 million for the same period of 2021.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of $39.1 million for the first six months of 2022, compared to $32.1 million for the first six months of 2021.</w:t>
      </w:r>
    </w:p>
    <w:p>
      <w:pPr>
        <w:spacing w:after="0" w:line="12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COVID-19 pandemic adversely impacted Kaplan’s operating results during 2021 and, to a lesser extent, the first six months of 2022. Kaplan serves a large number of students who travel to other countries to study a second language, prepare for licensure, or pursue a higher</w:t>
      </w:r>
    </w:p>
    <w:p>
      <w:pPr>
        <w:spacing w:after="0" w:line="226" w:lineRule="auto"/>
        <w:rPr>
          <w:sz w:val="20"/>
          <w:szCs w:val="20"/>
          <w:color w:val="auto"/>
        </w:rPr>
      </w:pPr>
      <w:r>
        <w:rPr>
          <w:rFonts w:ascii="Arial" w:cs="Arial" w:eastAsia="Arial" w:hAnsi="Arial"/>
          <w:sz w:val="18"/>
          <w:szCs w:val="18"/>
          <w:color w:val="auto"/>
        </w:rPr>
        <w:t>education degree. Government-imposed travel restrictions and school closures arising from COVID-19 had a negative impact on the ability of certain international students to travel and attend Kaplan’s programs, particularly at Kaplan International’s Language programs (Languages)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2021.</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Kaplan recorded $2.2 million and $3.2 million in impairment of long-lived asset charges in the second quarter and first six months of 2021,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200,871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181,276</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405,384</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353,171</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72,975</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78,740</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148,783</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154,426</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77,546</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77,911</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0</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153,850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157,566</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4,454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3,615</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8,799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6,978</w:t>
            </w:r>
          </w:p>
        </w:tc>
        <w:tc>
          <w:tcPr>
            <w:tcW w:w="12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3"/>
        </w:trPr>
        <w:tc>
          <w:tcPr>
            <w:tcW w:w="40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(2,833)</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(5,791)</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353,013</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339,984</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711,025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669,301</w:t>
            </w: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19,063</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14,077</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35</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39,627</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24,284</w:t>
            </w: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2,704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2,374</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7,741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8,627</w:t>
            </w: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4,829</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8,813</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8,200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21,310</w:t>
            </w:r>
          </w:p>
        </w:tc>
        <w:tc>
          <w:tcPr>
            <w:tcW w:w="1200" w:type="dxa"/>
            <w:vAlign w:val="bottom"/>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(3,771)</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(6,042)</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(8,204)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(10,949)</w:t>
            </w: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(4,064)</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(3,914)</w:t>
            </w: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b w:val="1"/>
                <w:bCs w:val="1"/>
                <w:color w:val="auto"/>
              </w:rPr>
              <w:t>(8,210)</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(8,079)</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9"/>
        </w:trPr>
        <w:tc>
          <w:tcPr>
            <w:tcW w:w="408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(2,159)</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(3,206)</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40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(56)</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(37)</w:t>
            </w: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080" w:type="dxa"/>
            <w:vAlign w:val="bottom"/>
          </w:tcPr>
          <w:p>
            <w:pPr>
              <w:spacing w:after="0"/>
              <w:rPr>
                <w:sz w:val="19"/>
                <w:szCs w:val="19"/>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18,705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13,148</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42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39,117</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32,084</w:t>
            </w:r>
          </w:p>
        </w:tc>
        <w:tc>
          <w:tcPr>
            <w:tcW w:w="12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States. Kaplan International revenue increased 11% and 15% for the second quarter and first six months of 2022, respectively (20% and 21%, respectively, on a constant currency basis). The increase is due largely to growth at Languages, Pathways and UK Professional. Kaplan International reported operating income of $19.1 million in the second quarter of 2022, compared to $14.1 million in the second quarter of 2021. Operating income increased to $39.6 million in the first six months of 2022, compared to $24.3 million in the first six months</w:t>
      </w:r>
    </w:p>
    <w:p>
      <w:pPr>
        <w:spacing w:after="0" w:line="1" w:lineRule="exact"/>
        <w:rPr>
          <w:sz w:val="20"/>
          <w:szCs w:val="20"/>
          <w:color w:val="auto"/>
        </w:rPr>
      </w:pPr>
    </w:p>
    <w:p>
      <w:pPr>
        <w:ind w:right="180"/>
        <w:spacing w:after="0" w:line="236" w:lineRule="auto"/>
        <w:rPr>
          <w:sz w:val="20"/>
          <w:szCs w:val="20"/>
          <w:color w:val="auto"/>
        </w:rPr>
      </w:pPr>
      <w:r>
        <w:rPr>
          <w:rFonts w:ascii="Arial" w:cs="Arial" w:eastAsia="Arial" w:hAnsi="Arial"/>
          <w:sz w:val="17"/>
          <w:szCs w:val="17"/>
          <w:color w:val="auto"/>
        </w:rPr>
        <w:t>of 2021. The increase is due largely to a reduction in losses at Languages, and improved results at Pathways, partially offset by declines in Australia and Singapore and the adverse impact of foreign currency exchange rates. Overall, Kaplan International’s operating results were negatively impacted by $3 million and $9 million in losses, respectively, incurred at Languages from COVID-19 disruptions for the second quarter and first six months of 2022; compared to $12 million and $26 million in losses, respectively, incurred at Languages from COVID-19</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disruptions for the second quarter and first six months of 2021. At the end of the second quarter of 2022, travel restrictions imposed as a result of COVID-19 have been substantially lifted, except in parts of Asia. Consequently, the Company expects significantly improved results at Languages and Australia for the remainder of 2022, assuming no new travel restrictions are imposed.</w:t>
      </w:r>
    </w:p>
    <w:p>
      <w:pPr>
        <w:spacing w:after="0" w:line="127"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Higher Education includes the results of Kaplan as a service provider to higher education institutions. In the second quarter and first six months of 2022, Higher Education revenue declined 7% and 4%, respectively, due largely to lower costs incurred for reimbursement under</w:t>
      </w:r>
    </w:p>
    <w:p>
      <w:pPr>
        <w:spacing w:after="0" w:line="1" w:lineRule="exact"/>
        <w:rPr>
          <w:sz w:val="20"/>
          <w:szCs w:val="20"/>
          <w:color w:val="auto"/>
        </w:rPr>
      </w:pPr>
    </w:p>
    <w:p>
      <w:pPr>
        <w:ind w:right="500"/>
        <w:spacing w:after="0" w:line="226" w:lineRule="auto"/>
        <w:rPr>
          <w:sz w:val="20"/>
          <w:szCs w:val="20"/>
          <w:color w:val="auto"/>
        </w:rPr>
      </w:pPr>
      <w:r>
        <w:rPr>
          <w:rFonts w:ascii="Arial" w:cs="Arial" w:eastAsia="Arial" w:hAnsi="Arial"/>
          <w:sz w:val="18"/>
          <w:szCs w:val="18"/>
          <w:color w:val="auto"/>
        </w:rPr>
        <w:t>the Purdue Global agreement. For the second quarter and first half of 2022 and 2021, Kaplan recorded a portion of the fee with Purdue Global based on an assessment of its collectability under the TOSA. Enrollments at Purdue Global for the first half of 2022 were</w:t>
      </w:r>
    </w:p>
    <w:p>
      <w:pPr>
        <w:spacing w:after="0" w:line="236" w:lineRule="auto"/>
        <w:rPr>
          <w:sz w:val="20"/>
          <w:szCs w:val="20"/>
          <w:color w:val="auto"/>
        </w:rPr>
      </w:pPr>
      <w:r>
        <w:rPr>
          <w:rFonts w:ascii="Arial" w:cs="Arial" w:eastAsia="Arial" w:hAnsi="Arial"/>
          <w:sz w:val="18"/>
          <w:szCs w:val="18"/>
          <w:color w:val="auto"/>
        </w:rPr>
        <w:t>approximately the same as the first half of 2021. The Company will continue to assess the collectability of the fee with Purdue Global on a</w:t>
      </w:r>
    </w:p>
    <w:p>
      <w:pPr>
        <w:spacing w:after="0" w:line="1" w:lineRule="exact"/>
        <w:rPr>
          <w:sz w:val="20"/>
          <w:szCs w:val="20"/>
          <w:color w:val="auto"/>
        </w:rPr>
      </w:pPr>
    </w:p>
    <w:p>
      <w:pPr>
        <w:ind w:right="300"/>
        <w:spacing w:after="0" w:line="226" w:lineRule="auto"/>
        <w:rPr>
          <w:sz w:val="20"/>
          <w:szCs w:val="20"/>
          <w:color w:val="auto"/>
        </w:rPr>
      </w:pPr>
      <w:r>
        <w:rPr>
          <w:rFonts w:ascii="Arial" w:cs="Arial" w:eastAsia="Arial" w:hAnsi="Arial"/>
          <w:sz w:val="18"/>
          <w:szCs w:val="18"/>
          <w:color w:val="auto"/>
        </w:rPr>
        <w:t>quarterly basis to make a determination as to whether to record all or part of the fee in the future and whether to make adjustments to fee amounts recognized in earlier periods. Higher Education results increased in the second quarter of 2022 due to an increase in the Purdue</w:t>
      </w:r>
    </w:p>
    <w:p>
      <w:pPr>
        <w:spacing w:after="0" w:line="236" w:lineRule="auto"/>
        <w:rPr>
          <w:sz w:val="20"/>
          <w:szCs w:val="20"/>
          <w:color w:val="auto"/>
        </w:rPr>
      </w:pPr>
      <w:r>
        <w:rPr>
          <w:rFonts w:ascii="Arial" w:cs="Arial" w:eastAsia="Arial" w:hAnsi="Arial"/>
          <w:sz w:val="18"/>
          <w:szCs w:val="18"/>
          <w:color w:val="auto"/>
        </w:rPr>
        <w:t>Global fee recorded, partially offset by increased investment costs incurred related to other university agreements. Higher Education results</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declined in the first half of 2022 due to increased investment costs incurred related to other university agreements, partially offset by an increase in the Purdue Global fee recorded.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Kaplan had a total outstanding accounts receivable balance of $90.0 million from Purdue Global related to amounts due</w:t>
      </w:r>
    </w:p>
    <w:p>
      <w:pPr>
        <w:spacing w:after="0" w:line="14" w:lineRule="exact"/>
        <w:rPr>
          <w:sz w:val="20"/>
          <w:szCs w:val="20"/>
          <w:color w:val="auto"/>
        </w:rPr>
      </w:pPr>
    </w:p>
    <w:p>
      <w:pPr>
        <w:ind w:right="560"/>
        <w:spacing w:after="0" w:line="237" w:lineRule="auto"/>
        <w:rPr>
          <w:sz w:val="20"/>
          <w:szCs w:val="20"/>
          <w:color w:val="auto"/>
        </w:rPr>
      </w:pPr>
      <w:r>
        <w:rPr>
          <w:rFonts w:ascii="Arial" w:cs="Arial" w:eastAsia="Arial" w:hAnsi="Arial"/>
          <w:sz w:val="18"/>
          <w:szCs w:val="18"/>
          <w:color w:val="auto"/>
        </w:rPr>
        <w:t>for reimbursements for services, fees earned and a deferred fee. Included in this total, Kaplan has a $19.3 million long-term receivable balance due from Purdue Global at June 30, 2022, related to the advance of $20 million during the initial KU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education businesses. In November 2021, Supplemental Education acquired two small businesses. Supplemental Education revenue was flat compared to the second quarter of 2021 and declined 2% for the first six months of 2022 due largely to declines in retail comprehensive</w:t>
      </w:r>
    </w:p>
    <w:p>
      <w:pPr>
        <w:spacing w:after="0" w:line="236" w:lineRule="auto"/>
        <w:rPr>
          <w:sz w:val="20"/>
          <w:szCs w:val="20"/>
          <w:color w:val="auto"/>
        </w:rPr>
      </w:pPr>
      <w:r>
        <w:rPr>
          <w:rFonts w:ascii="Arial" w:cs="Arial" w:eastAsia="Arial" w:hAnsi="Arial"/>
          <w:sz w:val="18"/>
          <w:szCs w:val="18"/>
          <w:color w:val="auto"/>
        </w:rPr>
        <w:t>test preparation demand. Overall, demand for graduate and pre-college test preparation programs has declined due to the strength of U.S.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employment markets and the decline in test-takers. Operating results declined in the second quarter and first six months of 2022 due to lower revenues and increased advertising and product development costs.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0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122,386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119,966</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2</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245,805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233,591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39,682</w:t>
            </w:r>
          </w:p>
        </w:tc>
        <w:tc>
          <w:tcPr>
            <w:tcW w:w="4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35,603</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79,580</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68,581</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16</w:t>
            </w:r>
          </w:p>
        </w:tc>
      </w:tr>
    </w:tbl>
    <w:p>
      <w:pPr>
        <w:spacing w:after="0" w:line="21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Graham Media Group, Inc. owns seven television stations located in Houston, TX; Detroit, MI; Orlando, FL; San Antonio, TX; Jacksonville, FL; and Roanoke, VA, as well as SocialNewsDesk, a provider of social media management tools designed to connect newsrooms with their</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users. Revenue at the television broadcasting division increased 2% to $122.4 million in the second quarter of 2022, from $120.0 million in the same period of 2021. The revenue increase is due to a $2.6 million increase in political advertising revenue and a $1.1 million increase in</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retransmission revenues. Operating income for the second quarter of 2022 increased 11% to $39.7 million, from $35.6 million in the same period of 2021, due to increased revenues and a reduction in incentive compensation costs.</w:t>
      </w:r>
    </w:p>
    <w:p>
      <w:pPr>
        <w:spacing w:after="0" w:line="104"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Revenue at the television broadcasting division increased 5% to $245.8 million in the first six months of 2022, from $233.6 million in the same period of 2021. The revenue increase is due to a $5.0 million increase in political revenue, a $3.6 million increase in retransmission</w:t>
      </w:r>
    </w:p>
    <w:p>
      <w:pPr>
        <w:ind w:right="40"/>
        <w:spacing w:after="0" w:line="226" w:lineRule="auto"/>
        <w:rPr>
          <w:sz w:val="20"/>
          <w:szCs w:val="20"/>
          <w:color w:val="auto"/>
        </w:rPr>
      </w:pPr>
      <w:r>
        <w:rPr>
          <w:rFonts w:ascii="Arial" w:cs="Arial" w:eastAsia="Arial" w:hAnsi="Arial"/>
          <w:sz w:val="18"/>
          <w:szCs w:val="18"/>
          <w:color w:val="auto"/>
        </w:rPr>
        <w:t>revenues, and increases from winter Olympics and Super Bowl advertising revenue at the Company’s NBC affiliates in the first quarter of 2022. Operating income for the first six months of 2022 increased 16% to $79.6 million, from $68.6 million in the same period of 2021, due to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increased revenues.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May 2022, the Company’s television station in Orlando (WKMG) entered into a new network affiliation agreement with CBS that covers the period July 1, 2022 through June 30, 2026.</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09"/>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127,062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141,123</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(10)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243,002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257,083</w:t>
            </w: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4,502</w:t>
            </w:r>
          </w:p>
        </w:tc>
        <w:tc>
          <w:tcPr>
            <w:tcW w:w="4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12,428</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(64)</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14,477</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21,335</w:t>
            </w: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Manufacturing revenues declined 10% and 5% in the second quarter and first six months of 2022, respectively, due largely to a significant reduction in revenues at Hoover from lower wood prices and modestly lower product demand, offset by increased revenues at Dekko, Joyce,</w:t>
      </w:r>
    </w:p>
    <w:p>
      <w:pPr>
        <w:spacing w:after="0" w:line="1"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and Forney. Wood prices were highly volatile in 2021 and the first half of 2022. Overall, Hoover results included wood gains on inventory sales for both the first half of 2022 and 2021; however, wood gains on inventory sales were significantly higher in the first half of 2021. For</w:t>
      </w:r>
    </w:p>
    <w:p>
      <w:pPr>
        <w:spacing w:after="0" w:line="235" w:lineRule="auto"/>
        <w:rPr>
          <w:sz w:val="20"/>
          <w:szCs w:val="20"/>
          <w:color w:val="auto"/>
        </w:rPr>
      </w:pPr>
      <w:r>
        <w:rPr>
          <w:rFonts w:ascii="Arial" w:cs="Arial" w:eastAsia="Arial" w:hAnsi="Arial"/>
          <w:sz w:val="18"/>
          <w:szCs w:val="18"/>
          <w:color w:val="auto"/>
        </w:rPr>
        <w:t>the second quarter of 2022, Hoover results included wood losses on inventory sales, compared with significant wood gains on inventory</w:t>
      </w:r>
    </w:p>
    <w:p>
      <w:pPr>
        <w:ind w:right="360"/>
        <w:spacing w:after="0" w:line="226" w:lineRule="auto"/>
        <w:rPr>
          <w:sz w:val="20"/>
          <w:szCs w:val="20"/>
          <w:color w:val="auto"/>
        </w:rPr>
      </w:pPr>
      <w:r>
        <w:rPr>
          <w:rFonts w:ascii="Arial" w:cs="Arial" w:eastAsia="Arial" w:hAnsi="Arial"/>
          <w:sz w:val="18"/>
          <w:szCs w:val="18"/>
          <w:color w:val="auto"/>
        </w:rPr>
        <w:t>sales in the second quarter of 2021. Manufacturing operating results declined 64% and 32% in the second quarter and first six months of 2022, respectively, due largely to declines at Hoover related to wood gains and losses on inventory sales during the relevant periods.</w:t>
      </w:r>
    </w:p>
    <w:p>
      <w:pPr>
        <w:spacing w:after="0" w:line="236" w:lineRule="auto"/>
        <w:rPr>
          <w:sz w:val="20"/>
          <w:szCs w:val="20"/>
          <w:color w:val="auto"/>
        </w:rPr>
      </w:pPr>
      <w:r>
        <w:rPr>
          <w:rFonts w:ascii="Arial" w:cs="Arial" w:eastAsia="Arial" w:hAnsi="Arial"/>
          <w:sz w:val="18"/>
          <w:szCs w:val="18"/>
          <w:color w:val="auto"/>
        </w:rPr>
        <w:t>Excluding the impact of wood gains and losses, Hoover results improved in the second quarter of 2022 and were down slightly in the first half</w:t>
      </w:r>
    </w:p>
    <w:p>
      <w:pPr>
        <w:spacing w:after="0" w:line="1"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of 2022. The declines at Hoover in the second quarter and first half of 2022 were partially offset by improved results at Dekko and Forney and reduced amortization of intangible assets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2021, Dekko announced a plan to relocate its manufacturing operations in Shelton, CT to other Dekko</w:t>
      </w:r>
    </w:p>
    <w:p>
      <w:pPr>
        <w:spacing w:after="0" w:line="14"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manufacturing facilities, which was substantially completed by the end of 2021. In connection with this activity, Dekko implemented a SIP for the affected employees, resulting in $1.1 million in non-operating SIP expense recorded in the second quarter of 2021, which was funded by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assets of the Company’s pension plan.</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76,385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54,696</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40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143,640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104,739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37</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6,262</w:t>
            </w:r>
          </w:p>
        </w:tc>
        <w:tc>
          <w:tcPr>
            <w:tcW w:w="4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8,595</w:t>
            </w:r>
          </w:p>
        </w:tc>
        <w:tc>
          <w:tcPr>
            <w:tcW w:w="1300" w:type="dxa"/>
            <w:vAlign w:val="bottom"/>
          </w:tcPr>
          <w:p>
            <w:pPr>
              <w:jc w:val="right"/>
              <w:ind w:right="62"/>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12,621</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15,735</w:t>
            </w: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and hospice services in six states. In December 2021, GHG acquired two small</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businesses, one of which expanded GHG’s home health operations into Florida. In May 2022, GHG acquired two small businesses, one of which expanded GHG’s home health operations into Kansas and Missouri. GHG provides other healthcare services, including nursing care</w:t>
      </w:r>
    </w:p>
    <w:p>
      <w:pPr>
        <w:spacing w:after="0" w:line="236" w:lineRule="auto"/>
        <w:rPr>
          <w:sz w:val="20"/>
          <w:szCs w:val="20"/>
          <w:color w:val="auto"/>
        </w:rPr>
      </w:pPr>
      <w:r>
        <w:rPr>
          <w:rFonts w:ascii="Arial" w:cs="Arial" w:eastAsia="Arial" w:hAnsi="Arial"/>
          <w:sz w:val="18"/>
          <w:szCs w:val="18"/>
          <w:color w:val="auto"/>
        </w:rPr>
        <w:t>and prescription services for patients receiving in-home infusion treatments through its 75% interest in CSI Pharmacy Holdings Company,</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LLC (CSI). Healthcare revenues increased 40% and 37% for the second quarter and first six months of 2022, respectively, largely due to growth at CSI and home health services and from businesses acquired in the fourth quarter of 2021 and second quarter of 2022. The decline</w:t>
      </w:r>
    </w:p>
    <w:p>
      <w:pPr>
        <w:spacing w:after="0" w:line="236" w:lineRule="auto"/>
        <w:rPr>
          <w:sz w:val="20"/>
          <w:szCs w:val="20"/>
          <w:color w:val="auto"/>
        </w:rPr>
      </w:pPr>
      <w:r>
        <w:rPr>
          <w:rFonts w:ascii="Arial" w:cs="Arial" w:eastAsia="Arial" w:hAnsi="Arial"/>
          <w:sz w:val="18"/>
          <w:szCs w:val="18"/>
          <w:color w:val="auto"/>
        </w:rPr>
        <w:t>in GHG operating results in the second quarter and first six months of 2022 is due to increased marketing, human resources, recruiting and</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business development costs and overall increased compensation and transportation costs in nursing and clinical staffing, partially offset by improved results at CSI.</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w:t>
      </w:r>
    </w:p>
    <w:p>
      <w:pPr>
        <w:spacing w:after="0" w:line="14" w:lineRule="exact"/>
        <w:rPr>
          <w:sz w:val="20"/>
          <w:szCs w:val="20"/>
          <w:color w:val="auto"/>
        </w:rPr>
      </w:pPr>
    </w:p>
    <w:p>
      <w:pPr>
        <w:ind w:right="40"/>
        <w:spacing w:after="0"/>
        <w:rPr>
          <w:sz w:val="20"/>
          <w:szCs w:val="20"/>
          <w:color w:val="auto"/>
        </w:rPr>
      </w:pPr>
      <w:r>
        <w:rPr>
          <w:rFonts w:ascii="Arial" w:cs="Arial" w:eastAsia="Arial" w:hAnsi="Arial"/>
          <w:sz w:val="17"/>
          <w:szCs w:val="17"/>
          <w:color w:val="auto"/>
        </w:rPr>
        <w:t>earnings of affiliates in the Company’s Consolidated Statements of Operations. The Company recorded equity in earnings of $ 1.7 million and $2.7 million for the second quarter of 2022 and 2021, respectively, from these joint ventures. The Company recorded equity in earnings of</w:t>
      </w:r>
    </w:p>
    <w:p>
      <w:pPr>
        <w:spacing w:after="0" w:line="235" w:lineRule="auto"/>
        <w:rPr>
          <w:sz w:val="20"/>
          <w:szCs w:val="20"/>
          <w:color w:val="auto"/>
        </w:rPr>
      </w:pPr>
      <w:r>
        <w:rPr>
          <w:rFonts w:ascii="Arial" w:cs="Arial" w:eastAsia="Arial" w:hAnsi="Arial"/>
          <w:sz w:val="18"/>
          <w:szCs w:val="18"/>
          <w:color w:val="auto"/>
        </w:rPr>
        <w:t>$3.6 million and $5.5 million for the first six months of 2022 and 2021, respectively. During the first quarter of 2022, GHG, through its</w:t>
      </w:r>
    </w:p>
    <w:p>
      <w:pPr>
        <w:ind w:right="20"/>
        <w:spacing w:after="0" w:line="226" w:lineRule="auto"/>
        <w:rPr>
          <w:sz w:val="20"/>
          <w:szCs w:val="20"/>
          <w:color w:val="auto"/>
        </w:rPr>
      </w:pPr>
      <w:r>
        <w:rPr>
          <w:rFonts w:ascii="Arial" w:cs="Arial" w:eastAsia="Arial" w:hAnsi="Arial"/>
          <w:sz w:val="18"/>
          <w:szCs w:val="18"/>
          <w:color w:val="auto"/>
        </w:rPr>
        <w:t>Residential Home Illinois and Residential Hospice Illinois affiliates, acquired an interest in the home health and hospice assets of NorthShore University HealthSystem, an integrated healthcare delivery system serving patients throughout the Chicago, IL area. The transaction resulted</w:t>
      </w:r>
    </w:p>
    <w:p>
      <w:pPr>
        <w:spacing w:after="0" w:line="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a decrease to GHG’s interest in Residential Hospice Illinois and a $0.6 million non-operating gain was recorded in the first quarter of 2022 related to the change in interest.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200" w:type="dxa"/>
            <w:vAlign w:val="bottom"/>
          </w:tcPr>
          <w:p>
            <w:pPr>
              <w:spacing w:after="0"/>
              <w:rPr>
                <w:sz w:val="17"/>
                <w:szCs w:val="17"/>
                <w:color w:val="auto"/>
              </w:rPr>
            </w:pPr>
          </w:p>
        </w:tc>
      </w:tr>
      <w:tr>
        <w:trPr>
          <w:trHeight w:val="225"/>
        </w:trPr>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46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00" w:type="dxa"/>
            <w:vAlign w:val="bottom"/>
          </w:tcPr>
          <w:p>
            <w:pPr>
              <w:spacing w:after="0"/>
              <w:rPr>
                <w:sz w:val="19"/>
                <w:szCs w:val="19"/>
                <w:color w:val="auto"/>
              </w:rPr>
            </w:pPr>
          </w:p>
        </w:tc>
      </w:tr>
      <w:tr>
        <w:trPr>
          <w:trHeight w:val="210"/>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3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408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147,602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90,273</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64</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298,569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158,000</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89</w:t>
            </w:r>
          </w:p>
        </w:tc>
      </w:tr>
      <w:tr>
        <w:trPr>
          <w:trHeight w:val="229"/>
        </w:trPr>
        <w:tc>
          <w:tcPr>
            <w:tcW w:w="4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7,365</w:t>
            </w:r>
          </w:p>
        </w:tc>
        <w:tc>
          <w:tcPr>
            <w:tcW w:w="4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3,785</w:t>
            </w:r>
          </w:p>
        </w:tc>
        <w:tc>
          <w:tcPr>
            <w:tcW w:w="1300" w:type="dxa"/>
            <w:vAlign w:val="bottom"/>
          </w:tcPr>
          <w:p>
            <w:pPr>
              <w:jc w:val="right"/>
              <w:ind w:right="102"/>
              <w:spacing w:after="0"/>
              <w:rPr>
                <w:sz w:val="20"/>
                <w:szCs w:val="20"/>
                <w:color w:val="auto"/>
              </w:rPr>
            </w:pPr>
            <w:r>
              <w:rPr>
                <w:rFonts w:ascii="Arial" w:cs="Arial" w:eastAsia="Arial" w:hAnsi="Arial"/>
                <w:sz w:val="16"/>
                <w:szCs w:val="16"/>
                <w:color w:val="auto"/>
              </w:rPr>
              <w:t>95</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14,443</w:t>
            </w:r>
          </w:p>
        </w:tc>
        <w:tc>
          <w:tcPr>
            <w:tcW w:w="38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4,309</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Automotive includes four automotive dealerships in the Washington, D.C. metropolitan area: Ourisman Lexus of Rockville, Ourisman Honda</w:t>
      </w:r>
    </w:p>
    <w:p>
      <w:pPr>
        <w:spacing w:after="0" w:line="14" w:lineRule="exact"/>
        <w:rPr>
          <w:sz w:val="20"/>
          <w:szCs w:val="20"/>
          <w:color w:val="auto"/>
        </w:rPr>
      </w:pPr>
    </w:p>
    <w:p>
      <w:pPr>
        <w:ind w:right="140"/>
        <w:spacing w:after="0"/>
        <w:rPr>
          <w:sz w:val="20"/>
          <w:szCs w:val="20"/>
          <w:color w:val="auto"/>
        </w:rPr>
      </w:pPr>
      <w:r>
        <w:rPr>
          <w:rFonts w:ascii="Arial" w:cs="Arial" w:eastAsia="Arial" w:hAnsi="Arial"/>
          <w:sz w:val="17"/>
          <w:szCs w:val="17"/>
          <w:color w:val="auto"/>
        </w:rPr>
        <w:t>of Tysons Corner, Ourisman Jeep Bethesda and Ourisman Ford of Manassas, which was acquired on December 28, 2021, from the Battlefield Automotive Group. Christopher J. Ourisman, a member of the Ourisman Automotive Group family of dealerships, and his team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industry professionals operate and manage the dealerships; the Company holds a 90% stake.</w:t>
      </w:r>
    </w:p>
    <w:p>
      <w:pPr>
        <w:spacing w:after="0" w:line="14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Revenues for the second quarter and first six months of 2022 increased significantly due to the Ford dealership acquisition, sales growth at the Jeep dealership due to an increase in new vehicle inventory provided by the manufacturer, and higher average new and used car selling</w:t>
      </w:r>
    </w:p>
    <w:p>
      <w:pPr>
        <w:spacing w:after="0" w:line="235" w:lineRule="auto"/>
        <w:rPr>
          <w:sz w:val="20"/>
          <w:szCs w:val="20"/>
          <w:color w:val="auto"/>
        </w:rPr>
      </w:pPr>
      <w:r>
        <w:rPr>
          <w:rFonts w:ascii="Arial" w:cs="Arial" w:eastAsia="Arial" w:hAnsi="Arial"/>
          <w:sz w:val="18"/>
          <w:szCs w:val="18"/>
          <w:color w:val="auto"/>
        </w:rPr>
        <w:t>prices at the Jeep, Lexus and Honda dealerships as a result of strong customer demand and new vehicle inventory shortages related to</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supply chain disruptions and production delays at vehicle manufacturers, partially offset by volume declines at Honda and Lexus. Operating results for the second quarter of 2022 improved significantly due largely to the Ford acquisition and improved results at the Jeep dealership</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due to increased sales and margins, offset by declines at the Honda dealership due to inventory shortages. Operating results for the first six months of 2022 improved significantly due to the Ford acquisition and improved results at the Jeep, Lexus and Honda dealerships.</w:t>
      </w:r>
    </w:p>
    <w:p>
      <w:pPr>
        <w:spacing w:after="0" w:line="104"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On July 5, 2022, the Company acquired a Toyota dealership and a Chrysler-Dodge-Jeep-Ram dealership in Woodbridge, VA from the Lustine Automotive Group.</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42"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w:t>
      </w:r>
    </w:p>
    <w:p>
      <w:pPr>
        <w:ind w:right="20"/>
        <w:spacing w:after="0" w:line="226" w:lineRule="auto"/>
        <w:rPr>
          <w:sz w:val="20"/>
          <w:szCs w:val="20"/>
          <w:color w:val="auto"/>
        </w:rPr>
      </w:pPr>
      <w:r>
        <w:rPr>
          <w:rFonts w:ascii="Arial" w:cs="Arial" w:eastAsia="Arial" w:hAnsi="Arial"/>
          <w:sz w:val="18"/>
          <w:szCs w:val="18"/>
          <w:color w:val="auto"/>
        </w:rPr>
        <w:t>wellness (Well+Good, Livestrong.com and MyPlate App), and home, art and design (Saatchi Art, Society6 and Hunker). Leaf has three major operating divisions: Society6 Group and Saatchi Art Group (Marketplace businesses) and the Media Group. Overall, Leaf reported significant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operating losses for the second quarter and first six months of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Clyde’s Restaurant Group (CRG) owns and operates ten restaurants and entertainment venues in the Washington, D.C. metropolitan area, including Old Ebbitt Grill and The Hamilton. As a result of the COVID-19 pandemic, CRG temporarily closed its restaurant dining rooms in</w:t>
      </w:r>
    </w:p>
    <w:p>
      <w:pPr>
        <w:spacing w:after="0" w:line="1"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Maryland and the District of Columbia in December 2020, reopening again for limited indoor dining service in February 2021. Various government-ordered dining restrictions continued until the middle of 2021. CRG reported an operating profit for the second quarter and first</w:t>
      </w:r>
    </w:p>
    <w:p>
      <w:pPr>
        <w:spacing w:after="0" w:line="236" w:lineRule="auto"/>
        <w:rPr>
          <w:sz w:val="20"/>
          <w:szCs w:val="20"/>
          <w:color w:val="auto"/>
        </w:rPr>
      </w:pPr>
      <w:r>
        <w:rPr>
          <w:rFonts w:ascii="Arial" w:cs="Arial" w:eastAsia="Arial" w:hAnsi="Arial"/>
          <w:sz w:val="18"/>
          <w:szCs w:val="18"/>
          <w:color w:val="auto"/>
        </w:rPr>
        <w:t>six months of 2022; both revenues and operating results improved significantly from the second quarter and first six months of 2021 due</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largely to the absence of government-ordered dining restrictions in 2022 and a favorable rent concession that was recorded in the second quarter of 2022. Improvement in both revenue and operating results is expected to continue for the remainder of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Framebridge is a custom framing service company, headquartered in Washington, D.C., with sixteen retail locations in the Washington, D.C., New York City, Atlanta, GA, Philadelphia, PA, Boston, MA and Chicago, IL areas and two manufacturing facilities in Kentucky and New</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Jersey. Framebridge plans to open three additional stores in 2022. Framebridge revenues increased in the second quarter and first six months of 2022 due to operating additional retail stores compared to the same periods in 2021. Framebridge is an investment stage business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reported significant operating losses in the first six months of 2022 and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Code3</w:t>
      </w:r>
    </w:p>
    <w:p>
      <w:pPr>
        <w:spacing w:after="0" w:line="14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Code3 is a performance marketing agency focused on driving performance for brands through three core elements of digital success: media, creative and commerce. Code3 revenues increased modestly in the second quarter and first six months of 2022. Code3 reported operating</w:t>
      </w:r>
    </w:p>
    <w:p>
      <w:pPr>
        <w:spacing w:after="0" w:line="1" w:lineRule="exact"/>
        <w:rPr>
          <w:sz w:val="20"/>
          <w:szCs w:val="20"/>
          <w:color w:val="auto"/>
        </w:rPr>
      </w:pPr>
    </w:p>
    <w:p>
      <w:pPr>
        <w:ind w:right="500"/>
        <w:spacing w:after="0" w:line="237" w:lineRule="auto"/>
        <w:rPr>
          <w:sz w:val="20"/>
          <w:szCs w:val="20"/>
          <w:color w:val="auto"/>
        </w:rPr>
      </w:pPr>
      <w:r>
        <w:rPr>
          <w:rFonts w:ascii="Arial" w:cs="Arial" w:eastAsia="Arial" w:hAnsi="Arial"/>
          <w:sz w:val="18"/>
          <w:szCs w:val="18"/>
          <w:color w:val="auto"/>
        </w:rPr>
        <w:t>losses in the second quarter and first six months of 2022 and 2021. In the second quarter of 2021, Code3 recorded a $1.6 million lease impairment charge (including $0.4 million in property, plant and equipment write-downs).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56"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Other businesses also include Slate and Foreign Policy, which publish online and print magazines and websites; and four investment stage businesses, CyberVista, Decile, Pinna and City Cast. Slate, Foreign Policy, Decile, Pinna and City Cast reported revenue increases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six months of 2022. Losses from each of these six businesses in the first six months of 2022 adversely affected operating results.</w:t>
      </w:r>
    </w:p>
    <w:p>
      <w:pPr>
        <w:spacing w:after="0" w:line="140"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Overall, for the second quarter and first six months of 2022, operating revenues for other businesses increased due largely to the Leaf acquisition and increases at CRG and Framebridge. Operating results declined in the second quarter and first six months of 2022 due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primarily to losses at Leaf and increased losses at Framebridge, partially offset by improved results at CRG.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42" w:lineRule="exact"/>
        <w:rPr>
          <w:sz w:val="20"/>
          <w:szCs w:val="20"/>
          <w:color w:val="auto"/>
        </w:rPr>
      </w:pPr>
    </w:p>
    <w:p>
      <w:pPr>
        <w:ind w:right="700"/>
        <w:spacing w:after="0" w:line="301"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six months of 2022 due primarily to lower incentive compensation costs.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w:t>
      </w:r>
      <w:r>
        <w:rPr>
          <w:rFonts w:ascii="Arial" w:cs="Arial" w:eastAsia="Arial" w:hAnsi="Arial"/>
          <w:sz w:val="18"/>
          <w:szCs w:val="18"/>
          <w:b w:val="1"/>
          <w:bCs w:val="1"/>
          <w:u w:val="single" w:color="auto"/>
          <w:color w:val="auto"/>
          <w:highlight w:val="white"/>
        </w:rPr>
        <w:t>Losses)</w:t>
      </w:r>
      <w:r>
        <w:rPr>
          <w:rFonts w:ascii="Arial" w:cs="Arial" w:eastAsia="Arial" w:hAnsi="Arial"/>
          <w:sz w:val="18"/>
          <w:szCs w:val="18"/>
          <w:b w:val="1"/>
          <w:bCs w:val="1"/>
          <w:u w:val="single" w:color="auto"/>
          <w:color w:val="auto"/>
        </w:rPr>
        <w:t xml:space="preserve"> of Affiliates</w:t>
      </w:r>
    </w:p>
    <w:p>
      <w:pPr>
        <w:spacing w:after="0" w:line="144" w:lineRule="exact"/>
        <w:rPr>
          <w:sz w:val="20"/>
          <w:szCs w:val="20"/>
          <w:color w:val="auto"/>
        </w:rPr>
      </w:pPr>
    </w:p>
    <w:p>
      <w:pPr>
        <w:ind w:right="460"/>
        <w:spacing w:after="0" w:line="245" w:lineRule="auto"/>
        <w:rPr>
          <w:sz w:val="20"/>
          <w:szCs w:val="20"/>
          <w:color w:val="auto"/>
        </w:rPr>
      </w:pPr>
      <w:r>
        <w:rPr>
          <w:rFonts w:ascii="Arial" w:cs="Arial" w:eastAsia="Arial" w:hAnsi="Arial"/>
          <w:sz w:val="18"/>
          <w:szCs w:val="18"/>
          <w:color w:val="auto"/>
        </w:rPr>
        <w:t>At June 30, 2022, the Company held an approximate 12% interest in Intersection Holdings, LLC (Intersection), a company that provides digital marketing and advertising services and products for cities, transit systems, airports, and other public and private spaces. The</w:t>
      </w:r>
    </w:p>
    <w:p>
      <w:pPr>
        <w:ind w:right="40"/>
        <w:spacing w:after="0"/>
        <w:rPr>
          <w:sz w:val="20"/>
          <w:szCs w:val="20"/>
          <w:color w:val="auto"/>
        </w:rPr>
      </w:pPr>
      <w:r>
        <w:rPr>
          <w:rFonts w:ascii="Arial" w:cs="Arial" w:eastAsia="Arial" w:hAnsi="Arial"/>
          <w:sz w:val="17"/>
          <w:szCs w:val="17"/>
          <w:color w:val="auto"/>
        </w:rPr>
        <w:t>Company also holds interests in several other affiliates, including a number of home health and hospice joint ventures managed by GHG and two joint ventures managed by Kaplan. Overall, the Company recorded equity in earnings of affiliates of $1.4 million for the second quarter of</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2022, compared to $1.8 million for the second quarter of 2021. These amounts include $0.4 million and $1.4 million in net losses for the second quarter of 2022 and 2021, respectively, from affiliates whose operations are not managed by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Company; this includes losses from the Company’s investment in Intersection in the second quarter of 2022 and 2021.</w:t>
      </w:r>
    </w:p>
    <w:p>
      <w:pPr>
        <w:spacing w:after="0" w:line="15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recorded equity in earnings of affiliates of $4.0 million for the first six months of 2022, compared to $15.2 million for the first six months of 2021. These amounts include $0.1 million in net losses for the first six months of 2022 from affiliates whose operations are not</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managed by the Company compared to $8.9 million in net earnings for the first six months of 2021; this includes losses from the Company’s investment in Intersection in the first six months of 2022 and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incurred net interest expense of $15.3 million and $26.0 million for the second quarter and first six months of 2022,</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respectively; compared to $5.5 million and $13.0 million for the second quarter and first six months of 2021, respectively. The Company recorded interest expense of $8.0 million and $11.4 million in the second quarter and first six months of 2022, respectively, to adjust the fair</w:t>
      </w:r>
    </w:p>
    <w:p>
      <w:pPr>
        <w:spacing w:after="0" w:line="235" w:lineRule="auto"/>
        <w:rPr>
          <w:sz w:val="20"/>
          <w:szCs w:val="20"/>
          <w:color w:val="auto"/>
        </w:rPr>
      </w:pPr>
      <w:r>
        <w:rPr>
          <w:rFonts w:ascii="Arial" w:cs="Arial" w:eastAsia="Arial" w:hAnsi="Arial"/>
          <w:sz w:val="18"/>
          <w:szCs w:val="18"/>
          <w:color w:val="auto"/>
        </w:rPr>
        <w:t>value of the mandatorily redeemable noncontrolling interest at GHG. The Company recorded interest income of $1.0 million in the second</w:t>
      </w:r>
    </w:p>
    <w:p>
      <w:pPr>
        <w:ind w:right="120"/>
        <w:spacing w:after="0" w:line="237" w:lineRule="auto"/>
        <w:rPr>
          <w:sz w:val="20"/>
          <w:szCs w:val="20"/>
          <w:color w:val="auto"/>
        </w:rPr>
      </w:pPr>
      <w:r>
        <w:rPr>
          <w:rFonts w:ascii="Arial" w:cs="Arial" w:eastAsia="Arial" w:hAnsi="Arial"/>
          <w:sz w:val="18"/>
          <w:szCs w:val="18"/>
          <w:color w:val="auto"/>
        </w:rPr>
        <w:t>quarter of 2021 and net interest expense of $0.1 million in the first six months of 2021 to adjust the fair value of the mandatorily redeemable noncontrolling interest at GHG.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the Company had $606.2 million in borrowings outstanding at an average interest rate of 4.8%, and cash, marketable</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equity securities and other investments of $808.7 million. At June 30, 2022, the Company had $150.8 million outstanding on its $300 million revolving credit facility. On May 3, 2022, the Company entered into an amended and restated revolving credit facility agreement, which</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among other things, extends the maturity date to May 30, 2027, and removes USD LIBOR as a benchmark interest rate for borrowings denominated in U.S. dollars.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The Company recorded net non-operating pension and postretirement benefit income of $50.9 million and $101.4 million for the second quarter and first six months of 2022, respectively; compared to $25.2 million and $54.0 million for the second quarter and first six months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2021,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of 2021, the Company recorded $1.1 million in expenses related to a non-operating SIP at manufacturing.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(Loss) Gain on Marketable Equity Securities, 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recognized $165.5 million and $118.6 million in net losses on marketable equity securities in the second quarter and</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first six months of 2022, respectively; compared to $83.7 million and $162.9 million in net gains on marketable equity securities in the second quarter and first six months of 2021,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recorded total other non-operating income, net, of $1.2 million for the second quarter of 2022, compared to $16.1 million for the second quarter of 2021. The 2022 amounts included $0.8 million in gains related to the sale of businesses and contingent consideration,</w:t>
      </w:r>
    </w:p>
    <w:p>
      <w:pPr>
        <w:spacing w:after="0" w:line="235" w:lineRule="auto"/>
        <w:rPr>
          <w:sz w:val="20"/>
          <w:szCs w:val="20"/>
          <w:color w:val="auto"/>
        </w:rPr>
      </w:pPr>
      <w:r>
        <w:rPr>
          <w:rFonts w:ascii="Arial" w:cs="Arial" w:eastAsia="Arial" w:hAnsi="Arial"/>
          <w:sz w:val="18"/>
          <w:szCs w:val="18"/>
          <w:color w:val="auto"/>
        </w:rPr>
        <w:t>and other items; partially offset by $0.5 million in foreign currency losses. The 2021 amounts included $6.7 million in gains on the sale of cost</w:t>
      </w:r>
    </w:p>
    <w:p>
      <w:pPr>
        <w:spacing w:after="0" w:line="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method investments; $7.8 million in fair value increases on cost method investments; $0.7 million in foreign currency gains; $0.6 million in gains related to the sale of businesses and contingent consideration and 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total non-operating income, net of $4.1 million for the first six months of 2022, compared to $22.4 million for the first</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six months of 2021. The 2022 amounts included $1.7 million in gains related to the sale of businesses and contingent consideration; a $1.0 million gain on sale of a cost method investment; a $0.6 million gain on sale of an equity affiliate, and other items; partially offset by $1.5</w:t>
      </w:r>
    </w:p>
    <w:p>
      <w:pPr>
        <w:spacing w:after="0" w:line="236" w:lineRule="auto"/>
        <w:rPr>
          <w:sz w:val="20"/>
          <w:szCs w:val="20"/>
          <w:color w:val="auto"/>
        </w:rPr>
      </w:pPr>
      <w:r>
        <w:rPr>
          <w:rFonts w:ascii="Arial" w:cs="Arial" w:eastAsia="Arial" w:hAnsi="Arial"/>
          <w:sz w:val="18"/>
          <w:szCs w:val="18"/>
          <w:color w:val="auto"/>
        </w:rPr>
        <w:t>million in foreign currency losses. The 2021 amounts included $6.8 million in gains on sales of cost method investments; $10.5 million in fair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value increases on cost method investments; $1.4 million in gains related to the sale of businesses and contingent consideration; $0.7 million in foreign currency gains and 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2022 and 2021 was 32.2% and 27.0%,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diluted earnings per share for the second quarter and first six months of 2022 was based on 4,842,383 and 4,870,316</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weighted average shares outstanding, respectively, compared to 4,985,488 and 4,981,000, respectively, for the second quarter and first six months of 2021. At June 30, 2022, there were 4,850,326 shares outstanding. On September 10, 2020, the Board of Directors authorized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to acquire up to</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34" w:name="page35"/>
    <w:bookmarkEnd w:id="34"/>
    <w:p>
      <w:pPr>
        <w:ind w:right="980"/>
        <w:spacing w:after="0" w:line="414" w:lineRule="auto"/>
        <w:rPr>
          <w:sz w:val="20"/>
          <w:szCs w:val="20"/>
          <w:color w:val="auto"/>
        </w:rPr>
      </w:pPr>
      <w:r>
        <w:rPr>
          <w:rFonts w:ascii="Arial" w:cs="Arial" w:eastAsia="Arial" w:hAnsi="Arial"/>
          <w:sz w:val="18"/>
          <w:szCs w:val="18"/>
          <w:color w:val="auto"/>
        </w:rPr>
        <w:t xml:space="preserve">500,000 shares of its Class B common stock; the Company has remaining authorization for 212,473 shares as of June 30, 2022. </w:t>
      </w:r>
      <w:r>
        <w:rPr>
          <w:rFonts w:ascii="Arial" w:cs="Arial" w:eastAsia="Arial" w:hAnsi="Arial"/>
          <w:sz w:val="18"/>
          <w:szCs w:val="18"/>
          <w:b w:val="1"/>
          <w:bCs w:val="1"/>
          <w:u w:val="single" w:color="auto"/>
          <w:color w:val="auto"/>
        </w:rPr>
        <w:t>Other</w:t>
      </w:r>
    </w:p>
    <w:p>
      <w:pPr>
        <w:spacing w:after="0" w:line="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Company continuously assesses relevant events and circumstances to determine whether it is more likely than not that the fair value of a reporting unit is less than its carrying amount. In the second quarter of 2022, the Company performed an interim impairment review at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Leaf marketplace and Framebridge reporting units due to significant operating losses at the reporting units, combined with a decline in general market conditions and in market multiples. The quantitative goodwill impairment analyses indicated the estimated fair values of these</w:t>
      </w:r>
    </w:p>
    <w:p>
      <w:pPr>
        <w:spacing w:after="0" w:line="235" w:lineRule="auto"/>
        <w:rPr>
          <w:sz w:val="20"/>
          <w:szCs w:val="20"/>
          <w:color w:val="auto"/>
        </w:rPr>
      </w:pPr>
      <w:r>
        <w:rPr>
          <w:rFonts w:ascii="Arial" w:cs="Arial" w:eastAsia="Arial" w:hAnsi="Arial"/>
          <w:sz w:val="18"/>
          <w:szCs w:val="18"/>
          <w:color w:val="auto"/>
        </w:rPr>
        <w:t>reporting units, included in other businesses, exceeded their carrying values as of June 30, 2022. The estimated fair values of these</w:t>
      </w:r>
    </w:p>
    <w:p>
      <w:pPr>
        <w:ind w:right="140"/>
        <w:spacing w:after="0" w:line="237" w:lineRule="auto"/>
        <w:rPr>
          <w:sz w:val="20"/>
          <w:szCs w:val="20"/>
          <w:color w:val="auto"/>
        </w:rPr>
      </w:pPr>
      <w:r>
        <w:rPr>
          <w:rFonts w:ascii="Arial" w:cs="Arial" w:eastAsia="Arial" w:hAnsi="Arial"/>
          <w:sz w:val="18"/>
          <w:szCs w:val="18"/>
          <w:color w:val="auto"/>
        </w:rPr>
        <w:t>reporting units exceeded their carrying values by a margin less than 10%. The total goodwill at these reporting units was $79.0 million as of June 30, 2022, or 5% of the total goodwill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annual impairment testing in 2021, the Company performed a goodwill impairment review at all of its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reporting units. At the time, the estimated fair value of the Dekko reporting unit at the manufacturing businesses exceeded its carrying values by a margin less than 25%. The total goodwill at this reporting unit was $47.8 million as of June 30, 2022, or 3% of the total goodwill of the</w:t>
      </w:r>
    </w:p>
    <w:p>
      <w:pPr>
        <w:spacing w:after="0" w:line="1" w:lineRule="exact"/>
        <w:rPr>
          <w:sz w:val="20"/>
          <w:szCs w:val="20"/>
          <w:color w:val="auto"/>
        </w:rPr>
      </w:pPr>
    </w:p>
    <w:p>
      <w:pPr>
        <w:ind w:right="520"/>
        <w:spacing w:after="0" w:line="250" w:lineRule="auto"/>
        <w:rPr>
          <w:sz w:val="20"/>
          <w:szCs w:val="20"/>
          <w:color w:val="auto"/>
        </w:rPr>
      </w:pPr>
      <w:r>
        <w:rPr>
          <w:rFonts w:ascii="Arial" w:cs="Arial" w:eastAsia="Arial" w:hAnsi="Arial"/>
          <w:sz w:val="18"/>
          <w:szCs w:val="18"/>
          <w:color w:val="auto"/>
        </w:rPr>
        <w:t>Company. The estimated fair value of the Company’s other reporting units with significant goodwill balances exceeded their respective carrying values by a margin in excess of 25% at the time of the annual test.</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It is possible that impairment charges, which may be material, could occur in the future, given changes in market conditions and the inherent variability in projecting future operating performance.</w:t>
      </w:r>
    </w:p>
    <w:p>
      <w:pPr>
        <w:spacing w:after="0" w:line="100"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As previously communicated, the Company has been exploring opportunities to utilize surplus pension assets in a tax-efficient manner. This includes studying the viability of a transaction in which a part of the existing pension plan is spun off and then terminated in order to fund</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what is known as a Qualified Replacement Plan (QRP), which could allow the Company to utilize its pension surplus to fund and expand defined contribution benefits. Because of the complexities associated with these transactions and to ensure excise taxes of up to 50% would</w:t>
      </w:r>
    </w:p>
    <w:p>
      <w:pPr>
        <w:spacing w:after="0" w:line="236" w:lineRule="auto"/>
        <w:rPr>
          <w:sz w:val="20"/>
          <w:szCs w:val="20"/>
          <w:color w:val="auto"/>
        </w:rPr>
      </w:pPr>
      <w:r>
        <w:rPr>
          <w:rFonts w:ascii="Arial" w:cs="Arial" w:eastAsia="Arial" w:hAnsi="Arial"/>
          <w:sz w:val="18"/>
          <w:szCs w:val="18"/>
          <w:color w:val="auto"/>
        </w:rPr>
        <w:t>not be imposed, companies pursuing these transactions typically sought private letter rulings from the IRS prior to implementing them.</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However, in June 2022, the IRS announced that it will no longer issue private letter rulings on such transactions, and as a result, the Company is no longer actively considering this specific transaction.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210"/>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June 30, 2022</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126,368</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145,886</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19,495</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12,957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662,831</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824,445</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606,152</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667,501</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equity securities, which is considered when assessing the Company’s sources of liquidity. An additional source of liquidity includes the undrawn portion of the Company’s $300 million revolving credit facility, amounting to $149.2 million at June 30,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March 2020, the U.S. government enacted legislation, including the Coronavirus Aid, Relief, and Economic Security Act (CARES Act) to</w:t>
      </w:r>
    </w:p>
    <w:p>
      <w:pPr>
        <w:spacing w:after="0" w:line="1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provide stimulus in the form of financial aid to businesses affected by the COVID-19 pandemic. Under the CARES Act, employers may defer the payment of the employer share of FICA taxes due for the period beginning on March 27, 2020, and ending December 31, 2020. The</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Company deferred $21.5 million of FICA payments under this program, with $10.7 million of the deferred payments still payable at June 30, 2022. The remaining deferred balance is due by December 31, 2022.</w:t>
      </w:r>
    </w:p>
    <w:p>
      <w:pPr>
        <w:spacing w:after="0" w:line="104"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April 2020, GHG applied for and received $31.5 million under the expanded Medicare Accelerated and Advanced Payment</w:t>
      </w:r>
    </w:p>
    <w:p>
      <w:pPr>
        <w:ind w:right="20"/>
        <w:spacing w:after="0" w:line="226" w:lineRule="auto"/>
        <w:rPr>
          <w:sz w:val="20"/>
          <w:szCs w:val="20"/>
          <w:color w:val="auto"/>
        </w:rPr>
      </w:pPr>
      <w:r>
        <w:rPr>
          <w:rFonts w:ascii="Arial" w:cs="Arial" w:eastAsia="Arial" w:hAnsi="Arial"/>
          <w:sz w:val="18"/>
          <w:szCs w:val="18"/>
          <w:color w:val="auto"/>
        </w:rPr>
        <w:t>Program, modified by the CARES Act. The Department of Health and Human Services (HHS) started to recoup this advance in April 2021 by withholding a portion of the amount reimbursed for claims submitted for services provided after the beginning of the recoupment period.</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During the six months ended June 30, 2022, an amount of $ 12.0 million was withheld by HHS and the Company expects the remaining balance of $0.5 million to be withheld from claims submitted in the next three months.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During the first six months of 2022, the Company’s cash and cash equivalents decreased by $19.5 million, due to the net repayment of</w:t>
      </w:r>
    </w:p>
    <w:p>
      <w:pPr>
        <w:spacing w:after="0" w:line="14"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borrowings, additional investments in marketable equity securities and equity affiliates, capital expenditures, dividend payments and share repurchases, which was offset by cash generated from operations and the proceeds from the sale of marketable equity securities. In the first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six months of 2022, the Company’s borrowings decreased by $61.3 million, primarily due to repayments under the revolving credit facility.</w:t>
      </w:r>
    </w:p>
    <w:p>
      <w:pPr>
        <w:spacing w:after="0" w:line="140"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At June 30, 2022, the Company held approximately $69 million in cash and cash equivalents in businesses domiciled outside the U.S., of which approximately $7 million is not available for immediate use in operations or for distribution. Additionally, Kaplan’s business operations</w:t>
      </w:r>
    </w:p>
    <w:p>
      <w:pPr>
        <w:spacing w:after="0" w:line="235" w:lineRule="auto"/>
        <w:rPr>
          <w:sz w:val="20"/>
          <w:szCs w:val="20"/>
          <w:color w:val="auto"/>
        </w:rPr>
      </w:pPr>
      <w:r>
        <w:rPr>
          <w:rFonts w:ascii="Arial" w:cs="Arial" w:eastAsia="Arial" w:hAnsi="Arial"/>
          <w:sz w:val="18"/>
          <w:szCs w:val="18"/>
          <w:color w:val="auto"/>
        </w:rPr>
        <w:t>outside the U.S. retain cash balances to support ongoing working capital requirements, capital expenditures, and regulatory requirements. As</w:t>
      </w:r>
    </w:p>
    <w:p>
      <w:pPr>
        <w:ind w:right="100"/>
        <w:spacing w:after="0" w:line="237" w:lineRule="auto"/>
        <w:rPr>
          <w:sz w:val="20"/>
          <w:szCs w:val="20"/>
          <w:color w:val="auto"/>
        </w:rPr>
      </w:pPr>
      <w:r>
        <w:rPr>
          <w:rFonts w:ascii="Arial" w:cs="Arial" w:eastAsia="Arial" w:hAnsi="Arial"/>
          <w:sz w:val="18"/>
          <w:szCs w:val="18"/>
          <w:color w:val="auto"/>
        </w:rPr>
        <w:t>a result, the Company considers a significant portion of the cash and cash equivalents balance held outside the U.S. as not readily available for use in U.S.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2022, the fair value of the Company’s investments in marketable equity securities was $648.6 million, which includes investments</w:t>
      </w:r>
    </w:p>
    <w:p>
      <w:pPr>
        <w:spacing w:after="0" w:line="14" w:lineRule="exact"/>
        <w:rPr>
          <w:sz w:val="20"/>
          <w:szCs w:val="20"/>
          <w:color w:val="auto"/>
        </w:rPr>
      </w:pPr>
    </w:p>
    <w:p>
      <w:pPr>
        <w:ind w:right="620"/>
        <w:spacing w:after="0" w:line="226" w:lineRule="auto"/>
        <w:rPr>
          <w:sz w:val="20"/>
          <w:szCs w:val="20"/>
          <w:color w:val="auto"/>
        </w:rPr>
      </w:pPr>
      <w:r>
        <w:rPr>
          <w:rFonts w:ascii="Arial" w:cs="Arial" w:eastAsia="Arial" w:hAnsi="Arial"/>
          <w:sz w:val="18"/>
          <w:szCs w:val="18"/>
          <w:color w:val="auto"/>
        </w:rPr>
        <w:t>in the common stock of five publicly traded companies. During the first six months of 2022, the Company purchased $31.5 million of marketable equity securities and sold marketable equity securities that generated proceeds of $74.2 million. At June 30, 2022, the net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unrealized gain related to the Company’s investments totaled $379.0 million.</w:t>
      </w:r>
    </w:p>
    <w:p>
      <w:pPr>
        <w:spacing w:after="0" w:line="14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Company had working capital of $581.0 million and $680.8 million at June 30, 2022 and December 31, 2021, respectively. The Company maintains working capital levels consistent with its underlying business requirements and consistently generates cash from operations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excess of required interest or principal payments.</w:t>
      </w:r>
    </w:p>
    <w:p>
      <w:pPr>
        <w:spacing w:after="0" w:line="140"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At June 30, 2022 and December 31, 2021, the Company had borrowings outstanding of $606.2 million and $667.5 million, respectively. The Company’s borrowings at June 30, 2022 were mostly from $400.0 million of 5.75% unsecured notes due June 1, 2026, $150.8 million in</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outstanding borrowings under the Company’s revolving credit facility and commercial notes of $45.6 million at the Automotive subsidiary. The Company’s borrowings at December 31, 2021 were mostly from $400.0 million of 5.75% unsecured notes due June 1, 2026, $209.6 million in</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outstanding borrowings under the Company’s revolving credit facility and commercial notes of $47.0 million at the Automotive subsidiary. The interest on the $400.0 million of 5.75% unsecured notes is payable semiannually on June 1 and December 1.</w:t>
      </w:r>
    </w:p>
    <w:p>
      <w:pPr>
        <w:spacing w:after="0" w:line="10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On May 3, 2022, the Company amended the revolving credit facility agreement to, among other things, extend the maturity date to May 30, 2027.</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During the six months ended June 30, 2022 and 2021, the Company had average borrowings outstanding of approximately $648.8 million and $520.0 million, respectively, at average annual interest rates of approximately 4.5% and 5.0%, respectively. During the six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 the Company incurred net interest expense of $26.0 million and $13.0 million, respectively.</w:t>
      </w:r>
    </w:p>
    <w:p>
      <w:pPr>
        <w:spacing w:after="0" w:line="14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 operations. In addition to a cash payment and the assumption of $10.9 million in floor plan payables, the automotive subsidiary borrowed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$77.4 million to finance the acquisition.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On April 12, 2022, Standard &amp; Poor’s affirmed the Company’s credit rating and maintained the outlook as Stable.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The Company expects to fund its estimated capital needs primarily through existing cash balances and internally generated funds, and, as needed, from borrowings under its revolving credit facility. As of June 30, 2022, the Company had $150.8 million outstanding under the $300</w:t>
      </w:r>
    </w:p>
    <w:p>
      <w:pPr>
        <w:spacing w:after="0" w:line="235" w:lineRule="auto"/>
        <w:rPr>
          <w:sz w:val="20"/>
          <w:szCs w:val="20"/>
          <w:color w:val="auto"/>
        </w:rPr>
      </w:pPr>
      <w:r>
        <w:rPr>
          <w:rFonts w:ascii="Arial" w:cs="Arial" w:eastAsia="Arial" w:hAnsi="Arial"/>
          <w:sz w:val="18"/>
          <w:szCs w:val="18"/>
          <w:color w:val="auto"/>
        </w:rPr>
        <w:t>million revolving credit facility. In management’s opinion, the Company will have sufficient financial resources to meet its business</w:t>
      </w:r>
    </w:p>
    <w:p>
      <w:pPr>
        <w:ind w:right="280"/>
        <w:spacing w:after="0" w:line="237"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June 30</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8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40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06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operating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investing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financing activities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99,408</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72,845</w:t>
            </w:r>
          </w:p>
        </w:tc>
      </w:tr>
      <w:tr>
        <w:trPr>
          <w:trHeight w:val="230"/>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(17,916)</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(310,508)</w:t>
            </w:r>
          </w:p>
        </w:tc>
      </w:tr>
      <w:tr>
        <w:trPr>
          <w:trHeight w:val="229"/>
        </w:trPr>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(89,571)</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(59,175)</w:t>
            </w:r>
          </w:p>
        </w:tc>
      </w:tr>
      <w:tr>
        <w:trPr>
          <w:trHeight w:val="233"/>
        </w:trPr>
        <w:tc>
          <w:tcPr>
            <w:tcW w:w="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(4,901)</w:t>
            </w: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223"/>
        </w:trPr>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(12,980)</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(297,522)</w:t>
            </w:r>
          </w:p>
        </w:tc>
      </w:tr>
      <w:tr>
        <w:trPr>
          <w:trHeight w:val="24"/>
        </w:trPr>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00" w:space="720"/>
            <w:col w:w="2780"/>
          </w:cols>
          <w:pgMar w:left="320" w:top="931" w:right="379" w:bottom="1440" w:gutter="0" w:footer="0" w:header="0"/>
          <w:type w:val="continuous"/>
        </w:sectPr>
      </w:pPr>
    </w:p>
    <w:p>
      <w:pPr>
        <w:spacing w:after="0" w:line="1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63"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4"/>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29,951</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228,561</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long-lived asset impairments</w:t>
            </w:r>
          </w:p>
        </w:tc>
        <w:tc>
          <w:tcPr>
            <w:tcW w:w="300" w:type="dxa"/>
            <w:vAlign w:val="bottom"/>
          </w:tcPr>
          <w:p>
            <w:pPr>
              <w:spacing w:after="0"/>
              <w:rPr>
                <w:sz w:val="20"/>
                <w:szCs w:val="20"/>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68,689</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65,786</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33,473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36,774</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(90,971)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(45,413)</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130,623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(128,933)</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(72,357)</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(83,930)</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99,408</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72,845</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the first six months of 2022 compared to the first six months of 2021, the increase in net cash provided by operating activities is primarily driven by higher net income, net of non-cash adjustments, and changes in operating assets and liabilities. Changes in operating assets and</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liabilities were primarily the result of an increase in the collection of cash from customers that were offset by higher purchase of inventories and decreases in accounts payable and accrued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221"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sales of (purchases of) marketable equity securities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42,765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(10,407)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(32,154)</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(27,502)</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(27,950)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(4,910)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certain businesses, net of cash acquired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(3,053)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(272,428)</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2,476</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4,739</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(17,916)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(310,508)</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i w:val="1"/>
          <w:iCs w:val="1"/>
          <w:color w:val="auto"/>
        </w:rPr>
        <w:t xml:space="preserve">Net proceeds from sale of (purchases of) marketable equity securities. </w:t>
      </w:r>
      <w:r>
        <w:rPr>
          <w:rFonts w:ascii="Arial" w:cs="Arial" w:eastAsia="Arial" w:hAnsi="Arial"/>
          <w:sz w:val="17"/>
          <w:szCs w:val="17"/>
          <w:color w:val="auto"/>
        </w:rPr>
        <w:t>During the first six months of 2022 and 2021, the Company sold</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equity securities that generated proceeds of $74.2 million and $37.6 million, respectively. The Company purchased $31.5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$48.0 million of marketable equity securities during the first six months of 2022 and 2021, respectively.</w:t>
      </w:r>
    </w:p>
    <w:p>
      <w:pPr>
        <w:spacing w:after="0" w:line="140" w:lineRule="exact"/>
        <w:rPr>
          <w:sz w:val="20"/>
          <w:szCs w:val="20"/>
          <w:color w:val="auto"/>
        </w:rPr>
      </w:pPr>
    </w:p>
    <w:p>
      <w:pPr>
        <w:ind w:right="340"/>
        <w:spacing w:after="0" w:line="251"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The amounts reflected in the Company’s Condensed Consolidated Statements of Cash Flows are based on cash</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made during the relevant periods, whereas the Company’s capital expenditures for the first six months of 2022 of $31.4 million</w:t>
      </w:r>
    </w:p>
    <w:p>
      <w:pPr>
        <w:spacing w:after="0" w:line="1"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include assets acquired during the quarter. The Company estimates that its capital expenditures will be in the range of $70 million to $80 million in 2022.</w:t>
      </w:r>
    </w:p>
    <w:p>
      <w:pPr>
        <w:spacing w:after="0" w:line="12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the first six months of 2022, GHG invested an additional $18.5 million in two affiliates to fund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an interest in a health system in Illinois.</w:t>
      </w:r>
    </w:p>
    <w:p>
      <w:pPr>
        <w:spacing w:after="0" w:line="86"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In May 2022, GHG acquired two small businesses which are included in healthcare. During the first six months of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acquired all of the outstanding shares of Leaf for cash and the assumption of $9.2</w:t>
      </w:r>
    </w:p>
    <w:p>
      <w:pPr>
        <w:sectPr>
          <w:pgSz w:w="11900" w:h="16838" w:orient="portrait"/>
          <w:cols w:equalWidth="0" w:num="1">
            <w:col w:w="11200"/>
          </w:cols>
          <w:pgMar w:left="320" w:top="931" w:right="37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7" w:name="page38"/>
    <w:bookmarkEnd w:id="37"/>
    <w:p>
      <w:pPr>
        <w:ind w:right="860"/>
        <w:spacing w:after="0" w:line="271" w:lineRule="auto"/>
        <w:rPr>
          <w:sz w:val="20"/>
          <w:szCs w:val="20"/>
          <w:color w:val="auto"/>
        </w:rPr>
      </w:pPr>
      <w:r>
        <w:rPr>
          <w:rFonts w:ascii="Arial" w:cs="Arial" w:eastAsia="Arial" w:hAnsi="Arial"/>
          <w:sz w:val="18"/>
          <w:szCs w:val="18"/>
          <w:color w:val="auto"/>
        </w:rPr>
        <w:t>million in liabilities related to their pre-acquisition stock compensation plan, which will be paid in the future. Leaf is included in other businesses.</w:t>
      </w:r>
    </w:p>
    <w:p>
      <w:pPr>
        <w:spacing w:after="0" w:line="8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July 5, 2022, the Company’s automotive subsidiary acquired two automotive dealerships, including the real property for the dealership operations, which will be included in automotive.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54"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Six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under revolving credit facility</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(47,000)</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(2,304)</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(7,580)</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(2,071)</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(repayments of) vehicle floor plan payable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14,121</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(9,591)</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(34,303)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(15,465)</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(15,106)</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656</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(30,103)</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(89,571)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(59,175)</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six months of 2022, the Company made repayments on the $300 million revolving</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credit facility. In the first six months of 2022 and 2021, the Company used vehicle floor plan financing to fund the purchase of new, used and service loaner vehicles at its automotive division. The proceeds from (repayments of) the vehicle floor plan payable fluctuates with changes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amount of vehicle inventory held by the automotive dealerships.</w:t>
      </w:r>
    </w:p>
    <w:p>
      <w:pPr>
        <w:spacing w:after="0" w:line="140"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i w:val="1"/>
          <w:iCs w:val="1"/>
          <w:color w:val="auto"/>
        </w:rPr>
        <w:t xml:space="preserve">Common Stock Repurchases. </w:t>
      </w:r>
      <w:r>
        <w:rPr>
          <w:rFonts w:ascii="Arial" w:cs="Arial" w:eastAsia="Arial" w:hAnsi="Arial"/>
          <w:sz w:val="17"/>
          <w:szCs w:val="17"/>
          <w:color w:val="auto"/>
        </w:rPr>
        <w:t>During the first six months of 2022, the Company purchased a total of 57,709 shares of its Class B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a cost of approximately $34.3 million. On September 10, 2020, the Board of Directors authorized the Company to acquire up to</w:t>
      </w:r>
    </w:p>
    <w:p>
      <w:pPr>
        <w:spacing w:after="0" w:line="235" w:lineRule="auto"/>
        <w:rPr>
          <w:sz w:val="20"/>
          <w:szCs w:val="20"/>
          <w:color w:val="auto"/>
        </w:rPr>
      </w:pPr>
      <w:r>
        <w:rPr>
          <w:rFonts w:ascii="Arial" w:cs="Arial" w:eastAsia="Arial" w:hAnsi="Arial"/>
          <w:sz w:val="18"/>
          <w:szCs w:val="18"/>
          <w:color w:val="auto"/>
        </w:rPr>
        <w:t>500,000 shares of its Class B common stock. The Company did not announce a ceiling price or time limit for the purchases. At June 30,</w:t>
      </w:r>
    </w:p>
    <w:p>
      <w:pPr>
        <w:spacing w:after="0"/>
        <w:rPr>
          <w:sz w:val="20"/>
          <w:szCs w:val="20"/>
          <w:color w:val="auto"/>
        </w:rPr>
      </w:pPr>
      <w:r>
        <w:rPr>
          <w:rFonts w:ascii="Arial" w:cs="Arial" w:eastAsia="Arial" w:hAnsi="Arial"/>
          <w:sz w:val="18"/>
          <w:szCs w:val="18"/>
          <w:color w:val="auto"/>
        </w:rPr>
        <w:t>2022, the Company had remaining authorization from the Board of Directors to purchase up to 212,473 shares of Class B common stock.</w:t>
      </w:r>
    </w:p>
    <w:p>
      <w:pPr>
        <w:spacing w:after="0" w:line="12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$1.58 and $1.51 for the first six months of 2022 and 2021, respectively.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expects to pay a dividend of $6.32 per share in 2022.</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six months of 2022, the Company paid $4.7 million related to deferred payments from prior acquisitions. During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of 2021, the Company paid $30.9 million related to contingent consideration and deferred payments from prior acquisitions,</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mostly for the 2020 acquisition of Framebridge. During the first six months of 2022 and 2021, the Company increased the borrowings under its cash overdraft facilities by $6.1 million and $4.4 million, respectively. In March 2021, Hoover’s minority shareholders put their remaining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 to the Company, which had a redemption value of $3.5 million.</w:t>
      </w:r>
    </w:p>
    <w:p>
      <w:pPr>
        <w:spacing w:after="0" w:line="14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report, in the Company’s Annual Report on Form 10-K and in the Company’s 2021 Annual Report to Stockholders, are “forward-looking</w:t>
      </w:r>
    </w:p>
    <w:p>
      <w:pPr>
        <w:spacing w:after="0" w:line="235" w:lineRule="auto"/>
        <w:rPr>
          <w:sz w:val="20"/>
          <w:szCs w:val="20"/>
          <w:color w:val="auto"/>
        </w:rPr>
      </w:pPr>
      <w:r>
        <w:rPr>
          <w:rFonts w:ascii="Arial" w:cs="Arial" w:eastAsia="Arial" w:hAnsi="Arial"/>
          <w:sz w:val="18"/>
          <w:szCs w:val="18"/>
          <w:color w:val="auto"/>
        </w:rPr>
        <w:t>statements” within the meaning of the Private Securities Litigation Reform Act of 1995. Actual results may differ materially from those</w:t>
      </w:r>
    </w:p>
    <w:p>
      <w:pPr>
        <w:ind w:right="40"/>
        <w:spacing w:after="0" w:line="226" w:lineRule="auto"/>
        <w:rPr>
          <w:sz w:val="20"/>
          <w:szCs w:val="20"/>
          <w:color w:val="auto"/>
        </w:rPr>
      </w:pPr>
      <w:r>
        <w:rPr>
          <w:rFonts w:ascii="Arial" w:cs="Arial" w:eastAsia="Arial" w:hAnsi="Arial"/>
          <w:sz w:val="18"/>
          <w:szCs w:val="18"/>
          <w:color w:val="auto"/>
        </w:rPr>
        <w:t>projected as a result of certain risks and uncertainties, including but not limited to the duration and severity of the COVID-19 pandemic and its effects on the Company’s operations, financial results, liquidity and cash flows. Other forward-looking statements include comments about</w:t>
      </w:r>
    </w:p>
    <w:p>
      <w:pPr>
        <w:spacing w:after="0" w:line="236" w:lineRule="auto"/>
        <w:rPr>
          <w:sz w:val="20"/>
          <w:szCs w:val="20"/>
          <w:color w:val="auto"/>
        </w:rPr>
      </w:pPr>
      <w:r>
        <w:rPr>
          <w:rFonts w:ascii="Arial" w:cs="Arial" w:eastAsia="Arial" w:hAnsi="Arial"/>
          <w:sz w:val="18"/>
          <w:szCs w:val="18"/>
          <w:color w:val="auto"/>
        </w:rPr>
        <w:t>expectations related to acquisitions or dispositions or related business activities, including the TOSA, the Company’s business strategies and</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objectives, anticipated results of license renewal applications, the prospects for growth in the Company’s various business operations and the Company’s future financial performance. As with any projection or forecast, forward-looking statements are subject to various risks and</w:t>
      </w:r>
    </w:p>
    <w:p>
      <w:pPr>
        <w:spacing w:after="0" w:line="235" w:lineRule="auto"/>
        <w:rPr>
          <w:sz w:val="20"/>
          <w:szCs w:val="20"/>
          <w:color w:val="auto"/>
        </w:rPr>
      </w:pPr>
      <w:r>
        <w:rPr>
          <w:rFonts w:ascii="Arial" w:cs="Arial" w:eastAsia="Arial" w:hAnsi="Arial"/>
          <w:sz w:val="18"/>
          <w:szCs w:val="18"/>
          <w:color w:val="auto"/>
        </w:rPr>
        <w:t>uncertainties, including the risks and uncertainties described in Item 1A of the Company’s Annual Report on Form 10-K, that could cause</w:t>
      </w:r>
    </w:p>
    <w:p>
      <w:pPr>
        <w:ind w:right="280"/>
        <w:spacing w:after="0"/>
        <w:rPr>
          <w:sz w:val="20"/>
          <w:szCs w:val="20"/>
          <w:color w:val="auto"/>
        </w:rPr>
      </w:pPr>
      <w:r>
        <w:rPr>
          <w:rFonts w:ascii="Arial" w:cs="Arial" w:eastAsia="Arial" w:hAnsi="Arial"/>
          <w:sz w:val="17"/>
          <w:szCs w:val="17"/>
          <w:color w:val="auto"/>
        </w:rPr>
        <w:t>actual results or events to differ materially from those anticipated in such statements. Accordingly, undue reliance should not be placed on any forward-looking statement made by or on behalf of the Company. The Company assumes no obligation to update any forward-looking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 after the date on which such statement is made, even if new information subsequently becomes available.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foreign business operations, which are subject to foreign exchange rate risk. The Company’s market risk disclosures set forth in its 2021 Annual Report filed on Form 10-K have not otherwise changed significantly.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(principal</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executive officer) and the Company’s Chief Financial Officer (principal financial officer), of the effectiveness of the Company’s disclosure controls and procedures (as defined in Exchange Act Rules 13a-15(e) and 15d-15(e)), as of June 30, 2022. Based on that evaluation, the</w:t>
      </w:r>
    </w:p>
    <w:p>
      <w:pPr>
        <w:spacing w:after="0" w:line="236" w:lineRule="auto"/>
        <w:rPr>
          <w:sz w:val="20"/>
          <w:szCs w:val="20"/>
          <w:color w:val="auto"/>
        </w:rPr>
      </w:pPr>
      <w:r>
        <w:rPr>
          <w:rFonts w:ascii="Arial" w:cs="Arial" w:eastAsia="Arial" w:hAnsi="Arial"/>
          <w:sz w:val="18"/>
          <w:szCs w:val="18"/>
          <w:color w:val="auto"/>
        </w:rPr>
        <w:t>Company’s Chief Executive Officer and Chief Financial Officer have concluded that the Company’s disclosure controls and procedures, as</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June 30, 2022</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9" w:right="499" w:bottom="1440" w:gutter="0" w:footer="0" w:header="0"/>
        </w:sectPr>
      </w:pPr>
    </w:p>
    <w:bookmarkStart w:id="39" w:name="page40"/>
    <w:bookmarkEnd w:id="39"/>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2022, the Company purchased shares of its Class B Common Stock as set forth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30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April</w:t>
            </w:r>
          </w:p>
        </w:tc>
        <w:tc>
          <w:tcPr>
            <w:tcW w:w="1320" w:type="dxa"/>
            <w:vAlign w:val="bottom"/>
          </w:tcPr>
          <w:p>
            <w:pPr>
              <w:jc w:val="right"/>
              <w:spacing w:after="0"/>
              <w:rPr>
                <w:sz w:val="20"/>
                <w:szCs w:val="20"/>
                <w:color w:val="auto"/>
              </w:rPr>
            </w:pPr>
            <w:r>
              <w:rPr>
                <w:rFonts w:ascii="Arial" w:cs="Arial" w:eastAsia="Arial" w:hAnsi="Arial"/>
                <w:sz w:val="16"/>
                <w:szCs w:val="16"/>
                <w:color w:val="auto"/>
              </w:rPr>
              <w:t>11,762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610.19</w:t>
            </w:r>
          </w:p>
        </w:tc>
        <w:tc>
          <w:tcPr>
            <w:tcW w:w="1720" w:type="dxa"/>
            <w:vAlign w:val="bottom"/>
          </w:tcPr>
          <w:p>
            <w:pPr>
              <w:jc w:val="right"/>
              <w:spacing w:after="0"/>
              <w:rPr>
                <w:sz w:val="20"/>
                <w:szCs w:val="20"/>
                <w:color w:val="auto"/>
              </w:rPr>
            </w:pPr>
            <w:r>
              <w:rPr>
                <w:rFonts w:ascii="Arial" w:cs="Arial" w:eastAsia="Arial" w:hAnsi="Arial"/>
                <w:sz w:val="16"/>
                <w:szCs w:val="16"/>
                <w:color w:val="auto"/>
              </w:rPr>
              <w:t>11,762</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242,457</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May</w:t>
            </w:r>
          </w:p>
        </w:tc>
        <w:tc>
          <w:tcPr>
            <w:tcW w:w="1320" w:type="dxa"/>
            <w:vAlign w:val="bottom"/>
          </w:tcPr>
          <w:p>
            <w:pPr>
              <w:jc w:val="right"/>
              <w:spacing w:after="0"/>
              <w:rPr>
                <w:sz w:val="20"/>
                <w:szCs w:val="20"/>
                <w:color w:val="auto"/>
              </w:rPr>
            </w:pPr>
            <w:r>
              <w:rPr>
                <w:rFonts w:ascii="Arial" w:cs="Arial" w:eastAsia="Arial" w:hAnsi="Arial"/>
                <w:sz w:val="16"/>
                <w:szCs w:val="16"/>
                <w:color w:val="auto"/>
              </w:rPr>
              <w:t>15,801</w:t>
            </w:r>
          </w:p>
        </w:tc>
        <w:tc>
          <w:tcPr>
            <w:tcW w:w="2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600.01</w:t>
            </w:r>
          </w:p>
        </w:tc>
        <w:tc>
          <w:tcPr>
            <w:tcW w:w="1720" w:type="dxa"/>
            <w:vAlign w:val="bottom"/>
          </w:tcPr>
          <w:p>
            <w:pPr>
              <w:jc w:val="right"/>
              <w:spacing w:after="0"/>
              <w:rPr>
                <w:sz w:val="20"/>
                <w:szCs w:val="20"/>
                <w:color w:val="auto"/>
              </w:rPr>
            </w:pPr>
            <w:r>
              <w:rPr>
                <w:rFonts w:ascii="Arial" w:cs="Arial" w:eastAsia="Arial" w:hAnsi="Arial"/>
                <w:sz w:val="16"/>
                <w:szCs w:val="16"/>
                <w:color w:val="auto"/>
              </w:rPr>
              <w:t>15,801</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226,656</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Arial" w:cs="Arial" w:eastAsia="Arial" w:hAnsi="Arial"/>
                <w:sz w:val="16"/>
                <w:szCs w:val="16"/>
                <w:color w:val="auto"/>
              </w:rPr>
              <w:t>June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14,183</w:t>
            </w:r>
          </w:p>
        </w:tc>
        <w:tc>
          <w:tcPr>
            <w:tcW w:w="24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572.38</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14,183</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212,473</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41,746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593.49</w:t>
            </w:r>
          </w:p>
        </w:tc>
        <w:tc>
          <w:tcPr>
            <w:tcW w:w="1720" w:type="dxa"/>
            <w:vAlign w:val="bottom"/>
          </w:tcPr>
          <w:p>
            <w:pPr>
              <w:jc w:val="right"/>
              <w:spacing w:after="0"/>
              <w:rPr>
                <w:sz w:val="20"/>
                <w:szCs w:val="20"/>
                <w:color w:val="auto"/>
              </w:rPr>
            </w:pPr>
            <w:r>
              <w:rPr>
                <w:rFonts w:ascii="Arial" w:cs="Arial" w:eastAsia="Arial" w:hAnsi="Arial"/>
                <w:sz w:val="16"/>
                <w:szCs w:val="16"/>
                <w:color w:val="auto"/>
              </w:rPr>
              <w:t>41,746</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June 30, 2022 were open market transactions and some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these shares were purchased under a 10b5-1 plan.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14"/>
                <w:szCs w:val="14"/>
                <w:color w:val="auto"/>
              </w:rPr>
            </w:pPr>
          </w:p>
        </w:tc>
        <w:tc>
          <w:tcPr>
            <w:tcW w:w="6080" w:type="dxa"/>
            <w:vAlign w:val="bottom"/>
            <w:gridSpan w:val="19"/>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7"/>
                <w:szCs w:val="17"/>
                <w:color w:val="auto"/>
              </w:rPr>
            </w:pPr>
          </w:p>
        </w:tc>
        <w:tc>
          <w:tcPr>
            <w:tcW w:w="6080" w:type="dxa"/>
            <w:vAlign w:val="bottom"/>
            <w:gridSpan w:val="1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20"/>
          </w:tcPr>
          <w:p>
            <w:pPr>
              <w:spacing w:after="0"/>
              <w:rPr>
                <w:rFonts w:ascii="Arial" w:cs="Arial" w:eastAsia="Arial" w:hAnsi="Arial"/>
                <w:sz w:val="16"/>
                <w:szCs w:val="16"/>
                <w:color w:val="0000FF"/>
              </w:rPr>
            </w:pPr>
            <w:hyperlink r:id="rId61">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20" w:type="dxa"/>
            <w:vAlign w:val="bottom"/>
            <w:tcBorders>
              <w:top w:val="single" w:sz="8" w:color="0000FF"/>
            </w:tcBorders>
            <w:gridSpan w:val="15"/>
          </w:tcPr>
          <w:p>
            <w:pPr>
              <w:spacing w:after="0" w:line="155" w:lineRule="exact"/>
              <w:rPr>
                <w:rFonts w:ascii="Arial" w:cs="Arial" w:eastAsia="Arial" w:hAnsi="Arial"/>
                <w:sz w:val="16"/>
                <w:szCs w:val="16"/>
                <w:color w:val="0000FF"/>
              </w:rPr>
            </w:pPr>
            <w:hyperlink r:id="rId61">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20"/>
          </w:tcPr>
          <w:p>
            <w:pPr>
              <w:spacing w:after="0"/>
              <w:rPr>
                <w:rFonts w:ascii="Arial" w:cs="Arial" w:eastAsia="Arial" w:hAnsi="Arial"/>
                <w:sz w:val="16"/>
                <w:szCs w:val="16"/>
                <w:color w:val="0000FF"/>
              </w:rPr>
            </w:pPr>
            <w:hyperlink r:id="rId62">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62">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20"/>
          </w:tcPr>
          <w:p>
            <w:pPr>
              <w:spacing w:after="0"/>
              <w:rPr>
                <w:rFonts w:ascii="Arial" w:cs="Arial" w:eastAsia="Arial" w:hAnsi="Arial"/>
                <w:sz w:val="16"/>
                <w:szCs w:val="16"/>
                <w:color w:val="0000FF"/>
              </w:rPr>
            </w:pPr>
            <w:hyperlink r:id="rId63">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80" w:type="dxa"/>
            <w:vAlign w:val="bottom"/>
            <w:tcBorders>
              <w:top w:val="single" w:sz="8" w:color="0000FF"/>
            </w:tcBorders>
            <w:gridSpan w:val="17"/>
          </w:tcPr>
          <w:p>
            <w:pPr>
              <w:spacing w:after="0" w:line="155" w:lineRule="exact"/>
              <w:rPr>
                <w:rFonts w:ascii="Arial" w:cs="Arial" w:eastAsia="Arial" w:hAnsi="Arial"/>
                <w:sz w:val="16"/>
                <w:szCs w:val="16"/>
                <w:color w:val="0000FF"/>
              </w:rPr>
            </w:pPr>
            <w:hyperlink r:id="rId63">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20"/>
          </w:tcPr>
          <w:p>
            <w:pPr>
              <w:spacing w:after="0"/>
              <w:rPr>
                <w:rFonts w:ascii="Arial" w:cs="Arial" w:eastAsia="Arial" w:hAnsi="Arial"/>
                <w:sz w:val="16"/>
                <w:szCs w:val="16"/>
                <w:color w:val="0000FF"/>
              </w:rPr>
            </w:pPr>
            <w:hyperlink r:id="rId64">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64">
              <w:r>
                <w:rPr>
                  <w:rFonts w:ascii="Arial" w:cs="Arial" w:eastAsia="Arial" w:hAnsi="Arial"/>
                  <w:sz w:val="16"/>
                  <w:szCs w:val="16"/>
                  <w:color w:val="0000FF"/>
                </w:rPr>
                <w:t>Trustee (incorporated by reference to Exhibit 4.1 to the Company’s Current Report on Form 8-K dated May 30, 2018).</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20"/>
          </w:tcPr>
          <w:p>
            <w:pPr>
              <w:spacing w:after="0"/>
              <w:rPr>
                <w:rFonts w:ascii="Arial" w:cs="Arial" w:eastAsia="Arial" w:hAnsi="Arial"/>
                <w:sz w:val="16"/>
                <w:szCs w:val="16"/>
                <w:color w:val="0000FF"/>
              </w:rPr>
            </w:pPr>
            <w:hyperlink r:id="rId65">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6"/>
          </w:tcPr>
          <w:p>
            <w:pPr>
              <w:spacing w:after="0" w:line="155" w:lineRule="exact"/>
              <w:rPr>
                <w:rFonts w:ascii="Arial" w:cs="Arial" w:eastAsia="Arial" w:hAnsi="Arial"/>
                <w:sz w:val="16"/>
                <w:szCs w:val="16"/>
                <w:color w:val="0000FF"/>
                <w:w w:val="99"/>
              </w:rPr>
            </w:pPr>
            <w:hyperlink r:id="rId65">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5080" w:type="dxa"/>
            <w:vAlign w:val="bottom"/>
            <w:tcBorders>
              <w:bottom w:val="single" w:sz="8" w:color="0000FF"/>
            </w:tcBorders>
            <w:gridSpan w:val="4"/>
          </w:tcPr>
          <w:p>
            <w:pPr>
              <w:spacing w:after="0" w:line="155" w:lineRule="exact"/>
              <w:rPr>
                <w:rFonts w:ascii="Arial" w:cs="Arial" w:eastAsia="Arial" w:hAnsi="Arial"/>
                <w:sz w:val="16"/>
                <w:szCs w:val="16"/>
                <w:color w:val="0000FF"/>
              </w:rPr>
            </w:pPr>
            <w:hyperlink r:id="rId65">
              <w:r>
                <w:rPr>
                  <w:rFonts w:ascii="Arial" w:cs="Arial" w:eastAsia="Arial" w:hAnsi="Arial"/>
                  <w:sz w:val="16"/>
                  <w:szCs w:val="16"/>
                  <w:color w:val="0000FF"/>
                </w:rPr>
                <w:t>Quarterly Report on Form 10-Q for the quarter ended March 31, 2020).</w:t>
              </w:r>
            </w:hyperlink>
          </w:p>
        </w:tc>
        <w:tc>
          <w:tcPr>
            <w:tcW w:w="4960" w:type="dxa"/>
            <w:vAlign w:val="bottom"/>
            <w:gridSpan w:val="14"/>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20"/>
          </w:tcPr>
          <w:p>
            <w:pPr>
              <w:spacing w:after="0"/>
              <w:rPr>
                <w:rFonts w:ascii="Arial" w:cs="Arial" w:eastAsia="Arial" w:hAnsi="Arial"/>
                <w:sz w:val="16"/>
                <w:szCs w:val="16"/>
                <w:color w:val="0000FF"/>
              </w:rPr>
            </w:pPr>
            <w:hyperlink r:id="rId66">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640" w:type="dxa"/>
            <w:vAlign w:val="bottom"/>
            <w:tcBorders>
              <w:top w:val="single" w:sz="8" w:color="0000FF"/>
            </w:tcBorders>
            <w:gridSpan w:val="12"/>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subsidiary of Graham Holdings Company, a Delaware corporation, and The Bank of New York Mellon Trust Company, N.A., as trustee</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11"/>
          </w:tcPr>
          <w:p>
            <w:pPr>
              <w:spacing w:after="0" w:line="155" w:lineRule="exact"/>
              <w:rPr>
                <w:rFonts w:ascii="Arial" w:cs="Arial" w:eastAsia="Arial" w:hAnsi="Arial"/>
                <w:sz w:val="16"/>
                <w:szCs w:val="16"/>
                <w:color w:val="0000FF"/>
              </w:rPr>
            </w:pPr>
            <w:hyperlink r:id="rId66">
              <w:r>
                <w:rPr>
                  <w:rFonts w:ascii="Arial" w:cs="Arial" w:eastAsia="Arial" w:hAnsi="Arial"/>
                  <w:sz w:val="16"/>
                  <w:szCs w:val="16"/>
                  <w:color w:val="0000FF"/>
                </w:rPr>
                <w:t>(incorporated by reference to Exhibit 4.3 to the Company’s Annual Report on Form 10-K for the fiscal year ended December 31, 2021)</w:t>
              </w:r>
            </w:hyperlink>
          </w:p>
        </w:tc>
        <w:tc>
          <w:tcPr>
            <w:tcW w:w="60" w:type="dxa"/>
            <w:vAlign w:val="bottom"/>
            <w:tcBorders>
              <w:bottom w:val="single" w:sz="8" w:color="0000FF"/>
            </w:tcBorders>
          </w:tcPr>
          <w:p>
            <w:pPr>
              <w:jc w:val="right"/>
              <w:spacing w:after="0" w:line="155" w:lineRule="exact"/>
              <w:rPr>
                <w:rFonts w:ascii="Arial" w:cs="Arial" w:eastAsia="Arial" w:hAnsi="Arial"/>
                <w:sz w:val="16"/>
                <w:szCs w:val="16"/>
                <w:color w:val="0000FF"/>
                <w:w w:val="88"/>
              </w:rPr>
            </w:pPr>
            <w:hyperlink r:id="rId66">
              <w:r>
                <w:rPr>
                  <w:rFonts w:ascii="Arial" w:cs="Arial" w:eastAsia="Arial" w:hAnsi="Arial"/>
                  <w:sz w:val="16"/>
                  <w:szCs w:val="16"/>
                  <w:color w:val="0000FF"/>
                  <w:w w:val="88"/>
                </w:rPr>
                <w:t>.</w:t>
              </w:r>
            </w:hyperlink>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ind w:left="140"/>
              <w:spacing w:after="0"/>
              <w:rPr>
                <w:sz w:val="20"/>
                <w:szCs w:val="20"/>
                <w:color w:val="auto"/>
              </w:rPr>
            </w:pPr>
            <w:r>
              <w:rPr>
                <w:rFonts w:ascii="Arial" w:cs="Arial" w:eastAsia="Arial" w:hAnsi="Arial"/>
                <w:sz w:val="16"/>
                <w:szCs w:val="16"/>
                <w:color w:val="auto"/>
              </w:rPr>
              <w:t>10.1</w:t>
            </w:r>
          </w:p>
        </w:tc>
        <w:tc>
          <w:tcPr>
            <w:tcW w:w="10100" w:type="dxa"/>
            <w:vAlign w:val="bottom"/>
            <w:gridSpan w:val="20"/>
          </w:tcPr>
          <w:p>
            <w:pPr>
              <w:spacing w:after="0"/>
              <w:rPr>
                <w:rFonts w:ascii="Arial" w:cs="Arial" w:eastAsia="Arial" w:hAnsi="Arial"/>
                <w:sz w:val="16"/>
                <w:szCs w:val="16"/>
                <w:color w:val="0000FF"/>
              </w:rPr>
            </w:pPr>
            <w:hyperlink r:id="rId67">
              <w:r>
                <w:rPr>
                  <w:rFonts w:ascii="Arial" w:cs="Arial" w:eastAsia="Arial" w:hAnsi="Arial"/>
                  <w:sz w:val="16"/>
                  <w:szCs w:val="16"/>
                  <w:color w:val="0000FF"/>
                </w:rPr>
                <w:t>Second Amended and Restated Five Year Credit Agreement, dated as of May 3, 2022, among the Company, Kaplan U.K. Limited, and the</w:t>
              </w:r>
            </w:hyperlink>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500" w:type="dxa"/>
            <w:vAlign w:val="bottom"/>
            <w:gridSpan w:val="5"/>
            <w:shd w:val="clear" w:color="auto" w:fill="0000FF"/>
          </w:tcPr>
          <w:p>
            <w:pPr>
              <w:spacing w:after="0" w:line="20" w:lineRule="exact"/>
              <w:rPr>
                <w:sz w:val="1"/>
                <w:szCs w:val="1"/>
                <w:color w:val="auto"/>
              </w:rPr>
            </w:pPr>
          </w:p>
        </w:tc>
        <w:tc>
          <w:tcPr>
            <w:tcW w:w="26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00" w:type="dxa"/>
            <w:vAlign w:val="bottom"/>
          </w:tcPr>
          <w:p>
            <w:pPr>
              <w:spacing w:after="0"/>
              <w:rPr>
                <w:sz w:val="13"/>
                <w:szCs w:val="13"/>
                <w:color w:val="auto"/>
              </w:rPr>
            </w:pPr>
          </w:p>
        </w:tc>
        <w:tc>
          <w:tcPr>
            <w:tcW w:w="10100" w:type="dxa"/>
            <w:vAlign w:val="bottom"/>
            <w:gridSpan w:val="20"/>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foreign borrowers from time to time party thereto, and certain of its domestic subsidiaries as guarantors, the several lenders from time to time</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party thereto, Wells Fargo Bank, National Association, as Administrative Agent and JPMorgan Chase Bank, N.A., as Syndication Agent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8"/>
          </w:tcPr>
          <w:p>
            <w:pPr>
              <w:spacing w:after="0" w:line="155" w:lineRule="exact"/>
              <w:rPr>
                <w:rFonts w:ascii="Arial" w:cs="Arial" w:eastAsia="Arial" w:hAnsi="Arial"/>
                <w:sz w:val="16"/>
                <w:szCs w:val="16"/>
                <w:color w:val="0000FF"/>
              </w:rPr>
            </w:pPr>
            <w:hyperlink r:id="rId67">
              <w:r>
                <w:rPr>
                  <w:rFonts w:ascii="Arial" w:cs="Arial" w:eastAsia="Arial" w:hAnsi="Arial"/>
                  <w:sz w:val="16"/>
                  <w:szCs w:val="16"/>
                  <w:color w:val="0000FF"/>
                </w:rPr>
                <w:t>(incorporated by reference to Exhibit 10.1 to the Company’s Quarterly Report on Form 10-Q for the quarter ended March 31, 2022).</w:t>
              </w:r>
            </w:hyperlink>
          </w:p>
        </w:tc>
        <w:tc>
          <w:tcPr>
            <w:tcW w:w="260" w:type="dxa"/>
            <w:vAlign w:val="bottom"/>
            <w:tcBorders>
              <w:top w:val="single" w:sz="8" w:color="0000FF"/>
            </w:tcBorders>
            <w:gridSpan w:val="5"/>
          </w:tcPr>
          <w:p>
            <w:pPr>
              <w:spacing w:after="0"/>
              <w:rPr>
                <w:sz w:val="13"/>
                <w:szCs w:val="13"/>
                <w:color w:val="auto"/>
              </w:rPr>
            </w:pPr>
          </w:p>
        </w:tc>
        <w:tc>
          <w:tcPr>
            <w:tcW w:w="4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52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20"/>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100" w:hanging="953"/>
        <w:spacing w:after="0"/>
        <w:tabs>
          <w:tab w:leader="none" w:pos="1100"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26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46"/>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45"/>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31" w:lineRule="exact"/>
        <w:rPr>
          <w:sz w:val="20"/>
          <w:szCs w:val="20"/>
          <w:color w:val="auto"/>
        </w:rPr>
      </w:pPr>
    </w:p>
    <w:p>
      <w:pPr>
        <w:ind w:left="1100" w:hanging="953"/>
        <w:spacing w:after="0"/>
        <w:tabs>
          <w:tab w:leader="none" w:pos="11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6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6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600" w:type="dxa"/>
            <w:vAlign w:val="bottom"/>
          </w:tcPr>
          <w:p>
            <w:pPr>
              <w:spacing w:after="0"/>
              <w:rPr>
                <w:sz w:val="20"/>
                <w:szCs w:val="20"/>
                <w:color w:val="auto"/>
              </w:rPr>
            </w:pPr>
            <w:r>
              <w:rPr>
                <w:rFonts w:ascii="Arial" w:cs="Arial" w:eastAsia="Arial" w:hAnsi="Arial"/>
                <w:sz w:val="18"/>
                <w:szCs w:val="18"/>
                <w:color w:val="auto"/>
              </w:rPr>
              <w:t>Date: August 3, 2022</w:t>
            </w:r>
          </w:p>
        </w:tc>
        <w:tc>
          <w:tcPr>
            <w:tcW w:w="356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6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6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6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6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600" w:type="dxa"/>
            <w:vAlign w:val="bottom"/>
          </w:tcPr>
          <w:p>
            <w:pPr>
              <w:spacing w:after="0"/>
              <w:rPr>
                <w:sz w:val="20"/>
                <w:szCs w:val="20"/>
                <w:color w:val="auto"/>
              </w:rPr>
            </w:pPr>
            <w:r>
              <w:rPr>
                <w:rFonts w:ascii="Arial" w:cs="Arial" w:eastAsia="Arial" w:hAnsi="Arial"/>
                <w:sz w:val="18"/>
                <w:szCs w:val="18"/>
                <w:color w:val="auto"/>
              </w:rPr>
              <w:t>Date: August 3, 2022</w:t>
            </w:r>
          </w:p>
        </w:tc>
        <w:tc>
          <w:tcPr>
            <w:tcW w:w="356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6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6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60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600" w:type="dxa"/>
            <w:vAlign w:val="bottom"/>
          </w:tcPr>
          <w:p>
            <w:pPr>
              <w:spacing w:after="0"/>
              <w:rPr>
                <w:sz w:val="24"/>
                <w:szCs w:val="24"/>
                <w:color w:val="auto"/>
              </w:rPr>
            </w:pPr>
          </w:p>
        </w:tc>
        <w:tc>
          <w:tcPr>
            <w:tcW w:w="3560" w:type="dxa"/>
            <w:vAlign w:val="bottom"/>
          </w:tcPr>
          <w:p>
            <w:pPr>
              <w:jc w:val="right"/>
              <w:ind w:right="1390"/>
              <w:spacing w:after="0"/>
              <w:rPr>
                <w:sz w:val="20"/>
                <w:szCs w:val="20"/>
                <w:color w:val="auto"/>
              </w:rPr>
            </w:pPr>
            <w:r>
              <w:rPr>
                <w:rFonts w:ascii="Arial" w:cs="Arial" w:eastAsia="Arial" w:hAnsi="Arial"/>
                <w:sz w:val="18"/>
                <w:szCs w:val="18"/>
                <w:color w:val="auto"/>
              </w:rPr>
              <w:t>40</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2022</w:t>
      </w:r>
    </w:p>
    <w:p>
      <w:pPr>
        <w:sectPr>
          <w:pgSz w:w="11900" w:h="16838" w:orient="portrait"/>
          <w:cols w:equalWidth="0" w:num="1">
            <w:col w:w="11240"/>
          </w:cols>
          <w:pgMar w:left="320" w:top="114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2022</w:t>
      </w:r>
    </w:p>
    <w:p>
      <w:pPr>
        <w:sectPr>
          <w:pgSz w:w="11900" w:h="16838" w:orient="portrait"/>
          <w:cols w:equalWidth="0" w:num="1">
            <w:col w:w="11240"/>
          </w:cols>
          <w:pgMar w:left="320" w:top="114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2022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2022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3,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lowerRoman"/>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
      <w:numFmt w:val="bullet"/>
      <w:start w:val="1"/>
    </w:lvl>
    <w:lvl w:ilvl="1">
      <w:lvlJc w:val="left"/>
      <w:lvlText w:val="%2"/>
      <w:numFmt w:val="decimal"/>
      <w:start w:val="10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61" Type="http://schemas.openxmlformats.org/officeDocument/2006/relationships/hyperlink" Target="http://www.sec.gov/Archives/edgar/data/104889/000095013304000785/w94191exv3w1.htm" TargetMode="External"/><Relationship Id="rId62" Type="http://schemas.openxmlformats.org/officeDocument/2006/relationships/hyperlink" Target="http://www.sec.gov/Archives/edgar/data/104889/000095015713000428/ex3-1.htm" TargetMode="External"/><Relationship Id="rId63" Type="http://schemas.openxmlformats.org/officeDocument/2006/relationships/hyperlink" Target="http://www.sec.gov/Archives/edgar/data/104889/000095015713000428/ex3-2.htm" TargetMode="External"/><Relationship Id="rId64" Type="http://schemas.openxmlformats.org/officeDocument/2006/relationships/hyperlink" Target="http://www.sec.gov/Archives/edgar/data/104889/000095015718000572/ex4-1.htm" TargetMode="External"/><Relationship Id="rId65" Type="http://schemas.openxmlformats.org/officeDocument/2006/relationships/hyperlink" Target="http://www.sec.gov/Archives/edgar/data/104889/000010488920000031/dex42.htm" TargetMode="External"/><Relationship Id="rId66" Type="http://schemas.openxmlformats.org/officeDocument/2006/relationships/hyperlink" Target="https://www.sec.gov/Archives/edgar/data/104889/000010488922000011/a2021q410-kex43.htm" TargetMode="External"/><Relationship Id="rId67" Type="http://schemas.openxmlformats.org/officeDocument/2006/relationships/hyperlink" Target="https://www.sec.gov/Archives/edgar/data/104889/000010488922000016/a2022q110-q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2022-08-03T07:44:33Z</dcterms:created>
  <dcterms:modified xsi:type="dcterms:W3CDTF">2022-08-03T07:44:33Z</dcterms:modified>
</cp:coreProperties>
</file>