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color w:val="auto"/>
        </w:rPr>
        <w:t>November 7, 2008</w:t>
      </w:r>
    </w:p>
    <w:p>
      <w:pPr>
        <w:spacing w:after="0" w:line="171" w:lineRule="exact"/>
        <w:rPr>
          <w:sz w:val="24"/>
          <w:szCs w:val="24"/>
          <w:color w:val="auto"/>
        </w:rPr>
      </w:pPr>
    </w:p>
    <w:p>
      <w:pPr>
        <w:spacing w:after="0"/>
        <w:rPr>
          <w:sz w:val="20"/>
          <w:szCs w:val="20"/>
          <w:color w:val="auto"/>
        </w:rPr>
      </w:pPr>
      <w:r>
        <w:rPr>
          <w:rFonts w:ascii="Arial" w:cs="Arial" w:eastAsia="Arial" w:hAnsi="Arial"/>
          <w:sz w:val="18"/>
          <w:szCs w:val="18"/>
          <w:u w:val="single" w:color="auto"/>
          <w:color w:val="auto"/>
        </w:rPr>
        <w:t>VIA EDGAR</w:t>
      </w:r>
    </w:p>
    <w:p>
      <w:pPr>
        <w:spacing w:after="0" w:line="171" w:lineRule="exact"/>
        <w:rPr>
          <w:sz w:val="24"/>
          <w:szCs w:val="24"/>
          <w:color w:val="auto"/>
        </w:rPr>
      </w:pPr>
    </w:p>
    <w:p>
      <w:pPr>
        <w:spacing w:after="0"/>
        <w:rPr>
          <w:sz w:val="20"/>
          <w:szCs w:val="20"/>
          <w:color w:val="auto"/>
        </w:rPr>
      </w:pPr>
      <w:r>
        <w:rPr>
          <w:rFonts w:ascii="Arial" w:cs="Arial" w:eastAsia="Arial" w:hAnsi="Arial"/>
          <w:sz w:val="18"/>
          <w:szCs w:val="18"/>
          <w:color w:val="auto"/>
        </w:rPr>
        <w:t>Kathleen Krebs, Esq.</w:t>
      </w:r>
    </w:p>
    <w:p>
      <w:pPr>
        <w:spacing w:after="0" w:line="15" w:lineRule="exact"/>
        <w:rPr>
          <w:sz w:val="24"/>
          <w:szCs w:val="24"/>
          <w:color w:val="auto"/>
        </w:rPr>
      </w:pPr>
    </w:p>
    <w:p>
      <w:pPr>
        <w:spacing w:after="0"/>
        <w:rPr>
          <w:sz w:val="20"/>
          <w:szCs w:val="20"/>
          <w:color w:val="auto"/>
        </w:rPr>
      </w:pPr>
      <w:r>
        <w:rPr>
          <w:rFonts w:ascii="Arial" w:cs="Arial" w:eastAsia="Arial" w:hAnsi="Arial"/>
          <w:sz w:val="18"/>
          <w:szCs w:val="18"/>
          <w:color w:val="auto"/>
        </w:rPr>
        <w:t>Special Counsel</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pacing w:after="0" w:line="205" w:lineRule="exact"/>
        <w:rPr>
          <w:sz w:val="24"/>
          <w:szCs w:val="24"/>
          <w:color w:val="auto"/>
        </w:rPr>
      </w:pPr>
    </w:p>
    <w:p>
      <w:pPr>
        <w:spacing w:after="0"/>
        <w:tabs>
          <w:tab w:leader="none" w:pos="440" w:val="left"/>
        </w:tabs>
        <w:rPr>
          <w:sz w:val="20"/>
          <w:szCs w:val="20"/>
          <w:color w:val="auto"/>
        </w:rPr>
      </w:pPr>
      <w:r>
        <w:rPr>
          <w:rFonts w:ascii="Arial" w:cs="Arial" w:eastAsia="Arial" w:hAnsi="Arial"/>
          <w:sz w:val="18"/>
          <w:szCs w:val="18"/>
          <w:color w:val="auto"/>
        </w:rPr>
        <w:t>RE:</w:t>
      </w:r>
      <w:r>
        <w:rPr>
          <w:sz w:val="20"/>
          <w:szCs w:val="20"/>
          <w:color w:val="auto"/>
        </w:rPr>
        <w:tab/>
      </w:r>
      <w:r>
        <w:rPr>
          <w:rFonts w:ascii="Arial" w:cs="Arial" w:eastAsia="Arial" w:hAnsi="Arial"/>
          <w:sz w:val="15"/>
          <w:szCs w:val="15"/>
          <w:color w:val="auto"/>
        </w:rPr>
        <w:t>The Washington Post Company</w:t>
      </w:r>
    </w:p>
    <w:p>
      <w:pPr>
        <w:spacing w:after="0" w:line="15" w:lineRule="exact"/>
        <w:rPr>
          <w:sz w:val="24"/>
          <w:szCs w:val="24"/>
          <w:color w:val="auto"/>
        </w:rPr>
      </w:pPr>
    </w:p>
    <w:p>
      <w:pPr>
        <w:ind w:left="460"/>
        <w:spacing w:after="0"/>
        <w:rPr>
          <w:sz w:val="20"/>
          <w:szCs w:val="20"/>
          <w:color w:val="auto"/>
        </w:rPr>
      </w:pPr>
      <w:r>
        <w:rPr>
          <w:rFonts w:ascii="Arial" w:cs="Arial" w:eastAsia="Arial" w:hAnsi="Arial"/>
          <w:sz w:val="18"/>
          <w:szCs w:val="18"/>
          <w:color w:val="auto"/>
        </w:rPr>
        <w:t>Form 10-K for the Year ended December 31, 2007</w:t>
      </w:r>
    </w:p>
    <w:p>
      <w:pPr>
        <w:spacing w:after="0" w:line="9" w:lineRule="exact"/>
        <w:rPr>
          <w:sz w:val="24"/>
          <w:szCs w:val="24"/>
          <w:color w:val="auto"/>
        </w:rPr>
      </w:pPr>
    </w:p>
    <w:p>
      <w:pPr>
        <w:ind w:left="460"/>
        <w:spacing w:after="0"/>
        <w:rPr>
          <w:sz w:val="20"/>
          <w:szCs w:val="20"/>
          <w:color w:val="auto"/>
        </w:rPr>
      </w:pPr>
      <w:r>
        <w:rPr>
          <w:rFonts w:ascii="Arial" w:cs="Arial" w:eastAsia="Arial" w:hAnsi="Arial"/>
          <w:sz w:val="18"/>
          <w:szCs w:val="18"/>
          <w:color w:val="auto"/>
        </w:rPr>
        <w:t>Filed February 28, 2008</w:t>
      </w:r>
    </w:p>
    <w:p>
      <w:pPr>
        <w:spacing w:after="0" w:line="9" w:lineRule="exact"/>
        <w:rPr>
          <w:sz w:val="24"/>
          <w:szCs w:val="24"/>
          <w:color w:val="auto"/>
        </w:rPr>
      </w:pPr>
    </w:p>
    <w:p>
      <w:pPr>
        <w:ind w:left="460"/>
        <w:spacing w:after="0"/>
        <w:rPr>
          <w:sz w:val="20"/>
          <w:szCs w:val="20"/>
          <w:color w:val="auto"/>
        </w:rPr>
      </w:pPr>
      <w:r>
        <w:rPr>
          <w:rFonts w:ascii="Arial" w:cs="Arial" w:eastAsia="Arial" w:hAnsi="Arial"/>
          <w:sz w:val="18"/>
          <w:szCs w:val="18"/>
          <w:color w:val="auto"/>
        </w:rPr>
        <w:t>File No. 001-06714</w:t>
      </w:r>
    </w:p>
    <w:p>
      <w:pPr>
        <w:spacing w:after="0" w:line="165" w:lineRule="exact"/>
        <w:rPr>
          <w:sz w:val="24"/>
          <w:szCs w:val="24"/>
          <w:color w:val="auto"/>
        </w:rPr>
      </w:pPr>
    </w:p>
    <w:p>
      <w:pPr>
        <w:spacing w:after="0"/>
        <w:rPr>
          <w:sz w:val="20"/>
          <w:szCs w:val="20"/>
          <w:color w:val="auto"/>
        </w:rPr>
      </w:pPr>
      <w:r>
        <w:rPr>
          <w:rFonts w:ascii="Arial" w:cs="Arial" w:eastAsia="Arial" w:hAnsi="Arial"/>
          <w:sz w:val="18"/>
          <w:szCs w:val="18"/>
          <w:color w:val="auto"/>
        </w:rPr>
        <w:t>Dear Ms. Krebs:</w:t>
      </w:r>
    </w:p>
    <w:p>
      <w:pPr>
        <w:spacing w:after="0" w:line="90" w:lineRule="exact"/>
        <w:rPr>
          <w:sz w:val="24"/>
          <w:szCs w:val="24"/>
          <w:color w:val="auto"/>
        </w:rPr>
      </w:pPr>
    </w:p>
    <w:p>
      <w:pPr>
        <w:ind w:left="460"/>
        <w:spacing w:after="0"/>
        <w:rPr>
          <w:sz w:val="20"/>
          <w:szCs w:val="20"/>
          <w:color w:val="auto"/>
        </w:rPr>
      </w:pPr>
      <w:r>
        <w:rPr>
          <w:rFonts w:ascii="Arial" w:cs="Arial" w:eastAsia="Arial" w:hAnsi="Arial"/>
          <w:sz w:val="16"/>
          <w:szCs w:val="16"/>
          <w:color w:val="auto"/>
        </w:rPr>
        <w:t>This letter responds to the request from the staff (the “</w:t>
      </w:r>
      <w:r>
        <w:rPr>
          <w:rFonts w:ascii="Arial" w:cs="Arial" w:eastAsia="Arial" w:hAnsi="Arial"/>
          <w:sz w:val="16"/>
          <w:szCs w:val="16"/>
          <w:u w:val="single" w:color="auto"/>
          <w:color w:val="auto"/>
        </w:rPr>
        <w:t>Staff</w:t>
      </w:r>
      <w:r>
        <w:rPr>
          <w:rFonts w:ascii="Arial" w:cs="Arial" w:eastAsia="Arial" w:hAnsi="Arial"/>
          <w:sz w:val="16"/>
          <w:szCs w:val="16"/>
          <w:color w:val="auto"/>
        </w:rPr>
        <w:t>”) of the Division of Corporation Finance of the Securities and Exchange Commission (the</w:t>
      </w:r>
    </w:p>
    <w:p>
      <w:pPr>
        <w:spacing w:after="0" w:line="38" w:lineRule="exact"/>
        <w:rPr>
          <w:sz w:val="24"/>
          <w:szCs w:val="24"/>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Commission</w:t>
      </w:r>
      <w:r>
        <w:rPr>
          <w:rFonts w:ascii="Arial" w:cs="Arial" w:eastAsia="Arial" w:hAnsi="Arial"/>
          <w:sz w:val="16"/>
          <w:szCs w:val="16"/>
          <w:color w:val="auto"/>
        </w:rPr>
        <w:t>”) communicated by telephone on October 31, 2008 (the “</w:t>
      </w:r>
      <w:r>
        <w:rPr>
          <w:rFonts w:ascii="Arial" w:cs="Arial" w:eastAsia="Arial" w:hAnsi="Arial"/>
          <w:sz w:val="16"/>
          <w:szCs w:val="16"/>
          <w:u w:val="single" w:color="auto"/>
          <w:color w:val="auto"/>
        </w:rPr>
        <w:t>Comments</w:t>
      </w:r>
      <w:r>
        <w:rPr>
          <w:rFonts w:ascii="Arial" w:cs="Arial" w:eastAsia="Arial" w:hAnsi="Arial"/>
          <w:sz w:val="16"/>
          <w:szCs w:val="16"/>
          <w:color w:val="auto"/>
        </w:rPr>
        <w:t>”) supplementing the Staff’s letter of September 19, 2008, relating to the Form</w:t>
      </w:r>
    </w:p>
    <w:p>
      <w:pPr>
        <w:spacing w:after="0" w:line="32" w:lineRule="exact"/>
        <w:rPr>
          <w:sz w:val="24"/>
          <w:szCs w:val="24"/>
          <w:color w:val="auto"/>
        </w:rPr>
      </w:pPr>
    </w:p>
    <w:p>
      <w:pPr>
        <w:spacing w:after="0"/>
        <w:rPr>
          <w:sz w:val="20"/>
          <w:szCs w:val="20"/>
          <w:color w:val="auto"/>
        </w:rPr>
      </w:pPr>
      <w:r>
        <w:rPr>
          <w:rFonts w:ascii="Arial" w:cs="Arial" w:eastAsia="Arial" w:hAnsi="Arial"/>
          <w:sz w:val="18"/>
          <w:szCs w:val="18"/>
          <w:color w:val="auto"/>
        </w:rPr>
        <w:t>10-K of The Washington Post Company (the “</w:t>
      </w:r>
      <w:r>
        <w:rPr>
          <w:rFonts w:ascii="Arial" w:cs="Arial" w:eastAsia="Arial" w:hAnsi="Arial"/>
          <w:sz w:val="18"/>
          <w:szCs w:val="18"/>
          <w:u w:val="single" w:color="auto"/>
          <w:color w:val="auto"/>
        </w:rPr>
        <w:t>Company</w:t>
      </w:r>
      <w:r>
        <w:rPr>
          <w:rFonts w:ascii="Arial" w:cs="Arial" w:eastAsia="Arial" w:hAnsi="Arial"/>
          <w:sz w:val="18"/>
          <w:szCs w:val="18"/>
          <w:color w:val="auto"/>
        </w:rPr>
        <w:t>”).</w:t>
      </w:r>
    </w:p>
    <w:p>
      <w:pPr>
        <w:spacing w:after="0" w:line="165" w:lineRule="exact"/>
        <w:rPr>
          <w:sz w:val="24"/>
          <w:szCs w:val="24"/>
          <w:color w:val="auto"/>
        </w:rPr>
      </w:pPr>
    </w:p>
    <w:p>
      <w:pPr>
        <w:ind w:right="280" w:firstLine="456"/>
        <w:spacing w:after="0" w:line="268" w:lineRule="auto"/>
        <w:rPr>
          <w:sz w:val="20"/>
          <w:szCs w:val="20"/>
          <w:color w:val="auto"/>
        </w:rPr>
      </w:pPr>
      <w:r>
        <w:rPr>
          <w:rFonts w:ascii="Arial" w:cs="Arial" w:eastAsia="Arial" w:hAnsi="Arial"/>
          <w:sz w:val="18"/>
          <w:szCs w:val="18"/>
          <w:color w:val="auto"/>
        </w:rPr>
        <w:t>Specifically, the Staff has requested a written summary describing the mechanics of the Company’s Performance Unit Plan as it relates to compensation paid to the Company’s named executive officers.</w:t>
      </w:r>
    </w:p>
    <w:p>
      <w:pPr>
        <w:spacing w:after="0" w:line="213" w:lineRule="exact"/>
        <w:rPr>
          <w:sz w:val="24"/>
          <w:szCs w:val="24"/>
          <w:color w:val="auto"/>
        </w:rPr>
      </w:pPr>
    </w:p>
    <w:p>
      <w:pPr>
        <w:spacing w:after="0"/>
        <w:rPr>
          <w:sz w:val="20"/>
          <w:szCs w:val="20"/>
          <w:color w:val="auto"/>
        </w:rPr>
      </w:pPr>
      <w:r>
        <w:rPr>
          <w:rFonts w:ascii="Arial" w:cs="Arial" w:eastAsia="Arial" w:hAnsi="Arial"/>
          <w:sz w:val="18"/>
          <w:szCs w:val="18"/>
          <w:u w:val="single" w:color="auto"/>
          <w:color w:val="auto"/>
        </w:rPr>
        <w:t>Performance Unit Plan</w:t>
      </w:r>
    </w:p>
    <w:p>
      <w:pPr>
        <w:spacing w:after="0" w:line="90" w:lineRule="exact"/>
        <w:rPr>
          <w:sz w:val="24"/>
          <w:szCs w:val="24"/>
          <w:color w:val="auto"/>
        </w:rPr>
      </w:pPr>
    </w:p>
    <w:p>
      <w:pPr>
        <w:ind w:right="240" w:firstLine="456"/>
        <w:spacing w:after="0" w:line="256" w:lineRule="auto"/>
        <w:rPr>
          <w:sz w:val="20"/>
          <w:szCs w:val="20"/>
          <w:color w:val="auto"/>
        </w:rPr>
      </w:pPr>
      <w:r>
        <w:rPr>
          <w:rFonts w:ascii="Arial" w:cs="Arial" w:eastAsia="Arial" w:hAnsi="Arial"/>
          <w:sz w:val="18"/>
          <w:szCs w:val="18"/>
          <w:color w:val="auto"/>
        </w:rPr>
        <w:t>Payments to named executive officers under the Performance Unit Plan are made at the end of a four-year performance cycle. The formula used to calculate the payouts is determined by (i) a weighted combination of factors that relate to individual business unit performance of the Company’s operating divisions, and (ii) the discretion of our Compensation Committee. A new four-year cycle commences every two years, with the result that there are always two overlapping cycles in progress.</w:t>
      </w:r>
    </w:p>
    <w:p>
      <w:pPr>
        <w:spacing w:after="0" w:line="143" w:lineRule="exact"/>
        <w:rPr>
          <w:sz w:val="24"/>
          <w:szCs w:val="24"/>
          <w:color w:val="auto"/>
        </w:rPr>
      </w:pPr>
    </w:p>
    <w:p>
      <w:pPr>
        <w:ind w:firstLine="456"/>
        <w:spacing w:after="0" w:line="303" w:lineRule="auto"/>
        <w:rPr>
          <w:sz w:val="20"/>
          <w:szCs w:val="20"/>
          <w:color w:val="auto"/>
        </w:rPr>
      </w:pPr>
      <w:r>
        <w:rPr>
          <w:rFonts w:ascii="Arial" w:cs="Arial" w:eastAsia="Arial" w:hAnsi="Arial"/>
          <w:sz w:val="15"/>
          <w:szCs w:val="15"/>
          <w:color w:val="auto"/>
        </w:rPr>
        <w:t>The following describes the most recently completed cycle, encompassing performance from 2003 through 2006. We used this cycle for illustrative purposes so that we can show the valuation formula, the actual results and how the formula was in fact applied. Implementation of the plan as it relates to subsequent cycles follows this approach. The 2003-2006 cycle was based on a three-prong formula, with each of the following categories being equally weighted:</w:t>
      </w:r>
    </w:p>
    <w:p>
      <w:pPr>
        <w:spacing w:after="0" w:line="1" w:lineRule="exact"/>
        <w:rPr>
          <w:sz w:val="24"/>
          <w:szCs w:val="24"/>
          <w:color w:val="auto"/>
        </w:rPr>
      </w:pPr>
    </w:p>
    <w:p>
      <w:pPr>
        <w:ind w:right="340" w:firstLine="8"/>
        <w:spacing w:after="0" w:line="261" w:lineRule="auto"/>
        <w:tabs>
          <w:tab w:leader="none" w:pos="19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Company’s operating divisions’ achievement against performance unit financial goals for the period (33%); 2) the increase in the value of Kaplan, Inc. (33%); and 3) the growth in adjusted</w:t>
      </w:r>
    </w:p>
    <w:p>
      <w:pPr>
        <w:sectPr>
          <w:pgSz w:w="11900" w:h="16838" w:orient="portrait"/>
          <w:cols w:equalWidth="0" w:num="1">
            <w:col w:w="11400"/>
          </w:cols>
          <w:pgMar w:left="240" w:top="239" w:right="259" w:bottom="1440" w:gutter="0" w:footer="0" w:header="0"/>
        </w:sectPr>
      </w:pPr>
    </w:p>
    <w:bookmarkStart w:id="1" w:name="page2"/>
    <w:bookmarkEnd w:id="1"/>
    <w:p>
      <w:pPr>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earnings per share for the Company as a whole (33%). The value of the performance units was calculated at the end of the cycle, and the compensation committee awarded payouts on the outstanding units to our named executive officers based on the following values:</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200" w:type="dxa"/>
            <w:vAlign w:val="bottom"/>
          </w:tcPr>
          <w:p>
            <w:pPr>
              <w:jc w:val="right"/>
              <w:spacing w:after="0"/>
              <w:rPr>
                <w:sz w:val="20"/>
                <w:szCs w:val="20"/>
                <w:color w:val="auto"/>
              </w:rPr>
            </w:pPr>
            <w:r>
              <w:rPr>
                <w:rFonts w:ascii="Arial" w:cs="Arial" w:eastAsia="Arial" w:hAnsi="Arial"/>
                <w:sz w:val="18"/>
                <w:szCs w:val="18"/>
                <w:color w:val="auto"/>
                <w:w w:val="79"/>
              </w:rPr>
              <w:t>1.</w:t>
            </w:r>
          </w:p>
        </w:tc>
        <w:tc>
          <w:tcPr>
            <w:tcW w:w="4580" w:type="dxa"/>
            <w:vAlign w:val="bottom"/>
          </w:tcPr>
          <w:p>
            <w:pPr>
              <w:ind w:left="60"/>
              <w:spacing w:after="0"/>
              <w:rPr>
                <w:sz w:val="20"/>
                <w:szCs w:val="20"/>
                <w:color w:val="auto"/>
              </w:rPr>
            </w:pPr>
            <w:r>
              <w:rPr>
                <w:rFonts w:ascii="Arial" w:cs="Arial" w:eastAsia="Arial" w:hAnsi="Arial"/>
                <w:sz w:val="18"/>
                <w:szCs w:val="18"/>
                <w:color w:val="auto"/>
              </w:rPr>
              <w:t>Average of division performance units = $173</w:t>
            </w:r>
          </w:p>
        </w:tc>
        <w:tc>
          <w:tcPr>
            <w:tcW w:w="2880" w:type="dxa"/>
            <w:vAlign w:val="bottom"/>
          </w:tcPr>
          <w:p>
            <w:pPr>
              <w:ind w:left="1180"/>
              <w:spacing w:after="0"/>
              <w:rPr>
                <w:sz w:val="20"/>
                <w:szCs w:val="20"/>
                <w:color w:val="auto"/>
              </w:rPr>
            </w:pPr>
            <w:r>
              <w:rPr>
                <w:rFonts w:ascii="Arial" w:cs="Arial" w:eastAsia="Arial" w:hAnsi="Arial"/>
                <w:sz w:val="18"/>
                <w:szCs w:val="18"/>
                <w:color w:val="auto"/>
                <w:w w:val="87"/>
              </w:rPr>
              <w:t>Weighted 33% = $57.67</w:t>
            </w:r>
          </w:p>
        </w:tc>
      </w:tr>
      <w:tr>
        <w:trPr>
          <w:trHeight w:val="324"/>
        </w:trPr>
        <w:tc>
          <w:tcPr>
            <w:tcW w:w="200" w:type="dxa"/>
            <w:vAlign w:val="bottom"/>
          </w:tcPr>
          <w:p>
            <w:pPr>
              <w:jc w:val="right"/>
              <w:spacing w:after="0"/>
              <w:rPr>
                <w:sz w:val="20"/>
                <w:szCs w:val="20"/>
                <w:color w:val="auto"/>
              </w:rPr>
            </w:pPr>
            <w:r>
              <w:rPr>
                <w:rFonts w:ascii="Arial" w:cs="Arial" w:eastAsia="Arial" w:hAnsi="Arial"/>
                <w:sz w:val="18"/>
                <w:szCs w:val="18"/>
                <w:color w:val="auto"/>
                <w:w w:val="79"/>
              </w:rPr>
              <w:t>2.</w:t>
            </w:r>
          </w:p>
        </w:tc>
        <w:tc>
          <w:tcPr>
            <w:tcW w:w="4580" w:type="dxa"/>
            <w:vAlign w:val="bottom"/>
          </w:tcPr>
          <w:p>
            <w:pPr>
              <w:ind w:left="60"/>
              <w:spacing w:after="0"/>
              <w:rPr>
                <w:sz w:val="20"/>
                <w:szCs w:val="20"/>
                <w:color w:val="auto"/>
              </w:rPr>
            </w:pPr>
            <w:r>
              <w:rPr>
                <w:rFonts w:ascii="Arial" w:cs="Arial" w:eastAsia="Arial" w:hAnsi="Arial"/>
                <w:sz w:val="18"/>
                <w:szCs w:val="18"/>
                <w:color w:val="auto"/>
              </w:rPr>
              <w:t>Kaplan compounded annual growth rate = $200</w:t>
            </w:r>
          </w:p>
        </w:tc>
        <w:tc>
          <w:tcPr>
            <w:tcW w:w="2880" w:type="dxa"/>
            <w:vAlign w:val="bottom"/>
          </w:tcPr>
          <w:p>
            <w:pPr>
              <w:ind w:left="1180"/>
              <w:spacing w:after="0"/>
              <w:rPr>
                <w:sz w:val="20"/>
                <w:szCs w:val="20"/>
                <w:color w:val="auto"/>
              </w:rPr>
            </w:pPr>
            <w:r>
              <w:rPr>
                <w:rFonts w:ascii="Arial" w:cs="Arial" w:eastAsia="Arial" w:hAnsi="Arial"/>
                <w:sz w:val="18"/>
                <w:szCs w:val="18"/>
                <w:color w:val="auto"/>
                <w:w w:val="87"/>
              </w:rPr>
              <w:t>Weighted 33% = $66.67</w:t>
            </w:r>
          </w:p>
        </w:tc>
      </w:tr>
      <w:tr>
        <w:trPr>
          <w:trHeight w:val="324"/>
        </w:trPr>
        <w:tc>
          <w:tcPr>
            <w:tcW w:w="200" w:type="dxa"/>
            <w:vAlign w:val="bottom"/>
          </w:tcPr>
          <w:p>
            <w:pPr>
              <w:jc w:val="right"/>
              <w:spacing w:after="0"/>
              <w:rPr>
                <w:sz w:val="20"/>
                <w:szCs w:val="20"/>
                <w:color w:val="auto"/>
              </w:rPr>
            </w:pPr>
            <w:r>
              <w:rPr>
                <w:rFonts w:ascii="Arial" w:cs="Arial" w:eastAsia="Arial" w:hAnsi="Arial"/>
                <w:sz w:val="18"/>
                <w:szCs w:val="18"/>
                <w:color w:val="auto"/>
                <w:w w:val="79"/>
              </w:rPr>
              <w:t>3.</w:t>
            </w:r>
          </w:p>
        </w:tc>
        <w:tc>
          <w:tcPr>
            <w:tcW w:w="4580" w:type="dxa"/>
            <w:vAlign w:val="bottom"/>
          </w:tcPr>
          <w:p>
            <w:pPr>
              <w:ind w:left="60"/>
              <w:spacing w:after="0"/>
              <w:rPr>
                <w:sz w:val="20"/>
                <w:szCs w:val="20"/>
                <w:color w:val="auto"/>
              </w:rPr>
            </w:pPr>
            <w:r>
              <w:rPr>
                <w:rFonts w:ascii="Arial" w:cs="Arial" w:eastAsia="Arial" w:hAnsi="Arial"/>
                <w:sz w:val="18"/>
                <w:szCs w:val="18"/>
                <w:color w:val="auto"/>
              </w:rPr>
              <w:t>Growth in earnings per share = $197</w:t>
            </w:r>
          </w:p>
        </w:tc>
        <w:tc>
          <w:tcPr>
            <w:tcW w:w="2880" w:type="dxa"/>
            <w:vAlign w:val="bottom"/>
          </w:tcPr>
          <w:p>
            <w:pPr>
              <w:ind w:left="1180"/>
              <w:spacing w:after="0"/>
              <w:rPr>
                <w:sz w:val="20"/>
                <w:szCs w:val="20"/>
                <w:color w:val="auto"/>
              </w:rPr>
            </w:pPr>
            <w:r>
              <w:rPr>
                <w:rFonts w:ascii="Arial" w:cs="Arial" w:eastAsia="Arial" w:hAnsi="Arial"/>
                <w:sz w:val="18"/>
                <w:szCs w:val="18"/>
                <w:color w:val="auto"/>
                <w:w w:val="87"/>
              </w:rPr>
              <w:t>Weighted 33% = $65.67</w:t>
            </w:r>
          </w:p>
        </w:tc>
      </w:tr>
      <w:tr>
        <w:trPr>
          <w:trHeight w:val="324"/>
        </w:trPr>
        <w:tc>
          <w:tcPr>
            <w:tcW w:w="200" w:type="dxa"/>
            <w:vAlign w:val="bottom"/>
          </w:tcPr>
          <w:p>
            <w:pPr>
              <w:spacing w:after="0"/>
              <w:rPr>
                <w:sz w:val="24"/>
                <w:szCs w:val="24"/>
                <w:color w:val="auto"/>
              </w:rPr>
            </w:pPr>
          </w:p>
        </w:tc>
        <w:tc>
          <w:tcPr>
            <w:tcW w:w="4580" w:type="dxa"/>
            <w:vAlign w:val="bottom"/>
          </w:tcPr>
          <w:p>
            <w:pPr>
              <w:ind w:left="60"/>
              <w:spacing w:after="0"/>
              <w:rPr>
                <w:sz w:val="20"/>
                <w:szCs w:val="20"/>
                <w:color w:val="auto"/>
              </w:rPr>
            </w:pPr>
            <w:r>
              <w:rPr>
                <w:rFonts w:ascii="Arial" w:cs="Arial" w:eastAsia="Arial" w:hAnsi="Arial"/>
                <w:sz w:val="18"/>
                <w:szCs w:val="18"/>
                <w:color w:val="auto"/>
              </w:rPr>
              <w:t>Total value per unit of $190.00.</w:t>
            </w:r>
          </w:p>
        </w:tc>
        <w:tc>
          <w:tcPr>
            <w:tcW w:w="2880" w:type="dxa"/>
            <w:vAlign w:val="bottom"/>
          </w:tcPr>
          <w:p>
            <w:pPr>
              <w:spacing w:after="0"/>
              <w:rPr>
                <w:sz w:val="24"/>
                <w:szCs w:val="24"/>
                <w:color w:val="auto"/>
              </w:rPr>
            </w:pPr>
          </w:p>
        </w:tc>
      </w:tr>
    </w:tbl>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Formula:</w:t>
      </w:r>
    </w:p>
    <w:p>
      <w:pPr>
        <w:spacing w:after="0" w:line="90" w:lineRule="exact"/>
        <w:rPr>
          <w:sz w:val="20"/>
          <w:szCs w:val="20"/>
          <w:color w:val="auto"/>
        </w:rPr>
      </w:pPr>
    </w:p>
    <w:p>
      <w:pPr>
        <w:ind w:left="900" w:right="140" w:hanging="446"/>
        <w:spacing w:after="0" w:line="259" w:lineRule="auto"/>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Operating division performance was measured in accordance with established performance measurement criteria adopted for each of the following: The Washington Post Newspaper (“</w:t>
      </w:r>
      <w:r>
        <w:rPr>
          <w:rFonts w:ascii="Arial" w:cs="Arial" w:eastAsia="Arial" w:hAnsi="Arial"/>
          <w:sz w:val="18"/>
          <w:szCs w:val="18"/>
          <w:u w:val="single" w:color="auto"/>
          <w:color w:val="auto"/>
        </w:rPr>
        <w:t>The Post</w:t>
      </w:r>
      <w:r>
        <w:rPr>
          <w:rFonts w:ascii="Arial" w:cs="Arial" w:eastAsia="Arial" w:hAnsi="Arial"/>
          <w:sz w:val="18"/>
          <w:szCs w:val="18"/>
          <w:color w:val="auto"/>
        </w:rPr>
        <w:t>”), CableOne, Newsweek and Post-Newsweek Stations (“</w:t>
      </w:r>
      <w:r>
        <w:rPr>
          <w:rFonts w:ascii="Arial" w:cs="Arial" w:eastAsia="Arial" w:hAnsi="Arial"/>
          <w:sz w:val="18"/>
          <w:szCs w:val="18"/>
          <w:u w:val="single" w:color="auto"/>
          <w:color w:val="auto"/>
        </w:rPr>
        <w:t>PNS</w:t>
      </w:r>
      <w:r>
        <w:rPr>
          <w:rFonts w:ascii="Arial" w:cs="Arial" w:eastAsia="Arial" w:hAnsi="Arial"/>
          <w:sz w:val="18"/>
          <w:szCs w:val="18"/>
          <w:color w:val="auto"/>
        </w:rPr>
        <w:t>”). The payout values were averaged (equal weighting, rounded to the nearest dollar).</w:t>
      </w:r>
    </w:p>
    <w:p>
      <w:pPr>
        <w:spacing w:after="0" w:line="140" w:lineRule="exact"/>
        <w:rPr>
          <w:sz w:val="20"/>
          <w:szCs w:val="20"/>
          <w:color w:val="auto"/>
        </w:rPr>
      </w:pPr>
    </w:p>
    <w:p>
      <w:pPr>
        <w:ind w:left="920"/>
        <w:spacing w:after="0"/>
        <w:rPr>
          <w:sz w:val="20"/>
          <w:szCs w:val="20"/>
          <w:color w:val="auto"/>
        </w:rPr>
      </w:pPr>
      <w:r>
        <w:rPr>
          <w:rFonts w:ascii="Arial" w:cs="Arial" w:eastAsia="Arial" w:hAnsi="Arial"/>
          <w:sz w:val="18"/>
          <w:szCs w:val="18"/>
          <w:u w:val="single" w:color="auto"/>
          <w:color w:val="auto"/>
        </w:rPr>
        <w:t>The Post</w:t>
      </w:r>
    </w:p>
    <w:p>
      <w:pPr>
        <w:spacing w:after="0" w:line="90" w:lineRule="exact"/>
        <w:rPr>
          <w:sz w:val="20"/>
          <w:szCs w:val="20"/>
          <w:color w:val="auto"/>
        </w:rPr>
      </w:pPr>
    </w:p>
    <w:p>
      <w:pPr>
        <w:ind w:left="920" w:right="60"/>
        <w:spacing w:after="0" w:line="312" w:lineRule="auto"/>
        <w:rPr>
          <w:sz w:val="20"/>
          <w:szCs w:val="20"/>
          <w:color w:val="auto"/>
        </w:rPr>
      </w:pPr>
      <w:r>
        <w:rPr>
          <w:rFonts w:ascii="Arial" w:cs="Arial" w:eastAsia="Arial" w:hAnsi="Arial"/>
          <w:sz w:val="15"/>
          <w:szCs w:val="15"/>
          <w:color w:val="auto"/>
        </w:rPr>
        <w:t>For The Post, the measure was an absolute dollar improvement in operating income as compared with a five member peer group. Neither this measure, operating income, nor The Post’s performance relative to its peers, is disclosed in the Company’s financial statements. If The Post’s dollar improvement exceeded that of all its peers, the maximum payout value would be attained, $200 per unit. If The Post was in second place relative to its peers, the value of a performance unit would be $133. If The Post performed better than average (i.e., better than two of the five peer newspapers and roughly in the middle of the pack) the value of a performance unit would be $66. In addition, in order for a payout to occur, The Post’s absolute dollar improvement in operating income must have exceeded $5.4 million, regardless of the performance of its peers. Final Payout: $200 per unit, based on the fact that The Post’s absolute dollar improvement in operating income was $42.6 million and exceeded all others in its peer group.</w:t>
      </w:r>
    </w:p>
    <w:p>
      <w:pPr>
        <w:spacing w:after="0" w:line="105" w:lineRule="exact"/>
        <w:rPr>
          <w:sz w:val="20"/>
          <w:szCs w:val="20"/>
          <w:color w:val="auto"/>
        </w:rPr>
      </w:pPr>
    </w:p>
    <w:p>
      <w:pPr>
        <w:ind w:left="920"/>
        <w:spacing w:after="0"/>
        <w:rPr>
          <w:sz w:val="20"/>
          <w:szCs w:val="20"/>
          <w:color w:val="auto"/>
        </w:rPr>
      </w:pPr>
      <w:r>
        <w:rPr>
          <w:rFonts w:ascii="Arial" w:cs="Arial" w:eastAsia="Arial" w:hAnsi="Arial"/>
          <w:sz w:val="18"/>
          <w:szCs w:val="18"/>
          <w:u w:val="single" w:color="auto"/>
          <w:color w:val="auto"/>
        </w:rPr>
        <w:t>CableOne</w:t>
      </w:r>
    </w:p>
    <w:p>
      <w:pPr>
        <w:spacing w:after="0" w:line="9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For CableOne, the measure was free cash flow as follows:</w:t>
      </w:r>
    </w:p>
    <w:p>
      <w:pPr>
        <w:spacing w:after="0" w:line="212" w:lineRule="exact"/>
        <w:rPr>
          <w:sz w:val="20"/>
          <w:szCs w:val="20"/>
          <w:color w:val="auto"/>
        </w:rPr>
      </w:pPr>
    </w:p>
    <w:tbl>
      <w:tblPr>
        <w:tblLayout w:type="fixed"/>
        <w:tblInd w:w="920" w:type="dxa"/>
        <w:tblCellMar>
          <w:top w:w="0" w:type="dxa"/>
          <w:left w:w="0" w:type="dxa"/>
          <w:bottom w:w="0" w:type="dxa"/>
          <w:right w:w="0" w:type="dxa"/>
        </w:tblCellMar>
      </w:tblPr>
      <w:tr>
        <w:trPr>
          <w:trHeight w:val="216"/>
        </w:trPr>
        <w:tc>
          <w:tcPr>
            <w:tcW w:w="3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ind w:right="92"/>
              <w:spacing w:after="0"/>
              <w:rPr>
                <w:sz w:val="20"/>
                <w:szCs w:val="20"/>
                <w:color w:val="auto"/>
              </w:rPr>
            </w:pPr>
            <w:r>
              <w:rPr>
                <w:rFonts w:ascii="Arial" w:cs="Arial" w:eastAsia="Arial" w:hAnsi="Arial"/>
                <w:sz w:val="18"/>
                <w:szCs w:val="18"/>
                <w:color w:val="auto"/>
                <w:w w:val="90"/>
              </w:rPr>
              <w:t>2003-2006</w:t>
            </w:r>
          </w:p>
        </w:tc>
        <w:tc>
          <w:tcPr>
            <w:tcW w:w="540" w:type="dxa"/>
            <w:vAlign w:val="bottom"/>
          </w:tcPr>
          <w:p>
            <w:pPr>
              <w:spacing w:after="0"/>
              <w:rPr>
                <w:sz w:val="18"/>
                <w:szCs w:val="18"/>
                <w:color w:val="auto"/>
              </w:rPr>
            </w:pPr>
          </w:p>
        </w:tc>
        <w:tc>
          <w:tcPr>
            <w:tcW w:w="900" w:type="dxa"/>
            <w:vAlign w:val="bottom"/>
            <w:gridSpan w:val="2"/>
          </w:tcPr>
          <w:p>
            <w:pPr>
              <w:spacing w:after="0"/>
              <w:rPr>
                <w:sz w:val="20"/>
                <w:szCs w:val="20"/>
                <w:color w:val="auto"/>
              </w:rPr>
            </w:pPr>
            <w:r>
              <w:rPr>
                <w:rFonts w:ascii="Arial" w:cs="Arial" w:eastAsia="Arial" w:hAnsi="Arial"/>
                <w:sz w:val="18"/>
                <w:szCs w:val="18"/>
                <w:color w:val="auto"/>
                <w:w w:val="85"/>
              </w:rPr>
              <w:t>Performance</w:t>
            </w:r>
          </w:p>
        </w:tc>
      </w:tr>
      <w:tr>
        <w:trPr>
          <w:trHeight w:val="222"/>
        </w:trPr>
        <w:tc>
          <w:tcPr>
            <w:tcW w:w="3740" w:type="dxa"/>
            <w:vAlign w:val="bottom"/>
          </w:tcPr>
          <w:p>
            <w:pPr>
              <w:spacing w:after="0"/>
              <w:rPr>
                <w:sz w:val="19"/>
                <w:szCs w:val="19"/>
                <w:color w:val="auto"/>
              </w:rPr>
            </w:pPr>
          </w:p>
        </w:tc>
        <w:tc>
          <w:tcPr>
            <w:tcW w:w="11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86"/>
              </w:rPr>
              <w:t>Free Cash Flow</w:t>
            </w:r>
          </w:p>
        </w:tc>
        <w:tc>
          <w:tcPr>
            <w:tcW w:w="540" w:type="dxa"/>
            <w:vAlign w:val="bottom"/>
          </w:tcPr>
          <w:p>
            <w:pPr>
              <w:spacing w:after="0"/>
              <w:rPr>
                <w:sz w:val="19"/>
                <w:szCs w:val="19"/>
                <w:color w:val="auto"/>
              </w:rPr>
            </w:pPr>
          </w:p>
        </w:tc>
        <w:tc>
          <w:tcPr>
            <w:tcW w:w="9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6"/>
              </w:rPr>
              <w:t>Unit Value</w:t>
            </w:r>
          </w:p>
        </w:tc>
      </w:tr>
      <w:tr>
        <w:trPr>
          <w:trHeight w:val="203"/>
        </w:trPr>
        <w:tc>
          <w:tcPr>
            <w:tcW w:w="3740" w:type="dxa"/>
            <w:vAlign w:val="bottom"/>
          </w:tcPr>
          <w:p>
            <w:pPr>
              <w:spacing w:after="0" w:line="203" w:lineRule="exact"/>
              <w:rPr>
                <w:sz w:val="20"/>
                <w:szCs w:val="20"/>
                <w:color w:val="auto"/>
              </w:rPr>
            </w:pPr>
            <w:r>
              <w:rPr>
                <w:rFonts w:ascii="Arial" w:cs="Arial" w:eastAsia="Arial" w:hAnsi="Arial"/>
                <w:sz w:val="18"/>
                <w:szCs w:val="18"/>
                <w:color w:val="auto"/>
              </w:rPr>
              <w:t>110%</w:t>
            </w:r>
          </w:p>
        </w:tc>
        <w:tc>
          <w:tcPr>
            <w:tcW w:w="140" w:type="dxa"/>
            <w:vAlign w:val="bottom"/>
          </w:tcPr>
          <w:p>
            <w:pPr>
              <w:jc w:val="right"/>
              <w:spacing w:after="0" w:line="203" w:lineRule="exact"/>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line="203" w:lineRule="exact"/>
              <w:rPr>
                <w:sz w:val="20"/>
                <w:szCs w:val="20"/>
                <w:color w:val="auto"/>
              </w:rPr>
            </w:pPr>
            <w:r>
              <w:rPr>
                <w:rFonts w:ascii="Arial" w:cs="Arial" w:eastAsia="Arial" w:hAnsi="Arial"/>
                <w:sz w:val="18"/>
                <w:szCs w:val="18"/>
                <w:color w:val="auto"/>
                <w:w w:val="95"/>
              </w:rPr>
              <w:t>538,935,872</w:t>
            </w:r>
          </w:p>
        </w:tc>
        <w:tc>
          <w:tcPr>
            <w:tcW w:w="540" w:type="dxa"/>
            <w:vAlign w:val="bottom"/>
          </w:tcPr>
          <w:p>
            <w:pPr>
              <w:spacing w:after="0"/>
              <w:rPr>
                <w:sz w:val="17"/>
                <w:szCs w:val="17"/>
                <w:color w:val="auto"/>
              </w:rPr>
            </w:pPr>
          </w:p>
        </w:tc>
        <w:tc>
          <w:tcPr>
            <w:tcW w:w="360" w:type="dxa"/>
            <w:vAlign w:val="bottom"/>
          </w:tcPr>
          <w:p>
            <w:pPr>
              <w:spacing w:after="0" w:line="203" w:lineRule="exact"/>
              <w:rPr>
                <w:sz w:val="20"/>
                <w:szCs w:val="20"/>
                <w:color w:val="auto"/>
              </w:rPr>
            </w:pPr>
            <w:r>
              <w:rPr>
                <w:rFonts w:ascii="Arial" w:cs="Arial" w:eastAsia="Arial" w:hAnsi="Arial"/>
                <w:sz w:val="18"/>
                <w:szCs w:val="18"/>
                <w:color w:val="auto"/>
              </w:rPr>
              <w:t>$</w:t>
            </w:r>
          </w:p>
        </w:tc>
        <w:tc>
          <w:tcPr>
            <w:tcW w:w="540" w:type="dxa"/>
            <w:vAlign w:val="bottom"/>
          </w:tcPr>
          <w:p>
            <w:pPr>
              <w:jc w:val="right"/>
              <w:spacing w:after="0" w:line="203" w:lineRule="exact"/>
              <w:rPr>
                <w:sz w:val="20"/>
                <w:szCs w:val="20"/>
                <w:color w:val="auto"/>
              </w:rPr>
            </w:pPr>
            <w:r>
              <w:rPr>
                <w:rFonts w:ascii="Arial" w:cs="Arial" w:eastAsia="Arial" w:hAnsi="Arial"/>
                <w:sz w:val="18"/>
                <w:szCs w:val="18"/>
                <w:color w:val="auto"/>
              </w:rPr>
              <w:t>200</w:t>
            </w:r>
          </w:p>
        </w:tc>
      </w:tr>
      <w:tr>
        <w:trPr>
          <w:trHeight w:val="216"/>
        </w:trPr>
        <w:tc>
          <w:tcPr>
            <w:tcW w:w="3740" w:type="dxa"/>
            <w:vAlign w:val="bottom"/>
          </w:tcPr>
          <w:p>
            <w:pPr>
              <w:spacing w:after="0"/>
              <w:rPr>
                <w:sz w:val="20"/>
                <w:szCs w:val="20"/>
                <w:color w:val="auto"/>
              </w:rPr>
            </w:pPr>
            <w:r>
              <w:rPr>
                <w:rFonts w:ascii="Arial" w:cs="Arial" w:eastAsia="Arial" w:hAnsi="Arial"/>
                <w:sz w:val="18"/>
                <w:szCs w:val="18"/>
                <w:color w:val="auto"/>
              </w:rPr>
              <w:t>Target*</w:t>
            </w: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w w:val="95"/>
              </w:rPr>
              <w:t>489,941,702</w:t>
            </w:r>
          </w:p>
        </w:tc>
        <w:tc>
          <w:tcPr>
            <w:tcW w:w="90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150</w:t>
            </w:r>
          </w:p>
        </w:tc>
      </w:tr>
      <w:tr>
        <w:trPr>
          <w:trHeight w:val="216"/>
        </w:trPr>
        <w:tc>
          <w:tcPr>
            <w:tcW w:w="3740" w:type="dxa"/>
            <w:vAlign w:val="bottom"/>
          </w:tcPr>
          <w:p>
            <w:pPr>
              <w:spacing w:after="0"/>
              <w:rPr>
                <w:sz w:val="20"/>
                <w:szCs w:val="20"/>
                <w:color w:val="auto"/>
              </w:rPr>
            </w:pPr>
            <w:r>
              <w:rPr>
                <w:rFonts w:ascii="Arial" w:cs="Arial" w:eastAsia="Arial" w:hAnsi="Arial"/>
                <w:sz w:val="18"/>
                <w:szCs w:val="18"/>
                <w:color w:val="auto"/>
              </w:rPr>
              <w:t>95%</w:t>
            </w: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w w:val="95"/>
              </w:rPr>
              <w:t>465,444,617</w:t>
            </w:r>
          </w:p>
        </w:tc>
        <w:tc>
          <w:tcPr>
            <w:tcW w:w="90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22"/>
        </w:trPr>
        <w:tc>
          <w:tcPr>
            <w:tcW w:w="3740" w:type="dxa"/>
            <w:vAlign w:val="bottom"/>
          </w:tcPr>
          <w:p>
            <w:pPr>
              <w:spacing w:after="0"/>
              <w:rPr>
                <w:sz w:val="20"/>
                <w:szCs w:val="20"/>
                <w:color w:val="auto"/>
              </w:rPr>
            </w:pPr>
            <w:r>
              <w:rPr>
                <w:rFonts w:ascii="Arial" w:cs="Arial" w:eastAsia="Arial" w:hAnsi="Arial"/>
                <w:sz w:val="18"/>
                <w:szCs w:val="18"/>
                <w:color w:val="auto"/>
              </w:rPr>
              <w:t>&lt;95%</w:t>
            </w: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90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0</w:t>
            </w:r>
          </w:p>
        </w:tc>
      </w:tr>
    </w:tbl>
    <w:p>
      <w:pPr>
        <w:sectPr>
          <w:pgSz w:w="11900" w:h="16838" w:orient="portrait"/>
          <w:cols w:equalWidth="0" w:num="1">
            <w:col w:w="11400"/>
          </w:cols>
          <w:pgMar w:left="240" w:top="280" w:right="259" w:bottom="1440" w:gutter="0" w:footer="0" w:header="0"/>
        </w:sectPr>
      </w:pPr>
    </w:p>
    <w:bookmarkStart w:id="2" w:name="page3"/>
    <w:bookmarkEnd w:id="2"/>
    <w:p>
      <w:pPr>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*Revised target. Due to the impact of Hurricane Katrina, the Compensation Committee determined that the payout under the 2003-2006 performance units plan for Cable One would be the same as the value authorized for purposes of the Cable One 2003-2005 Long-Term Incentive Plan. The performance period under that plan was shortened to three years to remove the impact of Hurricane Katrina, at the discretion of the Compensation Committee. Free cash flow is not disclosed in the Company’s financial statements, though it could be derived from a detailed reading of the Company’s annual report and other public filings. Final Payout: $191 per unit.</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Newsweek</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For Newsweek, the measure was adjusted operating income targets for each year during the award cycle as follows: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3440" w:type="dxa"/>
            <w:vAlign w:val="bottom"/>
            <w:gridSpan w:val="4"/>
          </w:tcPr>
          <w:p>
            <w:pPr>
              <w:spacing w:after="0"/>
              <w:rPr>
                <w:sz w:val="20"/>
                <w:szCs w:val="20"/>
                <w:color w:val="auto"/>
              </w:rPr>
            </w:pPr>
            <w:r>
              <w:rPr>
                <w:rFonts w:ascii="Arial" w:cs="Arial" w:eastAsia="Arial" w:hAnsi="Arial"/>
                <w:sz w:val="18"/>
                <w:szCs w:val="18"/>
                <w:color w:val="auto"/>
                <w:w w:val="96"/>
              </w:rPr>
              <w:t>If Newsweek’s Adjusted OI in millions was…</w:t>
            </w:r>
          </w:p>
        </w:tc>
        <w:tc>
          <w:tcPr>
            <w:tcW w:w="2560" w:type="dxa"/>
            <w:vAlign w:val="bottom"/>
          </w:tcPr>
          <w:p>
            <w:pPr>
              <w:ind w:left="320"/>
              <w:spacing w:after="0"/>
              <w:rPr>
                <w:sz w:val="20"/>
                <w:szCs w:val="20"/>
                <w:color w:val="auto"/>
              </w:rPr>
            </w:pPr>
            <w:r>
              <w:rPr>
                <w:rFonts w:ascii="Arial" w:cs="Arial" w:eastAsia="Arial" w:hAnsi="Arial"/>
                <w:sz w:val="18"/>
                <w:szCs w:val="18"/>
                <w:color w:val="auto"/>
                <w:w w:val="89"/>
              </w:rPr>
              <w:t>Annual Accrual Toward Payout</w:t>
            </w:r>
          </w:p>
        </w:tc>
      </w:tr>
      <w:tr>
        <w:trPr>
          <w:trHeight w:val="419"/>
        </w:trPr>
        <w:tc>
          <w:tcPr>
            <w:tcW w:w="660" w:type="dxa"/>
            <w:vAlign w:val="bottom"/>
          </w:tcPr>
          <w:p>
            <w:pPr>
              <w:spacing w:after="0"/>
              <w:rPr>
                <w:sz w:val="20"/>
                <w:szCs w:val="20"/>
                <w:color w:val="auto"/>
              </w:rPr>
            </w:pPr>
            <w:r>
              <w:rPr>
                <w:rFonts w:ascii="Arial" w:cs="Arial" w:eastAsia="Arial" w:hAnsi="Arial"/>
                <w:sz w:val="18"/>
                <w:szCs w:val="18"/>
                <w:color w:val="auto"/>
              </w:rPr>
              <w:t>2003</w:t>
            </w:r>
          </w:p>
        </w:tc>
        <w:tc>
          <w:tcPr>
            <w:tcW w:w="740" w:type="dxa"/>
            <w:vAlign w:val="bottom"/>
          </w:tcPr>
          <w:p>
            <w:pPr>
              <w:jc w:val="right"/>
              <w:ind w:right="72"/>
              <w:spacing w:after="0"/>
              <w:rPr>
                <w:sz w:val="20"/>
                <w:szCs w:val="20"/>
                <w:color w:val="auto"/>
              </w:rPr>
            </w:pPr>
            <w:r>
              <w:rPr>
                <w:rFonts w:ascii="Arial" w:cs="Arial" w:eastAsia="Arial" w:hAnsi="Arial"/>
                <w:sz w:val="18"/>
                <w:szCs w:val="18"/>
                <w:color w:val="auto"/>
              </w:rPr>
              <w:t>2004</w:t>
            </w:r>
          </w:p>
        </w:tc>
        <w:tc>
          <w:tcPr>
            <w:tcW w:w="660" w:type="dxa"/>
            <w:vAlign w:val="bottom"/>
          </w:tcPr>
          <w:p>
            <w:pPr>
              <w:jc w:val="right"/>
              <w:ind w:right="72"/>
              <w:spacing w:after="0"/>
              <w:rPr>
                <w:sz w:val="20"/>
                <w:szCs w:val="20"/>
                <w:color w:val="auto"/>
              </w:rPr>
            </w:pPr>
            <w:r>
              <w:rPr>
                <w:rFonts w:ascii="Arial" w:cs="Arial" w:eastAsia="Arial" w:hAnsi="Arial"/>
                <w:sz w:val="18"/>
                <w:szCs w:val="18"/>
                <w:color w:val="auto"/>
              </w:rPr>
              <w:t>2005</w:t>
            </w:r>
          </w:p>
        </w:tc>
        <w:tc>
          <w:tcPr>
            <w:tcW w:w="1380" w:type="dxa"/>
            <w:vAlign w:val="bottom"/>
          </w:tcPr>
          <w:p>
            <w:pPr>
              <w:jc w:val="right"/>
              <w:ind w:right="772"/>
              <w:spacing w:after="0"/>
              <w:rPr>
                <w:sz w:val="20"/>
                <w:szCs w:val="20"/>
                <w:color w:val="auto"/>
              </w:rPr>
            </w:pPr>
            <w:r>
              <w:rPr>
                <w:rFonts w:ascii="Arial" w:cs="Arial" w:eastAsia="Arial" w:hAnsi="Arial"/>
                <w:sz w:val="18"/>
                <w:szCs w:val="18"/>
                <w:color w:val="auto"/>
              </w:rPr>
              <w:t>2006</w:t>
            </w:r>
          </w:p>
        </w:tc>
        <w:tc>
          <w:tcPr>
            <w:tcW w:w="2560" w:type="dxa"/>
            <w:vAlign w:val="bottom"/>
          </w:tcPr>
          <w:p>
            <w:pPr>
              <w:spacing w:after="0"/>
              <w:rPr>
                <w:sz w:val="24"/>
                <w:szCs w:val="24"/>
                <w:color w:val="auto"/>
              </w:rPr>
            </w:pPr>
          </w:p>
        </w:tc>
      </w:tr>
      <w:tr>
        <w:trPr>
          <w:trHeight w:val="318"/>
        </w:trPr>
        <w:tc>
          <w:tcPr>
            <w:tcW w:w="660" w:type="dxa"/>
            <w:vAlign w:val="bottom"/>
          </w:tcPr>
          <w:p>
            <w:pPr>
              <w:jc w:val="right"/>
              <w:ind w:right="132"/>
              <w:spacing w:after="0"/>
              <w:rPr>
                <w:sz w:val="20"/>
                <w:szCs w:val="20"/>
                <w:color w:val="auto"/>
              </w:rPr>
            </w:pPr>
            <w:r>
              <w:rPr>
                <w:rFonts w:ascii="Arial" w:cs="Arial" w:eastAsia="Arial" w:hAnsi="Arial"/>
                <w:sz w:val="18"/>
                <w:szCs w:val="18"/>
                <w:color w:val="auto"/>
              </w:rPr>
              <w:t>4</w:t>
            </w:r>
          </w:p>
        </w:tc>
        <w:tc>
          <w:tcPr>
            <w:tcW w:w="740" w:type="dxa"/>
            <w:vAlign w:val="bottom"/>
          </w:tcPr>
          <w:p>
            <w:pPr>
              <w:jc w:val="right"/>
              <w:ind w:right="72"/>
              <w:spacing w:after="0"/>
              <w:rPr>
                <w:sz w:val="20"/>
                <w:szCs w:val="20"/>
                <w:color w:val="auto"/>
              </w:rPr>
            </w:pPr>
            <w:r>
              <w:rPr>
                <w:rFonts w:ascii="Arial" w:cs="Arial" w:eastAsia="Arial" w:hAnsi="Arial"/>
                <w:sz w:val="18"/>
                <w:szCs w:val="18"/>
                <w:color w:val="auto"/>
              </w:rPr>
              <w:t>5.0</w:t>
            </w:r>
          </w:p>
        </w:tc>
        <w:tc>
          <w:tcPr>
            <w:tcW w:w="660" w:type="dxa"/>
            <w:vAlign w:val="bottom"/>
          </w:tcPr>
          <w:p>
            <w:pPr>
              <w:jc w:val="right"/>
              <w:ind w:right="72"/>
              <w:spacing w:after="0"/>
              <w:rPr>
                <w:sz w:val="20"/>
                <w:szCs w:val="20"/>
                <w:color w:val="auto"/>
              </w:rPr>
            </w:pPr>
            <w:r>
              <w:rPr>
                <w:rFonts w:ascii="Arial" w:cs="Arial" w:eastAsia="Arial" w:hAnsi="Arial"/>
                <w:sz w:val="18"/>
                <w:szCs w:val="18"/>
                <w:color w:val="auto"/>
              </w:rPr>
              <w:t>8.5</w:t>
            </w:r>
          </w:p>
        </w:tc>
        <w:tc>
          <w:tcPr>
            <w:tcW w:w="1380" w:type="dxa"/>
            <w:vAlign w:val="bottom"/>
          </w:tcPr>
          <w:p>
            <w:pPr>
              <w:jc w:val="right"/>
              <w:ind w:right="772"/>
              <w:spacing w:after="0"/>
              <w:rPr>
                <w:sz w:val="20"/>
                <w:szCs w:val="20"/>
                <w:color w:val="auto"/>
              </w:rPr>
            </w:pPr>
            <w:r>
              <w:rPr>
                <w:rFonts w:ascii="Arial" w:cs="Arial" w:eastAsia="Arial" w:hAnsi="Arial"/>
                <w:sz w:val="18"/>
                <w:szCs w:val="18"/>
                <w:color w:val="auto"/>
              </w:rPr>
              <w:t>14</w:t>
            </w:r>
          </w:p>
        </w:tc>
        <w:tc>
          <w:tcPr>
            <w:tcW w:w="2560" w:type="dxa"/>
            <w:vAlign w:val="bottom"/>
          </w:tcPr>
          <w:p>
            <w:pPr>
              <w:ind w:left="200"/>
              <w:spacing w:after="0"/>
              <w:rPr>
                <w:sz w:val="20"/>
                <w:szCs w:val="20"/>
                <w:color w:val="auto"/>
              </w:rPr>
            </w:pPr>
            <w:r>
              <w:rPr>
                <w:rFonts w:ascii="Arial" w:cs="Arial" w:eastAsia="Arial" w:hAnsi="Arial"/>
                <w:sz w:val="18"/>
                <w:szCs w:val="18"/>
                <w:color w:val="auto"/>
              </w:rPr>
              <w:t xml:space="preserve">$200 x </w:t>
            </w:r>
            <w:r>
              <w:rPr>
                <w:rFonts w:ascii="Arial" w:cs="Arial" w:eastAsia="Arial" w:hAnsi="Arial"/>
                <w:sz w:val="22"/>
                <w:szCs w:val="22"/>
                <w:color w:val="auto"/>
                <w:vertAlign w:val="superscript"/>
              </w:rPr>
              <w:t>1</w:t>
            </w:r>
            <w:r>
              <w:rPr>
                <w:rFonts w:ascii="Arial" w:cs="Arial" w:eastAsia="Arial" w:hAnsi="Arial"/>
                <w:sz w:val="18"/>
                <w:szCs w:val="18"/>
                <w:color w:val="auto"/>
              </w:rPr>
              <w:t>/</w:t>
            </w:r>
            <w:r>
              <w:rPr>
                <w:rFonts w:ascii="Arial" w:cs="Arial" w:eastAsia="Arial" w:hAnsi="Arial"/>
                <w:sz w:val="13"/>
                <w:szCs w:val="13"/>
                <w:color w:val="auto"/>
              </w:rPr>
              <w:t>4</w:t>
            </w:r>
            <w:r>
              <w:rPr>
                <w:rFonts w:ascii="Arial" w:cs="Arial" w:eastAsia="Arial" w:hAnsi="Arial"/>
                <w:sz w:val="18"/>
                <w:szCs w:val="18"/>
                <w:color w:val="auto"/>
              </w:rPr>
              <w:t xml:space="preserve"> = $50 Maximum</w:t>
            </w:r>
          </w:p>
        </w:tc>
      </w:tr>
      <w:tr>
        <w:trPr>
          <w:trHeight w:val="216"/>
        </w:trPr>
        <w:tc>
          <w:tcPr>
            <w:tcW w:w="660" w:type="dxa"/>
            <w:vAlign w:val="bottom"/>
          </w:tcPr>
          <w:p>
            <w:pPr>
              <w:jc w:val="right"/>
              <w:ind w:right="132"/>
              <w:spacing w:after="0"/>
              <w:rPr>
                <w:sz w:val="20"/>
                <w:szCs w:val="20"/>
                <w:color w:val="auto"/>
              </w:rPr>
            </w:pPr>
            <w:r>
              <w:rPr>
                <w:rFonts w:ascii="Arial" w:cs="Arial" w:eastAsia="Arial" w:hAnsi="Arial"/>
                <w:sz w:val="18"/>
                <w:szCs w:val="18"/>
                <w:color w:val="auto"/>
              </w:rPr>
              <w:t>1.5</w:t>
            </w:r>
          </w:p>
        </w:tc>
        <w:tc>
          <w:tcPr>
            <w:tcW w:w="740" w:type="dxa"/>
            <w:vAlign w:val="bottom"/>
          </w:tcPr>
          <w:p>
            <w:pPr>
              <w:jc w:val="right"/>
              <w:ind w:right="72"/>
              <w:spacing w:after="0"/>
              <w:rPr>
                <w:sz w:val="20"/>
                <w:szCs w:val="20"/>
                <w:color w:val="auto"/>
              </w:rPr>
            </w:pPr>
            <w:r>
              <w:rPr>
                <w:rFonts w:ascii="Arial" w:cs="Arial" w:eastAsia="Arial" w:hAnsi="Arial"/>
                <w:sz w:val="18"/>
                <w:szCs w:val="18"/>
                <w:color w:val="auto"/>
              </w:rPr>
              <w:t>2.0</w:t>
            </w:r>
          </w:p>
        </w:tc>
        <w:tc>
          <w:tcPr>
            <w:tcW w:w="660" w:type="dxa"/>
            <w:vAlign w:val="bottom"/>
          </w:tcPr>
          <w:p>
            <w:pPr>
              <w:jc w:val="right"/>
              <w:ind w:right="72"/>
              <w:spacing w:after="0"/>
              <w:rPr>
                <w:sz w:val="20"/>
                <w:szCs w:val="20"/>
                <w:color w:val="auto"/>
              </w:rPr>
            </w:pPr>
            <w:r>
              <w:rPr>
                <w:rFonts w:ascii="Arial" w:cs="Arial" w:eastAsia="Arial" w:hAnsi="Arial"/>
                <w:sz w:val="18"/>
                <w:szCs w:val="18"/>
                <w:color w:val="auto"/>
              </w:rPr>
              <w:t>4.5</w:t>
            </w:r>
          </w:p>
        </w:tc>
        <w:tc>
          <w:tcPr>
            <w:tcW w:w="1380" w:type="dxa"/>
            <w:vAlign w:val="bottom"/>
          </w:tcPr>
          <w:p>
            <w:pPr>
              <w:jc w:val="right"/>
              <w:ind w:right="772"/>
              <w:spacing w:after="0"/>
              <w:rPr>
                <w:sz w:val="20"/>
                <w:szCs w:val="20"/>
                <w:color w:val="auto"/>
              </w:rPr>
            </w:pPr>
            <w:r>
              <w:rPr>
                <w:rFonts w:ascii="Arial" w:cs="Arial" w:eastAsia="Arial" w:hAnsi="Arial"/>
                <w:sz w:val="18"/>
                <w:szCs w:val="18"/>
                <w:color w:val="auto"/>
              </w:rPr>
              <w:t>8.0</w:t>
            </w:r>
          </w:p>
        </w:tc>
        <w:tc>
          <w:tcPr>
            <w:tcW w:w="2560" w:type="dxa"/>
            <w:vAlign w:val="bottom"/>
          </w:tcPr>
          <w:p>
            <w:pPr>
              <w:ind w:left="200"/>
              <w:spacing w:after="0" w:line="217" w:lineRule="exact"/>
              <w:rPr>
                <w:sz w:val="20"/>
                <w:szCs w:val="20"/>
                <w:color w:val="auto"/>
              </w:rPr>
            </w:pPr>
            <w:r>
              <w:rPr>
                <w:rFonts w:ascii="Arial" w:cs="Arial" w:eastAsia="Arial" w:hAnsi="Arial"/>
                <w:sz w:val="18"/>
                <w:szCs w:val="18"/>
                <w:color w:val="auto"/>
              </w:rPr>
              <w:t xml:space="preserve">$116.67 x </w:t>
            </w:r>
            <w:r>
              <w:rPr>
                <w:rFonts w:ascii="Arial" w:cs="Arial" w:eastAsia="Arial" w:hAnsi="Arial"/>
                <w:sz w:val="22"/>
                <w:szCs w:val="22"/>
                <w:color w:val="auto"/>
                <w:vertAlign w:val="superscript"/>
              </w:rPr>
              <w:t>1</w:t>
            </w:r>
            <w:r>
              <w:rPr>
                <w:rFonts w:ascii="Arial" w:cs="Arial" w:eastAsia="Arial" w:hAnsi="Arial"/>
                <w:sz w:val="18"/>
                <w:szCs w:val="18"/>
                <w:color w:val="auto"/>
              </w:rPr>
              <w:t>/</w:t>
            </w:r>
            <w:r>
              <w:rPr>
                <w:rFonts w:ascii="Arial" w:cs="Arial" w:eastAsia="Arial" w:hAnsi="Arial"/>
                <w:sz w:val="13"/>
                <w:szCs w:val="13"/>
                <w:color w:val="auto"/>
              </w:rPr>
              <w:t>4</w:t>
            </w:r>
            <w:r>
              <w:rPr>
                <w:rFonts w:ascii="Arial" w:cs="Arial" w:eastAsia="Arial" w:hAnsi="Arial"/>
                <w:sz w:val="18"/>
                <w:szCs w:val="18"/>
                <w:color w:val="auto"/>
              </w:rPr>
              <w:t xml:space="preserve"> = $29.17</w:t>
            </w:r>
          </w:p>
        </w:tc>
      </w:tr>
      <w:tr>
        <w:trPr>
          <w:trHeight w:val="216"/>
        </w:trPr>
        <w:tc>
          <w:tcPr>
            <w:tcW w:w="660" w:type="dxa"/>
            <w:vAlign w:val="bottom"/>
          </w:tcPr>
          <w:p>
            <w:pPr>
              <w:jc w:val="right"/>
              <w:ind w:right="132"/>
              <w:spacing w:after="0"/>
              <w:rPr>
                <w:sz w:val="20"/>
                <w:szCs w:val="20"/>
                <w:color w:val="auto"/>
              </w:rPr>
            </w:pPr>
            <w:r>
              <w:rPr>
                <w:rFonts w:ascii="Arial" w:cs="Arial" w:eastAsia="Arial" w:hAnsi="Arial"/>
                <w:sz w:val="18"/>
                <w:szCs w:val="18"/>
                <w:color w:val="auto"/>
              </w:rPr>
              <w:t>1.0</w:t>
            </w:r>
          </w:p>
        </w:tc>
        <w:tc>
          <w:tcPr>
            <w:tcW w:w="740" w:type="dxa"/>
            <w:vAlign w:val="bottom"/>
          </w:tcPr>
          <w:p>
            <w:pPr>
              <w:jc w:val="right"/>
              <w:ind w:right="72"/>
              <w:spacing w:after="0"/>
              <w:rPr>
                <w:sz w:val="20"/>
                <w:szCs w:val="20"/>
                <w:color w:val="auto"/>
              </w:rPr>
            </w:pPr>
            <w:r>
              <w:rPr>
                <w:rFonts w:ascii="Arial" w:cs="Arial" w:eastAsia="Arial" w:hAnsi="Arial"/>
                <w:sz w:val="18"/>
                <w:szCs w:val="18"/>
                <w:color w:val="auto"/>
              </w:rPr>
              <w:t>1.3</w:t>
            </w:r>
          </w:p>
        </w:tc>
        <w:tc>
          <w:tcPr>
            <w:tcW w:w="660" w:type="dxa"/>
            <w:vAlign w:val="bottom"/>
          </w:tcPr>
          <w:p>
            <w:pPr>
              <w:jc w:val="right"/>
              <w:ind w:right="72"/>
              <w:spacing w:after="0"/>
              <w:rPr>
                <w:sz w:val="20"/>
                <w:szCs w:val="20"/>
                <w:color w:val="auto"/>
              </w:rPr>
            </w:pPr>
            <w:r>
              <w:rPr>
                <w:rFonts w:ascii="Arial" w:cs="Arial" w:eastAsia="Arial" w:hAnsi="Arial"/>
                <w:sz w:val="18"/>
                <w:szCs w:val="18"/>
                <w:color w:val="auto"/>
              </w:rPr>
              <w:t>3.5</w:t>
            </w:r>
          </w:p>
        </w:tc>
        <w:tc>
          <w:tcPr>
            <w:tcW w:w="1380" w:type="dxa"/>
            <w:vAlign w:val="bottom"/>
          </w:tcPr>
          <w:p>
            <w:pPr>
              <w:jc w:val="right"/>
              <w:ind w:right="772"/>
              <w:spacing w:after="0"/>
              <w:rPr>
                <w:sz w:val="20"/>
                <w:szCs w:val="20"/>
                <w:color w:val="auto"/>
              </w:rPr>
            </w:pPr>
            <w:r>
              <w:rPr>
                <w:rFonts w:ascii="Arial" w:cs="Arial" w:eastAsia="Arial" w:hAnsi="Arial"/>
                <w:sz w:val="18"/>
                <w:szCs w:val="18"/>
                <w:color w:val="auto"/>
              </w:rPr>
              <w:t>7.0</w:t>
            </w:r>
          </w:p>
        </w:tc>
        <w:tc>
          <w:tcPr>
            <w:tcW w:w="2560" w:type="dxa"/>
            <w:vAlign w:val="bottom"/>
          </w:tcPr>
          <w:p>
            <w:pPr>
              <w:ind w:left="200"/>
              <w:spacing w:after="0" w:line="217" w:lineRule="exact"/>
              <w:rPr>
                <w:sz w:val="20"/>
                <w:szCs w:val="20"/>
                <w:color w:val="auto"/>
              </w:rPr>
            </w:pPr>
            <w:r>
              <w:rPr>
                <w:rFonts w:ascii="Arial" w:cs="Arial" w:eastAsia="Arial" w:hAnsi="Arial"/>
                <w:sz w:val="18"/>
                <w:szCs w:val="18"/>
                <w:color w:val="auto"/>
              </w:rPr>
              <w:t xml:space="preserve">$100 x </w:t>
            </w:r>
            <w:r>
              <w:rPr>
                <w:rFonts w:ascii="Arial" w:cs="Arial" w:eastAsia="Arial" w:hAnsi="Arial"/>
                <w:sz w:val="22"/>
                <w:szCs w:val="22"/>
                <w:color w:val="auto"/>
                <w:vertAlign w:val="superscript"/>
              </w:rPr>
              <w:t>1</w:t>
            </w:r>
            <w:r>
              <w:rPr>
                <w:rFonts w:ascii="Arial" w:cs="Arial" w:eastAsia="Arial" w:hAnsi="Arial"/>
                <w:sz w:val="18"/>
                <w:szCs w:val="18"/>
                <w:color w:val="auto"/>
              </w:rPr>
              <w:t>/</w:t>
            </w:r>
            <w:r>
              <w:rPr>
                <w:rFonts w:ascii="Arial" w:cs="Arial" w:eastAsia="Arial" w:hAnsi="Arial"/>
                <w:sz w:val="13"/>
                <w:szCs w:val="13"/>
                <w:color w:val="auto"/>
              </w:rPr>
              <w:t>4</w:t>
            </w:r>
            <w:r>
              <w:rPr>
                <w:rFonts w:ascii="Arial" w:cs="Arial" w:eastAsia="Arial" w:hAnsi="Arial"/>
                <w:sz w:val="18"/>
                <w:szCs w:val="18"/>
                <w:color w:val="auto"/>
              </w:rPr>
              <w:t xml:space="preserve"> = $25.00</w:t>
            </w:r>
          </w:p>
        </w:tc>
      </w:tr>
      <w:tr>
        <w:trPr>
          <w:trHeight w:val="216"/>
        </w:trPr>
        <w:tc>
          <w:tcPr>
            <w:tcW w:w="660" w:type="dxa"/>
            <w:vAlign w:val="bottom"/>
          </w:tcPr>
          <w:p>
            <w:pPr>
              <w:jc w:val="right"/>
              <w:ind w:right="132"/>
              <w:spacing w:after="0"/>
              <w:rPr>
                <w:sz w:val="20"/>
                <w:szCs w:val="20"/>
                <w:color w:val="auto"/>
              </w:rPr>
            </w:pPr>
            <w:r>
              <w:rPr>
                <w:rFonts w:ascii="Arial" w:cs="Arial" w:eastAsia="Arial" w:hAnsi="Arial"/>
                <w:sz w:val="18"/>
                <w:szCs w:val="18"/>
                <w:color w:val="auto"/>
              </w:rPr>
              <w:t>-.5</w:t>
            </w:r>
          </w:p>
        </w:tc>
        <w:tc>
          <w:tcPr>
            <w:tcW w:w="740" w:type="dxa"/>
            <w:vAlign w:val="bottom"/>
          </w:tcPr>
          <w:p>
            <w:pPr>
              <w:jc w:val="right"/>
              <w:ind w:right="72"/>
              <w:spacing w:after="0"/>
              <w:rPr>
                <w:sz w:val="20"/>
                <w:szCs w:val="20"/>
                <w:color w:val="auto"/>
              </w:rPr>
            </w:pPr>
            <w:r>
              <w:rPr>
                <w:rFonts w:ascii="Arial" w:cs="Arial" w:eastAsia="Arial" w:hAnsi="Arial"/>
                <w:sz w:val="18"/>
                <w:szCs w:val="18"/>
                <w:color w:val="auto"/>
              </w:rPr>
              <w:t>0</w:t>
            </w:r>
          </w:p>
        </w:tc>
        <w:tc>
          <w:tcPr>
            <w:tcW w:w="660" w:type="dxa"/>
            <w:vAlign w:val="bottom"/>
          </w:tcPr>
          <w:p>
            <w:pPr>
              <w:jc w:val="right"/>
              <w:ind w:right="72"/>
              <w:spacing w:after="0"/>
              <w:rPr>
                <w:sz w:val="20"/>
                <w:szCs w:val="20"/>
                <w:color w:val="auto"/>
              </w:rPr>
            </w:pPr>
            <w:r>
              <w:rPr>
                <w:rFonts w:ascii="Arial" w:cs="Arial" w:eastAsia="Arial" w:hAnsi="Arial"/>
                <w:sz w:val="18"/>
                <w:szCs w:val="18"/>
                <w:color w:val="auto"/>
              </w:rPr>
              <w:t>2.75</w:t>
            </w:r>
          </w:p>
        </w:tc>
        <w:tc>
          <w:tcPr>
            <w:tcW w:w="1380" w:type="dxa"/>
            <w:vAlign w:val="bottom"/>
          </w:tcPr>
          <w:p>
            <w:pPr>
              <w:jc w:val="right"/>
              <w:ind w:right="772"/>
              <w:spacing w:after="0"/>
              <w:rPr>
                <w:sz w:val="20"/>
                <w:szCs w:val="20"/>
                <w:color w:val="auto"/>
              </w:rPr>
            </w:pPr>
            <w:r>
              <w:rPr>
                <w:rFonts w:ascii="Arial" w:cs="Arial" w:eastAsia="Arial" w:hAnsi="Arial"/>
                <w:sz w:val="18"/>
                <w:szCs w:val="18"/>
                <w:color w:val="auto"/>
              </w:rPr>
              <w:t>6.0</w:t>
            </w:r>
          </w:p>
        </w:tc>
        <w:tc>
          <w:tcPr>
            <w:tcW w:w="2560" w:type="dxa"/>
            <w:vAlign w:val="bottom"/>
          </w:tcPr>
          <w:p>
            <w:pPr>
              <w:ind w:left="200"/>
              <w:spacing w:after="0" w:line="217" w:lineRule="exact"/>
              <w:rPr>
                <w:sz w:val="20"/>
                <w:szCs w:val="20"/>
                <w:color w:val="auto"/>
              </w:rPr>
            </w:pPr>
            <w:r>
              <w:rPr>
                <w:rFonts w:ascii="Arial" w:cs="Arial" w:eastAsia="Arial" w:hAnsi="Arial"/>
                <w:sz w:val="18"/>
                <w:szCs w:val="18"/>
                <w:color w:val="auto"/>
              </w:rPr>
              <w:t xml:space="preserve">$83.33 x </w:t>
            </w:r>
            <w:r>
              <w:rPr>
                <w:rFonts w:ascii="Arial" w:cs="Arial" w:eastAsia="Arial" w:hAnsi="Arial"/>
                <w:sz w:val="22"/>
                <w:szCs w:val="22"/>
                <w:color w:val="auto"/>
                <w:vertAlign w:val="superscript"/>
              </w:rPr>
              <w:t>1</w:t>
            </w:r>
            <w:r>
              <w:rPr>
                <w:rFonts w:ascii="Arial" w:cs="Arial" w:eastAsia="Arial" w:hAnsi="Arial"/>
                <w:sz w:val="18"/>
                <w:szCs w:val="18"/>
                <w:color w:val="auto"/>
              </w:rPr>
              <w:t>/</w:t>
            </w:r>
            <w:r>
              <w:rPr>
                <w:rFonts w:ascii="Arial" w:cs="Arial" w:eastAsia="Arial" w:hAnsi="Arial"/>
                <w:sz w:val="13"/>
                <w:szCs w:val="13"/>
                <w:color w:val="auto"/>
              </w:rPr>
              <w:t>4</w:t>
            </w:r>
            <w:r>
              <w:rPr>
                <w:rFonts w:ascii="Arial" w:cs="Arial" w:eastAsia="Arial" w:hAnsi="Arial"/>
                <w:sz w:val="18"/>
                <w:szCs w:val="18"/>
                <w:color w:val="auto"/>
              </w:rPr>
              <w:t xml:space="preserve"> = $20.83</w:t>
            </w:r>
          </w:p>
        </w:tc>
      </w:tr>
      <w:tr>
        <w:trPr>
          <w:trHeight w:val="216"/>
        </w:trPr>
        <w:tc>
          <w:tcPr>
            <w:tcW w:w="660" w:type="dxa"/>
            <w:vAlign w:val="bottom"/>
          </w:tcPr>
          <w:p>
            <w:pPr>
              <w:jc w:val="right"/>
              <w:ind w:right="132"/>
              <w:spacing w:after="0"/>
              <w:rPr>
                <w:sz w:val="20"/>
                <w:szCs w:val="20"/>
                <w:color w:val="auto"/>
              </w:rPr>
            </w:pPr>
            <w:r>
              <w:rPr>
                <w:rFonts w:ascii="Arial" w:cs="Arial" w:eastAsia="Arial" w:hAnsi="Arial"/>
                <w:sz w:val="18"/>
                <w:szCs w:val="18"/>
                <w:color w:val="auto"/>
              </w:rPr>
              <w:t>-1.9</w:t>
            </w:r>
          </w:p>
        </w:tc>
        <w:tc>
          <w:tcPr>
            <w:tcW w:w="740" w:type="dxa"/>
            <w:vAlign w:val="bottom"/>
          </w:tcPr>
          <w:p>
            <w:pPr>
              <w:jc w:val="right"/>
              <w:ind w:right="72"/>
              <w:spacing w:after="0"/>
              <w:rPr>
                <w:sz w:val="20"/>
                <w:szCs w:val="20"/>
                <w:color w:val="auto"/>
              </w:rPr>
            </w:pPr>
            <w:r>
              <w:rPr>
                <w:rFonts w:ascii="Arial" w:cs="Arial" w:eastAsia="Arial" w:hAnsi="Arial"/>
                <w:sz w:val="18"/>
                <w:szCs w:val="18"/>
                <w:color w:val="auto"/>
              </w:rPr>
              <w:t>-1.8</w:t>
            </w:r>
          </w:p>
        </w:tc>
        <w:tc>
          <w:tcPr>
            <w:tcW w:w="660" w:type="dxa"/>
            <w:vAlign w:val="bottom"/>
          </w:tcPr>
          <w:p>
            <w:pPr>
              <w:jc w:val="right"/>
              <w:ind w:right="72"/>
              <w:spacing w:after="0"/>
              <w:rPr>
                <w:sz w:val="20"/>
                <w:szCs w:val="20"/>
                <w:color w:val="auto"/>
              </w:rPr>
            </w:pPr>
            <w:r>
              <w:rPr>
                <w:rFonts w:ascii="Arial" w:cs="Arial" w:eastAsia="Arial" w:hAnsi="Arial"/>
                <w:sz w:val="18"/>
                <w:szCs w:val="18"/>
                <w:color w:val="auto"/>
              </w:rPr>
              <w:t>1.9</w:t>
            </w:r>
          </w:p>
        </w:tc>
        <w:tc>
          <w:tcPr>
            <w:tcW w:w="1380" w:type="dxa"/>
            <w:vAlign w:val="bottom"/>
          </w:tcPr>
          <w:p>
            <w:pPr>
              <w:jc w:val="right"/>
              <w:ind w:right="772"/>
              <w:spacing w:after="0"/>
              <w:rPr>
                <w:sz w:val="20"/>
                <w:szCs w:val="20"/>
                <w:color w:val="auto"/>
              </w:rPr>
            </w:pPr>
            <w:r>
              <w:rPr>
                <w:rFonts w:ascii="Arial" w:cs="Arial" w:eastAsia="Arial" w:hAnsi="Arial"/>
                <w:sz w:val="18"/>
                <w:szCs w:val="18"/>
                <w:color w:val="auto"/>
              </w:rPr>
              <w:t>5.0</w:t>
            </w:r>
          </w:p>
        </w:tc>
        <w:tc>
          <w:tcPr>
            <w:tcW w:w="2560" w:type="dxa"/>
            <w:vAlign w:val="bottom"/>
          </w:tcPr>
          <w:p>
            <w:pPr>
              <w:ind w:left="200"/>
              <w:spacing w:after="0" w:line="217" w:lineRule="exact"/>
              <w:rPr>
                <w:sz w:val="20"/>
                <w:szCs w:val="20"/>
                <w:color w:val="auto"/>
              </w:rPr>
            </w:pPr>
            <w:r>
              <w:rPr>
                <w:rFonts w:ascii="Arial" w:cs="Arial" w:eastAsia="Arial" w:hAnsi="Arial"/>
                <w:sz w:val="18"/>
                <w:szCs w:val="18"/>
                <w:color w:val="auto"/>
              </w:rPr>
              <w:t xml:space="preserve">$66.67 x </w:t>
            </w:r>
            <w:r>
              <w:rPr>
                <w:rFonts w:ascii="Arial" w:cs="Arial" w:eastAsia="Arial" w:hAnsi="Arial"/>
                <w:sz w:val="22"/>
                <w:szCs w:val="22"/>
                <w:color w:val="auto"/>
                <w:vertAlign w:val="superscript"/>
              </w:rPr>
              <w:t>1</w:t>
            </w:r>
            <w:r>
              <w:rPr>
                <w:rFonts w:ascii="Arial" w:cs="Arial" w:eastAsia="Arial" w:hAnsi="Arial"/>
                <w:sz w:val="18"/>
                <w:szCs w:val="18"/>
                <w:color w:val="auto"/>
              </w:rPr>
              <w:t>/</w:t>
            </w:r>
            <w:r>
              <w:rPr>
                <w:rFonts w:ascii="Arial" w:cs="Arial" w:eastAsia="Arial" w:hAnsi="Arial"/>
                <w:sz w:val="13"/>
                <w:szCs w:val="13"/>
                <w:color w:val="auto"/>
              </w:rPr>
              <w:t>4</w:t>
            </w:r>
            <w:r>
              <w:rPr>
                <w:rFonts w:ascii="Arial" w:cs="Arial" w:eastAsia="Arial" w:hAnsi="Arial"/>
                <w:sz w:val="18"/>
                <w:szCs w:val="18"/>
                <w:color w:val="auto"/>
              </w:rPr>
              <w:t xml:space="preserve"> = $16.67</w:t>
            </w:r>
          </w:p>
        </w:tc>
      </w:tr>
      <w:tr>
        <w:trPr>
          <w:trHeight w:val="236"/>
        </w:trPr>
        <w:tc>
          <w:tcPr>
            <w:tcW w:w="3440" w:type="dxa"/>
            <w:vAlign w:val="bottom"/>
            <w:gridSpan w:val="4"/>
          </w:tcPr>
          <w:p>
            <w:pPr>
              <w:spacing w:after="0"/>
              <w:rPr>
                <w:sz w:val="20"/>
                <w:szCs w:val="20"/>
                <w:color w:val="auto"/>
              </w:rPr>
            </w:pPr>
            <w:r>
              <w:rPr>
                <w:rFonts w:ascii="Arial" w:cs="Arial" w:eastAsia="Arial" w:hAnsi="Arial"/>
                <w:sz w:val="18"/>
                <w:szCs w:val="18"/>
                <w:color w:val="auto"/>
              </w:rPr>
              <w:t>Achievement below this chart…</w:t>
            </w:r>
          </w:p>
        </w:tc>
        <w:tc>
          <w:tcPr>
            <w:tcW w:w="2560" w:type="dxa"/>
            <w:vAlign w:val="bottom"/>
          </w:tcPr>
          <w:p>
            <w:pPr>
              <w:ind w:left="200"/>
              <w:spacing w:after="0"/>
              <w:rPr>
                <w:sz w:val="20"/>
                <w:szCs w:val="20"/>
                <w:color w:val="auto"/>
              </w:rPr>
            </w:pPr>
            <w:r>
              <w:rPr>
                <w:rFonts w:ascii="Arial" w:cs="Arial" w:eastAsia="Arial" w:hAnsi="Arial"/>
                <w:sz w:val="18"/>
                <w:szCs w:val="18"/>
                <w:color w:val="auto"/>
              </w:rPr>
              <w:t>$0</w:t>
            </w:r>
          </w:p>
        </w:tc>
      </w:tr>
    </w:tbl>
    <w:p>
      <w:pPr>
        <w:spacing w:after="0" w:line="156" w:lineRule="exact"/>
        <w:rPr>
          <w:sz w:val="20"/>
          <w:szCs w:val="20"/>
          <w:color w:val="auto"/>
        </w:rPr>
      </w:pPr>
    </w:p>
    <w:p>
      <w:pPr>
        <w:spacing w:after="0"/>
        <w:rPr>
          <w:sz w:val="20"/>
          <w:szCs w:val="20"/>
          <w:color w:val="auto"/>
        </w:rPr>
      </w:pPr>
      <w:r>
        <w:rPr>
          <w:rFonts w:ascii="Arial" w:cs="Arial" w:eastAsia="Arial" w:hAnsi="Arial"/>
          <w:sz w:val="18"/>
          <w:szCs w:val="18"/>
          <w:color w:val="auto"/>
        </w:rPr>
        <w:t>Straight-line interpolation between points, results rounded to the nearest cent.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Actual Adjusted Operating Income was: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460" w:type="dxa"/>
            <w:vAlign w:val="bottom"/>
          </w:tcPr>
          <w:p>
            <w:pPr>
              <w:jc w:val="right"/>
              <w:ind w:right="1012"/>
              <w:spacing w:after="0"/>
              <w:rPr>
                <w:sz w:val="20"/>
                <w:szCs w:val="20"/>
                <w:color w:val="auto"/>
              </w:rPr>
            </w:pPr>
            <w:r>
              <w:rPr>
                <w:rFonts w:ascii="Arial" w:cs="Arial" w:eastAsia="Arial" w:hAnsi="Arial"/>
                <w:sz w:val="18"/>
                <w:szCs w:val="18"/>
                <w:color w:val="auto"/>
                <w:w w:val="84"/>
              </w:rPr>
              <w:t>2003</w:t>
            </w:r>
          </w:p>
        </w:tc>
        <w:tc>
          <w:tcPr>
            <w:tcW w:w="1560" w:type="dxa"/>
            <w:vAlign w:val="bottom"/>
          </w:tcPr>
          <w:p>
            <w:pPr>
              <w:ind w:left="1100"/>
              <w:spacing w:after="0"/>
              <w:rPr>
                <w:sz w:val="20"/>
                <w:szCs w:val="20"/>
                <w:color w:val="auto"/>
              </w:rPr>
            </w:pPr>
            <w:r>
              <w:rPr>
                <w:rFonts w:ascii="Arial" w:cs="Arial" w:eastAsia="Arial" w:hAnsi="Arial"/>
                <w:sz w:val="18"/>
                <w:szCs w:val="18"/>
                <w:color w:val="auto"/>
                <w:w w:val="87"/>
              </w:rPr>
              <w:t>1.72M</w:t>
            </w:r>
          </w:p>
        </w:tc>
      </w:tr>
      <w:tr>
        <w:trPr>
          <w:trHeight w:val="216"/>
        </w:trPr>
        <w:tc>
          <w:tcPr>
            <w:tcW w:w="1460" w:type="dxa"/>
            <w:vAlign w:val="bottom"/>
          </w:tcPr>
          <w:p>
            <w:pPr>
              <w:jc w:val="right"/>
              <w:ind w:right="1012"/>
              <w:spacing w:after="0"/>
              <w:rPr>
                <w:sz w:val="20"/>
                <w:szCs w:val="20"/>
                <w:color w:val="auto"/>
              </w:rPr>
            </w:pPr>
            <w:r>
              <w:rPr>
                <w:rFonts w:ascii="Arial" w:cs="Arial" w:eastAsia="Arial" w:hAnsi="Arial"/>
                <w:sz w:val="18"/>
                <w:szCs w:val="18"/>
                <w:color w:val="auto"/>
                <w:w w:val="84"/>
              </w:rPr>
              <w:t>2004</w:t>
            </w:r>
          </w:p>
        </w:tc>
        <w:tc>
          <w:tcPr>
            <w:tcW w:w="1560" w:type="dxa"/>
            <w:vAlign w:val="bottom"/>
          </w:tcPr>
          <w:p>
            <w:pPr>
              <w:ind w:left="1100"/>
              <w:spacing w:after="0"/>
              <w:rPr>
                <w:sz w:val="20"/>
                <w:szCs w:val="20"/>
                <w:color w:val="auto"/>
              </w:rPr>
            </w:pPr>
            <w:r>
              <w:rPr>
                <w:rFonts w:ascii="Arial" w:cs="Arial" w:eastAsia="Arial" w:hAnsi="Arial"/>
                <w:sz w:val="18"/>
                <w:szCs w:val="18"/>
                <w:color w:val="auto"/>
                <w:w w:val="87"/>
              </w:rPr>
              <w:t>9.59M</w:t>
            </w:r>
          </w:p>
        </w:tc>
      </w:tr>
      <w:tr>
        <w:trPr>
          <w:trHeight w:val="216"/>
        </w:trPr>
        <w:tc>
          <w:tcPr>
            <w:tcW w:w="1460" w:type="dxa"/>
            <w:vAlign w:val="bottom"/>
          </w:tcPr>
          <w:p>
            <w:pPr>
              <w:jc w:val="right"/>
              <w:ind w:right="1012"/>
              <w:spacing w:after="0"/>
              <w:rPr>
                <w:sz w:val="20"/>
                <w:szCs w:val="20"/>
                <w:color w:val="auto"/>
              </w:rPr>
            </w:pPr>
            <w:r>
              <w:rPr>
                <w:rFonts w:ascii="Arial" w:cs="Arial" w:eastAsia="Arial" w:hAnsi="Arial"/>
                <w:sz w:val="18"/>
                <w:szCs w:val="18"/>
                <w:color w:val="auto"/>
                <w:w w:val="84"/>
              </w:rPr>
              <w:t>2005</w:t>
            </w:r>
          </w:p>
        </w:tc>
        <w:tc>
          <w:tcPr>
            <w:tcW w:w="1560" w:type="dxa"/>
            <w:vAlign w:val="bottom"/>
          </w:tcPr>
          <w:p>
            <w:pPr>
              <w:ind w:left="1100"/>
              <w:spacing w:after="0"/>
              <w:rPr>
                <w:sz w:val="20"/>
                <w:szCs w:val="20"/>
                <w:color w:val="auto"/>
              </w:rPr>
            </w:pPr>
            <w:r>
              <w:rPr>
                <w:rFonts w:ascii="Arial" w:cs="Arial" w:eastAsia="Arial" w:hAnsi="Arial"/>
                <w:sz w:val="18"/>
                <w:szCs w:val="18"/>
                <w:color w:val="auto"/>
                <w:w w:val="87"/>
              </w:rPr>
              <w:t>3.25M</w:t>
            </w:r>
          </w:p>
        </w:tc>
      </w:tr>
      <w:tr>
        <w:trPr>
          <w:trHeight w:val="222"/>
        </w:trPr>
        <w:tc>
          <w:tcPr>
            <w:tcW w:w="1460" w:type="dxa"/>
            <w:vAlign w:val="bottom"/>
          </w:tcPr>
          <w:p>
            <w:pPr>
              <w:jc w:val="right"/>
              <w:ind w:right="1012"/>
              <w:spacing w:after="0"/>
              <w:rPr>
                <w:sz w:val="20"/>
                <w:szCs w:val="20"/>
                <w:color w:val="auto"/>
              </w:rPr>
            </w:pPr>
            <w:r>
              <w:rPr>
                <w:rFonts w:ascii="Arial" w:cs="Arial" w:eastAsia="Arial" w:hAnsi="Arial"/>
                <w:sz w:val="18"/>
                <w:szCs w:val="18"/>
                <w:color w:val="auto"/>
                <w:w w:val="84"/>
              </w:rPr>
              <w:t>2006</w:t>
            </w:r>
          </w:p>
        </w:tc>
        <w:tc>
          <w:tcPr>
            <w:tcW w:w="1560" w:type="dxa"/>
            <w:vAlign w:val="bottom"/>
          </w:tcPr>
          <w:p>
            <w:pPr>
              <w:ind w:left="1100"/>
              <w:spacing w:after="0"/>
              <w:rPr>
                <w:sz w:val="20"/>
                <w:szCs w:val="20"/>
                <w:color w:val="auto"/>
              </w:rPr>
            </w:pPr>
            <w:r>
              <w:rPr>
                <w:rFonts w:ascii="Arial" w:cs="Arial" w:eastAsia="Arial" w:hAnsi="Arial"/>
                <w:sz w:val="18"/>
                <w:szCs w:val="18"/>
                <w:color w:val="auto"/>
                <w:w w:val="87"/>
              </w:rPr>
              <w:t>9.72M</w:t>
            </w:r>
          </w:p>
        </w:tc>
      </w:tr>
    </w:tbl>
    <w:p>
      <w:pPr>
        <w:spacing w:after="0" w:line="156" w:lineRule="exact"/>
        <w:rPr>
          <w:sz w:val="20"/>
          <w:szCs w:val="20"/>
          <w:color w:val="auto"/>
        </w:rPr>
      </w:pPr>
    </w:p>
    <w:p>
      <w:pPr>
        <w:ind w:right="500"/>
        <w:spacing w:after="0" w:line="332" w:lineRule="auto"/>
        <w:rPr>
          <w:sz w:val="20"/>
          <w:szCs w:val="20"/>
          <w:color w:val="auto"/>
        </w:rPr>
      </w:pPr>
      <w:r>
        <w:rPr>
          <w:rFonts w:ascii="Arial" w:cs="Arial" w:eastAsia="Arial" w:hAnsi="Arial"/>
          <w:sz w:val="16"/>
          <w:szCs w:val="16"/>
          <w:color w:val="auto"/>
        </w:rPr>
        <w:t>Adjusted Operating Income is not disclosed in the Company’s financial statements. Final payout per unit $150, which includes a discretionary adjustment of $10.22/unit based on efforts to reduce pension expense, as approved by the Compensation Committee.</w:t>
      </w:r>
    </w:p>
    <w:p>
      <w:pPr>
        <w:sectPr>
          <w:pgSz w:w="11900" w:h="16838" w:orient="portrait"/>
          <w:cols w:equalWidth="0" w:num="1">
            <w:col w:w="10480"/>
          </w:cols>
          <w:pgMar w:left="1160" w:top="280" w:right="259" w:bottom="1440" w:gutter="0" w:footer="0" w:header="0"/>
        </w:sectPr>
      </w:pPr>
    </w:p>
    <w:bookmarkStart w:id="3" w:name="page4"/>
    <w:bookmarkEnd w:id="3"/>
    <w:p>
      <w:pPr>
        <w:ind w:left="466"/>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PNS</w:t>
      </w:r>
    </w:p>
    <w:p>
      <w:pPr>
        <w:spacing w:after="0" w:line="90" w:lineRule="exact"/>
        <w:rPr>
          <w:sz w:val="20"/>
          <w:szCs w:val="20"/>
          <w:color w:val="auto"/>
        </w:rPr>
      </w:pPr>
    </w:p>
    <w:p>
      <w:pPr>
        <w:ind w:left="466" w:right="40"/>
        <w:spacing w:after="0" w:line="268" w:lineRule="auto"/>
        <w:rPr>
          <w:sz w:val="20"/>
          <w:szCs w:val="20"/>
          <w:color w:val="auto"/>
        </w:rPr>
      </w:pPr>
      <w:r>
        <w:rPr>
          <w:rFonts w:ascii="Arial" w:cs="Arial" w:eastAsia="Arial" w:hAnsi="Arial"/>
          <w:sz w:val="18"/>
          <w:szCs w:val="18"/>
          <w:color w:val="auto"/>
        </w:rPr>
        <w:t>For PNS, the measure was cash flow margin ranking compared to cash flow margins of a group of nine selected peer companies at the end of the award cycle, as follows:</w:t>
      </w:r>
    </w:p>
    <w:p>
      <w:pPr>
        <w:spacing w:after="0" w:line="172" w:lineRule="exact"/>
        <w:rPr>
          <w:sz w:val="20"/>
          <w:szCs w:val="20"/>
          <w:color w:val="auto"/>
        </w:rPr>
      </w:pPr>
    </w:p>
    <w:tbl>
      <w:tblPr>
        <w:tblLayout w:type="fixed"/>
        <w:tblInd w:w="466" w:type="dxa"/>
        <w:tblCellMar>
          <w:top w:w="0" w:type="dxa"/>
          <w:left w:w="0" w:type="dxa"/>
          <w:bottom w:w="0" w:type="dxa"/>
          <w:right w:w="0" w:type="dxa"/>
        </w:tblCellMar>
      </w:tblPr>
      <w:tr>
        <w:trPr>
          <w:trHeight w:val="222"/>
        </w:trPr>
        <w:tc>
          <w:tcPr>
            <w:tcW w:w="3960" w:type="dxa"/>
            <w:vAlign w:val="bottom"/>
          </w:tcPr>
          <w:p>
            <w:pPr>
              <w:spacing w:after="0"/>
              <w:rPr>
                <w:sz w:val="20"/>
                <w:szCs w:val="20"/>
                <w:color w:val="auto"/>
              </w:rPr>
            </w:pPr>
            <w:r>
              <w:rPr>
                <w:rFonts w:ascii="Arial" w:cs="Arial" w:eastAsia="Arial" w:hAnsi="Arial"/>
                <w:sz w:val="18"/>
                <w:szCs w:val="18"/>
                <w:color w:val="auto"/>
              </w:rPr>
              <w:t>If PNS Cash Flow Margin Rank was…</w:t>
            </w:r>
          </w:p>
        </w:tc>
        <w:tc>
          <w:tcPr>
            <w:tcW w:w="3020" w:type="dxa"/>
            <w:vAlign w:val="bottom"/>
          </w:tcPr>
          <w:p>
            <w:pPr>
              <w:ind w:left="1220"/>
              <w:spacing w:after="0"/>
              <w:rPr>
                <w:sz w:val="20"/>
                <w:szCs w:val="20"/>
                <w:color w:val="auto"/>
              </w:rPr>
            </w:pPr>
            <w:r>
              <w:rPr>
                <w:rFonts w:ascii="Arial" w:cs="Arial" w:eastAsia="Arial" w:hAnsi="Arial"/>
                <w:sz w:val="18"/>
                <w:szCs w:val="18"/>
                <w:color w:val="auto"/>
                <w:w w:val="88"/>
              </w:rPr>
              <w:t>Payout Value would be…</w:t>
            </w:r>
          </w:p>
        </w:tc>
      </w:tr>
      <w:tr>
        <w:trPr>
          <w:trHeight w:val="318"/>
        </w:trPr>
        <w:tc>
          <w:tcPr>
            <w:tcW w:w="3960" w:type="dxa"/>
            <w:vAlign w:val="bottom"/>
          </w:tcPr>
          <w:p>
            <w:pPr>
              <w:spacing w:after="0"/>
              <w:rPr>
                <w:sz w:val="20"/>
                <w:szCs w:val="20"/>
                <w:color w:val="auto"/>
              </w:rPr>
            </w:pPr>
            <w:r>
              <w:rPr>
                <w:rFonts w:ascii="Arial" w:cs="Arial" w:eastAsia="Arial" w:hAnsi="Arial"/>
                <w:sz w:val="18"/>
                <w:szCs w:val="18"/>
                <w:color w:val="auto"/>
              </w:rPr>
              <w:t>#1</w:t>
            </w:r>
          </w:p>
        </w:tc>
        <w:tc>
          <w:tcPr>
            <w:tcW w:w="3020" w:type="dxa"/>
            <w:vAlign w:val="bottom"/>
          </w:tcPr>
          <w:p>
            <w:pPr>
              <w:ind w:left="1220"/>
              <w:spacing w:after="0"/>
              <w:rPr>
                <w:sz w:val="20"/>
                <w:szCs w:val="20"/>
                <w:color w:val="auto"/>
              </w:rPr>
            </w:pPr>
            <w:r>
              <w:rPr>
                <w:rFonts w:ascii="Arial" w:cs="Arial" w:eastAsia="Arial" w:hAnsi="Arial"/>
                <w:sz w:val="18"/>
                <w:szCs w:val="18"/>
                <w:color w:val="auto"/>
              </w:rPr>
              <w:t>$140 per unit</w:t>
            </w:r>
          </w:p>
        </w:tc>
      </w:tr>
      <w:tr>
        <w:trPr>
          <w:trHeight w:val="216"/>
        </w:trPr>
        <w:tc>
          <w:tcPr>
            <w:tcW w:w="3960" w:type="dxa"/>
            <w:vAlign w:val="bottom"/>
          </w:tcPr>
          <w:p>
            <w:pPr>
              <w:spacing w:after="0"/>
              <w:rPr>
                <w:sz w:val="20"/>
                <w:szCs w:val="20"/>
                <w:color w:val="auto"/>
              </w:rPr>
            </w:pPr>
            <w:r>
              <w:rPr>
                <w:rFonts w:ascii="Arial" w:cs="Arial" w:eastAsia="Arial" w:hAnsi="Arial"/>
                <w:sz w:val="18"/>
                <w:szCs w:val="18"/>
                <w:color w:val="auto"/>
              </w:rPr>
              <w:t>#2</w:t>
            </w:r>
          </w:p>
        </w:tc>
        <w:tc>
          <w:tcPr>
            <w:tcW w:w="3020" w:type="dxa"/>
            <w:vAlign w:val="bottom"/>
          </w:tcPr>
          <w:p>
            <w:pPr>
              <w:ind w:left="1220"/>
              <w:spacing w:after="0"/>
              <w:rPr>
                <w:sz w:val="20"/>
                <w:szCs w:val="20"/>
                <w:color w:val="auto"/>
              </w:rPr>
            </w:pPr>
            <w:r>
              <w:rPr>
                <w:rFonts w:ascii="Arial" w:cs="Arial" w:eastAsia="Arial" w:hAnsi="Arial"/>
                <w:sz w:val="18"/>
                <w:szCs w:val="18"/>
                <w:color w:val="auto"/>
              </w:rPr>
              <w:t>$120 per unit</w:t>
            </w:r>
          </w:p>
        </w:tc>
      </w:tr>
      <w:tr>
        <w:trPr>
          <w:trHeight w:val="216"/>
        </w:trPr>
        <w:tc>
          <w:tcPr>
            <w:tcW w:w="3960" w:type="dxa"/>
            <w:vAlign w:val="bottom"/>
          </w:tcPr>
          <w:p>
            <w:pPr>
              <w:spacing w:after="0"/>
              <w:rPr>
                <w:sz w:val="20"/>
                <w:szCs w:val="20"/>
                <w:color w:val="auto"/>
              </w:rPr>
            </w:pPr>
            <w:r>
              <w:rPr>
                <w:rFonts w:ascii="Arial" w:cs="Arial" w:eastAsia="Arial" w:hAnsi="Arial"/>
                <w:sz w:val="18"/>
                <w:szCs w:val="18"/>
                <w:color w:val="auto"/>
              </w:rPr>
              <w:t>#3</w:t>
            </w:r>
          </w:p>
        </w:tc>
        <w:tc>
          <w:tcPr>
            <w:tcW w:w="3020" w:type="dxa"/>
            <w:vAlign w:val="bottom"/>
          </w:tcPr>
          <w:p>
            <w:pPr>
              <w:ind w:left="1220"/>
              <w:spacing w:after="0"/>
              <w:rPr>
                <w:sz w:val="20"/>
                <w:szCs w:val="20"/>
                <w:color w:val="auto"/>
              </w:rPr>
            </w:pPr>
            <w:r>
              <w:rPr>
                <w:rFonts w:ascii="Arial" w:cs="Arial" w:eastAsia="Arial" w:hAnsi="Arial"/>
                <w:sz w:val="18"/>
                <w:szCs w:val="18"/>
                <w:color w:val="auto"/>
              </w:rPr>
              <w:t>$96 per unit</w:t>
            </w:r>
          </w:p>
        </w:tc>
      </w:tr>
      <w:tr>
        <w:trPr>
          <w:trHeight w:val="216"/>
        </w:trPr>
        <w:tc>
          <w:tcPr>
            <w:tcW w:w="3960" w:type="dxa"/>
            <w:vAlign w:val="bottom"/>
          </w:tcPr>
          <w:p>
            <w:pPr>
              <w:spacing w:after="0"/>
              <w:rPr>
                <w:sz w:val="20"/>
                <w:szCs w:val="20"/>
                <w:color w:val="auto"/>
              </w:rPr>
            </w:pPr>
            <w:r>
              <w:rPr>
                <w:rFonts w:ascii="Arial" w:cs="Arial" w:eastAsia="Arial" w:hAnsi="Arial"/>
                <w:sz w:val="18"/>
                <w:szCs w:val="18"/>
                <w:color w:val="auto"/>
              </w:rPr>
              <w:t>#4</w:t>
            </w:r>
          </w:p>
        </w:tc>
        <w:tc>
          <w:tcPr>
            <w:tcW w:w="3020" w:type="dxa"/>
            <w:vAlign w:val="bottom"/>
          </w:tcPr>
          <w:p>
            <w:pPr>
              <w:ind w:left="1220"/>
              <w:spacing w:after="0"/>
              <w:rPr>
                <w:sz w:val="20"/>
                <w:szCs w:val="20"/>
                <w:color w:val="auto"/>
              </w:rPr>
            </w:pPr>
            <w:r>
              <w:rPr>
                <w:rFonts w:ascii="Arial" w:cs="Arial" w:eastAsia="Arial" w:hAnsi="Arial"/>
                <w:sz w:val="18"/>
                <w:szCs w:val="18"/>
                <w:color w:val="auto"/>
              </w:rPr>
              <w:t>$60 per unit</w:t>
            </w:r>
          </w:p>
        </w:tc>
      </w:tr>
      <w:tr>
        <w:trPr>
          <w:trHeight w:val="222"/>
        </w:trPr>
        <w:tc>
          <w:tcPr>
            <w:tcW w:w="3960" w:type="dxa"/>
            <w:vAlign w:val="bottom"/>
          </w:tcPr>
          <w:p>
            <w:pPr>
              <w:spacing w:after="0"/>
              <w:rPr>
                <w:sz w:val="20"/>
                <w:szCs w:val="20"/>
                <w:color w:val="auto"/>
              </w:rPr>
            </w:pPr>
            <w:r>
              <w:rPr>
                <w:rFonts w:ascii="Arial" w:cs="Arial" w:eastAsia="Arial" w:hAnsi="Arial"/>
                <w:sz w:val="18"/>
                <w:szCs w:val="18"/>
                <w:color w:val="auto"/>
              </w:rPr>
              <w:t>Below #4</w:t>
            </w:r>
          </w:p>
        </w:tc>
        <w:tc>
          <w:tcPr>
            <w:tcW w:w="3020" w:type="dxa"/>
            <w:vAlign w:val="bottom"/>
          </w:tcPr>
          <w:p>
            <w:pPr>
              <w:ind w:left="1220"/>
              <w:spacing w:after="0"/>
              <w:rPr>
                <w:sz w:val="20"/>
                <w:szCs w:val="20"/>
                <w:color w:val="auto"/>
              </w:rPr>
            </w:pPr>
            <w:r>
              <w:rPr>
                <w:rFonts w:ascii="Arial" w:cs="Arial" w:eastAsia="Arial" w:hAnsi="Arial"/>
                <w:sz w:val="18"/>
                <w:szCs w:val="18"/>
                <w:color w:val="auto"/>
              </w:rPr>
              <w:t>$0 per unit</w:t>
            </w:r>
          </w:p>
        </w:tc>
      </w:tr>
    </w:tbl>
    <w:p>
      <w:pPr>
        <w:spacing w:after="0" w:line="156" w:lineRule="exact"/>
        <w:rPr>
          <w:sz w:val="20"/>
          <w:szCs w:val="20"/>
          <w:color w:val="auto"/>
        </w:rPr>
      </w:pPr>
    </w:p>
    <w:p>
      <w:pPr>
        <w:ind w:left="466"/>
        <w:spacing w:after="0" w:line="332" w:lineRule="auto"/>
        <w:rPr>
          <w:sz w:val="20"/>
          <w:szCs w:val="20"/>
          <w:color w:val="auto"/>
        </w:rPr>
      </w:pPr>
      <w:r>
        <w:rPr>
          <w:rFonts w:ascii="Arial" w:cs="Arial" w:eastAsia="Arial" w:hAnsi="Arial"/>
          <w:sz w:val="16"/>
          <w:szCs w:val="16"/>
          <w:color w:val="auto"/>
        </w:rPr>
        <w:t>The payout value calculated above would be increased by $5.00 for each of the four years during the award cycle within which PNS’s actual cash flow margin ranked #1 among peer companies. In fact PNS did rank #1 in 2004 and 2005, so $10.00 was added to the payout value.</w:t>
      </w:r>
    </w:p>
    <w:p>
      <w:pPr>
        <w:spacing w:after="0" w:line="85" w:lineRule="exact"/>
        <w:rPr>
          <w:sz w:val="20"/>
          <w:szCs w:val="20"/>
          <w:color w:val="auto"/>
        </w:rPr>
      </w:pPr>
    </w:p>
    <w:p>
      <w:pPr>
        <w:ind w:left="466" w:right="220"/>
        <w:spacing w:after="0" w:line="332" w:lineRule="auto"/>
        <w:rPr>
          <w:sz w:val="20"/>
          <w:szCs w:val="20"/>
          <w:color w:val="auto"/>
        </w:rPr>
      </w:pPr>
      <w:r>
        <w:rPr>
          <w:rFonts w:ascii="Arial" w:cs="Arial" w:eastAsia="Arial" w:hAnsi="Arial"/>
          <w:sz w:val="16"/>
          <w:szCs w:val="16"/>
          <w:color w:val="auto"/>
        </w:rPr>
        <w:t>Neither this measure, PNS cash flow margin, nor the cash flow margin relative to its peers, is disclosed in the Company’s financial statements, though the cash flow margin could be derived from the Company’s financial statements. Final payout was $150 per unit.</w:t>
      </w:r>
    </w:p>
    <w:p>
      <w:pPr>
        <w:spacing w:after="0" w:line="126" w:lineRule="exact"/>
        <w:rPr>
          <w:sz w:val="20"/>
          <w:szCs w:val="20"/>
          <w:color w:val="auto"/>
        </w:rPr>
      </w:pPr>
    </w:p>
    <w:p>
      <w:pPr>
        <w:ind w:left="446" w:hanging="446"/>
        <w:spacing w:after="0"/>
        <w:tabs>
          <w:tab w:leader="none" w:pos="446" w:val="left"/>
        </w:tabs>
        <w:numPr>
          <w:ilvl w:val="0"/>
          <w:numId w:val="3"/>
        </w:numPr>
        <w:rPr>
          <w:rFonts w:ascii="Arial" w:cs="Arial" w:eastAsia="Arial" w:hAnsi="Arial"/>
          <w:sz w:val="18"/>
          <w:szCs w:val="18"/>
          <w:color w:val="auto"/>
        </w:rPr>
      </w:pPr>
      <w:r>
        <w:rPr>
          <w:rFonts w:ascii="Arial" w:cs="Arial" w:eastAsia="Arial" w:hAnsi="Arial"/>
          <w:sz w:val="18"/>
          <w:szCs w:val="18"/>
          <w:color w:val="auto"/>
        </w:rPr>
        <w:t>Kaplan, Inc.</w:t>
      </w:r>
    </w:p>
    <w:p>
      <w:pPr>
        <w:spacing w:after="0" w:line="90" w:lineRule="exact"/>
        <w:rPr>
          <w:sz w:val="20"/>
          <w:szCs w:val="20"/>
          <w:color w:val="auto"/>
        </w:rPr>
      </w:pPr>
    </w:p>
    <w:p>
      <w:pPr>
        <w:ind w:left="6"/>
        <w:spacing w:after="0"/>
        <w:rPr>
          <w:sz w:val="20"/>
          <w:szCs w:val="20"/>
          <w:color w:val="auto"/>
        </w:rPr>
      </w:pPr>
      <w:r>
        <w:rPr>
          <w:rFonts w:ascii="Arial" w:cs="Arial" w:eastAsia="Arial" w:hAnsi="Arial"/>
          <w:sz w:val="18"/>
          <w:szCs w:val="18"/>
          <w:color w:val="auto"/>
        </w:rPr>
        <w:t>For Kaplan, Inc., the measure was compound annual growth rate (CAGR) in excess of 10%, as follows:</w:t>
      </w:r>
    </w:p>
    <w:p>
      <w:pPr>
        <w:sectPr>
          <w:pgSz w:w="11900" w:h="16838" w:orient="portrait"/>
          <w:cols w:equalWidth="0" w:num="1">
            <w:col w:w="10686"/>
          </w:cols>
          <w:pgMar w:left="694" w:top="280" w:right="519" w:bottom="1440" w:gutter="0" w:footer="0" w:header="0"/>
        </w:sectPr>
      </w:pPr>
    </w:p>
    <w:p>
      <w:pPr>
        <w:spacing w:after="0" w:line="212" w:lineRule="exact"/>
        <w:rPr>
          <w:sz w:val="20"/>
          <w:szCs w:val="20"/>
          <w:color w:val="auto"/>
        </w:rPr>
      </w:pPr>
    </w:p>
    <w:p>
      <w:pPr>
        <w:ind w:left="6"/>
        <w:spacing w:after="0"/>
        <w:rPr>
          <w:sz w:val="20"/>
          <w:szCs w:val="20"/>
          <w:color w:val="auto"/>
        </w:rPr>
      </w:pPr>
      <w:r>
        <w:rPr>
          <w:rFonts w:ascii="Arial" w:cs="Arial" w:eastAsia="Arial" w:hAnsi="Arial"/>
          <w:sz w:val="16"/>
          <w:szCs w:val="16"/>
          <w:color w:val="auto"/>
        </w:rPr>
        <w:t>If increase in Kaplan CAGR was…</w:t>
      </w:r>
    </w:p>
    <w:p>
      <w:pPr>
        <w:spacing w:after="0" w:line="20" w:lineRule="exact"/>
        <w:rPr>
          <w:sz w:val="20"/>
          <w:szCs w:val="20"/>
          <w:color w:val="auto"/>
        </w:rPr>
      </w:pPr>
      <w:r>
        <w:rPr>
          <w:sz w:val="20"/>
          <w:szCs w:val="20"/>
          <w:color w:val="auto"/>
        </w:rPr>
        <w:br w:type="column"/>
      </w:r>
    </w:p>
    <w:p>
      <w:pPr>
        <w:spacing w:after="0" w:line="192" w:lineRule="exact"/>
        <w:rPr>
          <w:sz w:val="20"/>
          <w:szCs w:val="20"/>
          <w:color w:val="auto"/>
        </w:rPr>
      </w:pPr>
    </w:p>
    <w:p>
      <w:pPr>
        <w:jc w:val="center"/>
        <w:ind w:right="3260"/>
        <w:spacing w:after="0"/>
        <w:rPr>
          <w:sz w:val="20"/>
          <w:szCs w:val="20"/>
          <w:color w:val="auto"/>
        </w:rPr>
      </w:pPr>
      <w:r>
        <w:rPr>
          <w:rFonts w:ascii="Arial" w:cs="Arial" w:eastAsia="Arial" w:hAnsi="Arial"/>
          <w:sz w:val="16"/>
          <w:szCs w:val="16"/>
          <w:color w:val="auto"/>
        </w:rPr>
        <w:t>Value per unit would be…</w:t>
      </w:r>
    </w:p>
    <w:p>
      <w:pPr>
        <w:spacing w:after="0" w:line="140" w:lineRule="exact"/>
        <w:rPr>
          <w:sz w:val="20"/>
          <w:szCs w:val="20"/>
          <w:color w:val="auto"/>
        </w:rPr>
      </w:pPr>
    </w:p>
    <w:p>
      <w:pPr>
        <w:sectPr>
          <w:pgSz w:w="11900" w:h="16838" w:orient="portrait"/>
          <w:cols w:equalWidth="0" w:num="2">
            <w:col w:w="4866" w:space="720"/>
            <w:col w:w="5100"/>
          </w:cols>
          <w:pgMar w:left="694" w:top="280" w:right="519" w:bottom="1440" w:gutter="0" w:footer="0" w:header="0"/>
          <w:type w:val="continuous"/>
        </w:sectPr>
      </w:pPr>
    </w:p>
    <w:p>
      <w:pPr>
        <w:ind w:left="6"/>
        <w:spacing w:after="0"/>
        <w:rPr>
          <w:sz w:val="20"/>
          <w:szCs w:val="20"/>
          <w:color w:val="auto"/>
        </w:rPr>
      </w:pPr>
      <w:r>
        <w:rPr>
          <w:rFonts w:ascii="Arial" w:cs="Arial" w:eastAsia="Arial" w:hAnsi="Arial"/>
          <w:sz w:val="16"/>
          <w:szCs w:val="16"/>
          <w:color w:val="auto"/>
        </w:rPr>
        <w:t>20% or more</w:t>
      </w:r>
    </w:p>
    <w:p>
      <w:pPr>
        <w:spacing w:after="0" w:line="38" w:lineRule="exact"/>
        <w:rPr>
          <w:sz w:val="20"/>
          <w:szCs w:val="20"/>
          <w:color w:val="auto"/>
        </w:rPr>
      </w:pPr>
    </w:p>
    <w:p>
      <w:pPr>
        <w:ind w:left="6"/>
        <w:spacing w:after="0"/>
        <w:rPr>
          <w:sz w:val="20"/>
          <w:szCs w:val="20"/>
          <w:color w:val="auto"/>
        </w:rPr>
      </w:pPr>
      <w:r>
        <w:rPr>
          <w:rFonts w:ascii="Arial" w:cs="Arial" w:eastAsia="Arial" w:hAnsi="Arial"/>
          <w:sz w:val="18"/>
          <w:szCs w:val="18"/>
          <w:color w:val="auto"/>
        </w:rPr>
        <w:t>15%</w:t>
      </w:r>
    </w:p>
    <w:p>
      <w:pPr>
        <w:spacing w:after="0" w:line="9" w:lineRule="exact"/>
        <w:rPr>
          <w:sz w:val="20"/>
          <w:szCs w:val="20"/>
          <w:color w:val="auto"/>
        </w:rPr>
      </w:pPr>
    </w:p>
    <w:p>
      <w:pPr>
        <w:ind w:left="6"/>
        <w:spacing w:after="0"/>
        <w:rPr>
          <w:sz w:val="20"/>
          <w:szCs w:val="20"/>
          <w:color w:val="auto"/>
        </w:rPr>
      </w:pPr>
      <w:r>
        <w:rPr>
          <w:rFonts w:ascii="Arial" w:cs="Arial" w:eastAsia="Arial" w:hAnsi="Arial"/>
          <w:sz w:val="16"/>
          <w:szCs w:val="16"/>
          <w:color w:val="auto"/>
        </w:rPr>
        <w:t>10% or more</w:t>
      </w:r>
    </w:p>
    <w:p>
      <w:pPr>
        <w:spacing w:after="0" w:line="32" w:lineRule="exact"/>
        <w:rPr>
          <w:sz w:val="20"/>
          <w:szCs w:val="20"/>
          <w:color w:val="auto"/>
        </w:rPr>
      </w:pPr>
    </w:p>
    <w:p>
      <w:pPr>
        <w:ind w:left="6"/>
        <w:spacing w:after="0"/>
        <w:rPr>
          <w:sz w:val="20"/>
          <w:szCs w:val="20"/>
          <w:color w:val="auto"/>
        </w:rPr>
      </w:pPr>
      <w:r>
        <w:rPr>
          <w:rFonts w:ascii="Arial" w:cs="Arial" w:eastAsia="Arial" w:hAnsi="Arial"/>
          <w:sz w:val="18"/>
          <w:szCs w:val="18"/>
          <w:color w:val="auto"/>
        </w:rPr>
        <w:t>Below 10%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$200 per unit</w:t>
      </w:r>
    </w:p>
    <w:p>
      <w:pPr>
        <w:spacing w:after="0" w:line="50" w:lineRule="exact"/>
        <w:rPr>
          <w:sz w:val="20"/>
          <w:szCs w:val="20"/>
          <w:color w:val="auto"/>
        </w:rPr>
      </w:pPr>
    </w:p>
    <w:p>
      <w:pPr>
        <w:spacing w:after="0"/>
        <w:rPr>
          <w:sz w:val="20"/>
          <w:szCs w:val="20"/>
          <w:color w:val="auto"/>
        </w:rPr>
      </w:pPr>
      <w:r>
        <w:rPr>
          <w:rFonts w:ascii="Arial" w:cs="Arial" w:eastAsia="Arial" w:hAnsi="Arial"/>
          <w:sz w:val="15"/>
          <w:szCs w:val="15"/>
          <w:color w:val="auto"/>
        </w:rPr>
        <w:t>$175 per unit</w:t>
      </w:r>
    </w:p>
    <w:p>
      <w:pPr>
        <w:spacing w:after="0" w:line="44" w:lineRule="exact"/>
        <w:rPr>
          <w:sz w:val="20"/>
          <w:szCs w:val="20"/>
          <w:color w:val="auto"/>
        </w:rPr>
      </w:pPr>
    </w:p>
    <w:p>
      <w:pPr>
        <w:spacing w:after="0"/>
        <w:rPr>
          <w:sz w:val="20"/>
          <w:szCs w:val="20"/>
          <w:color w:val="auto"/>
        </w:rPr>
      </w:pPr>
      <w:r>
        <w:rPr>
          <w:rFonts w:ascii="Arial" w:cs="Arial" w:eastAsia="Arial" w:hAnsi="Arial"/>
          <w:sz w:val="15"/>
          <w:szCs w:val="15"/>
          <w:color w:val="auto"/>
        </w:rPr>
        <w:t>$125 per unit</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$0 per unit</w:t>
      </w:r>
    </w:p>
    <w:p>
      <w:pPr>
        <w:spacing w:after="0" w:line="165" w:lineRule="exact"/>
        <w:rPr>
          <w:sz w:val="20"/>
          <w:szCs w:val="20"/>
          <w:color w:val="auto"/>
        </w:rPr>
      </w:pPr>
    </w:p>
    <w:p>
      <w:pPr>
        <w:sectPr>
          <w:pgSz w:w="11900" w:h="16838" w:orient="portrait"/>
          <w:cols w:equalWidth="0" w:num="2">
            <w:col w:w="4866" w:space="720"/>
            <w:col w:w="5100"/>
          </w:cols>
          <w:pgMar w:left="694" w:top="280" w:right="519" w:bottom="1440" w:gutter="0" w:footer="0" w:header="0"/>
          <w:type w:val="continuous"/>
        </w:sectPr>
      </w:pPr>
    </w:p>
    <w:p>
      <w:pPr>
        <w:ind w:left="6" w:right="140"/>
        <w:spacing w:after="0" w:line="268" w:lineRule="auto"/>
        <w:rPr>
          <w:sz w:val="20"/>
          <w:szCs w:val="20"/>
          <w:color w:val="auto"/>
        </w:rPr>
      </w:pPr>
      <w:r>
        <w:rPr>
          <w:rFonts w:ascii="Arial" w:cs="Arial" w:eastAsia="Arial" w:hAnsi="Arial"/>
          <w:sz w:val="18"/>
          <w:szCs w:val="18"/>
          <w:color w:val="auto"/>
        </w:rPr>
        <w:t>The CAGR for Kaplan is not disclosed in the Company’s financial statements but it is possible that one could derive this number from the Company’s financial statements. Final payout was $200 per unit as increase in CAGR exceeded 20%.</w:t>
      </w:r>
    </w:p>
    <w:p>
      <w:pPr>
        <w:sectPr>
          <w:pgSz w:w="11900" w:h="16838" w:orient="portrait"/>
          <w:cols w:equalWidth="0" w:num="1">
            <w:col w:w="10686"/>
          </w:cols>
          <w:pgMar w:left="694" w:top="280" w:right="519" w:bottom="1440" w:gutter="0" w:footer="0" w:header="0"/>
          <w:type w:val="continuous"/>
        </w:sectPr>
      </w:pPr>
    </w:p>
    <w:bookmarkStart w:id="4" w:name="page5"/>
    <w:bookmarkEnd w:id="4"/>
    <w:p>
      <w:pPr>
        <w:ind w:left="900" w:hanging="446"/>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Growth in adjusted earnings per share for The Washington Post Company, based on the following chart:</w:t>
      </w:r>
    </w:p>
    <w:p>
      <w:pPr>
        <w:spacing w:after="0" w:line="212" w:lineRule="exact"/>
        <w:rPr>
          <w:sz w:val="20"/>
          <w:szCs w:val="20"/>
          <w:color w:val="auto"/>
        </w:rPr>
      </w:pPr>
    </w:p>
    <w:tbl>
      <w:tblPr>
        <w:tblLayout w:type="fixed"/>
        <w:tblInd w:w="920" w:type="dxa"/>
        <w:tblCellMar>
          <w:top w:w="0" w:type="dxa"/>
          <w:left w:w="0" w:type="dxa"/>
          <w:bottom w:w="0" w:type="dxa"/>
          <w:right w:w="0" w:type="dxa"/>
        </w:tblCellMar>
      </w:tblPr>
      <w:tr>
        <w:trPr>
          <w:trHeight w:val="222"/>
        </w:trPr>
        <w:tc>
          <w:tcPr>
            <w:tcW w:w="780" w:type="dxa"/>
            <w:vAlign w:val="bottom"/>
          </w:tcPr>
          <w:p>
            <w:pPr>
              <w:spacing w:after="0"/>
              <w:rPr>
                <w:sz w:val="20"/>
                <w:szCs w:val="20"/>
                <w:color w:val="auto"/>
              </w:rPr>
            </w:pPr>
            <w:r>
              <w:rPr>
                <w:rFonts w:ascii="Arial" w:cs="Arial" w:eastAsia="Arial" w:hAnsi="Arial"/>
                <w:sz w:val="18"/>
                <w:szCs w:val="18"/>
                <w:color w:val="auto"/>
              </w:rPr>
              <w:t>EPS is…</w:t>
            </w:r>
          </w:p>
        </w:tc>
        <w:tc>
          <w:tcPr>
            <w:tcW w:w="7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520" w:type="dxa"/>
            <w:vAlign w:val="bottom"/>
          </w:tcPr>
          <w:p>
            <w:pPr>
              <w:ind w:left="300"/>
              <w:spacing w:after="0"/>
              <w:rPr>
                <w:sz w:val="20"/>
                <w:szCs w:val="20"/>
                <w:color w:val="auto"/>
              </w:rPr>
            </w:pPr>
            <w:r>
              <w:rPr>
                <w:rFonts w:ascii="Arial" w:cs="Arial" w:eastAsia="Arial" w:hAnsi="Arial"/>
                <w:sz w:val="18"/>
                <w:szCs w:val="18"/>
                <w:color w:val="auto"/>
                <w:w w:val="89"/>
              </w:rPr>
              <w:t>Annual Accrual Toward Payout</w:t>
            </w:r>
          </w:p>
        </w:tc>
      </w:tr>
      <w:tr>
        <w:trPr>
          <w:trHeight w:val="318"/>
        </w:trPr>
        <w:tc>
          <w:tcPr>
            <w:tcW w:w="780" w:type="dxa"/>
            <w:vAlign w:val="bottom"/>
          </w:tcPr>
          <w:p>
            <w:pPr>
              <w:ind w:left="120"/>
              <w:spacing w:after="0"/>
              <w:rPr>
                <w:sz w:val="20"/>
                <w:szCs w:val="20"/>
                <w:color w:val="auto"/>
              </w:rPr>
            </w:pPr>
            <w:r>
              <w:rPr>
                <w:rFonts w:ascii="Arial" w:cs="Arial" w:eastAsia="Arial" w:hAnsi="Arial"/>
                <w:sz w:val="18"/>
                <w:szCs w:val="18"/>
                <w:color w:val="auto"/>
              </w:rPr>
              <w:t>2003</w:t>
            </w:r>
          </w:p>
        </w:tc>
        <w:tc>
          <w:tcPr>
            <w:tcW w:w="780" w:type="dxa"/>
            <w:vAlign w:val="bottom"/>
          </w:tcPr>
          <w:p>
            <w:pPr>
              <w:jc w:val="center"/>
              <w:spacing w:after="0"/>
              <w:rPr>
                <w:sz w:val="20"/>
                <w:szCs w:val="20"/>
                <w:color w:val="auto"/>
              </w:rPr>
            </w:pPr>
            <w:r>
              <w:rPr>
                <w:rFonts w:ascii="Arial" w:cs="Arial" w:eastAsia="Arial" w:hAnsi="Arial"/>
                <w:sz w:val="18"/>
                <w:szCs w:val="18"/>
                <w:color w:val="auto"/>
                <w:w w:val="89"/>
              </w:rPr>
              <w:t>2004</w:t>
            </w:r>
          </w:p>
        </w:tc>
        <w:tc>
          <w:tcPr>
            <w:tcW w:w="760" w:type="dxa"/>
            <w:vAlign w:val="bottom"/>
          </w:tcPr>
          <w:p>
            <w:pPr>
              <w:jc w:val="center"/>
              <w:spacing w:after="0"/>
              <w:rPr>
                <w:sz w:val="20"/>
                <w:szCs w:val="20"/>
                <w:color w:val="auto"/>
              </w:rPr>
            </w:pPr>
            <w:r>
              <w:rPr>
                <w:rFonts w:ascii="Arial" w:cs="Arial" w:eastAsia="Arial" w:hAnsi="Arial"/>
                <w:sz w:val="18"/>
                <w:szCs w:val="18"/>
                <w:color w:val="auto"/>
                <w:w w:val="89"/>
              </w:rPr>
              <w:t>2005</w:t>
            </w:r>
          </w:p>
        </w:tc>
        <w:tc>
          <w:tcPr>
            <w:tcW w:w="940" w:type="dxa"/>
            <w:vAlign w:val="bottom"/>
          </w:tcPr>
          <w:p>
            <w:pPr>
              <w:jc w:val="center"/>
              <w:ind w:right="72"/>
              <w:spacing w:after="0"/>
              <w:rPr>
                <w:sz w:val="20"/>
                <w:szCs w:val="20"/>
                <w:color w:val="auto"/>
              </w:rPr>
            </w:pPr>
            <w:r>
              <w:rPr>
                <w:rFonts w:ascii="Arial" w:cs="Arial" w:eastAsia="Arial" w:hAnsi="Arial"/>
                <w:sz w:val="18"/>
                <w:szCs w:val="18"/>
                <w:color w:val="auto"/>
                <w:w w:val="84"/>
              </w:rPr>
              <w:t>2006</w:t>
            </w:r>
          </w:p>
        </w:tc>
        <w:tc>
          <w:tcPr>
            <w:tcW w:w="2520" w:type="dxa"/>
            <w:vAlign w:val="bottom"/>
          </w:tcPr>
          <w:p>
            <w:pPr>
              <w:spacing w:after="0"/>
              <w:rPr>
                <w:sz w:val="24"/>
                <w:szCs w:val="24"/>
                <w:color w:val="auto"/>
              </w:rPr>
            </w:pP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$27.00</w:t>
            </w:r>
          </w:p>
        </w:tc>
        <w:tc>
          <w:tcPr>
            <w:tcW w:w="780" w:type="dxa"/>
            <w:vAlign w:val="bottom"/>
          </w:tcPr>
          <w:p>
            <w:pPr>
              <w:jc w:val="center"/>
              <w:spacing w:after="0"/>
              <w:rPr>
                <w:sz w:val="20"/>
                <w:szCs w:val="20"/>
                <w:color w:val="auto"/>
              </w:rPr>
            </w:pPr>
            <w:r>
              <w:rPr>
                <w:rFonts w:ascii="Arial" w:cs="Arial" w:eastAsia="Arial" w:hAnsi="Arial"/>
                <w:sz w:val="18"/>
                <w:szCs w:val="18"/>
                <w:color w:val="auto"/>
                <w:w w:val="90"/>
              </w:rPr>
              <w:t>$32.00</w:t>
            </w:r>
          </w:p>
        </w:tc>
        <w:tc>
          <w:tcPr>
            <w:tcW w:w="760" w:type="dxa"/>
            <w:vAlign w:val="bottom"/>
          </w:tcPr>
          <w:p>
            <w:pPr>
              <w:jc w:val="center"/>
              <w:spacing w:after="0"/>
              <w:rPr>
                <w:sz w:val="20"/>
                <w:szCs w:val="20"/>
                <w:color w:val="auto"/>
              </w:rPr>
            </w:pPr>
            <w:r>
              <w:rPr>
                <w:rFonts w:ascii="Arial" w:cs="Arial" w:eastAsia="Arial" w:hAnsi="Arial"/>
                <w:sz w:val="18"/>
                <w:szCs w:val="18"/>
                <w:color w:val="auto"/>
                <w:w w:val="90"/>
              </w:rPr>
              <w:t>$34.00</w:t>
            </w:r>
          </w:p>
        </w:tc>
        <w:tc>
          <w:tcPr>
            <w:tcW w:w="940" w:type="dxa"/>
            <w:vAlign w:val="bottom"/>
          </w:tcPr>
          <w:p>
            <w:pPr>
              <w:jc w:val="center"/>
              <w:ind w:right="72"/>
              <w:spacing w:after="0"/>
              <w:rPr>
                <w:sz w:val="20"/>
                <w:szCs w:val="20"/>
                <w:color w:val="auto"/>
              </w:rPr>
            </w:pPr>
            <w:r>
              <w:rPr>
                <w:rFonts w:ascii="Arial" w:cs="Arial" w:eastAsia="Arial" w:hAnsi="Arial"/>
                <w:sz w:val="18"/>
                <w:szCs w:val="18"/>
                <w:color w:val="auto"/>
                <w:w w:val="90"/>
              </w:rPr>
              <w:t>$36.00</w:t>
            </w:r>
          </w:p>
        </w:tc>
        <w:tc>
          <w:tcPr>
            <w:tcW w:w="2520" w:type="dxa"/>
            <w:vAlign w:val="bottom"/>
          </w:tcPr>
          <w:p>
            <w:pPr>
              <w:ind w:left="300"/>
              <w:spacing w:after="0" w:line="217" w:lineRule="exact"/>
              <w:rPr>
                <w:sz w:val="20"/>
                <w:szCs w:val="20"/>
                <w:color w:val="auto"/>
              </w:rPr>
            </w:pPr>
            <w:r>
              <w:rPr>
                <w:rFonts w:ascii="Arial" w:cs="Arial" w:eastAsia="Arial" w:hAnsi="Arial"/>
                <w:sz w:val="18"/>
                <w:szCs w:val="18"/>
                <w:color w:val="auto"/>
              </w:rPr>
              <w:t xml:space="preserve">$200 x </w:t>
            </w:r>
            <w:r>
              <w:rPr>
                <w:rFonts w:ascii="Arial" w:cs="Arial" w:eastAsia="Arial" w:hAnsi="Arial"/>
                <w:sz w:val="22"/>
                <w:szCs w:val="22"/>
                <w:color w:val="auto"/>
                <w:vertAlign w:val="superscript"/>
              </w:rPr>
              <w:t>1</w:t>
            </w:r>
            <w:r>
              <w:rPr>
                <w:rFonts w:ascii="Arial" w:cs="Arial" w:eastAsia="Arial" w:hAnsi="Arial"/>
                <w:sz w:val="18"/>
                <w:szCs w:val="18"/>
                <w:color w:val="auto"/>
              </w:rPr>
              <w:t>/</w:t>
            </w:r>
            <w:r>
              <w:rPr>
                <w:rFonts w:ascii="Arial" w:cs="Arial" w:eastAsia="Arial" w:hAnsi="Arial"/>
                <w:sz w:val="13"/>
                <w:szCs w:val="13"/>
                <w:color w:val="auto"/>
              </w:rPr>
              <w:t>4</w:t>
            </w:r>
            <w:r>
              <w:rPr>
                <w:rFonts w:ascii="Arial" w:cs="Arial" w:eastAsia="Arial" w:hAnsi="Arial"/>
                <w:sz w:val="18"/>
                <w:szCs w:val="18"/>
                <w:color w:val="auto"/>
              </w:rPr>
              <w:t xml:space="preserve"> = $50.00</w:t>
            </w: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$25.00</w:t>
            </w:r>
          </w:p>
        </w:tc>
        <w:tc>
          <w:tcPr>
            <w:tcW w:w="780" w:type="dxa"/>
            <w:vAlign w:val="bottom"/>
          </w:tcPr>
          <w:p>
            <w:pPr>
              <w:jc w:val="center"/>
              <w:spacing w:after="0"/>
              <w:rPr>
                <w:sz w:val="20"/>
                <w:szCs w:val="20"/>
                <w:color w:val="auto"/>
              </w:rPr>
            </w:pPr>
            <w:r>
              <w:rPr>
                <w:rFonts w:ascii="Arial" w:cs="Arial" w:eastAsia="Arial" w:hAnsi="Arial"/>
                <w:sz w:val="18"/>
                <w:szCs w:val="18"/>
                <w:color w:val="auto"/>
                <w:w w:val="90"/>
              </w:rPr>
              <w:t>$30.00</w:t>
            </w:r>
          </w:p>
        </w:tc>
        <w:tc>
          <w:tcPr>
            <w:tcW w:w="760" w:type="dxa"/>
            <w:vAlign w:val="bottom"/>
          </w:tcPr>
          <w:p>
            <w:pPr>
              <w:jc w:val="center"/>
              <w:spacing w:after="0"/>
              <w:rPr>
                <w:sz w:val="20"/>
                <w:szCs w:val="20"/>
                <w:color w:val="auto"/>
              </w:rPr>
            </w:pPr>
            <w:r>
              <w:rPr>
                <w:rFonts w:ascii="Arial" w:cs="Arial" w:eastAsia="Arial" w:hAnsi="Arial"/>
                <w:sz w:val="18"/>
                <w:szCs w:val="18"/>
                <w:color w:val="auto"/>
                <w:w w:val="90"/>
              </w:rPr>
              <w:t>$32.00</w:t>
            </w:r>
          </w:p>
        </w:tc>
        <w:tc>
          <w:tcPr>
            <w:tcW w:w="940" w:type="dxa"/>
            <w:vAlign w:val="bottom"/>
          </w:tcPr>
          <w:p>
            <w:pPr>
              <w:jc w:val="center"/>
              <w:ind w:right="72"/>
              <w:spacing w:after="0"/>
              <w:rPr>
                <w:sz w:val="20"/>
                <w:szCs w:val="20"/>
                <w:color w:val="auto"/>
              </w:rPr>
            </w:pPr>
            <w:r>
              <w:rPr>
                <w:rFonts w:ascii="Arial" w:cs="Arial" w:eastAsia="Arial" w:hAnsi="Arial"/>
                <w:sz w:val="18"/>
                <w:szCs w:val="18"/>
                <w:color w:val="auto"/>
                <w:w w:val="90"/>
              </w:rPr>
              <w:t>$34.50</w:t>
            </w:r>
          </w:p>
        </w:tc>
        <w:tc>
          <w:tcPr>
            <w:tcW w:w="2520" w:type="dxa"/>
            <w:vAlign w:val="bottom"/>
          </w:tcPr>
          <w:p>
            <w:pPr>
              <w:ind w:left="300"/>
              <w:spacing w:after="0" w:line="217" w:lineRule="exact"/>
              <w:rPr>
                <w:sz w:val="20"/>
                <w:szCs w:val="20"/>
                <w:color w:val="auto"/>
              </w:rPr>
            </w:pPr>
            <w:r>
              <w:rPr>
                <w:rFonts w:ascii="Arial" w:cs="Arial" w:eastAsia="Arial" w:hAnsi="Arial"/>
                <w:sz w:val="18"/>
                <w:szCs w:val="18"/>
                <w:color w:val="auto"/>
              </w:rPr>
              <w:t xml:space="preserve">$150 x </w:t>
            </w:r>
            <w:r>
              <w:rPr>
                <w:rFonts w:ascii="Arial" w:cs="Arial" w:eastAsia="Arial" w:hAnsi="Arial"/>
                <w:sz w:val="22"/>
                <w:szCs w:val="22"/>
                <w:color w:val="auto"/>
                <w:vertAlign w:val="superscript"/>
              </w:rPr>
              <w:t>1</w:t>
            </w:r>
            <w:r>
              <w:rPr>
                <w:rFonts w:ascii="Arial" w:cs="Arial" w:eastAsia="Arial" w:hAnsi="Arial"/>
                <w:sz w:val="18"/>
                <w:szCs w:val="18"/>
                <w:color w:val="auto"/>
              </w:rPr>
              <w:t>/</w:t>
            </w:r>
            <w:r>
              <w:rPr>
                <w:rFonts w:ascii="Arial" w:cs="Arial" w:eastAsia="Arial" w:hAnsi="Arial"/>
                <w:sz w:val="13"/>
                <w:szCs w:val="13"/>
                <w:color w:val="auto"/>
              </w:rPr>
              <w:t>4</w:t>
            </w:r>
            <w:r>
              <w:rPr>
                <w:rFonts w:ascii="Arial" w:cs="Arial" w:eastAsia="Arial" w:hAnsi="Arial"/>
                <w:sz w:val="18"/>
                <w:szCs w:val="18"/>
                <w:color w:val="auto"/>
              </w:rPr>
              <w:t xml:space="preserve"> = $37.50</w:t>
            </w: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$23.00</w:t>
            </w:r>
          </w:p>
        </w:tc>
        <w:tc>
          <w:tcPr>
            <w:tcW w:w="780" w:type="dxa"/>
            <w:vAlign w:val="bottom"/>
          </w:tcPr>
          <w:p>
            <w:pPr>
              <w:jc w:val="center"/>
              <w:spacing w:after="0"/>
              <w:rPr>
                <w:sz w:val="20"/>
                <w:szCs w:val="20"/>
                <w:color w:val="auto"/>
              </w:rPr>
            </w:pPr>
            <w:r>
              <w:rPr>
                <w:rFonts w:ascii="Arial" w:cs="Arial" w:eastAsia="Arial" w:hAnsi="Arial"/>
                <w:sz w:val="18"/>
                <w:szCs w:val="18"/>
                <w:color w:val="auto"/>
                <w:w w:val="90"/>
              </w:rPr>
              <w:t>$28.25</w:t>
            </w:r>
          </w:p>
        </w:tc>
        <w:tc>
          <w:tcPr>
            <w:tcW w:w="760" w:type="dxa"/>
            <w:vAlign w:val="bottom"/>
          </w:tcPr>
          <w:p>
            <w:pPr>
              <w:jc w:val="center"/>
              <w:spacing w:after="0"/>
              <w:rPr>
                <w:sz w:val="20"/>
                <w:szCs w:val="20"/>
                <w:color w:val="auto"/>
              </w:rPr>
            </w:pPr>
            <w:r>
              <w:rPr>
                <w:rFonts w:ascii="Arial" w:cs="Arial" w:eastAsia="Arial" w:hAnsi="Arial"/>
                <w:sz w:val="18"/>
                <w:szCs w:val="18"/>
                <w:color w:val="auto"/>
                <w:w w:val="90"/>
              </w:rPr>
              <w:t>$30.50</w:t>
            </w:r>
          </w:p>
        </w:tc>
        <w:tc>
          <w:tcPr>
            <w:tcW w:w="940" w:type="dxa"/>
            <w:vAlign w:val="bottom"/>
          </w:tcPr>
          <w:p>
            <w:pPr>
              <w:jc w:val="center"/>
              <w:ind w:right="72"/>
              <w:spacing w:after="0"/>
              <w:rPr>
                <w:sz w:val="20"/>
                <w:szCs w:val="20"/>
                <w:color w:val="auto"/>
              </w:rPr>
            </w:pPr>
            <w:r>
              <w:rPr>
                <w:rFonts w:ascii="Arial" w:cs="Arial" w:eastAsia="Arial" w:hAnsi="Arial"/>
                <w:sz w:val="18"/>
                <w:szCs w:val="18"/>
                <w:color w:val="auto"/>
                <w:w w:val="90"/>
              </w:rPr>
              <w:t>$32.50</w:t>
            </w:r>
          </w:p>
        </w:tc>
        <w:tc>
          <w:tcPr>
            <w:tcW w:w="2520" w:type="dxa"/>
            <w:vAlign w:val="bottom"/>
          </w:tcPr>
          <w:p>
            <w:pPr>
              <w:ind w:left="300"/>
              <w:spacing w:after="0" w:line="217" w:lineRule="exact"/>
              <w:rPr>
                <w:sz w:val="20"/>
                <w:szCs w:val="20"/>
                <w:color w:val="auto"/>
              </w:rPr>
            </w:pPr>
            <w:r>
              <w:rPr>
                <w:rFonts w:ascii="Arial" w:cs="Arial" w:eastAsia="Arial" w:hAnsi="Arial"/>
                <w:sz w:val="18"/>
                <w:szCs w:val="18"/>
                <w:color w:val="auto"/>
              </w:rPr>
              <w:t xml:space="preserve">$125 x </w:t>
            </w:r>
            <w:r>
              <w:rPr>
                <w:rFonts w:ascii="Arial" w:cs="Arial" w:eastAsia="Arial" w:hAnsi="Arial"/>
                <w:sz w:val="22"/>
                <w:szCs w:val="22"/>
                <w:color w:val="auto"/>
                <w:vertAlign w:val="superscript"/>
              </w:rPr>
              <w:t>1</w:t>
            </w:r>
            <w:r>
              <w:rPr>
                <w:rFonts w:ascii="Arial" w:cs="Arial" w:eastAsia="Arial" w:hAnsi="Arial"/>
                <w:sz w:val="18"/>
                <w:szCs w:val="18"/>
                <w:color w:val="auto"/>
              </w:rPr>
              <w:t>/</w:t>
            </w:r>
            <w:r>
              <w:rPr>
                <w:rFonts w:ascii="Arial" w:cs="Arial" w:eastAsia="Arial" w:hAnsi="Arial"/>
                <w:sz w:val="13"/>
                <w:szCs w:val="13"/>
                <w:color w:val="auto"/>
              </w:rPr>
              <w:t>4</w:t>
            </w:r>
            <w:r>
              <w:rPr>
                <w:rFonts w:ascii="Arial" w:cs="Arial" w:eastAsia="Arial" w:hAnsi="Arial"/>
                <w:sz w:val="18"/>
                <w:szCs w:val="18"/>
                <w:color w:val="auto"/>
              </w:rPr>
              <w:t xml:space="preserve"> = $31.25</w:t>
            </w:r>
          </w:p>
        </w:tc>
      </w:tr>
      <w:tr>
        <w:trPr>
          <w:trHeight w:val="299"/>
        </w:trPr>
        <w:tc>
          <w:tcPr>
            <w:tcW w:w="780" w:type="dxa"/>
            <w:vAlign w:val="bottom"/>
          </w:tcPr>
          <w:p>
            <w:pPr>
              <w:spacing w:after="0"/>
              <w:rPr>
                <w:sz w:val="20"/>
                <w:szCs w:val="20"/>
                <w:color w:val="auto"/>
              </w:rPr>
            </w:pPr>
            <w:r>
              <w:rPr>
                <w:rFonts w:ascii="Arial" w:cs="Arial" w:eastAsia="Arial" w:hAnsi="Arial"/>
                <w:sz w:val="18"/>
                <w:szCs w:val="18"/>
                <w:color w:val="auto"/>
              </w:rPr>
              <w:t>$21.01</w:t>
            </w:r>
          </w:p>
        </w:tc>
        <w:tc>
          <w:tcPr>
            <w:tcW w:w="780" w:type="dxa"/>
            <w:vAlign w:val="bottom"/>
          </w:tcPr>
          <w:p>
            <w:pPr>
              <w:jc w:val="center"/>
              <w:spacing w:after="0"/>
              <w:rPr>
                <w:sz w:val="20"/>
                <w:szCs w:val="20"/>
                <w:color w:val="auto"/>
              </w:rPr>
            </w:pPr>
            <w:r>
              <w:rPr>
                <w:rFonts w:ascii="Arial" w:cs="Arial" w:eastAsia="Arial" w:hAnsi="Arial"/>
                <w:sz w:val="18"/>
                <w:szCs w:val="18"/>
                <w:color w:val="auto"/>
                <w:w w:val="90"/>
              </w:rPr>
              <w:t>$26.22</w:t>
            </w:r>
          </w:p>
        </w:tc>
        <w:tc>
          <w:tcPr>
            <w:tcW w:w="760" w:type="dxa"/>
            <w:vAlign w:val="bottom"/>
          </w:tcPr>
          <w:p>
            <w:pPr>
              <w:jc w:val="center"/>
              <w:spacing w:after="0"/>
              <w:rPr>
                <w:sz w:val="20"/>
                <w:szCs w:val="20"/>
                <w:color w:val="auto"/>
              </w:rPr>
            </w:pPr>
            <w:r>
              <w:rPr>
                <w:rFonts w:ascii="Arial" w:cs="Arial" w:eastAsia="Arial" w:hAnsi="Arial"/>
                <w:sz w:val="18"/>
                <w:szCs w:val="18"/>
                <w:color w:val="auto"/>
                <w:w w:val="90"/>
              </w:rPr>
              <w:t>$28.32</w:t>
            </w:r>
          </w:p>
        </w:tc>
        <w:tc>
          <w:tcPr>
            <w:tcW w:w="940" w:type="dxa"/>
            <w:vAlign w:val="bottom"/>
          </w:tcPr>
          <w:p>
            <w:pPr>
              <w:jc w:val="center"/>
              <w:ind w:right="72"/>
              <w:spacing w:after="0"/>
              <w:rPr>
                <w:sz w:val="20"/>
                <w:szCs w:val="20"/>
                <w:color w:val="auto"/>
              </w:rPr>
            </w:pPr>
            <w:r>
              <w:rPr>
                <w:rFonts w:ascii="Arial" w:cs="Arial" w:eastAsia="Arial" w:hAnsi="Arial"/>
                <w:sz w:val="18"/>
                <w:szCs w:val="18"/>
                <w:color w:val="auto"/>
                <w:w w:val="90"/>
              </w:rPr>
              <w:t>$30.00</w:t>
            </w:r>
          </w:p>
        </w:tc>
        <w:tc>
          <w:tcPr>
            <w:tcW w:w="2520" w:type="dxa"/>
            <w:vAlign w:val="bottom"/>
          </w:tcPr>
          <w:p>
            <w:pPr>
              <w:ind w:left="300"/>
              <w:spacing w:after="0"/>
              <w:rPr>
                <w:sz w:val="20"/>
                <w:szCs w:val="20"/>
                <w:color w:val="auto"/>
              </w:rPr>
            </w:pPr>
            <w:r>
              <w:rPr>
                <w:rFonts w:ascii="Arial" w:cs="Arial" w:eastAsia="Arial" w:hAnsi="Arial"/>
                <w:sz w:val="18"/>
                <w:szCs w:val="18"/>
                <w:color w:val="auto"/>
              </w:rPr>
              <w:t xml:space="preserve">$100 x </w:t>
            </w:r>
            <w:r>
              <w:rPr>
                <w:rFonts w:ascii="Arial" w:cs="Arial" w:eastAsia="Arial" w:hAnsi="Arial"/>
                <w:sz w:val="22"/>
                <w:szCs w:val="22"/>
                <w:color w:val="auto"/>
                <w:vertAlign w:val="superscript"/>
              </w:rPr>
              <w:t>1</w:t>
            </w:r>
            <w:r>
              <w:rPr>
                <w:rFonts w:ascii="Arial" w:cs="Arial" w:eastAsia="Arial" w:hAnsi="Arial"/>
                <w:sz w:val="18"/>
                <w:szCs w:val="18"/>
                <w:color w:val="auto"/>
              </w:rPr>
              <w:t>/</w:t>
            </w:r>
            <w:r>
              <w:rPr>
                <w:rFonts w:ascii="Arial" w:cs="Arial" w:eastAsia="Arial" w:hAnsi="Arial"/>
                <w:sz w:val="13"/>
                <w:szCs w:val="13"/>
                <w:color w:val="auto"/>
              </w:rPr>
              <w:t>4</w:t>
            </w:r>
            <w:r>
              <w:rPr>
                <w:rFonts w:ascii="Arial" w:cs="Arial" w:eastAsia="Arial" w:hAnsi="Arial"/>
                <w:sz w:val="18"/>
                <w:szCs w:val="18"/>
                <w:color w:val="auto"/>
              </w:rPr>
              <w:t xml:space="preserve"> = $25.00</w:t>
            </w:r>
          </w:p>
        </w:tc>
      </w:tr>
    </w:tbl>
    <w:p>
      <w:pPr>
        <w:spacing w:after="0" w:line="7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Actual Adjusted EPS</w:t>
      </w:r>
    </w:p>
    <w:p>
      <w:pPr>
        <w:spacing w:after="0" w:line="212" w:lineRule="exact"/>
        <w:rPr>
          <w:sz w:val="20"/>
          <w:szCs w:val="20"/>
          <w:color w:val="auto"/>
        </w:rPr>
      </w:pPr>
    </w:p>
    <w:p>
      <w:pPr>
        <w:ind w:left="920"/>
        <w:spacing w:after="0"/>
        <w:tabs>
          <w:tab w:leader="none" w:pos="1820" w:val="left"/>
        </w:tabs>
        <w:rPr>
          <w:sz w:val="20"/>
          <w:szCs w:val="20"/>
          <w:color w:val="auto"/>
        </w:rPr>
      </w:pPr>
      <w:r>
        <w:rPr>
          <w:rFonts w:ascii="Arial" w:cs="Arial" w:eastAsia="Arial" w:hAnsi="Arial"/>
          <w:sz w:val="18"/>
          <w:szCs w:val="18"/>
          <w:color w:val="auto"/>
        </w:rPr>
        <w:t>2003</w:t>
      </w:r>
      <w:r>
        <w:rPr>
          <w:sz w:val="20"/>
          <w:szCs w:val="20"/>
          <w:color w:val="auto"/>
        </w:rPr>
        <w:tab/>
      </w:r>
      <w:r>
        <w:rPr>
          <w:rFonts w:ascii="Arial" w:cs="Arial" w:eastAsia="Arial" w:hAnsi="Arial"/>
          <w:sz w:val="18"/>
          <w:szCs w:val="18"/>
          <w:color w:val="auto"/>
        </w:rPr>
        <w:t>$26.44</w:t>
      </w:r>
    </w:p>
    <w:p>
      <w:pPr>
        <w:spacing w:after="0" w:line="15" w:lineRule="exact"/>
        <w:rPr>
          <w:sz w:val="20"/>
          <w:szCs w:val="20"/>
          <w:color w:val="auto"/>
        </w:rPr>
      </w:pPr>
    </w:p>
    <w:p>
      <w:pPr>
        <w:ind w:left="920"/>
        <w:spacing w:after="0"/>
        <w:tabs>
          <w:tab w:leader="none" w:pos="1820" w:val="left"/>
        </w:tabs>
        <w:rPr>
          <w:sz w:val="20"/>
          <w:szCs w:val="20"/>
          <w:color w:val="auto"/>
        </w:rPr>
      </w:pPr>
      <w:r>
        <w:rPr>
          <w:rFonts w:ascii="Arial" w:cs="Arial" w:eastAsia="Arial" w:hAnsi="Arial"/>
          <w:sz w:val="18"/>
          <w:szCs w:val="18"/>
          <w:color w:val="auto"/>
        </w:rPr>
        <w:t>2004</w:t>
      </w:r>
      <w:r>
        <w:rPr>
          <w:sz w:val="20"/>
          <w:szCs w:val="20"/>
          <w:color w:val="auto"/>
        </w:rPr>
        <w:tab/>
      </w:r>
      <w:r>
        <w:rPr>
          <w:rFonts w:ascii="Arial" w:cs="Arial" w:eastAsia="Arial" w:hAnsi="Arial"/>
          <w:sz w:val="18"/>
          <w:szCs w:val="18"/>
          <w:color w:val="auto"/>
        </w:rPr>
        <w:t>$34.59</w:t>
      </w:r>
    </w:p>
    <w:p>
      <w:pPr>
        <w:spacing w:after="0" w:line="9" w:lineRule="exact"/>
        <w:rPr>
          <w:sz w:val="20"/>
          <w:szCs w:val="20"/>
          <w:color w:val="auto"/>
        </w:rPr>
      </w:pPr>
    </w:p>
    <w:p>
      <w:pPr>
        <w:ind w:left="920"/>
        <w:spacing w:after="0"/>
        <w:tabs>
          <w:tab w:leader="none" w:pos="1820" w:val="left"/>
        </w:tabs>
        <w:rPr>
          <w:sz w:val="20"/>
          <w:szCs w:val="20"/>
          <w:color w:val="auto"/>
        </w:rPr>
      </w:pPr>
      <w:r>
        <w:rPr>
          <w:rFonts w:ascii="Arial" w:cs="Arial" w:eastAsia="Arial" w:hAnsi="Arial"/>
          <w:sz w:val="18"/>
          <w:szCs w:val="18"/>
          <w:color w:val="auto"/>
        </w:rPr>
        <w:t>2005</w:t>
      </w:r>
      <w:r>
        <w:rPr>
          <w:sz w:val="20"/>
          <w:szCs w:val="20"/>
          <w:color w:val="auto"/>
        </w:rPr>
        <w:tab/>
      </w:r>
      <w:r>
        <w:rPr>
          <w:rFonts w:ascii="Arial" w:cs="Arial" w:eastAsia="Arial" w:hAnsi="Arial"/>
          <w:sz w:val="18"/>
          <w:szCs w:val="18"/>
          <w:color w:val="auto"/>
        </w:rPr>
        <w:t>$34.87</w:t>
      </w:r>
    </w:p>
    <w:p>
      <w:pPr>
        <w:spacing w:after="0" w:line="9" w:lineRule="exact"/>
        <w:rPr>
          <w:sz w:val="20"/>
          <w:szCs w:val="20"/>
          <w:color w:val="auto"/>
        </w:rPr>
      </w:pPr>
    </w:p>
    <w:p>
      <w:pPr>
        <w:ind w:left="920"/>
        <w:spacing w:after="0"/>
        <w:tabs>
          <w:tab w:leader="none" w:pos="1820" w:val="left"/>
        </w:tabs>
        <w:rPr>
          <w:sz w:val="20"/>
          <w:szCs w:val="20"/>
          <w:color w:val="auto"/>
        </w:rPr>
      </w:pPr>
      <w:r>
        <w:rPr>
          <w:rFonts w:ascii="Arial" w:cs="Arial" w:eastAsia="Arial" w:hAnsi="Arial"/>
          <w:sz w:val="18"/>
          <w:szCs w:val="18"/>
          <w:color w:val="auto"/>
        </w:rPr>
        <w:t>2006</w:t>
      </w:r>
      <w:r>
        <w:rPr>
          <w:sz w:val="20"/>
          <w:szCs w:val="20"/>
          <w:color w:val="auto"/>
        </w:rPr>
        <w:tab/>
      </w:r>
      <w:r>
        <w:rPr>
          <w:rFonts w:ascii="Arial" w:cs="Arial" w:eastAsia="Arial" w:hAnsi="Arial"/>
          <w:sz w:val="18"/>
          <w:szCs w:val="18"/>
          <w:color w:val="auto"/>
        </w:rPr>
        <w:t>$38.75</w:t>
      </w:r>
    </w:p>
    <w:p>
      <w:pPr>
        <w:spacing w:after="0" w:line="165" w:lineRule="exact"/>
        <w:rPr>
          <w:sz w:val="20"/>
          <w:szCs w:val="20"/>
          <w:color w:val="auto"/>
        </w:rPr>
      </w:pPr>
    </w:p>
    <w:p>
      <w:pPr>
        <w:jc w:val="both"/>
        <w:ind w:left="920"/>
        <w:spacing w:after="0" w:line="256" w:lineRule="auto"/>
        <w:rPr>
          <w:sz w:val="20"/>
          <w:szCs w:val="20"/>
          <w:color w:val="auto"/>
        </w:rPr>
      </w:pPr>
      <w:r>
        <w:rPr>
          <w:rFonts w:ascii="Arial" w:cs="Arial" w:eastAsia="Arial" w:hAnsi="Arial"/>
          <w:sz w:val="18"/>
          <w:szCs w:val="18"/>
          <w:color w:val="auto"/>
        </w:rPr>
        <w:t>Straight-line interpolation between points. The Compensation Committee makes discretionary adjustments to the EPS to reflect a number of factors that may change from year to year. Examples include foreign exchange gains/losses, a one time gain from the sale of real property, hurricane related losses, stock compensation charges and deferred compensation expenses. Adjusted EPS is not disclosed in the Company’s financial statements. Final payout was $197 per unit.</w:t>
      </w:r>
    </w:p>
    <w:p>
      <w:pPr>
        <w:spacing w:after="0" w:line="143" w:lineRule="exact"/>
        <w:rPr>
          <w:sz w:val="20"/>
          <w:szCs w:val="20"/>
          <w:color w:val="auto"/>
        </w:rPr>
      </w:pPr>
    </w:p>
    <w:p>
      <w:pPr>
        <w:ind w:right="60" w:firstLine="456"/>
        <w:spacing w:after="0" w:line="309" w:lineRule="auto"/>
        <w:rPr>
          <w:sz w:val="20"/>
          <w:szCs w:val="20"/>
          <w:color w:val="auto"/>
        </w:rPr>
      </w:pPr>
      <w:r>
        <w:rPr>
          <w:rFonts w:ascii="Arial" w:cs="Arial" w:eastAsia="Arial" w:hAnsi="Arial"/>
          <w:sz w:val="15"/>
          <w:szCs w:val="15"/>
          <w:color w:val="auto"/>
        </w:rPr>
        <w:t>For each cycle under the Performance Unit Plan, the Compensation Committee establishes a valuation formula at the start of the cycle. At the end of the cycle, the value per unit is calculated based on application of the valuation formula. For the 2005-2008 award cycle, the formula consists of an average of the value of the performance units allocable to performance of The Post, Newsweek, CableOne and PNS (65%) plus an amount based on the increase in the value of Kaplan (35%). For the 2007-2010 award cycle, the formula consists of an average of the value of performance units allocable to the performance of The Post, Newsweek, CableOne and PNS (65%) plus an amount based on Kaplan’s achievement of a cumulative operating income goal before Kaplan stock compensation charge (35%). (The Kaplan element is based on the same measure in the 2005-2008 cycle as it was in the 2007-2010 cycle , specifically a cumulative operating income goal, though it was described more specifically in the proxy description of the 2007-2010 cycle.) Details relating to the formula applicable to the 2005-2008 and 2007-2010 cycles are set forth in the letter to the staff dated October 15, 2008, as well as the Company’s proxy statement. The EPS measure is not included in the valuation formula for either of these cycles. The mechanics of applying the formulas are the same as the mechanics described above.</w:t>
      </w:r>
    </w:p>
    <w:p>
      <w:pPr>
        <w:sectPr>
          <w:pgSz w:w="11900" w:h="16838" w:orient="portrait"/>
          <w:cols w:equalWidth="0" w:num="1">
            <w:col w:w="11380"/>
          </w:cols>
          <w:pgMar w:left="240" w:top="280" w:right="279" w:bottom="1440" w:gutter="0" w:footer="0" w:header="0"/>
        </w:sectPr>
      </w:pPr>
    </w:p>
    <w:bookmarkStart w:id="5" w:name="page6"/>
    <w:bookmarkEnd w:id="5"/>
    <w:p>
      <w:pPr>
        <w:ind w:firstLine="456"/>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Company acknowledges that (1) the Company is responsible for the adequacy and accuracy of the disclosure in its filings, (2) Staff comments or changes to disclosure in response to Staff comments do not foreclose the Commission from taking any action with respect to the filing, and (3) the Company may not assert Staff comments as a defense in any proceeding initiated by the Commission or any person under the federal securities laws of the United States.</w:t>
      </w:r>
    </w:p>
    <w:p>
      <w:pPr>
        <w:spacing w:after="0" w:line="107"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Thank you for your assistance in this matter. Please do not hesitate to call me at (202) 334-6721 with any questions that you may have with respect to the foregoing.</w:t>
      </w:r>
    </w:p>
    <w:p>
      <w:pPr>
        <w:spacing w:after="0" w:line="254"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Nicole Maddrey</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Nicole Maddrey</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Associate General Counsel</w:t>
      </w:r>
    </w:p>
    <w:p>
      <w:pPr>
        <w:spacing w:after="0" w:line="219" w:lineRule="exact"/>
        <w:rPr>
          <w:sz w:val="20"/>
          <w:szCs w:val="20"/>
          <w:color w:val="auto"/>
        </w:rPr>
      </w:pPr>
    </w:p>
    <w:p>
      <w:pPr>
        <w:ind w:left="460" w:right="9580" w:hanging="452"/>
        <w:spacing w:after="0" w:line="332" w:lineRule="auto"/>
        <w:tabs>
          <w:tab w:leader="none" w:pos="449" w:val="left"/>
        </w:tabs>
        <w:numPr>
          <w:ilvl w:val="0"/>
          <w:numId w:val="5"/>
        </w:numPr>
        <w:rPr>
          <w:rFonts w:ascii="Arial" w:cs="Arial" w:eastAsia="Arial" w:hAnsi="Arial"/>
          <w:sz w:val="16"/>
          <w:szCs w:val="16"/>
          <w:color w:val="auto"/>
        </w:rPr>
      </w:pPr>
      <w:r>
        <w:rPr>
          <w:rFonts w:ascii="Arial" w:cs="Arial" w:eastAsia="Arial" w:hAnsi="Arial"/>
          <w:sz w:val="16"/>
          <w:szCs w:val="16"/>
          <w:color w:val="auto"/>
        </w:rPr>
        <w:t>Larry Spirgel, Esq. John Zitko, Esq.</w:t>
      </w:r>
    </w:p>
    <w:sectPr>
      <w:pgSz w:w="11900" w:h="16838" w:orient="portrait"/>
      <w:cols w:equalWidth="0" w:num="1">
        <w:col w:w="11360"/>
      </w:cols>
      <w:pgMar w:left="240" w:top="280" w:right="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1"/>
    </w:lvl>
  </w:abstractNum>
  <w:abstractNum w:abstractNumId="1">
    <w:nsid w:val="2AE8944A"/>
    <w:multiLevelType w:val="hybridMultilevel"/>
    <w:lvl w:ilvl="0">
      <w:lvlJc w:val="left"/>
      <w:lvlText w:val="%1."/>
      <w:numFmt w:val="decimal"/>
      <w:start w:val="1"/>
    </w:lvl>
  </w:abstractNum>
  <w:abstractNum w:abstractNumId="2">
    <w:nsid w:val="625558EC"/>
    <w:multiLevelType w:val="hybridMultilevel"/>
    <w:lvl w:ilvl="0">
      <w:lvlJc w:val="left"/>
      <w:lvlText w:val="%1."/>
      <w:numFmt w:val="decimal"/>
      <w:start w:val="2"/>
    </w:lvl>
  </w:abstractNum>
  <w:abstractNum w:abstractNumId="3">
    <w:nsid w:val="238E1F29"/>
    <w:multiLevelType w:val="hybridMultilevel"/>
    <w:lvl w:ilvl="0">
      <w:lvlJc w:val="left"/>
      <w:lvlText w:val="%1."/>
      <w:numFmt w:val="decimal"/>
      <w:start w:val="3"/>
    </w:lvl>
  </w:abstractNum>
  <w:abstractNum w:abstractNumId="4">
    <w:nsid w:val="46E87CCD"/>
    <w:multiLevelType w:val="hybridMultilevel"/>
    <w:lvl w:ilvl="0">
      <w:lvlJc w:val="left"/>
      <w:lvlText w:val="%1:"/>
      <w:numFmt w:val="lowerLetter"/>
      <w:start w:val="29"/>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2019-12-11T13:07:06Z</dcterms:created>
  <dcterms:modified xsi:type="dcterms:W3CDTF">2019-12-11T13:07:06Z</dcterms:modified>
</cp:coreProperties>
</file>