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Common Stock $1.00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384637104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Elizabeth G. Weymouth</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47" w:orient="portrait"/>
          <w:cols w:equalWidth="0" w:num="2">
            <w:col w:w="1100" w:space="60"/>
            <w:col w:w="10020"/>
          </w:cols>
          <w:pgMar w:left="320" w:top="166" w:right="399" w:bottom="0" w:gutter="0" w:footer="0" w:header="0"/>
        </w:sectPr>
      </w:pPr>
    </w:p>
    <w:p>
      <w:pPr>
        <w:spacing w:after="0" w:line="70"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This Amendment No. 1 to the Schedule 13G originally filed by the Reporting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May 13, 2024 (the "Schedule 13G") is being filed to report the death of the Reporting Person, which occurred on September 29, 2025. As a result of the death of the Reporting Person, she ceased to be a trustee of several trusts that hold shares of the Issuer's Class B and/or Class A common stock (and thus ceased to hold voting or investment power over the shares held by such trusts) and ceased to beneficially own any shares of the Issuer's common stock. Merryl Tisch and Brad S. Karp are the Executors of the Estate of Elizabeth G. Weymouth.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1812 NORTH MOORE STREET, SUITE 2100, ARLINGTON, VA 22209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Elizabeth G. Weymouth</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1812 North Moore Street, Suite 2100 Arlington, VA 22209</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United States of America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B Common Stock $1.00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384637104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ectPr>
          <w:pgSz w:w="11900" w:h="16847" w:orient="portrait"/>
          <w:cols w:equalWidth="0" w:num="1">
            <w:col w:w="11180"/>
          </w:cols>
          <w:pgMar w:left="320" w:top="166" w:right="399" w:bottom="0" w:gutter="0" w:footer="0" w:header="0"/>
          <w:type w:val="continuous"/>
        </w:sectPr>
      </w:pPr>
    </w:p>
    <w:bookmarkStart w:id="2" w:name="page3"/>
    <w:bookmarkEnd w:id="2"/>
    <w:p>
      <w:pPr>
        <w:spacing w:after="0" w:line="22"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780" w:type="dxa"/>
            <w:vAlign w:val="bottom"/>
          </w:tcPr>
          <w:p>
            <w:pPr>
              <w:spacing w:after="0"/>
              <w:rPr>
                <w:sz w:val="23"/>
                <w:szCs w:val="23"/>
                <w:color w:val="auto"/>
              </w:rPr>
            </w:pPr>
          </w:p>
        </w:tc>
        <w:tc>
          <w:tcPr>
            <w:tcW w:w="99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990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99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9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780" w:type="dxa"/>
            <w:vAlign w:val="bottom"/>
            <w:vMerge w:val="continue"/>
          </w:tcPr>
          <w:p>
            <w:pPr>
              <w:spacing w:after="0"/>
              <w:rPr>
                <w:sz w:val="21"/>
                <w:szCs w:val="21"/>
                <w:color w:val="auto"/>
              </w:rPr>
            </w:pPr>
          </w:p>
        </w:tc>
        <w:tc>
          <w:tcPr>
            <w:tcW w:w="99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0 %</w:t>
            </w: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9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5.</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310"/>
        </w:trPr>
        <w:tc>
          <w:tcPr>
            <w:tcW w:w="780" w:type="dxa"/>
            <w:vAlign w:val="bottom"/>
          </w:tcPr>
          <w:p>
            <w:pPr>
              <w:spacing w:after="0"/>
              <w:rPr>
                <w:sz w:val="24"/>
                <w:szCs w:val="24"/>
                <w:color w:val="auto"/>
              </w:rPr>
            </w:pPr>
          </w:p>
        </w:tc>
        <w:tc>
          <w:tcPr>
            <w:tcW w:w="9900" w:type="dxa"/>
            <w:vAlign w:val="bottom"/>
          </w:tcPr>
          <w:p>
            <w:pPr>
              <w:ind w:left="560"/>
              <w:spacing w:after="0"/>
              <w:rPr>
                <w:sz w:val="20"/>
                <w:szCs w:val="20"/>
                <w:color w:val="auto"/>
              </w:rPr>
            </w:pPr>
            <w:r>
              <w:rPr>
                <w:rFonts w:ascii="Times New Roman" w:cs="Times New Roman" w:eastAsia="Times New Roman" w:hAnsi="Times New Roman"/>
                <w:sz w:val="22"/>
                <w:szCs w:val="22"/>
                <w:color w:val="auto"/>
              </w:rPr>
              <w:t>Ownership of 5 percent or less of a class</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58"/>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780" w:type="dxa"/>
            <w:vAlign w:val="bottom"/>
            <w:vMerge w:val="continue"/>
          </w:tcPr>
          <w:p>
            <w:pPr>
              <w:spacing w:after="0"/>
              <w:rPr>
                <w:sz w:val="13"/>
                <w:szCs w:val="13"/>
                <w:color w:val="auto"/>
              </w:rPr>
            </w:pPr>
          </w:p>
        </w:tc>
        <w:tc>
          <w:tcPr>
            <w:tcW w:w="99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78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780" w:type="dxa"/>
            <w:vAlign w:val="bottom"/>
          </w:tcPr>
          <w:p>
            <w:pPr>
              <w:spacing w:after="0"/>
              <w:rPr>
                <w:sz w:val="24"/>
                <w:szCs w:val="24"/>
                <w:color w:val="auto"/>
              </w:rPr>
            </w:pPr>
          </w:p>
        </w:tc>
        <w:tc>
          <w:tcPr>
            <w:tcW w:w="99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-6384925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-1833245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Elizabeth G. Weymouth</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Merryl Tisch</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Merryl Tisch, Executor of the Estate of Elizabeth</w:t>
      </w:r>
    </w:p>
    <w:p>
      <w:pPr>
        <w:sectPr>
          <w:pgSz w:w="11900" w:h="16860" w:orient="portrait"/>
          <w:cols w:equalWidth="0" w:num="1">
            <w:col w:w="11140"/>
          </w:cols>
          <w:pgMar w:left="360" w:top="126" w:right="399" w:bottom="0" w:gutter="0" w:footer="0" w:header="0"/>
        </w:sectPr>
      </w:pPr>
    </w:p>
    <w:bookmarkStart w:id="3" w:name="page4"/>
    <w:bookmarkEnd w:id="3"/>
    <w:p>
      <w:pPr>
        <w:ind w:left="5920" w:hanging="255"/>
        <w:spacing w:after="0"/>
        <w:tabs>
          <w:tab w:leader="none" w:pos="5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Weymouth</w:t>
      </w:r>
    </w:p>
    <w:p>
      <w:pPr>
        <w:spacing w:after="0" w:line="44" w:lineRule="exact"/>
        <w:rPr>
          <w:rFonts w:ascii="Times New Roman" w:cs="Times New Roman" w:eastAsia="Times New Roman" w:hAnsi="Times New Roman"/>
          <w:sz w:val="22"/>
          <w:szCs w:val="22"/>
          <w:color w:val="auto"/>
        </w:rPr>
      </w:pPr>
    </w:p>
    <w:p>
      <w:pPr>
        <w:ind w:left="4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Date:</w:t>
      </w:r>
      <w:r>
        <w:rPr>
          <w:rFonts w:ascii="Times New Roman" w:cs="Times New Roman" w:eastAsia="Times New Roman" w:hAnsi="Times New Roman"/>
          <w:sz w:val="21"/>
          <w:szCs w:val="21"/>
          <w:color w:val="auto"/>
        </w:rPr>
        <w:t>11/13/2025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Brad S. Karp</w:t>
      </w:r>
    </w:p>
    <w:p>
      <w:pPr>
        <w:spacing w:after="0" w:line="29" w:lineRule="exact"/>
        <w:rPr>
          <w:sz w:val="20"/>
          <w:szCs w:val="20"/>
          <w:color w:val="auto"/>
        </w:rPr>
      </w:pPr>
    </w:p>
    <w:p>
      <w:pPr>
        <w:ind w:left="56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Brad S. Karp, Executor of the Estate of Elizabeth G. Weymouth</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11/13/2025</w:t>
      </w:r>
    </w:p>
    <w:sectPr>
      <w:pgSz w:w="11900" w:h="16838" w:orient="portrait"/>
      <w:cols w:equalWidth="0" w:num="1">
        <w:col w:w="9920"/>
      </w:cols>
      <w:pgMar w:left="1440" w:top="11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upperLetter"/>
      <w:start w:val="7"/>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2025-11-13T17:06:39Z</dcterms:created>
  <dcterms:modified xsi:type="dcterms:W3CDTF">2025-11-13T17:06:39Z</dcterms:modified>
</cp:coreProperties>
</file>