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1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50165</wp:posOffset>
            </wp:positionV>
            <wp:extent cx="60801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0125"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-231775</wp:posOffset>
            </wp:positionV>
            <wp:extent cx="60801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0125" cy="8890"/>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181" w:lineRule="exact"/>
        <w:rPr>
          <w:rFonts w:ascii="MS PGothic" w:cs="MS PGothic" w:eastAsia="MS PGothic" w:hAnsi="MS PGothic"/>
          <w:sz w:val="18"/>
          <w:szCs w:val="18"/>
          <w:color w:val="auto"/>
        </w:rPr>
      </w:pPr>
    </w:p>
    <w:p>
      <w:pPr>
        <w:ind w:left="376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Quarterly Period Ended June 30, 2014</w:t>
      </w:r>
    </w:p>
    <w:p>
      <w:pPr>
        <w:spacing w:after="0" w:line="17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164"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68" w:lineRule="exact"/>
        <w:rPr>
          <w:rFonts w:ascii="MS PGothic" w:cs="MS PGothic" w:eastAsia="MS PGothic" w:hAnsi="MS PGothic"/>
          <w:sz w:val="18"/>
          <w:szCs w:val="18"/>
          <w:color w:val="auto"/>
        </w:rPr>
      </w:pPr>
    </w:p>
    <w:p>
      <w:pPr>
        <w:ind w:left="43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1-671</w:t>
      </w:r>
    </w:p>
    <w:p>
      <w:pPr>
        <w:spacing w:after="0" w:line="204"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GRAHAM HOLDINGS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-301625</wp:posOffset>
            </wp:positionV>
            <wp:extent cx="60801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0125" cy="8890"/>
                    </a:xfrm>
                    <a:prstGeom prst="rect">
                      <a:avLst/>
                    </a:prstGeom>
                    <a:noFill/>
                  </pic:spPr>
                </pic:pic>
              </a:graphicData>
            </a:graphic>
          </wp:anchor>
        </w:drawing>
      </w:r>
    </w:p>
    <w:p>
      <w:pPr>
        <w:spacing w:after="0" w:line="9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14605</wp:posOffset>
            </wp:positionV>
            <wp:extent cx="60801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0125" cy="8890"/>
                    </a:xfrm>
                    <a:prstGeom prst="rect">
                      <a:avLst/>
                    </a:prstGeom>
                    <a:noFill/>
                  </pic:spPr>
                </pic:pic>
              </a:graphicData>
            </a:graphic>
          </wp:anchor>
        </w:drawing>
      </w:r>
    </w:p>
    <w:p>
      <w:pPr>
        <w:spacing w:after="0" w:line="262" w:lineRule="exact"/>
        <w:rPr>
          <w:sz w:val="24"/>
          <w:szCs w:val="24"/>
          <w:color w:val="auto"/>
        </w:rPr>
      </w:pPr>
    </w:p>
    <w:tbl>
      <w:tblPr>
        <w:tblLayout w:type="fixed"/>
        <w:tblInd w:w="1160" w:type="dxa"/>
        <w:tblCellMar>
          <w:top w:w="0" w:type="dxa"/>
          <w:left w:w="0" w:type="dxa"/>
          <w:bottom w:w="0" w:type="dxa"/>
          <w:right w:w="0" w:type="dxa"/>
        </w:tblCellMar>
      </w:tblPr>
      <w:tr>
        <w:trPr>
          <w:trHeight w:val="253"/>
        </w:trPr>
        <w:tc>
          <w:tcPr>
            <w:tcW w:w="6580" w:type="dxa"/>
            <w:vAlign w:val="bottom"/>
          </w:tcPr>
          <w:p>
            <w:pPr>
              <w:jc w:val="center"/>
              <w:ind w:right="3100"/>
              <w:spacing w:after="0"/>
              <w:rPr>
                <w:sz w:val="20"/>
                <w:szCs w:val="20"/>
                <w:color w:val="auto"/>
              </w:rPr>
            </w:pPr>
            <w:r>
              <w:rPr>
                <w:rFonts w:ascii="Arial" w:cs="Arial" w:eastAsia="Arial" w:hAnsi="Arial"/>
                <w:sz w:val="18"/>
                <w:szCs w:val="18"/>
                <w:b w:val="1"/>
                <w:bCs w:val="1"/>
                <w:color w:val="auto"/>
              </w:rPr>
              <w:t>Delaware</w:t>
            </w:r>
          </w:p>
        </w:tc>
        <w:tc>
          <w:tcPr>
            <w:tcW w:w="144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r>
      <w:tr>
        <w:trPr>
          <w:trHeight w:val="175"/>
        </w:trPr>
        <w:tc>
          <w:tcPr>
            <w:tcW w:w="6580" w:type="dxa"/>
            <w:vAlign w:val="bottom"/>
          </w:tcPr>
          <w:p>
            <w:pPr>
              <w:jc w:val="center"/>
              <w:ind w:right="3080"/>
              <w:spacing w:after="0"/>
              <w:rPr>
                <w:sz w:val="20"/>
                <w:szCs w:val="20"/>
                <w:color w:val="auto"/>
              </w:rPr>
            </w:pPr>
            <w:r>
              <w:rPr>
                <w:rFonts w:ascii="Arial" w:cs="Arial" w:eastAsia="Arial" w:hAnsi="Arial"/>
                <w:sz w:val="14"/>
                <w:szCs w:val="14"/>
                <w:b w:val="1"/>
                <w:bCs w:val="1"/>
                <w:color w:val="auto"/>
              </w:rPr>
              <w:t>(State or other jurisdiction of</w:t>
            </w:r>
          </w:p>
        </w:tc>
        <w:tc>
          <w:tcPr>
            <w:tcW w:w="1440" w:type="dxa"/>
            <w:vAlign w:val="bottom"/>
          </w:tcPr>
          <w:p>
            <w:pPr>
              <w:jc w:val="center"/>
              <w:ind w:left="141"/>
              <w:spacing w:after="0"/>
              <w:rPr>
                <w:sz w:val="20"/>
                <w:szCs w:val="20"/>
                <w:color w:val="auto"/>
              </w:rPr>
            </w:pPr>
            <w:r>
              <w:rPr>
                <w:rFonts w:ascii="Arial" w:cs="Arial" w:eastAsia="Arial" w:hAnsi="Arial"/>
                <w:sz w:val="14"/>
                <w:szCs w:val="14"/>
                <w:b w:val="1"/>
                <w:bCs w:val="1"/>
                <w:color w:val="auto"/>
              </w:rPr>
              <w:t>(I.R.S. Employer</w:t>
            </w:r>
          </w:p>
        </w:tc>
      </w:tr>
      <w:tr>
        <w:trPr>
          <w:trHeight w:val="202"/>
        </w:trPr>
        <w:tc>
          <w:tcPr>
            <w:tcW w:w="6580" w:type="dxa"/>
            <w:vAlign w:val="bottom"/>
          </w:tcPr>
          <w:p>
            <w:pPr>
              <w:jc w:val="center"/>
              <w:ind w:right="3080"/>
              <w:spacing w:after="0"/>
              <w:rPr>
                <w:sz w:val="20"/>
                <w:szCs w:val="20"/>
                <w:color w:val="auto"/>
              </w:rPr>
            </w:pPr>
            <w:r>
              <w:rPr>
                <w:rFonts w:ascii="Arial" w:cs="Arial" w:eastAsia="Arial" w:hAnsi="Arial"/>
                <w:sz w:val="14"/>
                <w:szCs w:val="14"/>
                <w:b w:val="1"/>
                <w:bCs w:val="1"/>
                <w:color w:val="auto"/>
              </w:rPr>
              <w:t>incorporation or organization)</w:t>
            </w:r>
          </w:p>
        </w:tc>
        <w:tc>
          <w:tcPr>
            <w:tcW w:w="1440" w:type="dxa"/>
            <w:vAlign w:val="bottom"/>
          </w:tcPr>
          <w:p>
            <w:pPr>
              <w:jc w:val="center"/>
              <w:ind w:left="141"/>
              <w:spacing w:after="0"/>
              <w:rPr>
                <w:sz w:val="20"/>
                <w:szCs w:val="20"/>
                <w:color w:val="auto"/>
              </w:rPr>
            </w:pPr>
            <w:r>
              <w:rPr>
                <w:rFonts w:ascii="Arial" w:cs="Arial" w:eastAsia="Arial" w:hAnsi="Arial"/>
                <w:sz w:val="14"/>
                <w:szCs w:val="14"/>
                <w:b w:val="1"/>
                <w:bCs w:val="1"/>
                <w:color w:val="auto"/>
              </w:rPr>
              <w:t>Identification No.)</w:t>
            </w:r>
          </w:p>
        </w:tc>
      </w:tr>
      <w:tr>
        <w:trPr>
          <w:trHeight w:val="379"/>
        </w:trPr>
        <w:tc>
          <w:tcPr>
            <w:tcW w:w="6580" w:type="dxa"/>
            <w:vAlign w:val="bottom"/>
          </w:tcPr>
          <w:p>
            <w:pPr>
              <w:jc w:val="center"/>
              <w:ind w:right="3100"/>
              <w:spacing w:after="0"/>
              <w:rPr>
                <w:sz w:val="20"/>
                <w:szCs w:val="20"/>
                <w:color w:val="auto"/>
              </w:rPr>
            </w:pPr>
            <w:r>
              <w:rPr>
                <w:rFonts w:ascii="Arial" w:cs="Arial" w:eastAsia="Arial" w:hAnsi="Arial"/>
                <w:sz w:val="18"/>
                <w:szCs w:val="18"/>
                <w:b w:val="1"/>
                <w:bCs w:val="1"/>
                <w:color w:val="auto"/>
                <w:w w:val="99"/>
              </w:rPr>
              <w:t>1150 15th Street, N.W. Washington, D.C.</w:t>
            </w:r>
          </w:p>
        </w:tc>
        <w:tc>
          <w:tcPr>
            <w:tcW w:w="1440" w:type="dxa"/>
            <w:vAlign w:val="bottom"/>
          </w:tcPr>
          <w:p>
            <w:pPr>
              <w:jc w:val="right"/>
              <w:ind w:right="281"/>
              <w:spacing w:after="0"/>
              <w:rPr>
                <w:sz w:val="20"/>
                <w:szCs w:val="20"/>
                <w:color w:val="auto"/>
              </w:rPr>
            </w:pPr>
            <w:r>
              <w:rPr>
                <w:rFonts w:ascii="Arial" w:cs="Arial" w:eastAsia="Arial" w:hAnsi="Arial"/>
                <w:sz w:val="18"/>
                <w:szCs w:val="18"/>
                <w:b w:val="1"/>
                <w:bCs w:val="1"/>
                <w:color w:val="auto"/>
              </w:rPr>
              <w:t>20071</w:t>
            </w:r>
          </w:p>
        </w:tc>
      </w:tr>
      <w:tr>
        <w:trPr>
          <w:trHeight w:val="216"/>
        </w:trPr>
        <w:tc>
          <w:tcPr>
            <w:tcW w:w="6580" w:type="dxa"/>
            <w:vAlign w:val="bottom"/>
          </w:tcPr>
          <w:p>
            <w:pPr>
              <w:jc w:val="center"/>
              <w:ind w:right="3100"/>
              <w:spacing w:after="0"/>
              <w:rPr>
                <w:sz w:val="20"/>
                <w:szCs w:val="20"/>
                <w:color w:val="auto"/>
              </w:rPr>
            </w:pPr>
            <w:r>
              <w:rPr>
                <w:rFonts w:ascii="Arial" w:cs="Arial" w:eastAsia="Arial" w:hAnsi="Arial"/>
                <w:sz w:val="14"/>
                <w:szCs w:val="14"/>
                <w:b w:val="1"/>
                <w:bCs w:val="1"/>
                <w:color w:val="auto"/>
              </w:rPr>
              <w:t>(Address of principal executive offices)</w:t>
            </w:r>
          </w:p>
        </w:tc>
        <w:tc>
          <w:tcPr>
            <w:tcW w:w="1440" w:type="dxa"/>
            <w:vAlign w:val="bottom"/>
          </w:tcPr>
          <w:p>
            <w:pPr>
              <w:jc w:val="center"/>
              <w:ind w:left="141"/>
              <w:spacing w:after="0"/>
              <w:rPr>
                <w:sz w:val="20"/>
                <w:szCs w:val="20"/>
                <w:color w:val="auto"/>
              </w:rPr>
            </w:pPr>
            <w:r>
              <w:rPr>
                <w:rFonts w:ascii="Arial" w:cs="Arial" w:eastAsia="Arial" w:hAnsi="Arial"/>
                <w:sz w:val="14"/>
                <w:szCs w:val="14"/>
                <w:b w:val="1"/>
                <w:bCs w:val="1"/>
                <w:color w:val="auto"/>
              </w:rPr>
              <w:t>(Zip Code)</w:t>
            </w:r>
          </w:p>
        </w:tc>
      </w:tr>
      <w:tr>
        <w:trPr>
          <w:trHeight w:val="365"/>
        </w:trPr>
        <w:tc>
          <w:tcPr>
            <w:tcW w:w="6580" w:type="dxa"/>
            <w:vAlign w:val="bottom"/>
          </w:tcPr>
          <w:p>
            <w:pPr>
              <w:jc w:val="right"/>
              <w:ind w:right="1340"/>
              <w:spacing w:after="0"/>
              <w:rPr>
                <w:sz w:val="20"/>
                <w:szCs w:val="20"/>
                <w:color w:val="auto"/>
              </w:rPr>
            </w:pPr>
            <w:r>
              <w:rPr>
                <w:rFonts w:ascii="Arial" w:cs="Arial" w:eastAsia="Arial" w:hAnsi="Arial"/>
                <w:sz w:val="18"/>
                <w:szCs w:val="18"/>
                <w:b w:val="1"/>
                <w:bCs w:val="1"/>
                <w:color w:val="auto"/>
              </w:rPr>
              <w:t>(202) 334-6000</w:t>
            </w:r>
          </w:p>
        </w:tc>
        <w:tc>
          <w:tcPr>
            <w:tcW w:w="1440" w:type="dxa"/>
            <w:vAlign w:val="bottom"/>
          </w:tcPr>
          <w:p>
            <w:pPr>
              <w:spacing w:after="0"/>
              <w:rPr>
                <w:sz w:val="24"/>
                <w:szCs w:val="24"/>
                <w:color w:val="auto"/>
              </w:rPr>
            </w:pPr>
          </w:p>
        </w:tc>
      </w:tr>
      <w:tr>
        <w:trPr>
          <w:trHeight w:val="202"/>
        </w:trPr>
        <w:tc>
          <w:tcPr>
            <w:tcW w:w="6580" w:type="dxa"/>
            <w:vAlign w:val="bottom"/>
          </w:tcPr>
          <w:p>
            <w:pPr>
              <w:jc w:val="center"/>
              <w:ind w:left="2460"/>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144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1171575</wp:posOffset>
            </wp:positionH>
            <wp:positionV relativeFrom="paragraph">
              <wp:posOffset>147320</wp:posOffset>
            </wp:positionV>
            <wp:extent cx="49136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13630" cy="8890"/>
                    </a:xfrm>
                    <a:prstGeom prst="rect">
                      <a:avLst/>
                    </a:prstGeom>
                    <a:noFill/>
                  </pic:spPr>
                </pic:pic>
              </a:graphicData>
            </a:graphic>
          </wp:anchor>
        </w:drawing>
      </w:r>
    </w:p>
    <w:p>
      <w:pPr>
        <w:spacing w:after="0" w:line="283" w:lineRule="exact"/>
        <w:rPr>
          <w:sz w:val="24"/>
          <w:szCs w:val="24"/>
          <w:color w:val="auto"/>
        </w:rPr>
      </w:pPr>
    </w:p>
    <w:p>
      <w:pPr>
        <w:ind w:right="20"/>
        <w:spacing w:after="0" w:line="231"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20" w:lineRule="exact"/>
        <w:rPr>
          <w:sz w:val="24"/>
          <w:szCs w:val="24"/>
          <w:color w:val="auto"/>
        </w:rPr>
      </w:pPr>
    </w:p>
    <w:p>
      <w:pPr>
        <w:spacing w:after="0" w:line="231"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20" w:lineRule="exact"/>
        <w:rPr>
          <w:sz w:val="24"/>
          <w:szCs w:val="24"/>
          <w:color w:val="auto"/>
        </w:rPr>
      </w:pPr>
    </w:p>
    <w:p>
      <w:pPr>
        <w:ind w:right="340"/>
        <w:spacing w:after="0" w:line="323"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definitions of “large accelerated filer,” accelerated filer” and “small reporting company” in Rule 12b-2 of the Exchange Act.</w:t>
      </w:r>
    </w:p>
    <w:p>
      <w:pPr>
        <w:spacing w:after="0" w:line="44" w:lineRule="exact"/>
        <w:rPr>
          <w:sz w:val="24"/>
          <w:szCs w:val="24"/>
          <w:color w:val="auto"/>
        </w:rPr>
      </w:pPr>
    </w:p>
    <w:p>
      <w:pPr>
        <w:ind w:left="40"/>
        <w:spacing w:after="0" w:line="189" w:lineRule="exact"/>
        <w:tabs>
          <w:tab w:leader="none" w:pos="2560" w:val="left"/>
          <w:tab w:leader="none" w:pos="5060" w:val="left"/>
          <w:tab w:leader="none" w:pos="5520" w:val="left"/>
          <w:tab w:leader="none" w:pos="8060" w:val="left"/>
          <w:tab w:leader="none" w:pos="10980" w:val="left"/>
        </w:tabs>
        <w:rPr>
          <w:sz w:val="20"/>
          <w:szCs w:val="20"/>
          <w:color w:val="auto"/>
        </w:rPr>
      </w:pPr>
      <w:r>
        <w:rPr>
          <w:rFonts w:ascii="Arial" w:cs="Arial" w:eastAsia="Arial" w:hAnsi="Arial"/>
          <w:sz w:val="16"/>
          <w:szCs w:val="16"/>
          <w:color w:val="auto"/>
        </w:rPr>
        <w:t>Large accelerated filer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6"/>
          <w:szCs w:val="16"/>
          <w:color w:val="auto"/>
        </w:rPr>
        <w:t>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Non-accelerated filer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6"/>
          <w:szCs w:val="16"/>
          <w:color w:val="auto"/>
        </w:rPr>
        <w:t>Smaller reporting company</w:t>
      </w:r>
      <w:r>
        <w:rPr>
          <w:sz w:val="20"/>
          <w:szCs w:val="20"/>
          <w:color w:val="auto"/>
        </w:rPr>
        <w:tab/>
      </w:r>
      <w:r>
        <w:rPr>
          <w:rFonts w:ascii="MS PGothic" w:cs="MS PGothic" w:eastAsia="MS PGothic" w:hAnsi="MS PGothic"/>
          <w:sz w:val="16"/>
          <w:szCs w:val="16"/>
          <w:color w:val="auto"/>
        </w:rPr>
        <w:t>☐</w:t>
      </w:r>
    </w:p>
    <w:p>
      <w:pPr>
        <w:spacing w:after="0" w:line="217" w:lineRule="exact"/>
        <w:rPr>
          <w:sz w:val="24"/>
          <w:szCs w:val="24"/>
          <w:color w:val="auto"/>
        </w:rPr>
      </w:pPr>
    </w:p>
    <w:p>
      <w:pPr>
        <w:spacing w:after="0" w:line="207" w:lineRule="exact"/>
        <w:tabs>
          <w:tab w:leader="none" w:pos="8260" w:val="left"/>
          <w:tab w:leader="none" w:pos="90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Arial" w:cs="Arial" w:eastAsia="Arial" w:hAnsi="Arial"/>
          <w:sz w:val="16"/>
          <w:szCs w:val="16"/>
          <w:color w:val="auto"/>
        </w:rPr>
        <w:t>.</w:t>
        <w:tab/>
        <w:t xml:space="preserve">No </w:t>
      </w:r>
      <w:r>
        <w:rPr>
          <w:rFonts w:ascii="MS PGothic" w:cs="MS PGothic" w:eastAsia="MS PGothic" w:hAnsi="MS PGothic"/>
          <w:sz w:val="18"/>
          <w:szCs w:val="18"/>
          <w:color w:val="auto"/>
        </w:rPr>
        <w:t>☒</w:t>
      </w:r>
      <w:r>
        <w:rPr>
          <w:rFonts w:ascii="Arial" w:cs="Arial" w:eastAsia="Arial" w:hAnsi="Arial"/>
          <w:sz w:val="16"/>
          <w:szCs w:val="16"/>
          <w:color w:val="auto"/>
        </w:rPr>
        <w:t>.</w:t>
      </w:r>
    </w:p>
    <w:p>
      <w:pPr>
        <w:spacing w:after="0" w:line="195" w:lineRule="exact"/>
        <w:rPr>
          <w:sz w:val="24"/>
          <w:szCs w:val="24"/>
          <w:color w:val="auto"/>
        </w:rPr>
      </w:pPr>
    </w:p>
    <w:p>
      <w:pPr>
        <w:spacing w:after="0"/>
        <w:rPr>
          <w:sz w:val="20"/>
          <w:szCs w:val="20"/>
          <w:color w:val="auto"/>
        </w:rPr>
      </w:pPr>
      <w:r>
        <w:rPr>
          <w:rFonts w:ascii="Arial" w:cs="Arial" w:eastAsia="Arial" w:hAnsi="Arial"/>
          <w:sz w:val="18"/>
          <w:szCs w:val="18"/>
          <w:color w:val="auto"/>
        </w:rPr>
        <w:t>Shares outstanding at August 1, 2014:</w:t>
      </w:r>
    </w:p>
    <w:p>
      <w:pPr>
        <w:spacing w:after="0" w:line="117" w:lineRule="exact"/>
        <w:rPr>
          <w:sz w:val="24"/>
          <w:szCs w:val="24"/>
          <w:color w:val="auto"/>
        </w:rPr>
      </w:pPr>
    </w:p>
    <w:p>
      <w:pPr>
        <w:ind w:left="2680"/>
        <w:spacing w:after="0"/>
        <w:rPr>
          <w:sz w:val="20"/>
          <w:szCs w:val="20"/>
          <w:color w:val="auto"/>
        </w:rPr>
      </w:pPr>
      <w:r>
        <w:rPr>
          <w:rFonts w:ascii="Arial" w:cs="Arial" w:eastAsia="Arial" w:hAnsi="Arial"/>
          <w:sz w:val="18"/>
          <w:szCs w:val="18"/>
          <w:color w:val="auto"/>
        </w:rPr>
        <w:t>Class A Common Stock – 1,169,073 Shares</w:t>
      </w:r>
    </w:p>
    <w:p>
      <w:pPr>
        <w:spacing w:after="0" w:line="31" w:lineRule="exact"/>
        <w:rPr>
          <w:sz w:val="24"/>
          <w:szCs w:val="24"/>
          <w:color w:val="auto"/>
        </w:rPr>
      </w:pPr>
    </w:p>
    <w:p>
      <w:pPr>
        <w:ind w:left="2680"/>
        <w:spacing w:after="0"/>
        <w:rPr>
          <w:sz w:val="20"/>
          <w:szCs w:val="20"/>
          <w:color w:val="auto"/>
        </w:rPr>
      </w:pPr>
      <w:r>
        <w:rPr>
          <w:rFonts w:ascii="Arial" w:cs="Arial" w:eastAsia="Arial" w:hAnsi="Arial"/>
          <w:sz w:val="18"/>
          <w:szCs w:val="18"/>
          <w:color w:val="auto"/>
        </w:rPr>
        <w:t>Class B Common Stock – 4,624,280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48" w:right="29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GRAHAM HOLDINGS COMPANY</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 to Form 10-Q</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1180" w:type="dxa"/>
            <w:vAlign w:val="bottom"/>
            <w:gridSpan w:val="2"/>
          </w:tcPr>
          <w:p>
            <w:pPr>
              <w:spacing w:after="0"/>
              <w:rPr>
                <w:sz w:val="20"/>
                <w:szCs w:val="20"/>
                <w:color w:val="auto"/>
              </w:rPr>
            </w:pPr>
            <w:r>
              <w:rPr>
                <w:rFonts w:ascii="Arial" w:cs="Arial" w:eastAsia="Arial" w:hAnsi="Arial"/>
                <w:sz w:val="16"/>
                <w:szCs w:val="16"/>
                <w:color w:val="auto"/>
              </w:rPr>
              <w:t>PART I. FINANCIAL INFORMATION</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86"/>
        </w:trPr>
        <w:tc>
          <w:tcPr>
            <w:tcW w:w="780" w:type="dxa"/>
            <w:vAlign w:val="bottom"/>
          </w:tcPr>
          <w:p>
            <w:pPr>
              <w:spacing w:after="0"/>
              <w:rPr>
                <w:sz w:val="20"/>
                <w:szCs w:val="20"/>
                <w:color w:val="auto"/>
              </w:rPr>
            </w:pPr>
            <w:r>
              <w:rPr>
                <w:rFonts w:ascii="Arial" w:cs="Arial" w:eastAsia="Arial" w:hAnsi="Arial"/>
                <w:sz w:val="16"/>
                <w:szCs w:val="16"/>
                <w:color w:val="auto"/>
              </w:rPr>
              <w:t>Item 1.</w:t>
            </w:r>
          </w:p>
        </w:tc>
        <w:tc>
          <w:tcPr>
            <w:tcW w:w="10400" w:type="dxa"/>
            <w:vAlign w:val="bottom"/>
          </w:tcPr>
          <w:p>
            <w:pPr>
              <w:ind w:left="20"/>
              <w:spacing w:after="0"/>
              <w:rPr>
                <w:sz w:val="20"/>
                <w:szCs w:val="20"/>
                <w:color w:val="auto"/>
              </w:rPr>
            </w:pPr>
            <w:r>
              <w:rPr>
                <w:rFonts w:ascii="Arial" w:cs="Arial" w:eastAsia="Arial" w:hAnsi="Arial"/>
                <w:sz w:val="16"/>
                <w:szCs w:val="16"/>
                <w:color w:val="auto"/>
              </w:rPr>
              <w:t>Financial Statements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8"/>
        </w:trPr>
        <w:tc>
          <w:tcPr>
            <w:tcW w:w="780" w:type="dxa"/>
            <w:vAlign w:val="bottom"/>
          </w:tcPr>
          <w:p>
            <w:pPr>
              <w:spacing w:after="0"/>
              <w:rPr>
                <w:sz w:val="24"/>
                <w:szCs w:val="24"/>
                <w:color w:val="auto"/>
              </w:rPr>
            </w:pPr>
          </w:p>
        </w:tc>
        <w:tc>
          <w:tcPr>
            <w:tcW w:w="10400" w:type="dxa"/>
            <w:vAlign w:val="bottom"/>
          </w:tcPr>
          <w:p>
            <w:pPr>
              <w:ind w:left="20"/>
              <w:spacing w:after="0"/>
              <w:rPr>
                <w:sz w:val="20"/>
                <w:szCs w:val="20"/>
                <w:color w:val="auto"/>
              </w:rPr>
            </w:pPr>
            <w:r>
              <w:rPr>
                <w:rFonts w:ascii="Arial" w:cs="Arial" w:eastAsia="Arial" w:hAnsi="Arial"/>
                <w:sz w:val="16"/>
                <w:szCs w:val="16"/>
                <w:color w:val="auto"/>
              </w:rPr>
              <w:t>a. Condensed Consolidated Statements of Operations (Unaudited) for the Three and Six Months Ended June 30, 2014 and 2013</w:t>
            </w:r>
          </w:p>
        </w:tc>
        <w:tc>
          <w:tcPr>
            <w:tcW w:w="180" w:type="dxa"/>
            <w:vAlign w:val="bottom"/>
            <w:gridSpan w:val="2"/>
          </w:tcPr>
          <w:p>
            <w:pPr>
              <w:jc w:val="right"/>
              <w:spacing w:after="0"/>
              <w:rPr>
                <w:rFonts w:ascii="Arial" w:cs="Arial" w:eastAsia="Arial" w:hAnsi="Arial"/>
                <w:sz w:val="16"/>
                <w:szCs w:val="16"/>
                <w:color w:val="0000EE"/>
              </w:rPr>
            </w:pPr>
            <w:hyperlink w:anchor="page3">
              <w:r>
                <w:rPr>
                  <w:rFonts w:ascii="Arial" w:cs="Arial" w:eastAsia="Arial" w:hAnsi="Arial"/>
                  <w:sz w:val="16"/>
                  <w:szCs w:val="16"/>
                  <w:color w:val="0000EE"/>
                </w:rPr>
                <w:t>1</w:t>
              </w:r>
            </w:hyperlink>
          </w:p>
        </w:tc>
      </w:tr>
      <w:tr>
        <w:trPr>
          <w:trHeight w:val="475"/>
        </w:trPr>
        <w:tc>
          <w:tcPr>
            <w:tcW w:w="780" w:type="dxa"/>
            <w:vAlign w:val="bottom"/>
          </w:tcPr>
          <w:p>
            <w:pPr>
              <w:spacing w:after="0"/>
              <w:rPr>
                <w:sz w:val="24"/>
                <w:szCs w:val="24"/>
                <w:color w:val="auto"/>
              </w:rPr>
            </w:pPr>
          </w:p>
        </w:tc>
        <w:tc>
          <w:tcPr>
            <w:tcW w:w="10400" w:type="dxa"/>
            <w:vAlign w:val="bottom"/>
          </w:tcPr>
          <w:p>
            <w:pPr>
              <w:ind w:left="20"/>
              <w:spacing w:after="0"/>
              <w:rPr>
                <w:sz w:val="20"/>
                <w:szCs w:val="20"/>
                <w:color w:val="auto"/>
              </w:rPr>
            </w:pPr>
            <w:r>
              <w:rPr>
                <w:rFonts w:ascii="Arial" w:cs="Arial" w:eastAsia="Arial" w:hAnsi="Arial"/>
                <w:sz w:val="16"/>
                <w:szCs w:val="16"/>
                <w:color w:val="auto"/>
              </w:rPr>
              <w:t>b. Condensed Consolidated Statements of Comprehensive Income (Unaudited) for the Three and Six Months Ended June 30, 2014 and</w:t>
            </w:r>
          </w:p>
        </w:tc>
        <w:tc>
          <w:tcPr>
            <w:tcW w:w="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180"/>
        </w:trPr>
        <w:tc>
          <w:tcPr>
            <w:tcW w:w="780" w:type="dxa"/>
            <w:vAlign w:val="bottom"/>
          </w:tcPr>
          <w:p>
            <w:pPr>
              <w:spacing w:after="0"/>
              <w:rPr>
                <w:sz w:val="15"/>
                <w:szCs w:val="15"/>
                <w:color w:val="auto"/>
              </w:rPr>
            </w:pPr>
          </w:p>
        </w:tc>
        <w:tc>
          <w:tcPr>
            <w:tcW w:w="10400" w:type="dxa"/>
            <w:vAlign w:val="bottom"/>
          </w:tcPr>
          <w:p>
            <w:pPr>
              <w:ind w:left="20"/>
              <w:spacing w:after="0" w:line="181" w:lineRule="exact"/>
              <w:rPr>
                <w:sz w:val="20"/>
                <w:szCs w:val="20"/>
                <w:color w:val="auto"/>
              </w:rPr>
            </w:pPr>
            <w:r>
              <w:rPr>
                <w:rFonts w:ascii="Arial" w:cs="Arial" w:eastAsia="Arial" w:hAnsi="Arial"/>
                <w:sz w:val="16"/>
                <w:szCs w:val="16"/>
                <w:color w:val="auto"/>
              </w:rPr>
              <w:t>2013</w:t>
            </w:r>
          </w:p>
        </w:tc>
        <w:tc>
          <w:tcPr>
            <w:tcW w:w="80" w:type="dxa"/>
            <w:vAlign w:val="bottom"/>
          </w:tcPr>
          <w:p>
            <w:pPr>
              <w:spacing w:after="0"/>
              <w:rPr>
                <w:sz w:val="15"/>
                <w:szCs w:val="15"/>
                <w:color w:val="auto"/>
              </w:rPr>
            </w:pPr>
          </w:p>
        </w:tc>
        <w:tc>
          <w:tcPr>
            <w:tcW w:w="100" w:type="dxa"/>
            <w:vAlign w:val="bottom"/>
            <w:tcBorders>
              <w:bottom w:val="single" w:sz="8" w:color="0000EE"/>
            </w:tcBorders>
          </w:tcPr>
          <w:p>
            <w:pPr>
              <w:jc w:val="right"/>
              <w:spacing w:after="0" w:line="181" w:lineRule="exact"/>
              <w:rPr>
                <w:rFonts w:ascii="Arial" w:cs="Arial" w:eastAsia="Arial" w:hAnsi="Arial"/>
                <w:sz w:val="16"/>
                <w:szCs w:val="16"/>
                <w:color w:val="0000EE"/>
                <w:w w:val="89"/>
              </w:rPr>
            </w:pPr>
            <w:hyperlink w:anchor="page3">
              <w:r>
                <w:rPr>
                  <w:rFonts w:ascii="Arial" w:cs="Arial" w:eastAsia="Arial" w:hAnsi="Arial"/>
                  <w:sz w:val="16"/>
                  <w:szCs w:val="16"/>
                  <w:color w:val="0000EE"/>
                  <w:w w:val="89"/>
                </w:rPr>
                <w:t>2</w:t>
              </w:r>
            </w:hyperlink>
          </w:p>
        </w:tc>
      </w:tr>
      <w:tr>
        <w:trPr>
          <w:trHeight w:val="466"/>
        </w:trPr>
        <w:tc>
          <w:tcPr>
            <w:tcW w:w="780" w:type="dxa"/>
            <w:vAlign w:val="bottom"/>
          </w:tcPr>
          <w:p>
            <w:pPr>
              <w:spacing w:after="0"/>
              <w:rPr>
                <w:sz w:val="24"/>
                <w:szCs w:val="24"/>
                <w:color w:val="auto"/>
              </w:rPr>
            </w:pPr>
          </w:p>
        </w:tc>
        <w:tc>
          <w:tcPr>
            <w:tcW w:w="10400" w:type="dxa"/>
            <w:vAlign w:val="bottom"/>
          </w:tcPr>
          <w:p>
            <w:pPr>
              <w:ind w:left="20"/>
              <w:spacing w:after="0"/>
              <w:rPr>
                <w:sz w:val="20"/>
                <w:szCs w:val="20"/>
                <w:color w:val="auto"/>
              </w:rPr>
            </w:pPr>
            <w:r>
              <w:rPr>
                <w:rFonts w:ascii="Arial" w:cs="Arial" w:eastAsia="Arial" w:hAnsi="Arial"/>
                <w:sz w:val="16"/>
                <w:szCs w:val="16"/>
                <w:color w:val="auto"/>
              </w:rPr>
              <w:t>c. Condensed Consolidated Balance Sheets at June 30, 2014 (Unaudited) and December 31, 2013</w:t>
            </w: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4">
              <w:r>
                <w:rPr>
                  <w:rFonts w:ascii="Arial" w:cs="Arial" w:eastAsia="Arial" w:hAnsi="Arial"/>
                  <w:sz w:val="16"/>
                  <w:szCs w:val="16"/>
                  <w:color w:val="0000EE"/>
                  <w:w w:val="89"/>
                </w:rPr>
                <w:t>3</w:t>
              </w:r>
            </w:hyperlink>
          </w:p>
        </w:tc>
      </w:tr>
      <w:tr>
        <w:trPr>
          <w:trHeight w:val="466"/>
        </w:trPr>
        <w:tc>
          <w:tcPr>
            <w:tcW w:w="780" w:type="dxa"/>
            <w:vAlign w:val="bottom"/>
          </w:tcPr>
          <w:p>
            <w:pPr>
              <w:spacing w:after="0"/>
              <w:rPr>
                <w:sz w:val="24"/>
                <w:szCs w:val="24"/>
                <w:color w:val="auto"/>
              </w:rPr>
            </w:pPr>
          </w:p>
        </w:tc>
        <w:tc>
          <w:tcPr>
            <w:tcW w:w="10400" w:type="dxa"/>
            <w:vAlign w:val="bottom"/>
          </w:tcPr>
          <w:p>
            <w:pPr>
              <w:ind w:left="20"/>
              <w:spacing w:after="0"/>
              <w:rPr>
                <w:sz w:val="20"/>
                <w:szCs w:val="20"/>
                <w:color w:val="auto"/>
              </w:rPr>
            </w:pPr>
            <w:r>
              <w:rPr>
                <w:rFonts w:ascii="Arial" w:cs="Arial" w:eastAsia="Arial" w:hAnsi="Arial"/>
                <w:sz w:val="16"/>
                <w:szCs w:val="16"/>
                <w:color w:val="auto"/>
              </w:rPr>
              <w:t>d. Condensed Consolidated Statements of Cash Flows (Unaudited) for the Six Months Ended June 30, 2014 and 2013</w:t>
            </w: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6">
              <w:r>
                <w:rPr>
                  <w:rFonts w:ascii="Arial" w:cs="Arial" w:eastAsia="Arial" w:hAnsi="Arial"/>
                  <w:sz w:val="16"/>
                  <w:szCs w:val="16"/>
                  <w:color w:val="0000EE"/>
                  <w:w w:val="89"/>
                </w:rPr>
                <w:t>4</w:t>
              </w:r>
            </w:hyperlink>
          </w:p>
        </w:tc>
      </w:tr>
      <w:tr>
        <w:trPr>
          <w:trHeight w:val="466"/>
        </w:trPr>
        <w:tc>
          <w:tcPr>
            <w:tcW w:w="780" w:type="dxa"/>
            <w:vAlign w:val="bottom"/>
          </w:tcPr>
          <w:p>
            <w:pPr>
              <w:spacing w:after="0"/>
              <w:rPr>
                <w:sz w:val="24"/>
                <w:szCs w:val="24"/>
                <w:color w:val="auto"/>
              </w:rPr>
            </w:pPr>
          </w:p>
        </w:tc>
        <w:tc>
          <w:tcPr>
            <w:tcW w:w="10400" w:type="dxa"/>
            <w:vAlign w:val="bottom"/>
          </w:tcPr>
          <w:p>
            <w:pPr>
              <w:ind w:left="20"/>
              <w:spacing w:after="0"/>
              <w:rPr>
                <w:sz w:val="20"/>
                <w:szCs w:val="20"/>
                <w:color w:val="auto"/>
              </w:rPr>
            </w:pPr>
            <w:r>
              <w:rPr>
                <w:rFonts w:ascii="Arial" w:cs="Arial" w:eastAsia="Arial" w:hAnsi="Arial"/>
                <w:sz w:val="16"/>
                <w:szCs w:val="16"/>
                <w:color w:val="auto"/>
              </w:rPr>
              <w:t>e. Notes to Condensed Consolidated Financial Statements (Unaudited)</w:t>
            </w: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7">
              <w:r>
                <w:rPr>
                  <w:rFonts w:ascii="Arial" w:cs="Arial" w:eastAsia="Arial" w:hAnsi="Arial"/>
                  <w:sz w:val="16"/>
                  <w:szCs w:val="16"/>
                  <w:color w:val="0000EE"/>
                  <w:w w:val="89"/>
                </w:rPr>
                <w:t>5</w:t>
              </w:r>
            </w:hyperlink>
          </w:p>
        </w:tc>
      </w:tr>
      <w:tr>
        <w:trPr>
          <w:trHeight w:val="466"/>
        </w:trPr>
        <w:tc>
          <w:tcPr>
            <w:tcW w:w="780" w:type="dxa"/>
            <w:vAlign w:val="bottom"/>
          </w:tcPr>
          <w:p>
            <w:pPr>
              <w:spacing w:after="0"/>
              <w:rPr>
                <w:sz w:val="20"/>
                <w:szCs w:val="20"/>
                <w:color w:val="auto"/>
              </w:rPr>
            </w:pPr>
            <w:r>
              <w:rPr>
                <w:rFonts w:ascii="Arial" w:cs="Arial" w:eastAsia="Arial" w:hAnsi="Arial"/>
                <w:sz w:val="16"/>
                <w:szCs w:val="16"/>
                <w:color w:val="auto"/>
              </w:rPr>
              <w:t>Item 2.</w:t>
            </w:r>
          </w:p>
        </w:tc>
        <w:tc>
          <w:tcPr>
            <w:tcW w:w="10400" w:type="dxa"/>
            <w:vAlign w:val="bottom"/>
          </w:tcPr>
          <w:p>
            <w:pPr>
              <w:ind w:left="20"/>
              <w:spacing w:after="0"/>
              <w:rPr>
                <w:sz w:val="20"/>
                <w:szCs w:val="20"/>
                <w:color w:val="auto"/>
              </w:rPr>
            </w:pPr>
            <w:r>
              <w:rPr>
                <w:rFonts w:ascii="Arial" w:cs="Arial" w:eastAsia="Arial" w:hAnsi="Arial"/>
                <w:sz w:val="16"/>
                <w:szCs w:val="16"/>
                <w:color w:val="auto"/>
              </w:rPr>
              <w:t>Management’s Discussion and Analysis of Results of Operations and Financial Condition</w:t>
            </w: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21">
              <w:r>
                <w:rPr>
                  <w:rFonts w:ascii="Arial" w:cs="Arial" w:eastAsia="Arial" w:hAnsi="Arial"/>
                  <w:sz w:val="16"/>
                  <w:szCs w:val="16"/>
                  <w:color w:val="0000EE"/>
                  <w:w w:val="89"/>
                </w:rPr>
                <w:t>17</w:t>
              </w:r>
            </w:hyperlink>
          </w:p>
        </w:tc>
      </w:tr>
      <w:tr>
        <w:trPr>
          <w:trHeight w:val="466"/>
        </w:trPr>
        <w:tc>
          <w:tcPr>
            <w:tcW w:w="780" w:type="dxa"/>
            <w:vAlign w:val="bottom"/>
          </w:tcPr>
          <w:p>
            <w:pPr>
              <w:spacing w:after="0"/>
              <w:rPr>
                <w:sz w:val="20"/>
                <w:szCs w:val="20"/>
                <w:color w:val="auto"/>
              </w:rPr>
            </w:pPr>
            <w:r>
              <w:rPr>
                <w:rFonts w:ascii="Arial" w:cs="Arial" w:eastAsia="Arial" w:hAnsi="Arial"/>
                <w:sz w:val="16"/>
                <w:szCs w:val="16"/>
                <w:color w:val="auto"/>
              </w:rPr>
              <w:t>Item 3.</w:t>
            </w:r>
          </w:p>
        </w:tc>
        <w:tc>
          <w:tcPr>
            <w:tcW w:w="10400" w:type="dxa"/>
            <w:vAlign w:val="bottom"/>
          </w:tcPr>
          <w:p>
            <w:pPr>
              <w:ind w:left="20"/>
              <w:spacing w:after="0"/>
              <w:rPr>
                <w:sz w:val="20"/>
                <w:szCs w:val="20"/>
                <w:color w:val="auto"/>
              </w:rPr>
            </w:pPr>
            <w:r>
              <w:rPr>
                <w:rFonts w:ascii="Arial" w:cs="Arial" w:eastAsia="Arial" w:hAnsi="Arial"/>
                <w:sz w:val="16"/>
                <w:szCs w:val="16"/>
                <w:color w:val="auto"/>
              </w:rPr>
              <w:t>Quantitative and Qualitative Disclosures about Market Risk</w:t>
            </w: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29">
              <w:r>
                <w:rPr>
                  <w:rFonts w:ascii="Arial" w:cs="Arial" w:eastAsia="Arial" w:hAnsi="Arial"/>
                  <w:sz w:val="16"/>
                  <w:szCs w:val="16"/>
                  <w:color w:val="0000EE"/>
                  <w:w w:val="89"/>
                </w:rPr>
                <w:t>25</w:t>
              </w:r>
            </w:hyperlink>
          </w:p>
        </w:tc>
      </w:tr>
      <w:tr>
        <w:trPr>
          <w:trHeight w:val="466"/>
        </w:trPr>
        <w:tc>
          <w:tcPr>
            <w:tcW w:w="780" w:type="dxa"/>
            <w:vAlign w:val="bottom"/>
          </w:tcPr>
          <w:p>
            <w:pPr>
              <w:spacing w:after="0"/>
              <w:rPr>
                <w:sz w:val="20"/>
                <w:szCs w:val="20"/>
                <w:color w:val="auto"/>
              </w:rPr>
            </w:pPr>
            <w:r>
              <w:rPr>
                <w:rFonts w:ascii="Arial" w:cs="Arial" w:eastAsia="Arial" w:hAnsi="Arial"/>
                <w:sz w:val="16"/>
                <w:szCs w:val="16"/>
                <w:color w:val="auto"/>
              </w:rPr>
              <w:t>Item 4.</w:t>
            </w:r>
          </w:p>
        </w:tc>
        <w:tc>
          <w:tcPr>
            <w:tcW w:w="10400" w:type="dxa"/>
            <w:vAlign w:val="bottom"/>
          </w:tcPr>
          <w:p>
            <w:pPr>
              <w:ind w:left="20"/>
              <w:spacing w:after="0"/>
              <w:rPr>
                <w:sz w:val="20"/>
                <w:szCs w:val="20"/>
                <w:color w:val="auto"/>
              </w:rPr>
            </w:pPr>
            <w:r>
              <w:rPr>
                <w:rFonts w:ascii="Arial" w:cs="Arial" w:eastAsia="Arial" w:hAnsi="Arial"/>
                <w:sz w:val="16"/>
                <w:szCs w:val="16"/>
                <w:color w:val="auto"/>
              </w:rPr>
              <w:t>Controls and Procedures</w:t>
            </w: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29">
              <w:r>
                <w:rPr>
                  <w:rFonts w:ascii="Arial" w:cs="Arial" w:eastAsia="Arial" w:hAnsi="Arial"/>
                  <w:sz w:val="16"/>
                  <w:szCs w:val="16"/>
                  <w:color w:val="0000EE"/>
                  <w:w w:val="89"/>
                </w:rPr>
                <w:t>25</w:t>
              </w:r>
            </w:hyperlink>
          </w:p>
        </w:tc>
      </w:tr>
      <w:tr>
        <w:trPr>
          <w:trHeight w:val="505"/>
        </w:trPr>
        <w:tc>
          <w:tcPr>
            <w:tcW w:w="11180" w:type="dxa"/>
            <w:vAlign w:val="bottom"/>
            <w:gridSpan w:val="2"/>
          </w:tcPr>
          <w:p>
            <w:pPr>
              <w:spacing w:after="0"/>
              <w:rPr>
                <w:sz w:val="20"/>
                <w:szCs w:val="20"/>
                <w:color w:val="auto"/>
              </w:rPr>
            </w:pPr>
            <w:r>
              <w:rPr>
                <w:rFonts w:ascii="Arial" w:cs="Arial" w:eastAsia="Arial" w:hAnsi="Arial"/>
                <w:sz w:val="16"/>
                <w:szCs w:val="16"/>
                <w:color w:val="auto"/>
              </w:rPr>
              <w:t>PART II. OTHER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8"/>
        </w:trPr>
        <w:tc>
          <w:tcPr>
            <w:tcW w:w="780" w:type="dxa"/>
            <w:vAlign w:val="bottom"/>
          </w:tcPr>
          <w:p>
            <w:pPr>
              <w:spacing w:after="0"/>
              <w:rPr>
                <w:sz w:val="20"/>
                <w:szCs w:val="20"/>
                <w:color w:val="auto"/>
              </w:rPr>
            </w:pPr>
            <w:r>
              <w:rPr>
                <w:rFonts w:ascii="Arial" w:cs="Arial" w:eastAsia="Arial" w:hAnsi="Arial"/>
                <w:sz w:val="16"/>
                <w:szCs w:val="16"/>
                <w:color w:val="auto"/>
              </w:rPr>
              <w:t>Item 2.</w:t>
            </w:r>
          </w:p>
        </w:tc>
        <w:tc>
          <w:tcPr>
            <w:tcW w:w="10400" w:type="dxa"/>
            <w:vAlign w:val="bottom"/>
          </w:tcPr>
          <w:p>
            <w:pPr>
              <w:ind w:left="20"/>
              <w:spacing w:after="0"/>
              <w:rPr>
                <w:sz w:val="20"/>
                <w:szCs w:val="20"/>
                <w:color w:val="auto"/>
              </w:rPr>
            </w:pPr>
            <w:r>
              <w:rPr>
                <w:rFonts w:ascii="Arial" w:cs="Arial" w:eastAsia="Arial" w:hAnsi="Arial"/>
                <w:sz w:val="16"/>
                <w:szCs w:val="16"/>
                <w:color w:val="auto"/>
              </w:rPr>
              <w:t>Unregistered Sales of Equity Securities and Use of Proceeds</w:t>
            </w: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30">
              <w:r>
                <w:rPr>
                  <w:rFonts w:ascii="Arial" w:cs="Arial" w:eastAsia="Arial" w:hAnsi="Arial"/>
                  <w:sz w:val="16"/>
                  <w:szCs w:val="16"/>
                  <w:color w:val="0000EE"/>
                  <w:w w:val="89"/>
                </w:rPr>
                <w:t>26</w:t>
              </w:r>
            </w:hyperlink>
          </w:p>
        </w:tc>
      </w:tr>
      <w:tr>
        <w:trPr>
          <w:trHeight w:val="520"/>
        </w:trPr>
        <w:tc>
          <w:tcPr>
            <w:tcW w:w="780" w:type="dxa"/>
            <w:vAlign w:val="bottom"/>
          </w:tcPr>
          <w:p>
            <w:pPr>
              <w:spacing w:after="0"/>
              <w:rPr>
                <w:sz w:val="20"/>
                <w:szCs w:val="20"/>
                <w:color w:val="auto"/>
              </w:rPr>
            </w:pPr>
            <w:r>
              <w:rPr>
                <w:rFonts w:ascii="Arial" w:cs="Arial" w:eastAsia="Arial" w:hAnsi="Arial"/>
                <w:sz w:val="16"/>
                <w:szCs w:val="16"/>
                <w:color w:val="auto"/>
              </w:rPr>
              <w:t>Item 6.</w:t>
            </w:r>
          </w:p>
        </w:tc>
        <w:tc>
          <w:tcPr>
            <w:tcW w:w="10400" w:type="dxa"/>
            <w:vAlign w:val="bottom"/>
          </w:tcPr>
          <w:p>
            <w:pPr>
              <w:ind w:left="20"/>
              <w:spacing w:after="0"/>
              <w:rPr>
                <w:sz w:val="20"/>
                <w:szCs w:val="20"/>
                <w:color w:val="auto"/>
              </w:rPr>
            </w:pPr>
            <w:r>
              <w:rPr>
                <w:rFonts w:ascii="Arial" w:cs="Arial" w:eastAsia="Arial" w:hAnsi="Arial"/>
                <w:sz w:val="16"/>
                <w:szCs w:val="16"/>
                <w:color w:val="auto"/>
              </w:rPr>
              <w:t>Exhibits</w:t>
            </w: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30">
              <w:r>
                <w:rPr>
                  <w:rFonts w:ascii="Arial" w:cs="Arial" w:eastAsia="Arial" w:hAnsi="Arial"/>
                  <w:sz w:val="16"/>
                  <w:szCs w:val="16"/>
                  <w:color w:val="0000EE"/>
                  <w:w w:val="89"/>
                </w:rPr>
                <w:t>27</w:t>
              </w:r>
            </w:hyperlink>
          </w:p>
        </w:tc>
      </w:tr>
      <w:tr>
        <w:trPr>
          <w:trHeight w:val="466"/>
        </w:trPr>
        <w:tc>
          <w:tcPr>
            <w:tcW w:w="780" w:type="dxa"/>
            <w:vAlign w:val="bottom"/>
          </w:tcPr>
          <w:p>
            <w:pPr>
              <w:spacing w:after="0"/>
              <w:rPr>
                <w:sz w:val="20"/>
                <w:szCs w:val="20"/>
                <w:color w:val="auto"/>
              </w:rPr>
            </w:pPr>
            <w:r>
              <w:rPr>
                <w:rFonts w:ascii="Arial" w:cs="Arial" w:eastAsia="Arial" w:hAnsi="Arial"/>
                <w:sz w:val="16"/>
                <w:szCs w:val="16"/>
                <w:color w:val="auto"/>
                <w:w w:val="99"/>
              </w:rPr>
              <w:t>Signatures</w:t>
            </w:r>
          </w:p>
        </w:tc>
        <w:tc>
          <w:tcPr>
            <w:tcW w:w="1040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31">
              <w:r>
                <w:rPr>
                  <w:rFonts w:ascii="Arial" w:cs="Arial" w:eastAsia="Arial" w:hAnsi="Arial"/>
                  <w:sz w:val="16"/>
                  <w:szCs w:val="16"/>
                  <w:color w:val="0000EE"/>
                  <w:w w:val="89"/>
                </w:rPr>
                <w:t>28</w:t>
              </w:r>
            </w:hyperlink>
          </w:p>
        </w:tc>
      </w:tr>
    </w:tbl>
    <w:p>
      <w:pPr>
        <w:sectPr>
          <w:pgSz w:w="11900" w:h="16838" w:orient="portrait"/>
          <w:cols w:equalWidth="0" w:num="1">
            <w:col w:w="11360"/>
          </w:cols>
          <w:pgMar w:left="280" w:top="574"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80" w:type="dxa"/>
            <w:vAlign w:val="bottom"/>
            <w:gridSpan w:val="3"/>
          </w:tcPr>
          <w:p>
            <w:pPr>
              <w:jc w:val="right"/>
              <w:ind w:right="579"/>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2340" w:type="dxa"/>
            <w:vAlign w:val="bottom"/>
            <w:gridSpan w:val="3"/>
          </w:tcPr>
          <w:p>
            <w:pPr>
              <w:jc w:val="right"/>
              <w:ind w:right="619"/>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03"/>
        </w:trPr>
        <w:tc>
          <w:tcPr>
            <w:tcW w:w="60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color w:val="auto"/>
              </w:rPr>
              <w:t>2013</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257"/>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547,181</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548,230</w:t>
            </w:r>
          </w:p>
        </w:tc>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1,073,355</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1,076,045</w:t>
            </w: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Subscriber</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187,723</w:t>
            </w:r>
          </w:p>
        </w:tc>
        <w:tc>
          <w:tcPr>
            <w:tcW w:w="44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192,273</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378,851</w:t>
            </w:r>
          </w:p>
        </w:tc>
        <w:tc>
          <w:tcPr>
            <w:tcW w:w="4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379,063</w:t>
            </w: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Advertising</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82,475</w:t>
            </w:r>
          </w:p>
        </w:tc>
        <w:tc>
          <w:tcPr>
            <w:tcW w:w="44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79,898</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160,722</w:t>
            </w:r>
          </w:p>
        </w:tc>
        <w:tc>
          <w:tcPr>
            <w:tcW w:w="4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149,020</w:t>
            </w:r>
          </w:p>
        </w:tc>
        <w:tc>
          <w:tcPr>
            <w:tcW w:w="0" w:type="dxa"/>
            <w:vAlign w:val="bottom"/>
          </w:tcPr>
          <w:p>
            <w:pPr>
              <w:spacing w:after="0"/>
              <w:rPr>
                <w:sz w:val="1"/>
                <w:szCs w:val="1"/>
                <w:color w:val="auto"/>
              </w:rPr>
            </w:pPr>
          </w:p>
        </w:tc>
      </w:tr>
      <w:tr>
        <w:trPr>
          <w:trHeight w:val="274"/>
        </w:trPr>
        <w:tc>
          <w:tcPr>
            <w:tcW w:w="6060" w:type="dxa"/>
            <w:vAlign w:val="bottom"/>
          </w:tcPr>
          <w:p>
            <w:pPr>
              <w:ind w:left="28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61,249</w:t>
            </w:r>
          </w:p>
        </w:tc>
        <w:tc>
          <w:tcPr>
            <w:tcW w:w="4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50,103</w:t>
            </w: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106,261</w:t>
            </w:r>
          </w:p>
        </w:tc>
        <w:tc>
          <w:tcPr>
            <w:tcW w:w="4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86,968</w:t>
            </w:r>
          </w:p>
        </w:tc>
        <w:tc>
          <w:tcPr>
            <w:tcW w:w="0" w:type="dxa"/>
            <w:vAlign w:val="bottom"/>
          </w:tcPr>
          <w:p>
            <w:pPr>
              <w:spacing w:after="0"/>
              <w:rPr>
                <w:sz w:val="1"/>
                <w:szCs w:val="1"/>
                <w:color w:val="auto"/>
              </w:rPr>
            </w:pPr>
          </w:p>
        </w:tc>
      </w:tr>
      <w:tr>
        <w:trPr>
          <w:trHeight w:val="261"/>
        </w:trPr>
        <w:tc>
          <w:tcPr>
            <w:tcW w:w="60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878,628</w:t>
            </w:r>
          </w:p>
        </w:tc>
        <w:tc>
          <w:tcPr>
            <w:tcW w:w="4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870,504</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1,719,189</w:t>
            </w:r>
          </w:p>
        </w:tc>
        <w:tc>
          <w:tcPr>
            <w:tcW w:w="4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1,691,096</w:t>
            </w:r>
          </w:p>
        </w:tc>
        <w:tc>
          <w:tcPr>
            <w:tcW w:w="0" w:type="dxa"/>
            <w:vAlign w:val="bottom"/>
          </w:tcPr>
          <w:p>
            <w:pPr>
              <w:spacing w:after="0"/>
              <w:rPr>
                <w:sz w:val="1"/>
                <w:szCs w:val="1"/>
                <w:color w:val="auto"/>
              </w:rPr>
            </w:pPr>
          </w:p>
        </w:tc>
      </w:tr>
      <w:tr>
        <w:trPr>
          <w:trHeight w:val="263"/>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Operating Costs and Expenses</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Operating</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398,279</w:t>
            </w:r>
          </w:p>
        </w:tc>
        <w:tc>
          <w:tcPr>
            <w:tcW w:w="44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394,841</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777,348</w:t>
            </w:r>
          </w:p>
        </w:tc>
        <w:tc>
          <w:tcPr>
            <w:tcW w:w="4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771,386</w:t>
            </w: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Selling, general and administrative</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322,714</w:t>
            </w:r>
          </w:p>
        </w:tc>
        <w:tc>
          <w:tcPr>
            <w:tcW w:w="44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319,170</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648,351</w:t>
            </w:r>
          </w:p>
        </w:tc>
        <w:tc>
          <w:tcPr>
            <w:tcW w:w="4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653,394</w:t>
            </w: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Depreciation of property, plant and equipment</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52,017</w:t>
            </w:r>
          </w:p>
        </w:tc>
        <w:tc>
          <w:tcPr>
            <w:tcW w:w="44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56,879</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105,262</w:t>
            </w:r>
          </w:p>
        </w:tc>
        <w:tc>
          <w:tcPr>
            <w:tcW w:w="4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115,838</w:t>
            </w: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3,360</w:t>
            </w:r>
          </w:p>
        </w:tc>
        <w:tc>
          <w:tcPr>
            <w:tcW w:w="44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3,313</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6,441</w:t>
            </w:r>
          </w:p>
        </w:tc>
        <w:tc>
          <w:tcPr>
            <w:tcW w:w="4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7,030</w:t>
            </w:r>
          </w:p>
        </w:tc>
        <w:tc>
          <w:tcPr>
            <w:tcW w:w="0" w:type="dxa"/>
            <w:vAlign w:val="bottom"/>
          </w:tcPr>
          <w:p>
            <w:pPr>
              <w:spacing w:after="0"/>
              <w:rPr>
                <w:sz w:val="1"/>
                <w:szCs w:val="1"/>
                <w:color w:val="auto"/>
              </w:rPr>
            </w:pPr>
          </w:p>
        </w:tc>
      </w:tr>
      <w:tr>
        <w:trPr>
          <w:trHeight w:val="274"/>
        </w:trPr>
        <w:tc>
          <w:tcPr>
            <w:tcW w:w="6060" w:type="dxa"/>
            <w:vAlign w:val="bottom"/>
          </w:tcPr>
          <w:p>
            <w:pPr>
              <w:ind w:left="280"/>
              <w:spacing w:after="0"/>
              <w:rPr>
                <w:sz w:val="20"/>
                <w:szCs w:val="20"/>
                <w:color w:val="auto"/>
              </w:rPr>
            </w:pPr>
            <w:r>
              <w:rPr>
                <w:rFonts w:ascii="Arial" w:cs="Arial" w:eastAsia="Arial" w:hAnsi="Arial"/>
                <w:sz w:val="16"/>
                <w:szCs w:val="16"/>
                <w:color w:val="auto"/>
              </w:rPr>
              <w:t>Impairment of intangible assets</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7,774</w:t>
            </w:r>
          </w:p>
        </w:tc>
        <w:tc>
          <w:tcPr>
            <w:tcW w:w="4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7,774</w:t>
            </w:r>
          </w:p>
        </w:tc>
        <w:tc>
          <w:tcPr>
            <w:tcW w:w="4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60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784,144</w:t>
            </w:r>
          </w:p>
        </w:tc>
        <w:tc>
          <w:tcPr>
            <w:tcW w:w="4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774,203</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1,545,176</w:t>
            </w:r>
          </w:p>
        </w:tc>
        <w:tc>
          <w:tcPr>
            <w:tcW w:w="4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1,547,648</w:t>
            </w:r>
          </w:p>
        </w:tc>
        <w:tc>
          <w:tcPr>
            <w:tcW w:w="0" w:type="dxa"/>
            <w:vAlign w:val="bottom"/>
          </w:tcPr>
          <w:p>
            <w:pPr>
              <w:spacing w:after="0"/>
              <w:rPr>
                <w:sz w:val="1"/>
                <w:szCs w:val="1"/>
                <w:color w:val="auto"/>
              </w:rPr>
            </w:pPr>
          </w:p>
        </w:tc>
      </w:tr>
      <w:tr>
        <w:trPr>
          <w:trHeight w:val="260"/>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Income from Operations</w:t>
            </w:r>
          </w:p>
        </w:tc>
        <w:tc>
          <w:tcPr>
            <w:tcW w:w="300" w:type="dxa"/>
            <w:vAlign w:val="bottom"/>
          </w:tcPr>
          <w:p>
            <w:pPr>
              <w:spacing w:after="0"/>
              <w:rPr>
                <w:sz w:val="22"/>
                <w:szCs w:val="22"/>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94,484</w:t>
            </w:r>
          </w:p>
        </w:tc>
        <w:tc>
          <w:tcPr>
            <w:tcW w:w="440" w:type="dxa"/>
            <w:vAlign w:val="bottom"/>
          </w:tcPr>
          <w:p>
            <w:pPr>
              <w:spacing w:after="0"/>
              <w:rPr>
                <w:sz w:val="22"/>
                <w:szCs w:val="22"/>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96,301</w:t>
            </w:r>
          </w:p>
        </w:tc>
        <w:tc>
          <w:tcPr>
            <w:tcW w:w="340" w:type="dxa"/>
            <w:vAlign w:val="bottom"/>
          </w:tcPr>
          <w:p>
            <w:pPr>
              <w:spacing w:after="0"/>
              <w:rPr>
                <w:sz w:val="22"/>
                <w:szCs w:val="22"/>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174,013</w:t>
            </w:r>
          </w:p>
        </w:tc>
        <w:tc>
          <w:tcPr>
            <w:tcW w:w="40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143,448</w:t>
            </w: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Equity in earnings of affiliates, net</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91,503</w:t>
            </w:r>
          </w:p>
        </w:tc>
        <w:tc>
          <w:tcPr>
            <w:tcW w:w="44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3,868</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95,555</w:t>
            </w:r>
          </w:p>
        </w:tc>
        <w:tc>
          <w:tcPr>
            <w:tcW w:w="4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7,286</w:t>
            </w: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641</w:t>
            </w:r>
          </w:p>
        </w:tc>
        <w:tc>
          <w:tcPr>
            <w:tcW w:w="44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522</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1,240</w:t>
            </w:r>
          </w:p>
        </w:tc>
        <w:tc>
          <w:tcPr>
            <w:tcW w:w="4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1,032</w:t>
            </w: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(8,557)</w:t>
            </w:r>
          </w:p>
        </w:tc>
        <w:tc>
          <w:tcPr>
            <w:tcW w:w="44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(9,048)</w:t>
            </w:r>
          </w:p>
        </w:tc>
        <w:tc>
          <w:tcPr>
            <w:tcW w:w="340" w:type="dxa"/>
            <w:vAlign w:val="bottom"/>
          </w:tcPr>
          <w:p>
            <w:pPr>
              <w:spacing w:after="0"/>
              <w:rPr>
                <w:sz w:val="23"/>
                <w:szCs w:val="23"/>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b w:val="1"/>
                <w:bCs w:val="1"/>
                <w:color w:val="auto"/>
              </w:rPr>
              <w:t>(17,377)</w:t>
            </w:r>
          </w:p>
        </w:tc>
        <w:tc>
          <w:tcPr>
            <w:tcW w:w="4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(18,008)</w:t>
            </w:r>
          </w:p>
        </w:tc>
        <w:tc>
          <w:tcPr>
            <w:tcW w:w="0" w:type="dxa"/>
            <w:vAlign w:val="bottom"/>
          </w:tcPr>
          <w:p>
            <w:pPr>
              <w:spacing w:after="0"/>
              <w:rPr>
                <w:sz w:val="1"/>
                <w:szCs w:val="1"/>
                <w:color w:val="auto"/>
              </w:rPr>
            </w:pPr>
          </w:p>
        </w:tc>
      </w:tr>
      <w:tr>
        <w:trPr>
          <w:trHeight w:val="274"/>
        </w:trPr>
        <w:tc>
          <w:tcPr>
            <w:tcW w:w="6060" w:type="dxa"/>
            <w:vAlign w:val="bottom"/>
          </w:tcPr>
          <w:p>
            <w:pPr>
              <w:ind w:left="280"/>
              <w:spacing w:after="0"/>
              <w:rPr>
                <w:sz w:val="20"/>
                <w:szCs w:val="20"/>
                <w:color w:val="auto"/>
              </w:rPr>
            </w:pPr>
            <w:r>
              <w:rPr>
                <w:rFonts w:ascii="Arial" w:cs="Arial" w:eastAsia="Arial" w:hAnsi="Arial"/>
                <w:sz w:val="16"/>
                <w:szCs w:val="16"/>
                <w:color w:val="auto"/>
              </w:rPr>
              <w:t>Other income (expense), net</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268,114</w:t>
            </w:r>
          </w:p>
        </w:tc>
        <w:tc>
          <w:tcPr>
            <w:tcW w:w="4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(12,858)</w:t>
            </w: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401,387</w:t>
            </w:r>
          </w:p>
        </w:tc>
        <w:tc>
          <w:tcPr>
            <w:tcW w:w="4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(16,941)</w:t>
            </w:r>
          </w:p>
        </w:tc>
        <w:tc>
          <w:tcPr>
            <w:tcW w:w="0" w:type="dxa"/>
            <w:vAlign w:val="bottom"/>
          </w:tcPr>
          <w:p>
            <w:pPr>
              <w:spacing w:after="0"/>
              <w:rPr>
                <w:sz w:val="1"/>
                <w:szCs w:val="1"/>
                <w:color w:val="auto"/>
              </w:rPr>
            </w:pPr>
          </w:p>
        </w:tc>
      </w:tr>
      <w:tr>
        <w:trPr>
          <w:trHeight w:val="260"/>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Income from Continuing Operations Before Income Taxes</w:t>
            </w:r>
          </w:p>
        </w:tc>
        <w:tc>
          <w:tcPr>
            <w:tcW w:w="300" w:type="dxa"/>
            <w:vAlign w:val="bottom"/>
          </w:tcPr>
          <w:p>
            <w:pPr>
              <w:spacing w:after="0"/>
              <w:rPr>
                <w:sz w:val="22"/>
                <w:szCs w:val="22"/>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446,185</w:t>
            </w:r>
          </w:p>
        </w:tc>
        <w:tc>
          <w:tcPr>
            <w:tcW w:w="440" w:type="dxa"/>
            <w:vAlign w:val="bottom"/>
          </w:tcPr>
          <w:p>
            <w:pPr>
              <w:spacing w:after="0"/>
              <w:rPr>
                <w:sz w:val="22"/>
                <w:szCs w:val="22"/>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78,785</w:t>
            </w:r>
          </w:p>
        </w:tc>
        <w:tc>
          <w:tcPr>
            <w:tcW w:w="340" w:type="dxa"/>
            <w:vAlign w:val="bottom"/>
          </w:tcPr>
          <w:p>
            <w:pPr>
              <w:spacing w:after="0"/>
              <w:rPr>
                <w:sz w:val="22"/>
                <w:szCs w:val="22"/>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654,818</w:t>
            </w:r>
          </w:p>
        </w:tc>
        <w:tc>
          <w:tcPr>
            <w:tcW w:w="40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116,817</w:t>
            </w:r>
          </w:p>
        </w:tc>
        <w:tc>
          <w:tcPr>
            <w:tcW w:w="0" w:type="dxa"/>
            <w:vAlign w:val="bottom"/>
          </w:tcPr>
          <w:p>
            <w:pPr>
              <w:spacing w:after="0"/>
              <w:rPr>
                <w:sz w:val="1"/>
                <w:szCs w:val="1"/>
                <w:color w:val="auto"/>
              </w:rPr>
            </w:pPr>
          </w:p>
        </w:tc>
      </w:tr>
      <w:tr>
        <w:trPr>
          <w:trHeight w:val="274"/>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Provision for Income Taxes</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76,800</w:t>
            </w:r>
          </w:p>
        </w:tc>
        <w:tc>
          <w:tcPr>
            <w:tcW w:w="4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31,700</w:t>
            </w: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154,200</w:t>
            </w:r>
          </w:p>
        </w:tc>
        <w:tc>
          <w:tcPr>
            <w:tcW w:w="4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47,500</w:t>
            </w:r>
          </w:p>
        </w:tc>
        <w:tc>
          <w:tcPr>
            <w:tcW w:w="0" w:type="dxa"/>
            <w:vAlign w:val="bottom"/>
          </w:tcPr>
          <w:p>
            <w:pPr>
              <w:spacing w:after="0"/>
              <w:rPr>
                <w:sz w:val="1"/>
                <w:szCs w:val="1"/>
                <w:color w:val="auto"/>
              </w:rPr>
            </w:pPr>
          </w:p>
        </w:tc>
      </w:tr>
      <w:tr>
        <w:trPr>
          <w:trHeight w:val="260"/>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Income from Continuing Operations</w:t>
            </w:r>
          </w:p>
        </w:tc>
        <w:tc>
          <w:tcPr>
            <w:tcW w:w="300" w:type="dxa"/>
            <w:vAlign w:val="bottom"/>
          </w:tcPr>
          <w:p>
            <w:pPr>
              <w:spacing w:after="0"/>
              <w:rPr>
                <w:sz w:val="22"/>
                <w:szCs w:val="22"/>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369,385</w:t>
            </w:r>
          </w:p>
        </w:tc>
        <w:tc>
          <w:tcPr>
            <w:tcW w:w="440" w:type="dxa"/>
            <w:vAlign w:val="bottom"/>
          </w:tcPr>
          <w:p>
            <w:pPr>
              <w:spacing w:after="0"/>
              <w:rPr>
                <w:sz w:val="22"/>
                <w:szCs w:val="22"/>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47,085</w:t>
            </w:r>
          </w:p>
        </w:tc>
        <w:tc>
          <w:tcPr>
            <w:tcW w:w="340" w:type="dxa"/>
            <w:vAlign w:val="bottom"/>
          </w:tcPr>
          <w:p>
            <w:pPr>
              <w:spacing w:after="0"/>
              <w:rPr>
                <w:sz w:val="22"/>
                <w:szCs w:val="22"/>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500,618</w:t>
            </w:r>
          </w:p>
        </w:tc>
        <w:tc>
          <w:tcPr>
            <w:tcW w:w="40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69,317</w:t>
            </w:r>
          </w:p>
        </w:tc>
        <w:tc>
          <w:tcPr>
            <w:tcW w:w="0" w:type="dxa"/>
            <w:vAlign w:val="bottom"/>
          </w:tcPr>
          <w:p>
            <w:pPr>
              <w:spacing w:after="0"/>
              <w:rPr>
                <w:sz w:val="1"/>
                <w:szCs w:val="1"/>
                <w:color w:val="auto"/>
              </w:rPr>
            </w:pPr>
          </w:p>
        </w:tc>
      </w:tr>
      <w:tr>
        <w:trPr>
          <w:trHeight w:val="274"/>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Income (Loss) from Discontinued Operations, Net of Tax</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380,465</w:t>
            </w:r>
          </w:p>
        </w:tc>
        <w:tc>
          <w:tcPr>
            <w:tcW w:w="4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(1,951)</w:t>
            </w: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381,537</w:t>
            </w:r>
          </w:p>
        </w:tc>
        <w:tc>
          <w:tcPr>
            <w:tcW w:w="4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(18,924)</w:t>
            </w:r>
          </w:p>
        </w:tc>
        <w:tc>
          <w:tcPr>
            <w:tcW w:w="0" w:type="dxa"/>
            <w:vAlign w:val="bottom"/>
          </w:tcPr>
          <w:p>
            <w:pPr>
              <w:spacing w:after="0"/>
              <w:rPr>
                <w:sz w:val="1"/>
                <w:szCs w:val="1"/>
                <w:color w:val="auto"/>
              </w:rPr>
            </w:pPr>
          </w:p>
        </w:tc>
      </w:tr>
      <w:tr>
        <w:trPr>
          <w:trHeight w:val="260"/>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Net Income</w:t>
            </w:r>
          </w:p>
        </w:tc>
        <w:tc>
          <w:tcPr>
            <w:tcW w:w="300" w:type="dxa"/>
            <w:vAlign w:val="bottom"/>
          </w:tcPr>
          <w:p>
            <w:pPr>
              <w:spacing w:after="0"/>
              <w:rPr>
                <w:sz w:val="22"/>
                <w:szCs w:val="22"/>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749,850</w:t>
            </w:r>
          </w:p>
        </w:tc>
        <w:tc>
          <w:tcPr>
            <w:tcW w:w="440" w:type="dxa"/>
            <w:vAlign w:val="bottom"/>
          </w:tcPr>
          <w:p>
            <w:pPr>
              <w:spacing w:after="0"/>
              <w:rPr>
                <w:sz w:val="22"/>
                <w:szCs w:val="22"/>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45,134</w:t>
            </w:r>
          </w:p>
        </w:tc>
        <w:tc>
          <w:tcPr>
            <w:tcW w:w="340" w:type="dxa"/>
            <w:vAlign w:val="bottom"/>
          </w:tcPr>
          <w:p>
            <w:pPr>
              <w:spacing w:after="0"/>
              <w:rPr>
                <w:sz w:val="22"/>
                <w:szCs w:val="22"/>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882,155</w:t>
            </w:r>
          </w:p>
        </w:tc>
        <w:tc>
          <w:tcPr>
            <w:tcW w:w="40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50,393</w:t>
            </w:r>
          </w:p>
        </w:tc>
        <w:tc>
          <w:tcPr>
            <w:tcW w:w="0" w:type="dxa"/>
            <w:vAlign w:val="bottom"/>
          </w:tcPr>
          <w:p>
            <w:pPr>
              <w:spacing w:after="0"/>
              <w:rPr>
                <w:sz w:val="1"/>
                <w:szCs w:val="1"/>
                <w:color w:val="auto"/>
              </w:rPr>
            </w:pPr>
          </w:p>
        </w:tc>
      </w:tr>
      <w:tr>
        <w:trPr>
          <w:trHeight w:val="274"/>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Net Loss (Income) Attributable to Noncontrolling Interests</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499</w:t>
            </w:r>
          </w:p>
        </w:tc>
        <w:tc>
          <w:tcPr>
            <w:tcW w:w="4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(253)</w:t>
            </w: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718</w:t>
            </w:r>
          </w:p>
        </w:tc>
        <w:tc>
          <w:tcPr>
            <w:tcW w:w="4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r>
        <w:trPr>
          <w:trHeight w:val="260"/>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Graham Holdings Company</w:t>
            </w:r>
          </w:p>
        </w:tc>
        <w:tc>
          <w:tcPr>
            <w:tcW w:w="300" w:type="dxa"/>
            <w:vAlign w:val="bottom"/>
          </w:tcPr>
          <w:p>
            <w:pPr>
              <w:spacing w:after="0"/>
              <w:rPr>
                <w:sz w:val="22"/>
                <w:szCs w:val="22"/>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750,349</w:t>
            </w:r>
          </w:p>
        </w:tc>
        <w:tc>
          <w:tcPr>
            <w:tcW w:w="440" w:type="dxa"/>
            <w:vAlign w:val="bottom"/>
          </w:tcPr>
          <w:p>
            <w:pPr>
              <w:spacing w:after="0"/>
              <w:rPr>
                <w:sz w:val="22"/>
                <w:szCs w:val="22"/>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44,881</w:t>
            </w:r>
          </w:p>
        </w:tc>
        <w:tc>
          <w:tcPr>
            <w:tcW w:w="340" w:type="dxa"/>
            <w:vAlign w:val="bottom"/>
          </w:tcPr>
          <w:p>
            <w:pPr>
              <w:spacing w:after="0"/>
              <w:rPr>
                <w:sz w:val="22"/>
                <w:szCs w:val="22"/>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882,873</w:t>
            </w:r>
          </w:p>
        </w:tc>
        <w:tc>
          <w:tcPr>
            <w:tcW w:w="40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50,043</w:t>
            </w:r>
          </w:p>
        </w:tc>
        <w:tc>
          <w:tcPr>
            <w:tcW w:w="0" w:type="dxa"/>
            <w:vAlign w:val="bottom"/>
          </w:tcPr>
          <w:p>
            <w:pPr>
              <w:spacing w:after="0"/>
              <w:rPr>
                <w:sz w:val="1"/>
                <w:szCs w:val="1"/>
                <w:color w:val="auto"/>
              </w:rPr>
            </w:pPr>
          </w:p>
        </w:tc>
      </w:tr>
      <w:tr>
        <w:trPr>
          <w:trHeight w:val="271"/>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Redeemable Preferred Stock Dividends</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(212)</w:t>
            </w:r>
          </w:p>
        </w:tc>
        <w:tc>
          <w:tcPr>
            <w:tcW w:w="4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(206)</w:t>
            </w: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(638)</w:t>
            </w:r>
          </w:p>
        </w:tc>
        <w:tc>
          <w:tcPr>
            <w:tcW w:w="4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(650)</w:t>
            </w:r>
          </w:p>
        </w:tc>
        <w:tc>
          <w:tcPr>
            <w:tcW w:w="0" w:type="dxa"/>
            <w:vAlign w:val="bottom"/>
          </w:tcPr>
          <w:p>
            <w:pPr>
              <w:spacing w:after="0"/>
              <w:rPr>
                <w:sz w:val="1"/>
                <w:szCs w:val="1"/>
                <w:color w:val="auto"/>
              </w:rPr>
            </w:pPr>
          </w:p>
        </w:tc>
      </w:tr>
      <w:tr>
        <w:trPr>
          <w:trHeight w:val="182"/>
        </w:trPr>
        <w:tc>
          <w:tcPr>
            <w:tcW w:w="6060" w:type="dxa"/>
            <w:vAlign w:val="bottom"/>
          </w:tcPr>
          <w:p>
            <w:pPr>
              <w:ind w:left="40"/>
              <w:spacing w:after="0" w:line="183" w:lineRule="exact"/>
              <w:rPr>
                <w:sz w:val="20"/>
                <w:szCs w:val="20"/>
                <w:color w:val="auto"/>
              </w:rPr>
            </w:pPr>
            <w:r>
              <w:rPr>
                <w:rFonts w:ascii="Arial" w:cs="Arial" w:eastAsia="Arial" w:hAnsi="Arial"/>
                <w:sz w:val="16"/>
                <w:szCs w:val="16"/>
                <w:b w:val="1"/>
                <w:bCs w:val="1"/>
                <w:color w:val="auto"/>
              </w:rPr>
              <w:t>Net Income Attributable to Graham Holdings Company Common</w:t>
            </w:r>
          </w:p>
        </w:tc>
        <w:tc>
          <w:tcPr>
            <w:tcW w:w="30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vMerge w:val="restart"/>
          </w:tcPr>
          <w:p>
            <w:pPr>
              <w:jc w:val="right"/>
              <w:ind w:right="60"/>
              <w:spacing w:after="0"/>
              <w:rPr>
                <w:sz w:val="20"/>
                <w:szCs w:val="20"/>
                <w:color w:val="auto"/>
              </w:rPr>
            </w:pPr>
            <w:r>
              <w:rPr>
                <w:rFonts w:ascii="Arial" w:cs="Arial" w:eastAsia="Arial" w:hAnsi="Arial"/>
                <w:sz w:val="16"/>
                <w:szCs w:val="16"/>
                <w:b w:val="1"/>
                <w:bCs w:val="1"/>
                <w:color w:val="auto"/>
              </w:rPr>
              <w:t>750,137</w:t>
            </w:r>
          </w:p>
        </w:tc>
        <w:tc>
          <w:tcPr>
            <w:tcW w:w="440" w:type="dxa"/>
            <w:vAlign w:val="bottom"/>
            <w:vMerge w:val="restart"/>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vMerge w:val="restart"/>
          </w:tcPr>
          <w:p>
            <w:pPr>
              <w:jc w:val="right"/>
              <w:ind w:right="79"/>
              <w:spacing w:after="0"/>
              <w:rPr>
                <w:sz w:val="20"/>
                <w:szCs w:val="20"/>
                <w:color w:val="auto"/>
              </w:rPr>
            </w:pPr>
            <w:r>
              <w:rPr>
                <w:rFonts w:ascii="Arial" w:cs="Arial" w:eastAsia="Arial" w:hAnsi="Arial"/>
                <w:sz w:val="16"/>
                <w:szCs w:val="16"/>
                <w:color w:val="auto"/>
              </w:rPr>
              <w:t>44,675</w:t>
            </w:r>
          </w:p>
        </w:tc>
        <w:tc>
          <w:tcPr>
            <w:tcW w:w="34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vMerge w:val="restart"/>
          </w:tcPr>
          <w:p>
            <w:pPr>
              <w:jc w:val="right"/>
              <w:ind w:right="80"/>
              <w:spacing w:after="0"/>
              <w:rPr>
                <w:sz w:val="20"/>
                <w:szCs w:val="20"/>
                <w:color w:val="auto"/>
              </w:rPr>
            </w:pPr>
            <w:r>
              <w:rPr>
                <w:rFonts w:ascii="Arial" w:cs="Arial" w:eastAsia="Arial" w:hAnsi="Arial"/>
                <w:sz w:val="16"/>
                <w:szCs w:val="16"/>
                <w:b w:val="1"/>
                <w:bCs w:val="1"/>
                <w:color w:val="auto"/>
              </w:rPr>
              <w:t>882,235</w:t>
            </w:r>
          </w:p>
        </w:tc>
        <w:tc>
          <w:tcPr>
            <w:tcW w:w="400" w:type="dxa"/>
            <w:vAlign w:val="bottom"/>
            <w:vMerge w:val="restart"/>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ind w:right="19"/>
              <w:spacing w:after="0"/>
              <w:rPr>
                <w:sz w:val="20"/>
                <w:szCs w:val="20"/>
                <w:color w:val="auto"/>
              </w:rPr>
            </w:pPr>
            <w:r>
              <w:rPr>
                <w:rFonts w:ascii="Arial" w:cs="Arial" w:eastAsia="Arial" w:hAnsi="Arial"/>
                <w:sz w:val="16"/>
                <w:szCs w:val="16"/>
                <w:color w:val="auto"/>
              </w:rPr>
              <w:t>49,393</w:t>
            </w:r>
          </w:p>
        </w:tc>
        <w:tc>
          <w:tcPr>
            <w:tcW w:w="0" w:type="dxa"/>
            <w:vAlign w:val="bottom"/>
          </w:tcPr>
          <w:p>
            <w:pPr>
              <w:spacing w:after="0"/>
              <w:rPr>
                <w:sz w:val="1"/>
                <w:szCs w:val="1"/>
                <w:color w:val="auto"/>
              </w:rPr>
            </w:pPr>
          </w:p>
        </w:tc>
      </w:tr>
      <w:tr>
        <w:trPr>
          <w:trHeight w:val="228"/>
        </w:trPr>
        <w:tc>
          <w:tcPr>
            <w:tcW w:w="6060" w:type="dxa"/>
            <w:vAlign w:val="bottom"/>
          </w:tcPr>
          <w:p>
            <w:pPr>
              <w:ind w:left="200"/>
              <w:spacing w:after="0"/>
              <w:rPr>
                <w:sz w:val="20"/>
                <w:szCs w:val="20"/>
                <w:color w:val="auto"/>
              </w:rPr>
            </w:pPr>
            <w:r>
              <w:rPr>
                <w:rFonts w:ascii="Arial" w:cs="Arial" w:eastAsia="Arial" w:hAnsi="Arial"/>
                <w:sz w:val="16"/>
                <w:szCs w:val="16"/>
                <w:b w:val="1"/>
                <w:bCs w:val="1"/>
                <w:color w:val="auto"/>
              </w:rPr>
              <w:t>Stockholders</w:t>
            </w:r>
          </w:p>
        </w:tc>
        <w:tc>
          <w:tcPr>
            <w:tcW w:w="300" w:type="dxa"/>
            <w:vAlign w:val="bottom"/>
            <w:tcBorders>
              <w:bottom w:val="single" w:sz="8" w:color="auto"/>
            </w:tcBorders>
            <w:vMerge w:val="continue"/>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440" w:type="dxa"/>
            <w:vAlign w:val="bottom"/>
            <w:tcBorders>
              <w:bottom w:val="single" w:sz="8" w:color="auto"/>
            </w:tcBorders>
            <w:vMerge w:val="continue"/>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auto"/>
            </w:tcBorders>
            <w:vMerge w:val="continue"/>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400" w:type="dxa"/>
            <w:vAlign w:val="bottom"/>
            <w:tcBorders>
              <w:bottom w:val="single" w:sz="8" w:color="auto"/>
            </w:tcBorders>
            <w:vMerge w:val="continue"/>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Amounts Attributable to Graham Holdings Company Common Stockholders</w:t>
            </w: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06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Income from continuing operations</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369,672</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46,626</w:t>
            </w:r>
          </w:p>
        </w:tc>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500,698</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68,317</w:t>
            </w:r>
          </w:p>
        </w:tc>
        <w:tc>
          <w:tcPr>
            <w:tcW w:w="0" w:type="dxa"/>
            <w:vAlign w:val="bottom"/>
          </w:tcPr>
          <w:p>
            <w:pPr>
              <w:spacing w:after="0"/>
              <w:rPr>
                <w:sz w:val="1"/>
                <w:szCs w:val="1"/>
                <w:color w:val="auto"/>
              </w:rPr>
            </w:pPr>
          </w:p>
        </w:tc>
      </w:tr>
      <w:tr>
        <w:trPr>
          <w:trHeight w:val="274"/>
        </w:trPr>
        <w:tc>
          <w:tcPr>
            <w:tcW w:w="6060" w:type="dxa"/>
            <w:vAlign w:val="bottom"/>
          </w:tcPr>
          <w:p>
            <w:pPr>
              <w:ind w:left="280"/>
              <w:spacing w:after="0"/>
              <w:rPr>
                <w:sz w:val="20"/>
                <w:szCs w:val="20"/>
                <w:color w:val="auto"/>
              </w:rPr>
            </w:pPr>
            <w:r>
              <w:rPr>
                <w:rFonts w:ascii="Arial" w:cs="Arial" w:eastAsia="Arial" w:hAnsi="Arial"/>
                <w:sz w:val="16"/>
                <w:szCs w:val="16"/>
                <w:color w:val="auto"/>
              </w:rPr>
              <w:t>Income (loss) from discontinued operations, net of tax</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380,465</w:t>
            </w:r>
          </w:p>
        </w:tc>
        <w:tc>
          <w:tcPr>
            <w:tcW w:w="4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(1,951)</w:t>
            </w: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381,537</w:t>
            </w:r>
          </w:p>
        </w:tc>
        <w:tc>
          <w:tcPr>
            <w:tcW w:w="4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(18,924)</w:t>
            </w:r>
          </w:p>
        </w:tc>
        <w:tc>
          <w:tcPr>
            <w:tcW w:w="0" w:type="dxa"/>
            <w:vAlign w:val="bottom"/>
          </w:tcPr>
          <w:p>
            <w:pPr>
              <w:spacing w:after="0"/>
              <w:rPr>
                <w:sz w:val="1"/>
                <w:szCs w:val="1"/>
                <w:color w:val="auto"/>
              </w:rPr>
            </w:pPr>
          </w:p>
        </w:tc>
      </w:tr>
      <w:tr>
        <w:trPr>
          <w:trHeight w:val="265"/>
        </w:trPr>
        <w:tc>
          <w:tcPr>
            <w:tcW w:w="6060" w:type="dxa"/>
            <w:vAlign w:val="bottom"/>
          </w:tcPr>
          <w:p>
            <w:pPr>
              <w:ind w:left="280"/>
              <w:spacing w:after="0"/>
              <w:rPr>
                <w:sz w:val="20"/>
                <w:szCs w:val="20"/>
                <w:color w:val="auto"/>
              </w:rPr>
            </w:pPr>
            <w:r>
              <w:rPr>
                <w:rFonts w:ascii="Arial" w:cs="Arial" w:eastAsia="Arial" w:hAnsi="Arial"/>
                <w:sz w:val="16"/>
                <w:szCs w:val="16"/>
                <w:color w:val="auto"/>
              </w:rPr>
              <w:t>Net income attributable to Graham Holdings Company common stockholders</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750,137</w:t>
            </w:r>
          </w:p>
        </w:tc>
        <w:tc>
          <w:tcPr>
            <w:tcW w:w="4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44,675</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882,235</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49,393</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Per Share Information Attributable to Graham Holdings Company Common</w:t>
            </w: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606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6060" w:type="dxa"/>
            <w:vAlign w:val="bottom"/>
          </w:tcPr>
          <w:p>
            <w:pPr>
              <w:ind w:left="200"/>
              <w:spacing w:after="0"/>
              <w:rPr>
                <w:sz w:val="20"/>
                <w:szCs w:val="20"/>
                <w:color w:val="auto"/>
              </w:rPr>
            </w:pPr>
            <w:r>
              <w:rPr>
                <w:rFonts w:ascii="Arial" w:cs="Arial" w:eastAsia="Arial" w:hAnsi="Arial"/>
                <w:sz w:val="16"/>
                <w:szCs w:val="16"/>
                <w:b w:val="1"/>
                <w:bCs w:val="1"/>
                <w:color w:val="auto"/>
              </w:rPr>
              <w:t>Stockholders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Basic income per common share from continuing operations</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49.68</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6.28</w:t>
            </w:r>
          </w:p>
        </w:tc>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67.35</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9.21</w:t>
            </w:r>
          </w:p>
        </w:tc>
        <w:tc>
          <w:tcPr>
            <w:tcW w:w="0" w:type="dxa"/>
            <w:vAlign w:val="bottom"/>
          </w:tcPr>
          <w:p>
            <w:pPr>
              <w:spacing w:after="0"/>
              <w:rPr>
                <w:sz w:val="1"/>
                <w:szCs w:val="1"/>
                <w:color w:val="auto"/>
              </w:rPr>
            </w:pPr>
          </w:p>
        </w:tc>
      </w:tr>
      <w:tr>
        <w:trPr>
          <w:trHeight w:val="274"/>
        </w:trPr>
        <w:tc>
          <w:tcPr>
            <w:tcW w:w="6060" w:type="dxa"/>
            <w:vAlign w:val="bottom"/>
          </w:tcPr>
          <w:p>
            <w:pPr>
              <w:ind w:left="280"/>
              <w:spacing w:after="0"/>
              <w:rPr>
                <w:sz w:val="20"/>
                <w:szCs w:val="20"/>
                <w:color w:val="auto"/>
              </w:rPr>
            </w:pPr>
            <w:r>
              <w:rPr>
                <w:rFonts w:ascii="Arial" w:cs="Arial" w:eastAsia="Arial" w:hAnsi="Arial"/>
                <w:sz w:val="16"/>
                <w:szCs w:val="16"/>
                <w:color w:val="auto"/>
              </w:rPr>
              <w:t>Basic income (loss) per common share from discontinued operations</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51.12</w:t>
            </w:r>
          </w:p>
        </w:tc>
        <w:tc>
          <w:tcPr>
            <w:tcW w:w="4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(0.26)</w:t>
            </w: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51.30</w:t>
            </w:r>
          </w:p>
        </w:tc>
        <w:tc>
          <w:tcPr>
            <w:tcW w:w="4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w:t>
            </w:r>
          </w:p>
        </w:tc>
        <w:tc>
          <w:tcPr>
            <w:tcW w:w="0" w:type="dxa"/>
            <w:vAlign w:val="bottom"/>
          </w:tcPr>
          <w:p>
            <w:pPr>
              <w:spacing w:after="0"/>
              <w:rPr>
                <w:sz w:val="1"/>
                <w:szCs w:val="1"/>
                <w:color w:val="auto"/>
              </w:rPr>
            </w:pPr>
          </w:p>
        </w:tc>
      </w:tr>
      <w:tr>
        <w:trPr>
          <w:trHeight w:val="266"/>
        </w:trPr>
        <w:tc>
          <w:tcPr>
            <w:tcW w:w="6060" w:type="dxa"/>
            <w:vAlign w:val="bottom"/>
          </w:tcPr>
          <w:p>
            <w:pPr>
              <w:ind w:left="280"/>
              <w:spacing w:after="0"/>
              <w:rPr>
                <w:sz w:val="20"/>
                <w:szCs w:val="20"/>
                <w:color w:val="auto"/>
              </w:rPr>
            </w:pPr>
            <w:r>
              <w:rPr>
                <w:rFonts w:ascii="Arial" w:cs="Arial" w:eastAsia="Arial" w:hAnsi="Arial"/>
                <w:sz w:val="16"/>
                <w:szCs w:val="16"/>
                <w:color w:val="auto"/>
              </w:rPr>
              <w:t>Basic net income per common share</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100.80</w:t>
            </w:r>
          </w:p>
        </w:tc>
        <w:tc>
          <w:tcPr>
            <w:tcW w:w="4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6.02</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118.65</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6.66</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060" w:type="dxa"/>
            <w:vAlign w:val="bottom"/>
          </w:tcPr>
          <w:p>
            <w:pPr>
              <w:ind w:left="280"/>
              <w:spacing w:after="0"/>
              <w:rPr>
                <w:sz w:val="20"/>
                <w:szCs w:val="20"/>
                <w:color w:val="auto"/>
              </w:rPr>
            </w:pPr>
            <w:r>
              <w:rPr>
                <w:rFonts w:ascii="Arial" w:cs="Arial" w:eastAsia="Arial" w:hAnsi="Arial"/>
                <w:sz w:val="16"/>
                <w:szCs w:val="16"/>
                <w:color w:val="auto"/>
              </w:rPr>
              <w:t>Basic average number of common shares outstanding</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7,284</w:t>
            </w:r>
          </w:p>
        </w:tc>
        <w:tc>
          <w:tcPr>
            <w:tcW w:w="4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7,229</w:t>
            </w: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7,280</w:t>
            </w:r>
          </w:p>
        </w:tc>
        <w:tc>
          <w:tcPr>
            <w:tcW w:w="4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7,228</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060" w:type="dxa"/>
            <w:vAlign w:val="bottom"/>
          </w:tcPr>
          <w:p>
            <w:pPr>
              <w:ind w:left="280"/>
              <w:spacing w:after="0"/>
              <w:rPr>
                <w:sz w:val="20"/>
                <w:szCs w:val="20"/>
                <w:color w:val="auto"/>
              </w:rPr>
            </w:pPr>
            <w:r>
              <w:rPr>
                <w:rFonts w:ascii="Arial" w:cs="Arial" w:eastAsia="Arial" w:hAnsi="Arial"/>
                <w:sz w:val="16"/>
                <w:szCs w:val="16"/>
                <w:color w:val="auto"/>
              </w:rPr>
              <w:t>Diluted income per common share from continuing operations</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49.52</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6.28</w:t>
            </w:r>
          </w:p>
        </w:tc>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67.13</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9.21</w:t>
            </w:r>
          </w:p>
        </w:tc>
        <w:tc>
          <w:tcPr>
            <w:tcW w:w="0" w:type="dxa"/>
            <w:vAlign w:val="bottom"/>
          </w:tcPr>
          <w:p>
            <w:pPr>
              <w:spacing w:after="0"/>
              <w:rPr>
                <w:sz w:val="1"/>
                <w:szCs w:val="1"/>
                <w:color w:val="auto"/>
              </w:rPr>
            </w:pPr>
          </w:p>
        </w:tc>
      </w:tr>
      <w:tr>
        <w:trPr>
          <w:trHeight w:val="274"/>
        </w:trPr>
        <w:tc>
          <w:tcPr>
            <w:tcW w:w="6060" w:type="dxa"/>
            <w:vAlign w:val="bottom"/>
          </w:tcPr>
          <w:p>
            <w:pPr>
              <w:ind w:left="280"/>
              <w:spacing w:after="0"/>
              <w:rPr>
                <w:sz w:val="20"/>
                <w:szCs w:val="20"/>
                <w:color w:val="auto"/>
              </w:rPr>
            </w:pPr>
            <w:r>
              <w:rPr>
                <w:rFonts w:ascii="Arial" w:cs="Arial" w:eastAsia="Arial" w:hAnsi="Arial"/>
                <w:sz w:val="16"/>
                <w:szCs w:val="16"/>
                <w:color w:val="auto"/>
              </w:rPr>
              <w:t>Diluted income (loss) per common share from discontinued operations</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50.96</w:t>
            </w:r>
          </w:p>
        </w:tc>
        <w:tc>
          <w:tcPr>
            <w:tcW w:w="4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(0.26)</w:t>
            </w: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51.13</w:t>
            </w:r>
          </w:p>
        </w:tc>
        <w:tc>
          <w:tcPr>
            <w:tcW w:w="4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w:t>
            </w:r>
          </w:p>
        </w:tc>
        <w:tc>
          <w:tcPr>
            <w:tcW w:w="0" w:type="dxa"/>
            <w:vAlign w:val="bottom"/>
          </w:tcPr>
          <w:p>
            <w:pPr>
              <w:spacing w:after="0"/>
              <w:rPr>
                <w:sz w:val="1"/>
                <w:szCs w:val="1"/>
                <w:color w:val="auto"/>
              </w:rPr>
            </w:pPr>
          </w:p>
        </w:tc>
      </w:tr>
      <w:tr>
        <w:trPr>
          <w:trHeight w:val="266"/>
        </w:trPr>
        <w:tc>
          <w:tcPr>
            <w:tcW w:w="6060" w:type="dxa"/>
            <w:vAlign w:val="bottom"/>
          </w:tcPr>
          <w:p>
            <w:pPr>
              <w:ind w:left="280"/>
              <w:spacing w:after="0"/>
              <w:rPr>
                <w:sz w:val="20"/>
                <w:szCs w:val="20"/>
                <w:color w:val="auto"/>
              </w:rPr>
            </w:pPr>
            <w:r>
              <w:rPr>
                <w:rFonts w:ascii="Arial" w:cs="Arial" w:eastAsia="Arial" w:hAnsi="Arial"/>
                <w:sz w:val="16"/>
                <w:szCs w:val="16"/>
                <w:color w:val="auto"/>
              </w:rPr>
              <w:t>Diluted net income per common share</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100.48</w:t>
            </w:r>
          </w:p>
        </w:tc>
        <w:tc>
          <w:tcPr>
            <w:tcW w:w="4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6.02</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118.26</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6.66</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060" w:type="dxa"/>
            <w:vAlign w:val="bottom"/>
          </w:tcPr>
          <w:p>
            <w:pPr>
              <w:ind w:left="280"/>
              <w:spacing w:after="0"/>
              <w:rPr>
                <w:sz w:val="20"/>
                <w:szCs w:val="20"/>
                <w:color w:val="auto"/>
              </w:rPr>
            </w:pPr>
            <w:r>
              <w:rPr>
                <w:rFonts w:ascii="Arial" w:cs="Arial" w:eastAsia="Arial" w:hAnsi="Arial"/>
                <w:sz w:val="16"/>
                <w:szCs w:val="16"/>
                <w:color w:val="auto"/>
              </w:rPr>
              <w:t>Diluted average number of common shares outstanding</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7,363</w:t>
            </w:r>
          </w:p>
        </w:tc>
        <w:tc>
          <w:tcPr>
            <w:tcW w:w="4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7,283</w:t>
            </w: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7,361</w:t>
            </w:r>
          </w:p>
        </w:tc>
        <w:tc>
          <w:tcPr>
            <w:tcW w:w="4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7,276</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ectPr>
          <w:pgSz w:w="11900" w:h="16838" w:orient="portrait"/>
          <w:cols w:equalWidth="0" w:num="1">
            <w:col w:w="11420"/>
          </w:cols>
          <w:pgMar w:left="240" w:top="560" w:right="239" w:bottom="1440" w:gutter="0" w:footer="0" w:header="0"/>
        </w:sect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560" w:right="2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20" w:type="dxa"/>
            <w:vAlign w:val="bottom"/>
          </w:tcPr>
          <w:p>
            <w:pPr>
              <w:spacing w:after="0"/>
              <w:rPr>
                <w:sz w:val="14"/>
                <w:szCs w:val="14"/>
                <w:color w:val="auto"/>
              </w:rPr>
            </w:pPr>
          </w:p>
        </w:tc>
        <w:tc>
          <w:tcPr>
            <w:tcW w:w="2460" w:type="dxa"/>
            <w:vAlign w:val="bottom"/>
            <w:gridSpan w:val="2"/>
          </w:tcPr>
          <w:p>
            <w:pPr>
              <w:jc w:val="right"/>
              <w:ind w:right="468"/>
              <w:spacing w:after="0"/>
              <w:rPr>
                <w:sz w:val="20"/>
                <w:szCs w:val="20"/>
                <w:color w:val="auto"/>
              </w:rPr>
            </w:pPr>
            <w:r>
              <w:rPr>
                <w:rFonts w:ascii="Arial" w:cs="Arial" w:eastAsia="Arial" w:hAnsi="Arial"/>
                <w:sz w:val="14"/>
                <w:szCs w:val="14"/>
                <w:b w:val="1"/>
                <w:bCs w:val="1"/>
                <w:color w:val="auto"/>
              </w:rPr>
              <w:t>Three Months Ended</w:t>
            </w:r>
          </w:p>
        </w:tc>
        <w:tc>
          <w:tcPr>
            <w:tcW w:w="2440" w:type="dxa"/>
            <w:vAlign w:val="bottom"/>
            <w:gridSpan w:val="2"/>
          </w:tcPr>
          <w:p>
            <w:pPr>
              <w:jc w:val="right"/>
              <w:ind w:right="508"/>
              <w:spacing w:after="0"/>
              <w:rPr>
                <w:sz w:val="20"/>
                <w:szCs w:val="20"/>
                <w:color w:val="auto"/>
              </w:rPr>
            </w:pPr>
            <w:r>
              <w:rPr>
                <w:rFonts w:ascii="Arial" w:cs="Arial" w:eastAsia="Arial" w:hAnsi="Arial"/>
                <w:sz w:val="14"/>
                <w:szCs w:val="14"/>
                <w:b w:val="1"/>
                <w:bCs w:val="1"/>
                <w:color w:val="auto"/>
              </w:rPr>
              <w:t>Six Months Ended</w:t>
            </w:r>
          </w:p>
        </w:tc>
      </w:tr>
      <w:tr>
        <w:trPr>
          <w:trHeight w:val="203"/>
        </w:trPr>
        <w:tc>
          <w:tcPr>
            <w:tcW w:w="652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b w:val="1"/>
                <w:bCs w:val="1"/>
                <w:color w:val="auto"/>
              </w:rPr>
              <w:t>June 30</w:t>
            </w:r>
          </w:p>
        </w:tc>
      </w:tr>
      <w:tr>
        <w:trPr>
          <w:trHeight w:val="264"/>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2014</w:t>
            </w:r>
          </w:p>
        </w:tc>
        <w:tc>
          <w:tcPr>
            <w:tcW w:w="16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2013</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2014</w:t>
            </w:r>
          </w:p>
        </w:tc>
        <w:tc>
          <w:tcPr>
            <w:tcW w:w="15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2013</w:t>
            </w:r>
          </w:p>
        </w:tc>
      </w:tr>
    </w:tbl>
    <w:p>
      <w:pPr>
        <w:spacing w:after="0" w:line="34" w:lineRule="exact"/>
        <w:rPr>
          <w:sz w:val="20"/>
          <w:szCs w:val="20"/>
          <w:color w:val="auto"/>
        </w:rPr>
      </w:pPr>
    </w:p>
    <w:p>
      <w:pPr>
        <w:sectPr>
          <w:pgSz w:w="11900" w:h="16838" w:orient="portrait"/>
          <w:cols w:equalWidth="0" w:num="1">
            <w:col w:w="11420"/>
          </w:cols>
          <w:pgMar w:left="240" w:top="574" w:right="239" w:bottom="1440" w:gutter="0" w:footer="0" w:header="0"/>
        </w:sectPr>
      </w:pPr>
    </w:p>
    <w:p>
      <w:pPr>
        <w:ind w:left="40"/>
        <w:spacing w:after="0"/>
        <w:rPr>
          <w:sz w:val="20"/>
          <w:szCs w:val="20"/>
          <w:color w:val="auto"/>
        </w:rPr>
      </w:pPr>
      <w:r>
        <w:rPr>
          <w:rFonts w:ascii="Arial" w:cs="Arial" w:eastAsia="Arial" w:hAnsi="Arial"/>
          <w:sz w:val="16"/>
          <w:szCs w:val="16"/>
          <w:b w:val="1"/>
          <w:bCs w:val="1"/>
          <w:color w:val="auto"/>
        </w:rPr>
        <w:t>Net Income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(Loss) Income, Before Tax</w:t>
      </w:r>
    </w:p>
    <w:p>
      <w:pPr>
        <w:spacing w:after="0" w:line="8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Foreign currency translation adjustments: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Translation adjustments arising during the period</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Unrealized gains on available-for-sale securities: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Unrealized gains for the period, net</w:t>
      </w:r>
    </w:p>
    <w:p>
      <w:pPr>
        <w:spacing w:after="0" w:line="59" w:lineRule="exact"/>
        <w:rPr>
          <w:sz w:val="20"/>
          <w:szCs w:val="20"/>
          <w:color w:val="auto"/>
        </w:rPr>
      </w:pPr>
    </w:p>
    <w:p>
      <w:pPr>
        <w:ind w:left="440" w:hanging="161"/>
        <w:spacing w:after="0" w:line="291" w:lineRule="auto"/>
        <w:rPr>
          <w:sz w:val="20"/>
          <w:szCs w:val="20"/>
          <w:color w:val="auto"/>
        </w:rPr>
      </w:pPr>
      <w:r>
        <w:rPr>
          <w:rFonts w:ascii="Arial" w:cs="Arial" w:eastAsia="Arial" w:hAnsi="Arial"/>
          <w:sz w:val="16"/>
          <w:szCs w:val="16"/>
          <w:color w:val="auto"/>
        </w:rPr>
        <w:t>Reclassification adjustment for realization of (gain) loss on exchange, sale or write-down of available-for-sale securities included in net income</w:t>
      </w:r>
    </w:p>
    <w:p>
      <w:pPr>
        <w:spacing w:after="0" w:line="29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Pension and other postretirement plans: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Amortization of net prior service credit included in net income</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Amortization of net actuarial (gain) loss included in net income</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Settlement gain included in net income</w:t>
      </w:r>
    </w:p>
    <w:p>
      <w:pPr>
        <w:spacing w:after="0" w:line="37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Cash flow hedge gain</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(Loss) Income, Before Tax</w:t>
      </w:r>
    </w:p>
    <w:p>
      <w:pPr>
        <w:spacing w:after="0" w:line="8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Income tax benefit (expense) related to items of other comprehensive (loss) income</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(Loss) Income, Net of Tax</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Comprehensive Income</w:t>
      </w:r>
    </w:p>
    <w:p>
      <w:pPr>
        <w:spacing w:after="0" w:line="8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Comprehensive loss (income) attributable to noncontrolling interests</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Comprehensive Income Attributable to Graham Holdings Company</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59"/>
              <w:spacing w:after="0"/>
              <w:rPr>
                <w:sz w:val="20"/>
                <w:szCs w:val="20"/>
                <w:color w:val="auto"/>
              </w:rPr>
            </w:pPr>
            <w:r>
              <w:rPr>
                <w:rFonts w:ascii="Arial" w:cs="Arial" w:eastAsia="Arial" w:hAnsi="Arial"/>
                <w:sz w:val="16"/>
                <w:szCs w:val="16"/>
                <w:b w:val="1"/>
                <w:bCs w:val="1"/>
                <w:color w:val="auto"/>
              </w:rPr>
              <w:t>749,850</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45,134</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882,155</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50,393</w:t>
            </w:r>
          </w:p>
        </w:tc>
      </w:tr>
      <w:tr>
        <w:trPr>
          <w:trHeight w:val="810"/>
        </w:trPr>
        <w:tc>
          <w:tcPr>
            <w:tcW w:w="260" w:type="dxa"/>
            <w:vAlign w:val="bottom"/>
          </w:tcPr>
          <w:p>
            <w:pPr>
              <w:spacing w:after="0"/>
              <w:rPr>
                <w:sz w:val="24"/>
                <w:szCs w:val="24"/>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b w:val="1"/>
                <w:bCs w:val="1"/>
                <w:color w:val="auto"/>
              </w:rPr>
              <w:t>1,920</w:t>
            </w:r>
          </w:p>
        </w:tc>
        <w:tc>
          <w:tcPr>
            <w:tcW w:w="38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(3,509)</w:t>
            </w:r>
          </w:p>
        </w:tc>
        <w:tc>
          <w:tcPr>
            <w:tcW w:w="320" w:type="dxa"/>
            <w:vAlign w:val="bottom"/>
          </w:tcPr>
          <w:p>
            <w:pPr>
              <w:spacing w:after="0"/>
              <w:rPr>
                <w:sz w:val="24"/>
                <w:szCs w:val="24"/>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2,666</w:t>
            </w: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(7,700)</w:t>
            </w:r>
          </w:p>
        </w:tc>
      </w:tr>
      <w:tr>
        <w:trPr>
          <w:trHeight w:val="540"/>
        </w:trPr>
        <w:tc>
          <w:tcPr>
            <w:tcW w:w="260" w:type="dxa"/>
            <w:vAlign w:val="bottom"/>
          </w:tcPr>
          <w:p>
            <w:pPr>
              <w:spacing w:after="0"/>
              <w:rPr>
                <w:sz w:val="24"/>
                <w:szCs w:val="24"/>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b w:val="1"/>
                <w:bCs w:val="1"/>
                <w:color w:val="auto"/>
              </w:rPr>
              <w:t>8,667</w:t>
            </w:r>
          </w:p>
        </w:tc>
        <w:tc>
          <w:tcPr>
            <w:tcW w:w="380" w:type="dxa"/>
            <w:vAlign w:val="bottom"/>
          </w:tcPr>
          <w:p>
            <w:pPr>
              <w:spacing w:after="0"/>
              <w:rPr>
                <w:sz w:val="24"/>
                <w:szCs w:val="24"/>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31,423</w:t>
            </w:r>
          </w:p>
        </w:tc>
        <w:tc>
          <w:tcPr>
            <w:tcW w:w="320" w:type="dxa"/>
            <w:vAlign w:val="bottom"/>
          </w:tcPr>
          <w:p>
            <w:pPr>
              <w:spacing w:after="0"/>
              <w:rPr>
                <w:sz w:val="24"/>
                <w:szCs w:val="24"/>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36,405</w:t>
            </w:r>
          </w:p>
        </w:tc>
        <w:tc>
          <w:tcPr>
            <w:tcW w:w="360" w:type="dxa"/>
            <w:vAlign w:val="bottom"/>
          </w:tcPr>
          <w:p>
            <w:pPr>
              <w:spacing w:after="0"/>
              <w:rPr>
                <w:sz w:val="24"/>
                <w:szCs w:val="24"/>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80,501</w:t>
            </w:r>
          </w:p>
        </w:tc>
      </w:tr>
      <w:tr>
        <w:trPr>
          <w:trHeight w:val="436"/>
        </w:trPr>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(266,059)</w:t>
            </w: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(333)</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(265,274)</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(884)</w:t>
            </w:r>
          </w:p>
        </w:tc>
      </w:tr>
      <w:tr>
        <w:trPr>
          <w:trHeight w:val="260"/>
        </w:trPr>
        <w:tc>
          <w:tcPr>
            <w:tcW w:w="26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(257,392)</w:t>
            </w:r>
          </w:p>
        </w:tc>
        <w:tc>
          <w:tcPr>
            <w:tcW w:w="38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31,090</w:t>
            </w:r>
          </w:p>
        </w:tc>
        <w:tc>
          <w:tcPr>
            <w:tcW w:w="32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(228,869)</w:t>
            </w:r>
          </w:p>
        </w:tc>
        <w:tc>
          <w:tcPr>
            <w:tcW w:w="360" w:type="dxa"/>
            <w:vAlign w:val="bottom"/>
          </w:tcPr>
          <w:p>
            <w:pPr>
              <w:spacing w:after="0"/>
              <w:rPr>
                <w:sz w:val="22"/>
                <w:szCs w:val="22"/>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79,617</w:t>
            </w:r>
          </w:p>
        </w:tc>
      </w:tr>
      <w:tr>
        <w:trPr>
          <w:trHeight w:val="540"/>
        </w:trPr>
        <w:tc>
          <w:tcPr>
            <w:tcW w:w="26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(102)</w:t>
            </w:r>
          </w:p>
        </w:tc>
        <w:tc>
          <w:tcPr>
            <w:tcW w:w="38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(384)</w:t>
            </w:r>
          </w:p>
        </w:tc>
        <w:tc>
          <w:tcPr>
            <w:tcW w:w="320" w:type="dxa"/>
            <w:vAlign w:val="bottom"/>
          </w:tcPr>
          <w:p>
            <w:pPr>
              <w:spacing w:after="0"/>
              <w:rPr>
                <w:sz w:val="24"/>
                <w:szCs w:val="24"/>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(204)</w:t>
            </w: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(821)</w:t>
            </w:r>
          </w:p>
        </w:tc>
      </w:tr>
      <w:tr>
        <w:trPr>
          <w:trHeight w:val="270"/>
        </w:trPr>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(7,425)</w:t>
            </w:r>
          </w:p>
        </w:tc>
        <w:tc>
          <w:tcPr>
            <w:tcW w:w="38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2,004</w:t>
            </w:r>
          </w:p>
        </w:tc>
        <w:tc>
          <w:tcPr>
            <w:tcW w:w="32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(14,607)</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4,321</w:t>
            </w:r>
          </w:p>
        </w:tc>
      </w:tr>
      <w:tr>
        <w:trPr>
          <w:trHeight w:val="274"/>
        </w:trPr>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3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(3,471)</w:t>
            </w:r>
          </w:p>
        </w:tc>
      </w:tr>
      <w:tr>
        <w:trPr>
          <w:trHeight w:val="260"/>
        </w:trPr>
        <w:tc>
          <w:tcPr>
            <w:tcW w:w="26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(7,527)</w:t>
            </w:r>
          </w:p>
        </w:tc>
        <w:tc>
          <w:tcPr>
            <w:tcW w:w="38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1,620</w:t>
            </w:r>
          </w:p>
        </w:tc>
        <w:tc>
          <w:tcPr>
            <w:tcW w:w="32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(14,811)</w:t>
            </w:r>
          </w:p>
        </w:tc>
        <w:tc>
          <w:tcPr>
            <w:tcW w:w="360" w:type="dxa"/>
            <w:vAlign w:val="bottom"/>
          </w:tcPr>
          <w:p>
            <w:pPr>
              <w:spacing w:after="0"/>
              <w:rPr>
                <w:sz w:val="22"/>
                <w:szCs w:val="22"/>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29</w:t>
            </w:r>
          </w:p>
        </w:tc>
      </w:tr>
      <w:tr>
        <w:trPr>
          <w:trHeight w:val="274"/>
        </w:trPr>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239</w:t>
            </w:r>
          </w:p>
        </w:tc>
        <w:tc>
          <w:tcPr>
            <w:tcW w:w="3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214</w:t>
            </w:r>
          </w:p>
        </w:tc>
        <w:tc>
          <w:tcPr>
            <w:tcW w:w="3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411</w:t>
            </w:r>
          </w:p>
        </w:tc>
        <w:tc>
          <w:tcPr>
            <w:tcW w:w="3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244</w:t>
            </w:r>
          </w:p>
        </w:tc>
      </w:tr>
      <w:tr>
        <w:trPr>
          <w:trHeight w:val="260"/>
        </w:trPr>
        <w:tc>
          <w:tcPr>
            <w:tcW w:w="26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(262,760)</w:t>
            </w:r>
          </w:p>
        </w:tc>
        <w:tc>
          <w:tcPr>
            <w:tcW w:w="38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29,415</w:t>
            </w:r>
          </w:p>
        </w:tc>
        <w:tc>
          <w:tcPr>
            <w:tcW w:w="32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(240,603)</w:t>
            </w:r>
          </w:p>
        </w:tc>
        <w:tc>
          <w:tcPr>
            <w:tcW w:w="360" w:type="dxa"/>
            <w:vAlign w:val="bottom"/>
          </w:tcPr>
          <w:p>
            <w:pPr>
              <w:spacing w:after="0"/>
              <w:rPr>
                <w:sz w:val="22"/>
                <w:szCs w:val="22"/>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72,190</w:t>
            </w:r>
          </w:p>
        </w:tc>
      </w:tr>
      <w:tr>
        <w:trPr>
          <w:trHeight w:val="274"/>
        </w:trPr>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105,874</w:t>
            </w:r>
          </w:p>
        </w:tc>
        <w:tc>
          <w:tcPr>
            <w:tcW w:w="3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(13,170)</w:t>
            </w:r>
          </w:p>
        </w:tc>
        <w:tc>
          <w:tcPr>
            <w:tcW w:w="3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97,308</w:t>
            </w:r>
          </w:p>
        </w:tc>
        <w:tc>
          <w:tcPr>
            <w:tcW w:w="3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(31,957)</w:t>
            </w:r>
          </w:p>
        </w:tc>
      </w:tr>
      <w:tr>
        <w:trPr>
          <w:trHeight w:val="264"/>
        </w:trPr>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(156,886)</w:t>
            </w: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16,245</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(143,295)</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40,233</w:t>
            </w:r>
          </w:p>
        </w:tc>
      </w:tr>
      <w:tr>
        <w:trPr>
          <w:trHeight w:val="260"/>
        </w:trPr>
        <w:tc>
          <w:tcPr>
            <w:tcW w:w="260" w:type="dxa"/>
            <w:vAlign w:val="bottom"/>
          </w:tcPr>
          <w:p>
            <w:pPr>
              <w:spacing w:after="0"/>
              <w:rPr>
                <w:sz w:val="22"/>
                <w:szCs w:val="22"/>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b w:val="1"/>
                <w:bCs w:val="1"/>
                <w:color w:val="auto"/>
              </w:rPr>
              <w:t>592,964</w:t>
            </w:r>
          </w:p>
        </w:tc>
        <w:tc>
          <w:tcPr>
            <w:tcW w:w="38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61,379</w:t>
            </w:r>
          </w:p>
        </w:tc>
        <w:tc>
          <w:tcPr>
            <w:tcW w:w="320" w:type="dxa"/>
            <w:vAlign w:val="bottom"/>
          </w:tcPr>
          <w:p>
            <w:pPr>
              <w:spacing w:after="0"/>
              <w:rPr>
                <w:sz w:val="22"/>
                <w:szCs w:val="22"/>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738,860</w:t>
            </w:r>
          </w:p>
        </w:tc>
        <w:tc>
          <w:tcPr>
            <w:tcW w:w="360" w:type="dxa"/>
            <w:vAlign w:val="bottom"/>
          </w:tcPr>
          <w:p>
            <w:pPr>
              <w:spacing w:after="0"/>
              <w:rPr>
                <w:sz w:val="22"/>
                <w:szCs w:val="22"/>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90,626</w:t>
            </w:r>
          </w:p>
        </w:tc>
      </w:tr>
      <w:tr>
        <w:trPr>
          <w:trHeight w:val="274"/>
        </w:trPr>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499</w:t>
            </w:r>
          </w:p>
        </w:tc>
        <w:tc>
          <w:tcPr>
            <w:tcW w:w="3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(254)</w:t>
            </w:r>
          </w:p>
        </w:tc>
        <w:tc>
          <w:tcPr>
            <w:tcW w:w="3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718</w:t>
            </w:r>
          </w:p>
        </w:tc>
        <w:tc>
          <w:tcPr>
            <w:tcW w:w="3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w:t>
            </w:r>
          </w:p>
        </w:tc>
      </w:tr>
      <w:tr>
        <w:trPr>
          <w:trHeight w:val="264"/>
        </w:trPr>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593,463</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61,125</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739,578</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90,254</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6220" w:space="300"/>
            <w:col w:w="4900"/>
          </w:cols>
          <w:pgMar w:left="240" w:top="574" w:right="2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8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jc w:val="center"/>
              <w:ind w:right="220"/>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4"/>
                <w:szCs w:val="14"/>
                <w:color w:val="auto"/>
              </w:rPr>
            </w:pPr>
          </w:p>
        </w:tc>
        <w:tc>
          <w:tcPr>
            <w:tcW w:w="1260" w:type="dxa"/>
            <w:vAlign w:val="bottom"/>
          </w:tcPr>
          <w:p>
            <w:pPr>
              <w:jc w:val="right"/>
              <w:ind w:right="219"/>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203"/>
        </w:trPr>
        <w:tc>
          <w:tcPr>
            <w:tcW w:w="8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263"/>
        </w:trPr>
        <w:tc>
          <w:tcPr>
            <w:tcW w:w="8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80" w:type="dxa"/>
            <w:vAlign w:val="bottom"/>
          </w:tcPr>
          <w:p>
            <w:pPr>
              <w:jc w:val="center"/>
              <w:ind w:right="200"/>
              <w:spacing w:after="0"/>
              <w:rPr>
                <w:sz w:val="20"/>
                <w:szCs w:val="20"/>
                <w:color w:val="auto"/>
              </w:rPr>
            </w:pPr>
            <w:r>
              <w:rPr>
                <w:rFonts w:ascii="Arial" w:cs="Arial" w:eastAsia="Arial" w:hAnsi="Arial"/>
                <w:sz w:val="14"/>
                <w:szCs w:val="14"/>
                <w:b w:val="1"/>
                <w:bCs w:val="1"/>
                <w:color w:val="auto"/>
              </w:rPr>
              <w:t>(Unaudited)</w:t>
            </w:r>
          </w:p>
        </w:tc>
        <w:tc>
          <w:tcPr>
            <w:tcW w:w="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325,023</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569,719</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Restricted cash</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36,083</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83,769</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Investments in marketable equity securities and other investments</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248,952</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522,318</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Accounts receivable, net</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404,989</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428,653</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Income taxes receivable</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17,991</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Deferred income taxes</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31,689</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Inventories and contracts in progress</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8,922</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2,924</w:t>
            </w:r>
          </w:p>
        </w:tc>
        <w:tc>
          <w:tcPr>
            <w:tcW w:w="0" w:type="dxa"/>
            <w:vAlign w:val="bottom"/>
          </w:tcPr>
          <w:p>
            <w:pPr>
              <w:spacing w:after="0"/>
              <w:rPr>
                <w:sz w:val="1"/>
                <w:szCs w:val="1"/>
                <w:color w:val="auto"/>
              </w:rPr>
            </w:pPr>
          </w:p>
        </w:tc>
      </w:tr>
      <w:tr>
        <w:trPr>
          <w:trHeight w:val="274"/>
        </w:trPr>
        <w:tc>
          <w:tcPr>
            <w:tcW w:w="8320" w:type="dxa"/>
            <w:vAlign w:val="bottom"/>
          </w:tcPr>
          <w:p>
            <w:pPr>
              <w:ind w:left="280"/>
              <w:spacing w:after="0"/>
              <w:rPr>
                <w:sz w:val="20"/>
                <w:szCs w:val="20"/>
                <w:color w:val="auto"/>
              </w:rPr>
            </w:pPr>
            <w:r>
              <w:rPr>
                <w:rFonts w:ascii="Arial" w:cs="Arial" w:eastAsia="Arial" w:hAnsi="Arial"/>
                <w:sz w:val="16"/>
                <w:szCs w:val="16"/>
                <w:color w:val="auto"/>
              </w:rPr>
              <w:t>Other current assets</w:t>
            </w:r>
          </w:p>
        </w:tc>
        <w:tc>
          <w:tcPr>
            <w:tcW w:w="2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79,928</w:t>
            </w:r>
          </w:p>
        </w:tc>
        <w:tc>
          <w:tcPr>
            <w:tcW w:w="2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77,013</w:t>
            </w:r>
          </w:p>
        </w:tc>
        <w:tc>
          <w:tcPr>
            <w:tcW w:w="0" w:type="dxa"/>
            <w:vAlign w:val="bottom"/>
          </w:tcPr>
          <w:p>
            <w:pPr>
              <w:spacing w:after="0"/>
              <w:rPr>
                <w:sz w:val="1"/>
                <w:szCs w:val="1"/>
                <w:color w:val="auto"/>
              </w:rPr>
            </w:pPr>
          </w:p>
        </w:tc>
      </w:tr>
      <w:tr>
        <w:trPr>
          <w:trHeight w:val="260"/>
        </w:trPr>
        <w:tc>
          <w:tcPr>
            <w:tcW w:w="8320" w:type="dxa"/>
            <w:vAlign w:val="bottom"/>
          </w:tcPr>
          <w:p>
            <w:pPr>
              <w:ind w:left="480"/>
              <w:spacing w:after="0"/>
              <w:rPr>
                <w:sz w:val="20"/>
                <w:szCs w:val="20"/>
                <w:color w:val="auto"/>
              </w:rPr>
            </w:pPr>
            <w:r>
              <w:rPr>
                <w:rFonts w:ascii="Arial" w:cs="Arial" w:eastAsia="Arial" w:hAnsi="Arial"/>
                <w:sz w:val="16"/>
                <w:szCs w:val="16"/>
                <w:b w:val="1"/>
                <w:bCs w:val="1"/>
                <w:color w:val="auto"/>
              </w:rPr>
              <w:t>Total Current Assets</w:t>
            </w:r>
          </w:p>
        </w:tc>
        <w:tc>
          <w:tcPr>
            <w:tcW w:w="240" w:type="dxa"/>
            <w:vAlign w:val="bottom"/>
          </w:tcPr>
          <w:p>
            <w:pPr>
              <w:spacing w:after="0"/>
              <w:rPr>
                <w:sz w:val="22"/>
                <w:szCs w:val="22"/>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1,135,586</w:t>
            </w:r>
          </w:p>
        </w:tc>
        <w:tc>
          <w:tcPr>
            <w:tcW w:w="28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1,702,387</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Property, Plant and Equipment, Net</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847,970</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927,542</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Investments in Affiliates</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21,006</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15,754</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Goodwill, Net</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1,348,708</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1,288,622</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Indefinite-Lived Intangible Assets, Net</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535,378</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541,278</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Amortized Intangible Assets, Net</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61,732</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39,588</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Prepaid Pension Cost</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1,261,294</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1,245,505</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Deferred Charges and Other Assets</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47,742</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50,370</w:t>
            </w:r>
          </w:p>
        </w:tc>
        <w:tc>
          <w:tcPr>
            <w:tcW w:w="0" w:type="dxa"/>
            <w:vAlign w:val="bottom"/>
          </w:tcPr>
          <w:p>
            <w:pPr>
              <w:spacing w:after="0"/>
              <w:rPr>
                <w:sz w:val="1"/>
                <w:szCs w:val="1"/>
                <w:color w:val="auto"/>
              </w:rPr>
            </w:pPr>
          </w:p>
        </w:tc>
      </w:tr>
      <w:tr>
        <w:trPr>
          <w:trHeight w:val="274"/>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Noncurrent Assets Held for Sale</w:t>
            </w:r>
          </w:p>
        </w:tc>
        <w:tc>
          <w:tcPr>
            <w:tcW w:w="2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30,290</w:t>
            </w:r>
          </w:p>
        </w:tc>
        <w:tc>
          <w:tcPr>
            <w:tcW w:w="2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7"/>
        </w:trPr>
        <w:tc>
          <w:tcPr>
            <w:tcW w:w="8320" w:type="dxa"/>
            <w:vAlign w:val="bottom"/>
          </w:tcPr>
          <w:p>
            <w:pPr>
              <w:ind w:left="480"/>
              <w:spacing w:after="0"/>
              <w:rPr>
                <w:sz w:val="20"/>
                <w:szCs w:val="20"/>
                <w:color w:val="auto"/>
              </w:rPr>
            </w:pPr>
            <w:r>
              <w:rPr>
                <w:rFonts w:ascii="Arial" w:cs="Arial" w:eastAsia="Arial" w:hAnsi="Arial"/>
                <w:sz w:val="16"/>
                <w:szCs w:val="16"/>
                <w:b w:val="1"/>
                <w:bCs w:val="1"/>
                <w:color w:val="auto"/>
              </w:rPr>
              <w:t>Total Assets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5,289,706</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5,811,046</w:t>
            </w:r>
          </w:p>
        </w:tc>
        <w:tc>
          <w:tcPr>
            <w:tcW w:w="0" w:type="dxa"/>
            <w:vAlign w:val="bottom"/>
          </w:tcPr>
          <w:p>
            <w:pPr>
              <w:spacing w:after="0"/>
              <w:rPr>
                <w:sz w:val="1"/>
                <w:szCs w:val="1"/>
                <w:color w:val="auto"/>
              </w:rPr>
            </w:pPr>
          </w:p>
        </w:tc>
      </w:tr>
      <w:tr>
        <w:trPr>
          <w:trHeight w:val="20"/>
        </w:trPr>
        <w:tc>
          <w:tcPr>
            <w:tcW w:w="83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Accounts payable and accrued liabilities</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429,560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505,699</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Income taxes payable</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52,591</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Deferred income taxes</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58,411</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Deferred revenue</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364,892</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366,831</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Dividends declared</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14,983</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4"/>
        </w:trPr>
        <w:tc>
          <w:tcPr>
            <w:tcW w:w="8320" w:type="dxa"/>
            <w:vAlign w:val="bottom"/>
          </w:tcPr>
          <w:p>
            <w:pPr>
              <w:ind w:left="280"/>
              <w:spacing w:after="0"/>
              <w:rPr>
                <w:sz w:val="20"/>
                <w:szCs w:val="20"/>
                <w:color w:val="auto"/>
              </w:rPr>
            </w:pPr>
            <w:r>
              <w:rPr>
                <w:rFonts w:ascii="Arial" w:cs="Arial" w:eastAsia="Arial" w:hAnsi="Arial"/>
                <w:sz w:val="16"/>
                <w:szCs w:val="16"/>
                <w:color w:val="auto"/>
              </w:rPr>
              <w:t>Short-term borrowings</w:t>
            </w:r>
          </w:p>
        </w:tc>
        <w:tc>
          <w:tcPr>
            <w:tcW w:w="2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53,740</w:t>
            </w:r>
          </w:p>
        </w:tc>
        <w:tc>
          <w:tcPr>
            <w:tcW w:w="2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3,168</w:t>
            </w:r>
          </w:p>
        </w:tc>
        <w:tc>
          <w:tcPr>
            <w:tcW w:w="0" w:type="dxa"/>
            <w:vAlign w:val="bottom"/>
          </w:tcPr>
          <w:p>
            <w:pPr>
              <w:spacing w:after="0"/>
              <w:rPr>
                <w:sz w:val="1"/>
                <w:szCs w:val="1"/>
                <w:color w:val="auto"/>
              </w:rPr>
            </w:pPr>
          </w:p>
        </w:tc>
      </w:tr>
      <w:tr>
        <w:trPr>
          <w:trHeight w:val="260"/>
        </w:trPr>
        <w:tc>
          <w:tcPr>
            <w:tcW w:w="8320" w:type="dxa"/>
            <w:vAlign w:val="bottom"/>
          </w:tcPr>
          <w:p>
            <w:pPr>
              <w:ind w:left="480"/>
              <w:spacing w:after="0"/>
              <w:rPr>
                <w:sz w:val="20"/>
                <w:szCs w:val="20"/>
                <w:color w:val="auto"/>
              </w:rPr>
            </w:pPr>
            <w:r>
              <w:rPr>
                <w:rFonts w:ascii="Arial" w:cs="Arial" w:eastAsia="Arial" w:hAnsi="Arial"/>
                <w:sz w:val="16"/>
                <w:szCs w:val="16"/>
                <w:b w:val="1"/>
                <w:bCs w:val="1"/>
                <w:color w:val="auto"/>
              </w:rPr>
              <w:t>Total Current Liabilities</w:t>
            </w:r>
          </w:p>
        </w:tc>
        <w:tc>
          <w:tcPr>
            <w:tcW w:w="240" w:type="dxa"/>
            <w:vAlign w:val="bottom"/>
          </w:tcPr>
          <w:p>
            <w:pPr>
              <w:spacing w:after="0"/>
              <w:rPr>
                <w:sz w:val="22"/>
                <w:szCs w:val="22"/>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915,766</w:t>
            </w:r>
          </w:p>
        </w:tc>
        <w:tc>
          <w:tcPr>
            <w:tcW w:w="28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934,109</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Postretirement Benefits Other Than Pensions</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35,184</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36,219</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Accrued Compensation and Related Benefits</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210,667</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211,526</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Other Liabilities</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86,893</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86,000</w:t>
            </w:r>
          </w:p>
        </w:tc>
        <w:tc>
          <w:tcPr>
            <w:tcW w:w="0" w:type="dxa"/>
            <w:vAlign w:val="bottom"/>
          </w:tcPr>
          <w:p>
            <w:pPr>
              <w:spacing w:after="0"/>
              <w:rPr>
                <w:sz w:val="1"/>
                <w:szCs w:val="1"/>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Deferred Income Taxes</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795,339</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778,735</w:t>
            </w:r>
          </w:p>
        </w:tc>
        <w:tc>
          <w:tcPr>
            <w:tcW w:w="0" w:type="dxa"/>
            <w:vAlign w:val="bottom"/>
          </w:tcPr>
          <w:p>
            <w:pPr>
              <w:spacing w:after="0"/>
              <w:rPr>
                <w:sz w:val="1"/>
                <w:szCs w:val="1"/>
                <w:color w:val="auto"/>
              </w:rPr>
            </w:pPr>
          </w:p>
        </w:tc>
      </w:tr>
      <w:tr>
        <w:trPr>
          <w:trHeight w:val="274"/>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Long-Term Debt</w:t>
            </w:r>
          </w:p>
        </w:tc>
        <w:tc>
          <w:tcPr>
            <w:tcW w:w="2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398,202</w:t>
            </w:r>
          </w:p>
        </w:tc>
        <w:tc>
          <w:tcPr>
            <w:tcW w:w="2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447,608</w:t>
            </w:r>
          </w:p>
        </w:tc>
        <w:tc>
          <w:tcPr>
            <w:tcW w:w="0" w:type="dxa"/>
            <w:vAlign w:val="bottom"/>
          </w:tcPr>
          <w:p>
            <w:pPr>
              <w:spacing w:after="0"/>
              <w:rPr>
                <w:sz w:val="1"/>
                <w:szCs w:val="1"/>
                <w:color w:val="auto"/>
              </w:rPr>
            </w:pPr>
          </w:p>
        </w:tc>
      </w:tr>
      <w:tr>
        <w:trPr>
          <w:trHeight w:val="264"/>
        </w:trPr>
        <w:tc>
          <w:tcPr>
            <w:tcW w:w="8320" w:type="dxa"/>
            <w:vAlign w:val="bottom"/>
          </w:tcPr>
          <w:p>
            <w:pPr>
              <w:ind w:left="480"/>
              <w:spacing w:after="0"/>
              <w:rPr>
                <w:sz w:val="20"/>
                <w:szCs w:val="20"/>
                <w:color w:val="auto"/>
              </w:rPr>
            </w:pPr>
            <w:r>
              <w:rPr>
                <w:rFonts w:ascii="Arial" w:cs="Arial" w:eastAsia="Arial" w:hAnsi="Arial"/>
                <w:sz w:val="16"/>
                <w:szCs w:val="16"/>
                <w:b w:val="1"/>
                <w:bCs w:val="1"/>
                <w:color w:val="auto"/>
              </w:rPr>
              <w:t>Total Liabilities</w:t>
            </w: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2,442,051</w:t>
            </w: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2,494,197</w:t>
            </w:r>
          </w:p>
        </w:tc>
        <w:tc>
          <w:tcPr>
            <w:tcW w:w="0" w:type="dxa"/>
            <w:vAlign w:val="bottom"/>
          </w:tcPr>
          <w:p>
            <w:pPr>
              <w:spacing w:after="0"/>
              <w:rPr>
                <w:sz w:val="1"/>
                <w:szCs w:val="1"/>
                <w:color w:val="auto"/>
              </w:rPr>
            </w:pPr>
          </w:p>
        </w:tc>
      </w:tr>
      <w:tr>
        <w:trPr>
          <w:trHeight w:val="26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Redeemable Noncontrolling Interest</w:t>
            </w:r>
          </w:p>
        </w:tc>
        <w:tc>
          <w:tcPr>
            <w:tcW w:w="240" w:type="dxa"/>
            <w:vAlign w:val="bottom"/>
          </w:tcPr>
          <w:p>
            <w:pPr>
              <w:spacing w:after="0"/>
              <w:rPr>
                <w:sz w:val="22"/>
                <w:szCs w:val="22"/>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4,946</w:t>
            </w:r>
          </w:p>
        </w:tc>
        <w:tc>
          <w:tcPr>
            <w:tcW w:w="28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5,896</w:t>
            </w:r>
          </w:p>
        </w:tc>
        <w:tc>
          <w:tcPr>
            <w:tcW w:w="0" w:type="dxa"/>
            <w:vAlign w:val="bottom"/>
          </w:tcPr>
          <w:p>
            <w:pPr>
              <w:spacing w:after="0"/>
              <w:rPr>
                <w:sz w:val="1"/>
                <w:szCs w:val="1"/>
                <w:color w:val="auto"/>
              </w:rPr>
            </w:pPr>
          </w:p>
        </w:tc>
      </w:tr>
      <w:tr>
        <w:trPr>
          <w:trHeight w:val="274"/>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Redeemable Preferred Stock</w:t>
            </w:r>
          </w:p>
        </w:tc>
        <w:tc>
          <w:tcPr>
            <w:tcW w:w="2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10,510</w:t>
            </w:r>
          </w:p>
        </w:tc>
        <w:tc>
          <w:tcPr>
            <w:tcW w:w="2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10,665</w:t>
            </w:r>
          </w:p>
        </w:tc>
        <w:tc>
          <w:tcPr>
            <w:tcW w:w="0" w:type="dxa"/>
            <w:vAlign w:val="bottom"/>
          </w:tcPr>
          <w:p>
            <w:pPr>
              <w:spacing w:after="0"/>
              <w:rPr>
                <w:sz w:val="1"/>
                <w:szCs w:val="1"/>
                <w:color w:val="auto"/>
              </w:rPr>
            </w:pPr>
          </w:p>
        </w:tc>
      </w:tr>
      <w:tr>
        <w:trPr>
          <w:trHeight w:val="261"/>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Preferred Stock</w:t>
            </w: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3"/>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Common Stockholders’ Equity</w:t>
            </w:r>
          </w:p>
        </w:tc>
        <w:tc>
          <w:tcPr>
            <w:tcW w:w="2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Common stock</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20,000</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20,000</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Capital in excess of par value</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291,464</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288,129</w:t>
            </w:r>
          </w:p>
        </w:tc>
        <w:tc>
          <w:tcPr>
            <w:tcW w:w="0" w:type="dxa"/>
            <w:vAlign w:val="bottom"/>
          </w:tcPr>
          <w:p>
            <w:pPr>
              <w:spacing w:after="0"/>
              <w:rPr>
                <w:sz w:val="1"/>
                <w:szCs w:val="1"/>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Retained earnings</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5,612,518</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4,782,777</w:t>
            </w:r>
          </w:p>
        </w:tc>
        <w:tc>
          <w:tcPr>
            <w:tcW w:w="0" w:type="dxa"/>
            <w:vAlign w:val="bottom"/>
          </w:tcPr>
          <w:p>
            <w:pPr>
              <w:spacing w:after="0"/>
              <w:rPr>
                <w:sz w:val="1"/>
                <w:szCs w:val="1"/>
                <w:color w:val="auto"/>
              </w:rPr>
            </w:pPr>
          </w:p>
        </w:tc>
      </w:tr>
      <w:tr>
        <w:trPr>
          <w:trHeight w:val="262"/>
        </w:trPr>
        <w:tc>
          <w:tcPr>
            <w:tcW w:w="8320" w:type="dxa"/>
            <w:vAlign w:val="bottom"/>
          </w:tcPr>
          <w:p>
            <w:pPr>
              <w:ind w:left="280"/>
              <w:spacing w:after="0"/>
              <w:rPr>
                <w:sz w:val="20"/>
                <w:szCs w:val="20"/>
                <w:color w:val="auto"/>
              </w:rPr>
            </w:pPr>
            <w:r>
              <w:rPr>
                <w:rFonts w:ascii="Arial" w:cs="Arial" w:eastAsia="Arial" w:hAnsi="Arial"/>
                <w:sz w:val="16"/>
                <w:szCs w:val="16"/>
                <w:color w:val="auto"/>
              </w:rPr>
              <w:t>Accumulated other comprehensive income, net of tax</w:t>
            </w:r>
          </w:p>
        </w:tc>
        <w:tc>
          <w:tcPr>
            <w:tcW w:w="2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8320" w:type="dxa"/>
            <w:vAlign w:val="bottom"/>
          </w:tcPr>
          <w:p>
            <w:pPr>
              <w:ind w:left="480"/>
              <w:spacing w:after="0"/>
              <w:rPr>
                <w:sz w:val="20"/>
                <w:szCs w:val="20"/>
                <w:color w:val="auto"/>
              </w:rPr>
            </w:pPr>
            <w:r>
              <w:rPr>
                <w:rFonts w:ascii="Arial" w:cs="Arial" w:eastAsia="Arial" w:hAnsi="Arial"/>
                <w:sz w:val="16"/>
                <w:szCs w:val="16"/>
                <w:color w:val="auto"/>
              </w:rPr>
              <w:t>Cumulative foreign currency translation adjustment</w:t>
            </w:r>
          </w:p>
        </w:tc>
        <w:tc>
          <w:tcPr>
            <w:tcW w:w="240" w:type="dxa"/>
            <w:vAlign w:val="bottom"/>
          </w:tcPr>
          <w:p>
            <w:pPr>
              <w:spacing w:after="0"/>
              <w:rPr>
                <w:sz w:val="24"/>
                <w:szCs w:val="24"/>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27,679</w:t>
            </w:r>
          </w:p>
        </w:tc>
        <w:tc>
          <w:tcPr>
            <w:tcW w:w="280" w:type="dxa"/>
            <w:vAlign w:val="bottom"/>
          </w:tcPr>
          <w:p>
            <w:pPr>
              <w:spacing w:after="0"/>
              <w:rPr>
                <w:sz w:val="24"/>
                <w:szCs w:val="24"/>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25,013</w:t>
            </w:r>
          </w:p>
        </w:tc>
        <w:tc>
          <w:tcPr>
            <w:tcW w:w="0" w:type="dxa"/>
            <w:vAlign w:val="bottom"/>
          </w:tcPr>
          <w:p>
            <w:pPr>
              <w:spacing w:after="0"/>
              <w:rPr>
                <w:sz w:val="1"/>
                <w:szCs w:val="1"/>
                <w:color w:val="auto"/>
              </w:rPr>
            </w:pPr>
          </w:p>
        </w:tc>
      </w:tr>
      <w:tr>
        <w:trPr>
          <w:trHeight w:val="270"/>
        </w:trPr>
        <w:tc>
          <w:tcPr>
            <w:tcW w:w="8320" w:type="dxa"/>
            <w:vAlign w:val="bottom"/>
          </w:tcPr>
          <w:p>
            <w:pPr>
              <w:ind w:left="480"/>
              <w:spacing w:after="0"/>
              <w:rPr>
                <w:sz w:val="20"/>
                <w:szCs w:val="20"/>
                <w:color w:val="auto"/>
              </w:rPr>
            </w:pPr>
            <w:r>
              <w:rPr>
                <w:rFonts w:ascii="Arial" w:cs="Arial" w:eastAsia="Arial" w:hAnsi="Arial"/>
                <w:sz w:val="16"/>
                <w:szCs w:val="16"/>
                <w:color w:val="auto"/>
              </w:rPr>
              <w:t>Unrealized gain on available-for-sale securities</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36,342</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173,663</w:t>
            </w:r>
          </w:p>
        </w:tc>
        <w:tc>
          <w:tcPr>
            <w:tcW w:w="0" w:type="dxa"/>
            <w:vAlign w:val="bottom"/>
          </w:tcPr>
          <w:p>
            <w:pPr>
              <w:spacing w:after="0"/>
              <w:rPr>
                <w:sz w:val="1"/>
                <w:szCs w:val="1"/>
                <w:color w:val="auto"/>
              </w:rPr>
            </w:pPr>
          </w:p>
        </w:tc>
      </w:tr>
      <w:tr>
        <w:trPr>
          <w:trHeight w:val="270"/>
        </w:trPr>
        <w:tc>
          <w:tcPr>
            <w:tcW w:w="8320" w:type="dxa"/>
            <w:vAlign w:val="bottom"/>
          </w:tcPr>
          <w:p>
            <w:pPr>
              <w:ind w:left="480"/>
              <w:spacing w:after="0"/>
              <w:rPr>
                <w:sz w:val="20"/>
                <w:szCs w:val="20"/>
                <w:color w:val="auto"/>
              </w:rPr>
            </w:pPr>
            <w:r>
              <w:rPr>
                <w:rFonts w:ascii="Arial" w:cs="Arial" w:eastAsia="Arial" w:hAnsi="Arial"/>
                <w:sz w:val="16"/>
                <w:szCs w:val="16"/>
                <w:color w:val="auto"/>
              </w:rPr>
              <w:t>Unrealized gain on pensions and other postretirement plans</w:t>
            </w:r>
          </w:p>
        </w:tc>
        <w:tc>
          <w:tcPr>
            <w:tcW w:w="240" w:type="dxa"/>
            <w:vAlign w:val="bottom"/>
          </w:tcPr>
          <w:p>
            <w:pPr>
              <w:spacing w:after="0"/>
              <w:rPr>
                <w:sz w:val="23"/>
                <w:szCs w:val="23"/>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b w:val="1"/>
                <w:bCs w:val="1"/>
                <w:color w:val="auto"/>
              </w:rPr>
              <w:t>492,559</w:t>
            </w:r>
          </w:p>
        </w:tc>
        <w:tc>
          <w:tcPr>
            <w:tcW w:w="2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501,446</w:t>
            </w:r>
          </w:p>
        </w:tc>
        <w:tc>
          <w:tcPr>
            <w:tcW w:w="0" w:type="dxa"/>
            <w:vAlign w:val="bottom"/>
          </w:tcPr>
          <w:p>
            <w:pPr>
              <w:spacing w:after="0"/>
              <w:rPr>
                <w:sz w:val="1"/>
                <w:szCs w:val="1"/>
                <w:color w:val="auto"/>
              </w:rPr>
            </w:pPr>
          </w:p>
        </w:tc>
      </w:tr>
      <w:tr>
        <w:trPr>
          <w:trHeight w:val="270"/>
        </w:trPr>
        <w:tc>
          <w:tcPr>
            <w:tcW w:w="8320" w:type="dxa"/>
            <w:vAlign w:val="bottom"/>
          </w:tcPr>
          <w:p>
            <w:pPr>
              <w:ind w:left="480"/>
              <w:spacing w:after="0"/>
              <w:rPr>
                <w:sz w:val="20"/>
                <w:szCs w:val="20"/>
                <w:color w:val="auto"/>
              </w:rPr>
            </w:pPr>
            <w:r>
              <w:rPr>
                <w:rFonts w:ascii="Arial" w:cs="Arial" w:eastAsia="Arial" w:hAnsi="Arial"/>
                <w:sz w:val="16"/>
                <w:szCs w:val="16"/>
                <w:color w:val="auto"/>
              </w:rPr>
              <w:t>Cash flow hedge</w:t>
            </w:r>
          </w:p>
        </w:tc>
        <w:tc>
          <w:tcPr>
            <w:tcW w:w="2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(381)</w:t>
            </w:r>
          </w:p>
        </w:tc>
        <w:tc>
          <w:tcPr>
            <w:tcW w:w="2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(628)</w:t>
            </w:r>
          </w:p>
        </w:tc>
        <w:tc>
          <w:tcPr>
            <w:tcW w:w="0" w:type="dxa"/>
            <w:vAlign w:val="bottom"/>
          </w:tcPr>
          <w:p>
            <w:pPr>
              <w:spacing w:after="0"/>
              <w:rPr>
                <w:sz w:val="1"/>
                <w:szCs w:val="1"/>
                <w:color w:val="auto"/>
              </w:rPr>
            </w:pPr>
          </w:p>
        </w:tc>
      </w:tr>
      <w:tr>
        <w:trPr>
          <w:trHeight w:val="274"/>
        </w:trPr>
        <w:tc>
          <w:tcPr>
            <w:tcW w:w="8320" w:type="dxa"/>
            <w:vAlign w:val="bottom"/>
          </w:tcPr>
          <w:p>
            <w:pPr>
              <w:ind w:left="280"/>
              <w:spacing w:after="0"/>
              <w:rPr>
                <w:sz w:val="20"/>
                <w:szCs w:val="20"/>
                <w:color w:val="auto"/>
              </w:rPr>
            </w:pPr>
            <w:r>
              <w:rPr>
                <w:rFonts w:ascii="Arial" w:cs="Arial" w:eastAsia="Arial" w:hAnsi="Arial"/>
                <w:sz w:val="16"/>
                <w:szCs w:val="16"/>
                <w:color w:val="auto"/>
              </w:rPr>
              <w:t>Cost of Class B common stock held in treasury</w:t>
            </w:r>
          </w:p>
        </w:tc>
        <w:tc>
          <w:tcPr>
            <w:tcW w:w="2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(3,648,308)</w:t>
            </w:r>
          </w:p>
        </w:tc>
        <w:tc>
          <w:tcPr>
            <w:tcW w:w="2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(2,490,333)</w:t>
            </w:r>
          </w:p>
        </w:tc>
        <w:tc>
          <w:tcPr>
            <w:tcW w:w="0" w:type="dxa"/>
            <w:vAlign w:val="bottom"/>
          </w:tcPr>
          <w:p>
            <w:pPr>
              <w:spacing w:after="0"/>
              <w:rPr>
                <w:sz w:val="1"/>
                <w:szCs w:val="1"/>
                <w:color w:val="auto"/>
              </w:rPr>
            </w:pPr>
          </w:p>
        </w:tc>
      </w:tr>
      <w:tr>
        <w:trPr>
          <w:trHeight w:val="264"/>
        </w:trPr>
        <w:tc>
          <w:tcPr>
            <w:tcW w:w="8320" w:type="dxa"/>
            <w:vAlign w:val="bottom"/>
          </w:tcPr>
          <w:p>
            <w:pPr>
              <w:ind w:left="480"/>
              <w:spacing w:after="0"/>
              <w:rPr>
                <w:sz w:val="20"/>
                <w:szCs w:val="20"/>
                <w:color w:val="auto"/>
              </w:rPr>
            </w:pPr>
            <w:r>
              <w:rPr>
                <w:rFonts w:ascii="Arial" w:cs="Arial" w:eastAsia="Arial" w:hAnsi="Arial"/>
                <w:sz w:val="16"/>
                <w:szCs w:val="16"/>
                <w:b w:val="1"/>
                <w:bCs w:val="1"/>
                <w:color w:val="auto"/>
              </w:rPr>
              <w:t>Total Common Stockholders’ Equity</w:t>
            </w: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2,831,873</w:t>
            </w: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3,300,067</w:t>
            </w:r>
          </w:p>
        </w:tc>
        <w:tc>
          <w:tcPr>
            <w:tcW w:w="0" w:type="dxa"/>
            <w:vAlign w:val="bottom"/>
          </w:tcPr>
          <w:p>
            <w:pPr>
              <w:spacing w:after="0"/>
              <w:rPr>
                <w:sz w:val="1"/>
                <w:szCs w:val="1"/>
                <w:color w:val="auto"/>
              </w:rPr>
            </w:pPr>
          </w:p>
        </w:tc>
      </w:tr>
      <w:tr>
        <w:trPr>
          <w:trHeight w:val="264"/>
        </w:trPr>
        <w:tc>
          <w:tcPr>
            <w:tcW w:w="8320" w:type="dxa"/>
            <w:vAlign w:val="bottom"/>
          </w:tcPr>
          <w:p>
            <w:pPr>
              <w:ind w:left="20"/>
              <w:spacing w:after="0"/>
              <w:rPr>
                <w:sz w:val="20"/>
                <w:szCs w:val="20"/>
                <w:color w:val="auto"/>
              </w:rPr>
            </w:pPr>
            <w:r>
              <w:rPr>
                <w:rFonts w:ascii="Arial" w:cs="Arial" w:eastAsia="Arial" w:hAnsi="Arial"/>
                <w:sz w:val="16"/>
                <w:szCs w:val="16"/>
                <w:color w:val="auto"/>
              </w:rPr>
              <w:t>Noncontrolling Interests</w:t>
            </w: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326</w:t>
            </w: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221</w:t>
            </w:r>
          </w:p>
        </w:tc>
        <w:tc>
          <w:tcPr>
            <w:tcW w:w="0" w:type="dxa"/>
            <w:vAlign w:val="bottom"/>
          </w:tcPr>
          <w:p>
            <w:pPr>
              <w:spacing w:after="0"/>
              <w:rPr>
                <w:sz w:val="1"/>
                <w:szCs w:val="1"/>
                <w:color w:val="auto"/>
              </w:rPr>
            </w:pPr>
          </w:p>
        </w:tc>
      </w:tr>
      <w:tr>
        <w:trPr>
          <w:trHeight w:val="264"/>
        </w:trPr>
        <w:tc>
          <w:tcPr>
            <w:tcW w:w="8320" w:type="dxa"/>
            <w:vAlign w:val="bottom"/>
          </w:tcPr>
          <w:p>
            <w:pPr>
              <w:ind w:left="480"/>
              <w:spacing w:after="0"/>
              <w:rPr>
                <w:sz w:val="20"/>
                <w:szCs w:val="20"/>
                <w:color w:val="auto"/>
              </w:rPr>
            </w:pPr>
            <w:r>
              <w:rPr>
                <w:rFonts w:ascii="Arial" w:cs="Arial" w:eastAsia="Arial" w:hAnsi="Arial"/>
                <w:sz w:val="16"/>
                <w:szCs w:val="16"/>
                <w:b w:val="1"/>
                <w:bCs w:val="1"/>
                <w:color w:val="auto"/>
              </w:rPr>
              <w:t>Total Equity</w:t>
            </w: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2,832,199</w:t>
            </w: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3,300,288</w:t>
            </w:r>
          </w:p>
        </w:tc>
        <w:tc>
          <w:tcPr>
            <w:tcW w:w="0" w:type="dxa"/>
            <w:vAlign w:val="bottom"/>
          </w:tcPr>
          <w:p>
            <w:pPr>
              <w:spacing w:after="0"/>
              <w:rPr>
                <w:sz w:val="1"/>
                <w:szCs w:val="1"/>
                <w:color w:val="auto"/>
              </w:rPr>
            </w:pPr>
          </w:p>
        </w:tc>
      </w:tr>
      <w:tr>
        <w:trPr>
          <w:trHeight w:val="267"/>
        </w:trPr>
        <w:tc>
          <w:tcPr>
            <w:tcW w:w="8320" w:type="dxa"/>
            <w:vAlign w:val="bottom"/>
          </w:tcPr>
          <w:p>
            <w:pPr>
              <w:ind w:left="700"/>
              <w:spacing w:after="0"/>
              <w:rPr>
                <w:sz w:val="20"/>
                <w:szCs w:val="20"/>
                <w:color w:val="auto"/>
              </w:rPr>
            </w:pPr>
            <w:r>
              <w:rPr>
                <w:rFonts w:ascii="Arial" w:cs="Arial" w:eastAsia="Arial" w:hAnsi="Arial"/>
                <w:sz w:val="16"/>
                <w:szCs w:val="16"/>
                <w:b w:val="1"/>
                <w:bCs w:val="1"/>
                <w:color w:val="auto"/>
              </w:rPr>
              <w:t>Total Liabilities and Equity</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5,289,706</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5,811,046</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60" w:top="574" w:right="259" w:bottom="0" w:gutter="0" w:footer="0" w:header="0"/>
        </w:sectPr>
      </w:pPr>
    </w:p>
    <w:bookmarkStart w:id="5" w:name="page6"/>
    <w:bookmarkEnd w:id="5"/>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35"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19"/>
          </w:cols>
          <w:pgMar w:left="240" w:top="288" w:right="1440"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57" w:lineRule="exact"/>
        <w:rPr>
          <w:sz w:val="20"/>
          <w:szCs w:val="20"/>
          <w:color w:val="auto"/>
        </w:rPr>
      </w:pPr>
    </w:p>
    <w:p>
      <w:pPr>
        <w:ind w:left="9600"/>
        <w:spacing w:after="0"/>
        <w:rPr>
          <w:sz w:val="20"/>
          <w:szCs w:val="20"/>
          <w:color w:val="auto"/>
        </w:rPr>
      </w:pPr>
      <w:r>
        <w:rPr>
          <w:rFonts w:ascii="Arial" w:cs="Arial" w:eastAsia="Arial" w:hAnsi="Arial"/>
          <w:sz w:val="14"/>
          <w:szCs w:val="14"/>
          <w:b w:val="1"/>
          <w:bCs w:val="1"/>
          <w:color w:val="auto"/>
        </w:rPr>
        <w:t>Six Months Ended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0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r>
      <w:tr>
        <w:trPr>
          <w:trHeight w:val="263"/>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2013</w:t>
            </w:r>
          </w:p>
        </w:tc>
      </w:tr>
      <w:tr>
        <w:trPr>
          <w:trHeight w:val="257"/>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Net Income</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882,155</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50,393</w:t>
            </w:r>
          </w:p>
        </w:tc>
      </w:tr>
      <w:tr>
        <w:trPr>
          <w:trHeight w:val="262"/>
        </w:trPr>
        <w:tc>
          <w:tcPr>
            <w:tcW w:w="9020" w:type="dxa"/>
            <w:vAlign w:val="bottom"/>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78"/>
        </w:trPr>
        <w:tc>
          <w:tcPr>
            <w:tcW w:w="9020" w:type="dxa"/>
            <w:vAlign w:val="bottom"/>
          </w:tcPr>
          <w:p>
            <w:pPr>
              <w:ind w:left="280"/>
              <w:spacing w:after="0"/>
              <w:rPr>
                <w:sz w:val="20"/>
                <w:szCs w:val="20"/>
                <w:color w:val="auto"/>
              </w:rPr>
            </w:pPr>
            <w:r>
              <w:rPr>
                <w:rFonts w:ascii="Arial" w:cs="Arial" w:eastAsia="Arial" w:hAnsi="Arial"/>
                <w:sz w:val="16"/>
                <w:szCs w:val="16"/>
                <w:color w:val="auto"/>
              </w:rPr>
              <w:t>Depreciation of property, plant and equipment</w:t>
            </w:r>
          </w:p>
        </w:tc>
        <w:tc>
          <w:tcPr>
            <w:tcW w:w="260" w:type="dxa"/>
            <w:vAlign w:val="bottom"/>
          </w:tcPr>
          <w:p>
            <w:pPr>
              <w:spacing w:after="0"/>
              <w:rPr>
                <w:sz w:val="24"/>
                <w:szCs w:val="24"/>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106,822</w:t>
            </w:r>
          </w:p>
        </w:tc>
        <w:tc>
          <w:tcPr>
            <w:tcW w:w="380" w:type="dxa"/>
            <w:vAlign w:val="bottom"/>
          </w:tcPr>
          <w:p>
            <w:pPr>
              <w:spacing w:after="0"/>
              <w:rPr>
                <w:sz w:val="24"/>
                <w:szCs w:val="24"/>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129,848</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6,441</w:t>
            </w:r>
          </w:p>
        </w:tc>
        <w:tc>
          <w:tcPr>
            <w:tcW w:w="3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7,030</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Intangible assets impairment charge</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7,774</w:t>
            </w:r>
          </w:p>
        </w:tc>
        <w:tc>
          <w:tcPr>
            <w:tcW w:w="3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Net pension (benefit) expense</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(34,433)</w:t>
            </w:r>
          </w:p>
        </w:tc>
        <w:tc>
          <w:tcPr>
            <w:tcW w:w="3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8,582</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Early retirement program expense</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4,490</w:t>
            </w:r>
          </w:p>
        </w:tc>
        <w:tc>
          <w:tcPr>
            <w:tcW w:w="3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22,700</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Foreign exchange (gain) loss</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(7,946)</w:t>
            </w:r>
          </w:p>
        </w:tc>
        <w:tc>
          <w:tcPr>
            <w:tcW w:w="3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17,236</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Net (gain) loss on sales and disposition of businesses</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(358,963)</w:t>
            </w:r>
          </w:p>
        </w:tc>
        <w:tc>
          <w:tcPr>
            <w:tcW w:w="3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70</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Net gain on disposition or write-downs of marketable equity securities and cost method investments</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(266,423)</w:t>
            </w: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(696)</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Equity in earnings of affiliates, net of certain distributions</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(98,555)</w:t>
            </w: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(7,277)</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Provision for deferred income taxes</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3,880</w:t>
            </w:r>
          </w:p>
        </w:tc>
        <w:tc>
          <w:tcPr>
            <w:tcW w:w="3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263</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Net (gain) loss on sale or write-down of property, plant and equipment</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(119,086)</w:t>
            </w:r>
          </w:p>
        </w:tc>
        <w:tc>
          <w:tcPr>
            <w:tcW w:w="3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377</w:t>
            </w:r>
          </w:p>
        </w:tc>
      </w:tr>
      <w:tr>
        <w:trPr>
          <w:trHeight w:val="262"/>
        </w:trPr>
        <w:tc>
          <w:tcPr>
            <w:tcW w:w="9020" w:type="dxa"/>
            <w:vAlign w:val="bottom"/>
          </w:tcPr>
          <w:p>
            <w:pPr>
              <w:ind w:left="280"/>
              <w:spacing w:after="0"/>
              <w:rPr>
                <w:sz w:val="20"/>
                <w:szCs w:val="20"/>
                <w:color w:val="auto"/>
              </w:rPr>
            </w:pPr>
            <w:r>
              <w:rPr>
                <w:rFonts w:ascii="Arial" w:cs="Arial" w:eastAsia="Arial" w:hAnsi="Arial"/>
                <w:sz w:val="16"/>
                <w:szCs w:val="16"/>
                <w:color w:val="auto"/>
              </w:rPr>
              <w:t>Change in assets and liabilities:</w:t>
            </w: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78"/>
        </w:trPr>
        <w:tc>
          <w:tcPr>
            <w:tcW w:w="9020" w:type="dxa"/>
            <w:vAlign w:val="bottom"/>
          </w:tcPr>
          <w:p>
            <w:pPr>
              <w:ind w:left="500"/>
              <w:spacing w:after="0"/>
              <w:rPr>
                <w:sz w:val="20"/>
                <w:szCs w:val="20"/>
                <w:color w:val="auto"/>
              </w:rPr>
            </w:pPr>
            <w:r>
              <w:rPr>
                <w:rFonts w:ascii="Arial" w:cs="Arial" w:eastAsia="Arial" w:hAnsi="Arial"/>
                <w:sz w:val="16"/>
                <w:szCs w:val="16"/>
                <w:color w:val="auto"/>
              </w:rPr>
              <w:t>Decrease in accounts receivable, net</w:t>
            </w:r>
          </w:p>
        </w:tc>
        <w:tc>
          <w:tcPr>
            <w:tcW w:w="260" w:type="dxa"/>
            <w:vAlign w:val="bottom"/>
          </w:tcPr>
          <w:p>
            <w:pPr>
              <w:spacing w:after="0"/>
              <w:rPr>
                <w:sz w:val="24"/>
                <w:szCs w:val="24"/>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32,429</w:t>
            </w:r>
          </w:p>
        </w:tc>
        <w:tc>
          <w:tcPr>
            <w:tcW w:w="380" w:type="dxa"/>
            <w:vAlign w:val="bottom"/>
          </w:tcPr>
          <w:p>
            <w:pPr>
              <w:spacing w:after="0"/>
              <w:rPr>
                <w:sz w:val="24"/>
                <w:szCs w:val="24"/>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29,608</w:t>
            </w:r>
          </w:p>
        </w:tc>
      </w:tr>
      <w:tr>
        <w:trPr>
          <w:trHeight w:val="270"/>
        </w:trPr>
        <w:tc>
          <w:tcPr>
            <w:tcW w:w="9020" w:type="dxa"/>
            <w:vAlign w:val="bottom"/>
          </w:tcPr>
          <w:p>
            <w:pPr>
              <w:ind w:left="500"/>
              <w:spacing w:after="0"/>
              <w:rPr>
                <w:sz w:val="20"/>
                <w:szCs w:val="20"/>
                <w:color w:val="auto"/>
              </w:rPr>
            </w:pPr>
            <w:r>
              <w:rPr>
                <w:rFonts w:ascii="Arial" w:cs="Arial" w:eastAsia="Arial" w:hAnsi="Arial"/>
                <w:sz w:val="16"/>
                <w:szCs w:val="16"/>
                <w:color w:val="auto"/>
              </w:rPr>
              <w:t>Decrease in accounts payable and accrued liabilities</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(89,443)</w:t>
            </w: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(58,715)</w:t>
            </w:r>
          </w:p>
        </w:tc>
      </w:tr>
      <w:tr>
        <w:trPr>
          <w:trHeight w:val="270"/>
        </w:trPr>
        <w:tc>
          <w:tcPr>
            <w:tcW w:w="9020" w:type="dxa"/>
            <w:vAlign w:val="bottom"/>
          </w:tcPr>
          <w:p>
            <w:pPr>
              <w:ind w:left="500"/>
              <w:spacing w:after="0"/>
              <w:rPr>
                <w:sz w:val="20"/>
                <w:szCs w:val="20"/>
                <w:color w:val="auto"/>
              </w:rPr>
            </w:pPr>
            <w:r>
              <w:rPr>
                <w:rFonts w:ascii="Arial" w:cs="Arial" w:eastAsia="Arial" w:hAnsi="Arial"/>
                <w:sz w:val="16"/>
                <w:szCs w:val="16"/>
                <w:color w:val="auto"/>
              </w:rPr>
              <w:t>Decrease in deferred revenue</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(6,219)</w:t>
            </w: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(13,980)</w:t>
            </w:r>
          </w:p>
        </w:tc>
      </w:tr>
      <w:tr>
        <w:trPr>
          <w:trHeight w:val="270"/>
        </w:trPr>
        <w:tc>
          <w:tcPr>
            <w:tcW w:w="9020" w:type="dxa"/>
            <w:vAlign w:val="bottom"/>
          </w:tcPr>
          <w:p>
            <w:pPr>
              <w:ind w:left="500"/>
              <w:spacing w:after="0"/>
              <w:rPr>
                <w:sz w:val="20"/>
                <w:szCs w:val="20"/>
                <w:color w:val="auto"/>
              </w:rPr>
            </w:pPr>
            <w:r>
              <w:rPr>
                <w:rFonts w:ascii="Arial" w:cs="Arial" w:eastAsia="Arial" w:hAnsi="Arial"/>
                <w:sz w:val="16"/>
                <w:szCs w:val="16"/>
                <w:color w:val="auto"/>
              </w:rPr>
              <w:t>Increase in income taxes payable</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70,580</w:t>
            </w:r>
          </w:p>
        </w:tc>
        <w:tc>
          <w:tcPr>
            <w:tcW w:w="3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14,430</w:t>
            </w:r>
          </w:p>
        </w:tc>
      </w:tr>
      <w:tr>
        <w:trPr>
          <w:trHeight w:val="270"/>
        </w:trPr>
        <w:tc>
          <w:tcPr>
            <w:tcW w:w="9020" w:type="dxa"/>
            <w:vAlign w:val="bottom"/>
          </w:tcPr>
          <w:p>
            <w:pPr>
              <w:ind w:left="500"/>
              <w:spacing w:after="0"/>
              <w:rPr>
                <w:sz w:val="20"/>
                <w:szCs w:val="20"/>
                <w:color w:val="auto"/>
              </w:rPr>
            </w:pPr>
            <w:r>
              <w:rPr>
                <w:rFonts w:ascii="Arial" w:cs="Arial" w:eastAsia="Arial" w:hAnsi="Arial"/>
                <w:sz w:val="16"/>
                <w:szCs w:val="16"/>
                <w:color w:val="auto"/>
              </w:rPr>
              <w:t>Decrease (increase) in other assets and other liabilities, net</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54,837</w:t>
            </w: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(3,348)</w:t>
            </w:r>
          </w:p>
        </w:tc>
      </w:tr>
      <w:tr>
        <w:trPr>
          <w:trHeight w:val="274"/>
        </w:trPr>
        <w:tc>
          <w:tcPr>
            <w:tcW w:w="9020" w:type="dxa"/>
            <w:vAlign w:val="bottom"/>
          </w:tcPr>
          <w:p>
            <w:pPr>
              <w:ind w:left="28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111</w:t>
            </w:r>
          </w:p>
        </w:tc>
        <w:tc>
          <w:tcPr>
            <w:tcW w:w="3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990</w:t>
            </w:r>
          </w:p>
        </w:tc>
      </w:tr>
      <w:tr>
        <w:trPr>
          <w:trHeight w:val="261"/>
        </w:trPr>
        <w:tc>
          <w:tcPr>
            <w:tcW w:w="9020" w:type="dxa"/>
            <w:vAlign w:val="bottom"/>
          </w:tcPr>
          <w:p>
            <w:pPr>
              <w:ind w:left="50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188,451</w:t>
            </w:r>
          </w:p>
        </w:tc>
        <w:tc>
          <w:tcPr>
            <w:tcW w:w="3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197,511</w:t>
            </w:r>
          </w:p>
        </w:tc>
      </w:tr>
      <w:tr>
        <w:trPr>
          <w:trHeight w:val="263"/>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Investments in commercial paper</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(199,830)</w:t>
            </w:r>
          </w:p>
        </w:tc>
        <w:tc>
          <w:tcPr>
            <w:tcW w:w="3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Proceeds from maturities of commercial paper</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99,893</w:t>
            </w:r>
          </w:p>
        </w:tc>
        <w:tc>
          <w:tcPr>
            <w:tcW w:w="3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Net proceeds from sales of businesses, property, plant and equipment and other assets</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164,066</w:t>
            </w:r>
          </w:p>
        </w:tc>
        <w:tc>
          <w:tcPr>
            <w:tcW w:w="3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5,341</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Investments in certain businesses, net of cash acquired</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(130,767)</w:t>
            </w: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(1,200)</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Net distribution from equity affiliate</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93,481</w:t>
            </w:r>
          </w:p>
        </w:tc>
        <w:tc>
          <w:tcPr>
            <w:tcW w:w="3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Purchases of property, plant and equipment</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(92,627)</w:t>
            </w: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(87,652)</w:t>
            </w:r>
          </w:p>
        </w:tc>
      </w:tr>
      <w:tr>
        <w:trPr>
          <w:trHeight w:val="274"/>
        </w:trPr>
        <w:tc>
          <w:tcPr>
            <w:tcW w:w="9020" w:type="dxa"/>
            <w:vAlign w:val="bottom"/>
          </w:tcPr>
          <w:p>
            <w:pPr>
              <w:ind w:left="28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(7,589)</w:t>
            </w:r>
          </w:p>
        </w:tc>
        <w:tc>
          <w:tcPr>
            <w:tcW w:w="3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(10,743)</w:t>
            </w:r>
          </w:p>
        </w:tc>
      </w:tr>
      <w:tr>
        <w:trPr>
          <w:trHeight w:val="261"/>
        </w:trPr>
        <w:tc>
          <w:tcPr>
            <w:tcW w:w="9020" w:type="dxa"/>
            <w:vAlign w:val="bottom"/>
          </w:tcPr>
          <w:p>
            <w:pPr>
              <w:ind w:left="500"/>
              <w:spacing w:after="0"/>
              <w:rPr>
                <w:sz w:val="20"/>
                <w:szCs w:val="20"/>
                <w:color w:val="auto"/>
              </w:rPr>
            </w:pPr>
            <w:r>
              <w:rPr>
                <w:rFonts w:ascii="Arial" w:cs="Arial" w:eastAsia="Arial" w:hAnsi="Arial"/>
                <w:sz w:val="16"/>
                <w:szCs w:val="16"/>
                <w:color w:val="auto"/>
              </w:rPr>
              <w:t>Net Cash Used in Investing Activities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(73,373)</w:t>
            </w:r>
          </w:p>
        </w:tc>
        <w:tc>
          <w:tcPr>
            <w:tcW w:w="3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(94,254)</w:t>
            </w:r>
          </w:p>
        </w:tc>
      </w:tr>
      <w:tr>
        <w:trPr>
          <w:trHeight w:val="263"/>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Common shares repurchased, including the Berkshire Exchange transaction</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(327,718)</w:t>
            </w: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(4,196)</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Dividends paid</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(38,148)</w:t>
            </w: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(437)</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Repayment of short-term borrowing</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(240,121)</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Purchase of shares from a noncontrolling interest</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(3,115)</w:t>
            </w:r>
          </w:p>
        </w:tc>
      </w:tr>
      <w:tr>
        <w:trPr>
          <w:trHeight w:val="274"/>
        </w:trPr>
        <w:tc>
          <w:tcPr>
            <w:tcW w:w="9020" w:type="dxa"/>
            <w:vAlign w:val="bottom"/>
          </w:tcPr>
          <w:p>
            <w:pPr>
              <w:ind w:left="28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4,023</w:t>
            </w:r>
          </w:p>
        </w:tc>
        <w:tc>
          <w:tcPr>
            <w:tcW w:w="3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23,216</w:t>
            </w:r>
          </w:p>
        </w:tc>
      </w:tr>
      <w:tr>
        <w:trPr>
          <w:trHeight w:val="264"/>
        </w:trPr>
        <w:tc>
          <w:tcPr>
            <w:tcW w:w="9020" w:type="dxa"/>
            <w:vAlign w:val="bottom"/>
          </w:tcPr>
          <w:p>
            <w:pPr>
              <w:ind w:left="500"/>
              <w:spacing w:after="0"/>
              <w:rPr>
                <w:sz w:val="20"/>
                <w:szCs w:val="20"/>
                <w:color w:val="auto"/>
              </w:rPr>
            </w:pPr>
            <w:r>
              <w:rPr>
                <w:rFonts w:ascii="Arial" w:cs="Arial" w:eastAsia="Arial" w:hAnsi="Arial"/>
                <w:sz w:val="16"/>
                <w:szCs w:val="16"/>
                <w:color w:val="auto"/>
              </w:rPr>
              <w:t>Net Cash Used in Financing Activities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(361,843)</w:t>
            </w:r>
          </w:p>
        </w:tc>
        <w:tc>
          <w:tcPr>
            <w:tcW w:w="3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(224,653)</w:t>
            </w:r>
          </w:p>
        </w:tc>
      </w:tr>
      <w:tr>
        <w:trPr>
          <w:trHeight w:val="264"/>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Effect of Currency Exchange Rate Change</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2,069</w:t>
            </w:r>
          </w:p>
        </w:tc>
        <w:tc>
          <w:tcPr>
            <w:tcW w:w="3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(4,468)</w:t>
            </w:r>
          </w:p>
        </w:tc>
      </w:tr>
      <w:tr>
        <w:trPr>
          <w:trHeight w:val="260"/>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Net Decrease in Cash and Cash Equivalents</w:t>
            </w:r>
          </w:p>
        </w:tc>
        <w:tc>
          <w:tcPr>
            <w:tcW w:w="26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(244,696)</w:t>
            </w:r>
          </w:p>
        </w:tc>
        <w:tc>
          <w:tcPr>
            <w:tcW w:w="3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(125,864)</w:t>
            </w:r>
          </w:p>
        </w:tc>
      </w:tr>
      <w:tr>
        <w:trPr>
          <w:trHeight w:val="274"/>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Beginning Cash and Cash Equivalents</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569,719</w:t>
            </w:r>
          </w:p>
        </w:tc>
        <w:tc>
          <w:tcPr>
            <w:tcW w:w="3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512,431</w:t>
            </w:r>
          </w:p>
        </w:tc>
      </w:tr>
      <w:tr>
        <w:trPr>
          <w:trHeight w:val="267"/>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Ending Cash and Cash Equivalents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325,023</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386,567</w:t>
            </w:r>
          </w:p>
        </w:tc>
      </w:tr>
      <w:tr>
        <w:trPr>
          <w:trHeight w:val="20"/>
        </w:trPr>
        <w:tc>
          <w:tcPr>
            <w:tcW w:w="9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ectPr>
          <w:pgSz w:w="11900" w:h="16838" w:orient="portrait"/>
          <w:cols w:equalWidth="0" w:num="1">
            <w:col w:w="11420"/>
          </w:cols>
          <w:pgMar w:left="240" w:top="574" w:right="239" w:bottom="1440" w:gutter="0" w:footer="0" w:header="0"/>
        </w:sect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574" w:right="239" w:bottom="1440" w:gutter="0" w:footer="0" w:header="0"/>
          <w:type w:val="continuous"/>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BASIS OF PRESENTATION AND RECENT ACCOUNTING PRONOUNCEMENTS</w:t>
      </w:r>
    </w:p>
    <w:p>
      <w:pPr>
        <w:spacing w:after="0" w:line="146" w:lineRule="exact"/>
        <w:rPr>
          <w:sz w:val="20"/>
          <w:szCs w:val="20"/>
          <w:color w:val="auto"/>
        </w:rPr>
      </w:pPr>
    </w:p>
    <w:p>
      <w:pPr>
        <w:jc w:val="both"/>
        <w:spacing w:after="0"/>
        <w:rPr>
          <w:sz w:val="20"/>
          <w:szCs w:val="20"/>
          <w:color w:val="auto"/>
        </w:rPr>
      </w:pPr>
      <w:r>
        <w:rPr>
          <w:rFonts w:ascii="Arial" w:cs="Arial" w:eastAsia="Arial" w:hAnsi="Arial"/>
          <w:sz w:val="18"/>
          <w:szCs w:val="18"/>
          <w:color w:val="auto"/>
        </w:rPr>
        <w:t>Graham Holdings Company (the Company), is a diversified education and media company. The Company’s Kaplan subsidiary provides a wide variety of educational services, both domestically and outside the United States. The Company’s media operations comprise the ownership and operation of cable systems and television broadcasting (through the ownership and operation of five television broadcast stations).</w:t>
      </w:r>
    </w:p>
    <w:p>
      <w:pPr>
        <w:spacing w:after="0" w:line="108" w:lineRule="exact"/>
        <w:rPr>
          <w:sz w:val="20"/>
          <w:szCs w:val="20"/>
          <w:color w:val="auto"/>
        </w:rPr>
      </w:pPr>
    </w:p>
    <w:p>
      <w:pPr>
        <w:ind w:right="460"/>
        <w:spacing w:after="0"/>
        <w:rPr>
          <w:sz w:val="20"/>
          <w:szCs w:val="20"/>
          <w:color w:val="auto"/>
        </w:rPr>
      </w:pPr>
      <w:r>
        <w:rPr>
          <w:rFonts w:ascii="Arial" w:cs="Arial" w:eastAsia="Arial" w:hAnsi="Arial"/>
          <w:sz w:val="18"/>
          <w:szCs w:val="18"/>
          <w:color w:val="auto"/>
        </w:rPr>
        <w:t>On April 11, 2014, the Company announced that it had entered into an exchange agreement that would result in the disposal of WPLG, its Miami-based television station. On June 30, 2014, the Company completed the exchange. The operating results of WPLG have been presented in income (loss) from discontinued operations, net of tax, for all periods presented.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 The accompanying condensed consolidated financial statements have been prepared in accordance with:</w:t>
      </w:r>
    </w:p>
    <w:p>
      <w:pPr>
        <w:ind w:left="220" w:hanging="212"/>
        <w:spacing w:after="0" w:line="226"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generally accepted accounting principles in the United States of America (GAAP) for interim financial information; (ii) the instructions to Form</w:t>
      </w:r>
    </w:p>
    <w:p>
      <w:pPr>
        <w:ind w:right="160"/>
        <w:spacing w:after="0" w:line="222" w:lineRule="auto"/>
        <w:rPr>
          <w:rFonts w:ascii="Arial" w:cs="Arial" w:eastAsia="Arial" w:hAnsi="Arial"/>
          <w:sz w:val="18"/>
          <w:szCs w:val="18"/>
          <w:color w:val="auto"/>
        </w:rPr>
      </w:pPr>
      <w:r>
        <w:rPr>
          <w:rFonts w:ascii="Arial" w:cs="Arial" w:eastAsia="Arial" w:hAnsi="Arial"/>
          <w:sz w:val="18"/>
          <w:szCs w:val="18"/>
          <w:color w:val="auto"/>
        </w:rPr>
        <w:t>10-Q; and (iii) the guidance of Rule 10-01 of Regulation S-X under the Securities and Exchange Act of 1934, as amended, for financial statements required to be filed with the Securities and Exchange Commission (SEC). They include the assets, liabilities, results of operations and cash flows of the Company, including its domestic and foreign subsidiaries that are more than 50% owned or otherwise controlled by the Company. As permitted under such rules, certain notes and other financial information normally required by GAAP have been condensed or omitted. Management believes the accompanying condensed consolidated financial statements reflect all normal and recurring adjustments necessary for a fair presentation of the Company’s financial position, results of operations, and cash flows as of and for the periods presented herein. The Company’s results of operations for the three and six months ended June 30, 2014 and 2013 may not be indicative of the Company’s future results. These condensed consolidated financial statements are unaudited and should be read in conjunction with the Company’s audited consolidated financial statements and the notes thereto included in the Company’s Annual Report on Form 10-K for the fiscal year ended December 31, 2013.</w:t>
      </w:r>
    </w:p>
    <w:p>
      <w:pPr>
        <w:spacing w:after="0" w:line="116"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The year-end condensed consolidated balance sheet data was derived from audited financial statements, but does not include all disclosures required by GAAP.</w:t>
      </w:r>
    </w:p>
    <w:p>
      <w:pPr>
        <w:spacing w:after="0" w:line="92"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Certain amounts in previously issued financial statements have been reclassified to conform to the current year presentation, which includes the reclassification of the results of operations of certain businesses as discontinued operations for all periods presented.</w:t>
      </w:r>
    </w:p>
    <w:p>
      <w:pPr>
        <w:spacing w:after="0" w:line="90" w:lineRule="exact"/>
        <w:rPr>
          <w:sz w:val="20"/>
          <w:szCs w:val="20"/>
          <w:color w:val="auto"/>
        </w:rPr>
      </w:pPr>
    </w:p>
    <w:p>
      <w:pPr>
        <w:ind w:right="120"/>
        <w:spacing w:after="0" w:line="232" w:lineRule="auto"/>
        <w:rPr>
          <w:sz w:val="20"/>
          <w:szCs w:val="20"/>
          <w:color w:val="auto"/>
        </w:rPr>
      </w:pPr>
      <w:r>
        <w:rPr>
          <w:rFonts w:ascii="Arial" w:cs="Arial" w:eastAsia="Arial" w:hAnsi="Arial"/>
          <w:sz w:val="18"/>
          <w:szCs w:val="18"/>
          <w:b w:val="1"/>
          <w:bCs w:val="1"/>
          <w:color w:val="auto"/>
        </w:rPr>
        <w:t xml:space="preserve">Use of Estimates in the Preparation of the Condensed Consolidated Financial Statements </w:t>
      </w:r>
      <w:r>
        <w:rPr>
          <w:rFonts w:ascii="Arial" w:cs="Arial" w:eastAsia="Arial" w:hAnsi="Arial"/>
          <w:sz w:val="18"/>
          <w:szCs w:val="18"/>
          <w:color w:val="auto"/>
        </w:rPr>
        <w:t>– The preparation of the condensed</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consolidated financial statements in conformity with GAAP requires management to make estimates and judgments that affect the amounts reported herein. Management bases its estimates and assumptions on historical experience and on various other factors that are believed to be reasonable under the circumstances. Due to the inherent uncertainty involved in making estimates, actual results reported in future periods may be affected by changes in those estimates.</w:t>
      </w:r>
    </w:p>
    <w:p>
      <w:pPr>
        <w:spacing w:after="0" w:line="107" w:lineRule="exact"/>
        <w:rPr>
          <w:sz w:val="20"/>
          <w:szCs w:val="20"/>
          <w:color w:val="auto"/>
        </w:rPr>
      </w:pPr>
    </w:p>
    <w:p>
      <w:pPr>
        <w:ind w:right="40"/>
        <w:spacing w:after="0" w:line="232" w:lineRule="auto"/>
        <w:rPr>
          <w:sz w:val="20"/>
          <w:szCs w:val="20"/>
          <w:color w:val="auto"/>
        </w:rPr>
      </w:pPr>
      <w:r>
        <w:rPr>
          <w:rFonts w:ascii="Arial" w:cs="Arial" w:eastAsia="Arial" w:hAnsi="Arial"/>
          <w:sz w:val="18"/>
          <w:szCs w:val="18"/>
          <w:b w:val="1"/>
          <w:bCs w:val="1"/>
          <w:color w:val="auto"/>
        </w:rPr>
        <w:t xml:space="preserve">Assets Held for Sale </w:t>
      </w:r>
      <w:r>
        <w:rPr>
          <w:rFonts w:ascii="Arial" w:cs="Arial" w:eastAsia="Arial" w:hAnsi="Arial"/>
          <w:sz w:val="18"/>
          <w:szCs w:val="18"/>
          <w:color w:val="auto"/>
        </w:rPr>
        <w:t>– An asset or business is classified as held for sale when (i) management commits to a plan to sell the asset or</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(ii) the asset or business is available for immediate sale in its present condition; (iii) the asset or business is actively marketed for sale at a reasonable price; (iv) the sale is expected to be completed within one year; and (v) it is unlikely significant changes to the plan will be made or that the plan will be withdrawn. The assets and related liabilities are aggregated and reported separately in the Company’s condensed consolidated balance sheet.</w:t>
      </w:r>
    </w:p>
    <w:p>
      <w:pPr>
        <w:spacing w:after="0" w:line="107"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b w:val="1"/>
          <w:bCs w:val="1"/>
          <w:color w:val="auto"/>
        </w:rPr>
        <w:t xml:space="preserve">Recently Adopted and Issued Accounting Pronouncements </w:t>
      </w:r>
      <w:r>
        <w:rPr>
          <w:rFonts w:ascii="Arial" w:cs="Arial" w:eastAsia="Arial" w:hAnsi="Arial"/>
          <w:sz w:val="18"/>
          <w:szCs w:val="18"/>
          <w:color w:val="auto"/>
        </w:rPr>
        <w:t>– In April 2014, the Financial Accounting Standards Board (FASB) issued new</w:t>
      </w:r>
      <w:r>
        <w:rPr>
          <w:rFonts w:ascii="Arial" w:cs="Arial" w:eastAsia="Arial" w:hAnsi="Arial"/>
          <w:sz w:val="18"/>
          <w:szCs w:val="18"/>
          <w:b w:val="1"/>
          <w:bCs w:val="1"/>
          <w:color w:val="auto"/>
        </w:rPr>
        <w:t xml:space="preserve"> </w:t>
      </w:r>
      <w:r>
        <w:rPr>
          <w:rFonts w:ascii="Arial" w:cs="Arial" w:eastAsia="Arial" w:hAnsi="Arial"/>
          <w:sz w:val="18"/>
          <w:szCs w:val="18"/>
          <w:color w:val="auto"/>
        </w:rPr>
        <w:t>guidance that modifies the requirements for reporting discontinued operations. The new guidance requires the reporting of the disposal of an entity or component of an entity as discontinued operations if the disposal represents a strategic shift that has or will have a major effect on the entity’s operations and financial results. The new guidance also expands the disclosures for discontinued operations and requires new disclosures related to individually material disposals that do not meet the definition of a discontinued operation. This guidance is effective for interim and fiscal years beginning after December 15, 2014. Early adoption is permitted for disposals that have not been reported in financial statements previously issued or available for issuance. The Company is in the process of evaluating the impact of this new guidance on its condensed consolidated financial statements.</w:t>
      </w:r>
    </w:p>
    <w:p>
      <w:pPr>
        <w:spacing w:after="0" w:line="110" w:lineRule="exact"/>
        <w:rPr>
          <w:sz w:val="20"/>
          <w:szCs w:val="20"/>
          <w:color w:val="auto"/>
        </w:rPr>
      </w:pPr>
    </w:p>
    <w:p>
      <w:pPr>
        <w:ind w:right="360"/>
        <w:spacing w:after="0" w:line="260" w:lineRule="auto"/>
        <w:rPr>
          <w:sz w:val="20"/>
          <w:szCs w:val="20"/>
          <w:color w:val="auto"/>
        </w:rPr>
      </w:pPr>
      <w:r>
        <w:rPr>
          <w:rFonts w:ascii="Arial" w:cs="Arial" w:eastAsia="Arial" w:hAnsi="Arial"/>
          <w:sz w:val="18"/>
          <w:szCs w:val="18"/>
          <w:color w:val="auto"/>
        </w:rPr>
        <w:t>In May 2014, the FASB issued comprehensive new guidance that supersedes all existing revenue recognition guidance. The new guidance requires revenue to be recognized when the Company transfers promised goods or</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74" w:right="239" w:bottom="1440" w:gutter="0" w:footer="0" w:header="0"/>
        </w:sectPr>
      </w:pPr>
    </w:p>
    <w:bookmarkStart w:id="8" w:name="page9"/>
    <w:bookmarkEnd w:id="8"/>
    <w:p>
      <w:pPr>
        <w:ind w:right="20"/>
        <w:spacing w:after="0" w:line="228" w:lineRule="auto"/>
        <w:rPr>
          <w:sz w:val="20"/>
          <w:szCs w:val="20"/>
          <w:color w:val="auto"/>
        </w:rPr>
      </w:pPr>
      <w:r>
        <w:rPr>
          <w:rFonts w:ascii="Arial" w:cs="Arial" w:eastAsia="Arial" w:hAnsi="Arial"/>
          <w:sz w:val="18"/>
          <w:szCs w:val="18"/>
          <w:color w:val="auto"/>
        </w:rPr>
        <w:t>services to customers in an amount that reflects the consideration to which the Company expects to be entitled in exchange for those goods or services. The new guidance also significantly expands the disclosure requirements for revenue recognition. This guidance is effective for interim and fiscal years beginning after December 15, 2016. Early adoption is not permitted. The standard permits two implementation approaches, one requiring retrospective application of the new guidance with a restatement of prior years and one requiring prospective application of the new guidance with disclosure of results under the old guidance. The Company is in the process of evaluating the impact of this new guidance on its condensed consolidated financial statements, and believes such evaluation will extend over several future periods due to the significance of the changes to the Company's policies and business processes.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DISCONTINUED OPERATIONS</w:t>
      </w:r>
    </w:p>
    <w:p>
      <w:pPr>
        <w:spacing w:after="0" w:line="146"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On June 30, 2014, the Company and Berkshire Hathaway Inc. completed a transaction, as described in Note 4, in which Berkshire acquired a wholly-owned subsidiary of the Company that included, among other things, WPLG, a Miami-based television station; a $375.0 million gain from the WPLG sale was recorded in the second quarter of 2014.</w:t>
      </w:r>
    </w:p>
    <w:p>
      <w:pPr>
        <w:spacing w:after="0" w:line="108" w:lineRule="exact"/>
        <w:rPr>
          <w:sz w:val="20"/>
          <w:szCs w:val="20"/>
          <w:color w:val="auto"/>
        </w:rPr>
      </w:pPr>
    </w:p>
    <w:p>
      <w:pPr>
        <w:ind w:right="60"/>
        <w:spacing w:after="0"/>
        <w:rPr>
          <w:sz w:val="20"/>
          <w:szCs w:val="20"/>
          <w:color w:val="auto"/>
        </w:rPr>
      </w:pPr>
      <w:r>
        <w:rPr>
          <w:rFonts w:ascii="Arial" w:cs="Arial" w:eastAsia="Arial" w:hAnsi="Arial"/>
          <w:sz w:val="18"/>
          <w:szCs w:val="18"/>
          <w:color w:val="auto"/>
        </w:rPr>
        <w:t>On October 1, 2013, the Company completed the sale of most of its newspaper publishing businesses. The publishing businesses sold include The Washington Post, Express, The Gazette Newspapers, Southern Maryland Newspapers, Greater Washington Publishing, Fairfax County Times and El Tiempo Latino and related websites (Publishing Subsidiaries).</w:t>
      </w:r>
    </w:p>
    <w:p>
      <w:pPr>
        <w:spacing w:after="0" w:line="108" w:lineRule="exact"/>
        <w:rPr>
          <w:sz w:val="20"/>
          <w:szCs w:val="20"/>
          <w:color w:val="auto"/>
        </w:rPr>
      </w:pPr>
    </w:p>
    <w:p>
      <w:pPr>
        <w:ind w:right="400"/>
        <w:spacing w:after="0" w:line="260" w:lineRule="auto"/>
        <w:rPr>
          <w:sz w:val="20"/>
          <w:szCs w:val="20"/>
          <w:color w:val="auto"/>
        </w:rPr>
      </w:pPr>
      <w:r>
        <w:rPr>
          <w:rFonts w:ascii="Arial" w:cs="Arial" w:eastAsia="Arial" w:hAnsi="Arial"/>
          <w:sz w:val="18"/>
          <w:szCs w:val="18"/>
          <w:color w:val="auto"/>
        </w:rPr>
        <w:t>In March 2013, the Company completed the sale of The Herald which resulted in a pre-tax loss of $0.1 million that was recorded in the first quarter of 2013.</w:t>
      </w:r>
    </w:p>
    <w:p>
      <w:pPr>
        <w:spacing w:after="0" w:line="92" w:lineRule="exact"/>
        <w:rPr>
          <w:sz w:val="20"/>
          <w:szCs w:val="20"/>
          <w:color w:val="auto"/>
        </w:rPr>
      </w:pPr>
    </w:p>
    <w:p>
      <w:pPr>
        <w:ind w:right="360"/>
        <w:spacing w:after="0"/>
        <w:rPr>
          <w:sz w:val="20"/>
          <w:szCs w:val="20"/>
          <w:color w:val="auto"/>
        </w:rPr>
      </w:pPr>
      <w:r>
        <w:rPr>
          <w:rFonts w:ascii="Arial" w:cs="Arial" w:eastAsia="Arial" w:hAnsi="Arial"/>
          <w:sz w:val="18"/>
          <w:szCs w:val="18"/>
          <w:color w:val="auto"/>
        </w:rPr>
        <w:t>The results of operations of WPLG, the Publishing Subsidiaries and The Herald are included in the Company’s Consolidated Statements of Operations as Income (Loss) from Discontinued Operations, Net of Tax, for all periods presented. The Company did not reclassify its Statements of Cash Flows or prior Condensed Consolidated Balance Sheets to reflect the various discontinued operations.</w:t>
      </w:r>
    </w:p>
    <w:p>
      <w:pPr>
        <w:spacing w:after="0" w:line="108" w:lineRule="exact"/>
        <w:rPr>
          <w:sz w:val="20"/>
          <w:szCs w:val="20"/>
          <w:color w:val="auto"/>
        </w:rPr>
      </w:pPr>
    </w:p>
    <w:p>
      <w:pPr>
        <w:ind w:right="360"/>
        <w:spacing w:after="0"/>
        <w:rPr>
          <w:sz w:val="20"/>
          <w:szCs w:val="20"/>
          <w:color w:val="auto"/>
        </w:rPr>
      </w:pPr>
      <w:r>
        <w:rPr>
          <w:rFonts w:ascii="Arial" w:cs="Arial" w:eastAsia="Arial" w:hAnsi="Arial"/>
          <w:sz w:val="18"/>
          <w:szCs w:val="18"/>
          <w:color w:val="auto"/>
        </w:rPr>
        <w:t>In the first quarter of 2014, an after-tax adjustment of $3.0 million was made to reduce the $100.0 million after-tax gain on the sale of the Publishing Subsidiaries previously reported in the fourth quarter of 2013, as a result of changes in estimates related to liabilities retained as part of the sale.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summarized income (loss) from discontinued operations, net of tax, is presented below:</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8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232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Six Months Ended</w:t>
            </w:r>
          </w:p>
        </w:tc>
      </w:tr>
      <w:tr>
        <w:trPr>
          <w:trHeight w:val="203"/>
        </w:trPr>
        <w:tc>
          <w:tcPr>
            <w:tcW w:w="60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7"/>
                <w:szCs w:val="17"/>
                <w:color w:val="auto"/>
              </w:rPr>
            </w:pPr>
          </w:p>
        </w:tc>
      </w:tr>
      <w:tr>
        <w:trPr>
          <w:trHeight w:val="264"/>
        </w:trPr>
        <w:tc>
          <w:tcPr>
            <w:tcW w:w="6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2013</w:t>
            </w: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2013</w:t>
            </w:r>
          </w:p>
        </w:tc>
      </w:tr>
      <w:tr>
        <w:trPr>
          <w:trHeight w:val="257"/>
        </w:trPr>
        <w:tc>
          <w:tcPr>
            <w:tcW w:w="6060" w:type="dxa"/>
            <w:vAlign w:val="bottom"/>
          </w:tcPr>
          <w:p>
            <w:pPr>
              <w:ind w:left="40"/>
              <w:spacing w:after="0"/>
              <w:rPr>
                <w:sz w:val="20"/>
                <w:szCs w:val="20"/>
                <w:color w:val="auto"/>
              </w:rPr>
            </w:pPr>
            <w:r>
              <w:rPr>
                <w:rFonts w:ascii="Arial" w:cs="Arial" w:eastAsia="Arial" w:hAnsi="Arial"/>
                <w:sz w:val="16"/>
                <w:szCs w:val="16"/>
                <w:color w:val="auto"/>
              </w:rPr>
              <w:t>Operating revenues</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61"/>
              <w:spacing w:after="0"/>
              <w:rPr>
                <w:sz w:val="20"/>
                <w:szCs w:val="20"/>
                <w:color w:val="auto"/>
              </w:rPr>
            </w:pPr>
            <w:r>
              <w:rPr>
                <w:rFonts w:ascii="Arial" w:cs="Arial" w:eastAsia="Arial" w:hAnsi="Arial"/>
                <w:sz w:val="16"/>
                <w:szCs w:val="16"/>
                <w:b w:val="1"/>
                <w:bCs w:val="1"/>
                <w:color w:val="auto"/>
              </w:rPr>
              <w:t>20,907</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151,347</w:t>
            </w:r>
          </w:p>
        </w:tc>
        <w:tc>
          <w:tcPr>
            <w:tcW w:w="36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81"/>
              <w:spacing w:after="0"/>
              <w:rPr>
                <w:sz w:val="20"/>
                <w:szCs w:val="20"/>
                <w:color w:val="auto"/>
              </w:rPr>
            </w:pPr>
            <w:r>
              <w:rPr>
                <w:rFonts w:ascii="Arial" w:cs="Arial" w:eastAsia="Arial" w:hAnsi="Arial"/>
                <w:sz w:val="16"/>
                <w:szCs w:val="16"/>
                <w:b w:val="1"/>
                <w:bCs w:val="1"/>
                <w:color w:val="auto"/>
              </w:rPr>
              <w:t>37,181</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293,321</w:t>
            </w:r>
          </w:p>
        </w:tc>
      </w:tr>
      <w:tr>
        <w:trPr>
          <w:trHeight w:val="274"/>
        </w:trPr>
        <w:tc>
          <w:tcPr>
            <w:tcW w:w="6060" w:type="dxa"/>
            <w:vAlign w:val="bottom"/>
          </w:tcPr>
          <w:p>
            <w:pPr>
              <w:ind w:left="40"/>
              <w:spacing w:after="0"/>
              <w:rPr>
                <w:sz w:val="20"/>
                <w:szCs w:val="20"/>
                <w:color w:val="auto"/>
              </w:rPr>
            </w:pPr>
            <w:r>
              <w:rPr>
                <w:rFonts w:ascii="Arial" w:cs="Arial" w:eastAsia="Arial" w:hAnsi="Arial"/>
                <w:sz w:val="16"/>
                <w:szCs w:val="16"/>
                <w:color w:val="auto"/>
              </w:rPr>
              <w:t>Operating costs and expenses</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(12,568)</w:t>
            </w:r>
          </w:p>
        </w:tc>
        <w:tc>
          <w:tcPr>
            <w:tcW w:w="4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(154,598)</w:t>
            </w:r>
          </w:p>
        </w:tc>
        <w:tc>
          <w:tcPr>
            <w:tcW w:w="3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(22,701)</w:t>
            </w:r>
          </w:p>
        </w:tc>
        <w:tc>
          <w:tcPr>
            <w:tcW w:w="4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(322,675)</w:t>
            </w:r>
          </w:p>
        </w:tc>
      </w:tr>
      <w:tr>
        <w:trPr>
          <w:trHeight w:val="260"/>
        </w:trPr>
        <w:tc>
          <w:tcPr>
            <w:tcW w:w="6060" w:type="dxa"/>
            <w:vAlign w:val="bottom"/>
          </w:tcPr>
          <w:p>
            <w:pPr>
              <w:ind w:left="40"/>
              <w:spacing w:after="0"/>
              <w:rPr>
                <w:sz w:val="20"/>
                <w:szCs w:val="20"/>
                <w:color w:val="auto"/>
              </w:rPr>
            </w:pPr>
            <w:r>
              <w:rPr>
                <w:rFonts w:ascii="Arial" w:cs="Arial" w:eastAsia="Arial" w:hAnsi="Arial"/>
                <w:sz w:val="16"/>
                <w:szCs w:val="16"/>
                <w:color w:val="auto"/>
              </w:rPr>
              <w:t>Income (loss) from discontinued operations</w:t>
            </w:r>
          </w:p>
        </w:tc>
        <w:tc>
          <w:tcPr>
            <w:tcW w:w="300" w:type="dxa"/>
            <w:vAlign w:val="bottom"/>
          </w:tcPr>
          <w:p>
            <w:pPr>
              <w:spacing w:after="0"/>
              <w:rPr>
                <w:sz w:val="22"/>
                <w:szCs w:val="22"/>
                <w:color w:val="auto"/>
              </w:rPr>
            </w:pPr>
          </w:p>
        </w:tc>
        <w:tc>
          <w:tcPr>
            <w:tcW w:w="1000" w:type="dxa"/>
            <w:vAlign w:val="bottom"/>
          </w:tcPr>
          <w:p>
            <w:pPr>
              <w:jc w:val="right"/>
              <w:ind w:right="61"/>
              <w:spacing w:after="0"/>
              <w:rPr>
                <w:sz w:val="20"/>
                <w:szCs w:val="20"/>
                <w:color w:val="auto"/>
              </w:rPr>
            </w:pPr>
            <w:r>
              <w:rPr>
                <w:rFonts w:ascii="Arial" w:cs="Arial" w:eastAsia="Arial" w:hAnsi="Arial"/>
                <w:sz w:val="16"/>
                <w:szCs w:val="16"/>
                <w:b w:val="1"/>
                <w:bCs w:val="1"/>
                <w:color w:val="auto"/>
              </w:rPr>
              <w:t>8,339</w:t>
            </w:r>
          </w:p>
        </w:tc>
        <w:tc>
          <w:tcPr>
            <w:tcW w:w="440" w:type="dxa"/>
            <w:vAlign w:val="bottom"/>
          </w:tcPr>
          <w:p>
            <w:pPr>
              <w:spacing w:after="0"/>
              <w:rPr>
                <w:sz w:val="22"/>
                <w:szCs w:val="22"/>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(3,251)</w:t>
            </w:r>
          </w:p>
        </w:tc>
        <w:tc>
          <w:tcPr>
            <w:tcW w:w="360" w:type="dxa"/>
            <w:vAlign w:val="bottom"/>
          </w:tcPr>
          <w:p>
            <w:pPr>
              <w:spacing w:after="0"/>
              <w:rPr>
                <w:sz w:val="22"/>
                <w:szCs w:val="22"/>
                <w:color w:val="auto"/>
              </w:rPr>
            </w:pPr>
          </w:p>
        </w:tc>
        <w:tc>
          <w:tcPr>
            <w:tcW w:w="1000" w:type="dxa"/>
            <w:vAlign w:val="bottom"/>
          </w:tcPr>
          <w:p>
            <w:pPr>
              <w:jc w:val="right"/>
              <w:ind w:right="81"/>
              <w:spacing w:after="0"/>
              <w:rPr>
                <w:sz w:val="20"/>
                <w:szCs w:val="20"/>
                <w:color w:val="auto"/>
              </w:rPr>
            </w:pPr>
            <w:r>
              <w:rPr>
                <w:rFonts w:ascii="Arial" w:cs="Arial" w:eastAsia="Arial" w:hAnsi="Arial"/>
                <w:sz w:val="16"/>
                <w:szCs w:val="16"/>
                <w:b w:val="1"/>
                <w:bCs w:val="1"/>
                <w:color w:val="auto"/>
              </w:rPr>
              <w:t>14,480</w:t>
            </w:r>
          </w:p>
        </w:tc>
        <w:tc>
          <w:tcPr>
            <w:tcW w:w="4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(29,354)</w:t>
            </w:r>
          </w:p>
        </w:tc>
      </w:tr>
      <w:tr>
        <w:trPr>
          <w:trHeight w:val="274"/>
        </w:trPr>
        <w:tc>
          <w:tcPr>
            <w:tcW w:w="6060" w:type="dxa"/>
            <w:vAlign w:val="bottom"/>
          </w:tcPr>
          <w:p>
            <w:pPr>
              <w:ind w:left="40"/>
              <w:spacing w:after="0"/>
              <w:rPr>
                <w:sz w:val="20"/>
                <w:szCs w:val="20"/>
                <w:color w:val="auto"/>
              </w:rPr>
            </w:pPr>
            <w:r>
              <w:rPr>
                <w:rFonts w:ascii="Arial" w:cs="Arial" w:eastAsia="Arial" w:hAnsi="Arial"/>
                <w:sz w:val="16"/>
                <w:szCs w:val="16"/>
                <w:color w:val="auto"/>
              </w:rPr>
              <w:t>Provision (benefit) from income taxes</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2,913</w:t>
            </w:r>
          </w:p>
        </w:tc>
        <w:tc>
          <w:tcPr>
            <w:tcW w:w="4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(1,300)</w:t>
            </w:r>
          </w:p>
        </w:tc>
        <w:tc>
          <w:tcPr>
            <w:tcW w:w="3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4,939</w:t>
            </w:r>
          </w:p>
        </w:tc>
        <w:tc>
          <w:tcPr>
            <w:tcW w:w="4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(10,476)</w:t>
            </w:r>
          </w:p>
        </w:tc>
      </w:tr>
      <w:tr>
        <w:trPr>
          <w:trHeight w:val="260"/>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Net Income (Loss) from Discontinued Operations</w:t>
            </w:r>
          </w:p>
        </w:tc>
        <w:tc>
          <w:tcPr>
            <w:tcW w:w="300" w:type="dxa"/>
            <w:vAlign w:val="bottom"/>
          </w:tcPr>
          <w:p>
            <w:pPr>
              <w:spacing w:after="0"/>
              <w:rPr>
                <w:sz w:val="22"/>
                <w:szCs w:val="22"/>
                <w:color w:val="auto"/>
              </w:rPr>
            </w:pPr>
          </w:p>
        </w:tc>
        <w:tc>
          <w:tcPr>
            <w:tcW w:w="1000" w:type="dxa"/>
            <w:vAlign w:val="bottom"/>
          </w:tcPr>
          <w:p>
            <w:pPr>
              <w:jc w:val="right"/>
              <w:ind w:right="61"/>
              <w:spacing w:after="0"/>
              <w:rPr>
                <w:sz w:val="20"/>
                <w:szCs w:val="20"/>
                <w:color w:val="auto"/>
              </w:rPr>
            </w:pPr>
            <w:r>
              <w:rPr>
                <w:rFonts w:ascii="Arial" w:cs="Arial" w:eastAsia="Arial" w:hAnsi="Arial"/>
                <w:sz w:val="16"/>
                <w:szCs w:val="16"/>
                <w:b w:val="1"/>
                <w:bCs w:val="1"/>
                <w:color w:val="auto"/>
              </w:rPr>
              <w:t>5,426</w:t>
            </w:r>
          </w:p>
        </w:tc>
        <w:tc>
          <w:tcPr>
            <w:tcW w:w="440" w:type="dxa"/>
            <w:vAlign w:val="bottom"/>
          </w:tcPr>
          <w:p>
            <w:pPr>
              <w:spacing w:after="0"/>
              <w:rPr>
                <w:sz w:val="22"/>
                <w:szCs w:val="22"/>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(1,951)</w:t>
            </w:r>
          </w:p>
        </w:tc>
        <w:tc>
          <w:tcPr>
            <w:tcW w:w="360" w:type="dxa"/>
            <w:vAlign w:val="bottom"/>
          </w:tcPr>
          <w:p>
            <w:pPr>
              <w:spacing w:after="0"/>
              <w:rPr>
                <w:sz w:val="22"/>
                <w:szCs w:val="22"/>
                <w:color w:val="auto"/>
              </w:rPr>
            </w:pPr>
          </w:p>
        </w:tc>
        <w:tc>
          <w:tcPr>
            <w:tcW w:w="1000" w:type="dxa"/>
            <w:vAlign w:val="bottom"/>
          </w:tcPr>
          <w:p>
            <w:pPr>
              <w:jc w:val="right"/>
              <w:ind w:right="81"/>
              <w:spacing w:after="0"/>
              <w:rPr>
                <w:sz w:val="20"/>
                <w:szCs w:val="20"/>
                <w:color w:val="auto"/>
              </w:rPr>
            </w:pPr>
            <w:r>
              <w:rPr>
                <w:rFonts w:ascii="Arial" w:cs="Arial" w:eastAsia="Arial" w:hAnsi="Arial"/>
                <w:sz w:val="16"/>
                <w:szCs w:val="16"/>
                <w:b w:val="1"/>
                <w:bCs w:val="1"/>
                <w:color w:val="auto"/>
              </w:rPr>
              <w:t>9,541</w:t>
            </w:r>
          </w:p>
        </w:tc>
        <w:tc>
          <w:tcPr>
            <w:tcW w:w="4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(18,878)</w:t>
            </w:r>
          </w:p>
        </w:tc>
      </w:tr>
      <w:tr>
        <w:trPr>
          <w:trHeight w:val="270"/>
        </w:trPr>
        <w:tc>
          <w:tcPr>
            <w:tcW w:w="6060" w:type="dxa"/>
            <w:vAlign w:val="bottom"/>
          </w:tcPr>
          <w:p>
            <w:pPr>
              <w:ind w:left="40"/>
              <w:spacing w:after="0"/>
              <w:rPr>
                <w:sz w:val="20"/>
                <w:szCs w:val="20"/>
                <w:color w:val="auto"/>
              </w:rPr>
            </w:pPr>
            <w:r>
              <w:rPr>
                <w:rFonts w:ascii="Arial" w:cs="Arial" w:eastAsia="Arial" w:hAnsi="Arial"/>
                <w:sz w:val="16"/>
                <w:szCs w:val="16"/>
                <w:color w:val="auto"/>
              </w:rPr>
              <w:t>Gain (loss) on sales of discontinued operations</w:t>
            </w:r>
          </w:p>
        </w:tc>
        <w:tc>
          <w:tcPr>
            <w:tcW w:w="300" w:type="dxa"/>
            <w:vAlign w:val="bottom"/>
          </w:tcPr>
          <w:p>
            <w:pPr>
              <w:spacing w:after="0"/>
              <w:rPr>
                <w:sz w:val="23"/>
                <w:szCs w:val="23"/>
                <w:color w:val="auto"/>
              </w:rPr>
            </w:pPr>
          </w:p>
        </w:tc>
        <w:tc>
          <w:tcPr>
            <w:tcW w:w="1000" w:type="dxa"/>
            <w:vAlign w:val="bottom"/>
          </w:tcPr>
          <w:p>
            <w:pPr>
              <w:jc w:val="right"/>
              <w:ind w:right="61"/>
              <w:spacing w:after="0"/>
              <w:rPr>
                <w:sz w:val="20"/>
                <w:szCs w:val="20"/>
                <w:color w:val="auto"/>
              </w:rPr>
            </w:pPr>
            <w:r>
              <w:rPr>
                <w:rFonts w:ascii="Arial" w:cs="Arial" w:eastAsia="Arial" w:hAnsi="Arial"/>
                <w:sz w:val="16"/>
                <w:szCs w:val="16"/>
                <w:b w:val="1"/>
                <w:bCs w:val="1"/>
                <w:color w:val="auto"/>
              </w:rPr>
              <w:t>358,964</w:t>
            </w:r>
          </w:p>
        </w:tc>
        <w:tc>
          <w:tcPr>
            <w:tcW w:w="44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1000" w:type="dxa"/>
            <w:vAlign w:val="bottom"/>
          </w:tcPr>
          <w:p>
            <w:pPr>
              <w:jc w:val="right"/>
              <w:ind w:right="81"/>
              <w:spacing w:after="0"/>
              <w:rPr>
                <w:sz w:val="20"/>
                <w:szCs w:val="20"/>
                <w:color w:val="auto"/>
              </w:rPr>
            </w:pPr>
            <w:r>
              <w:rPr>
                <w:rFonts w:ascii="Arial" w:cs="Arial" w:eastAsia="Arial" w:hAnsi="Arial"/>
                <w:sz w:val="16"/>
                <w:szCs w:val="16"/>
                <w:b w:val="1"/>
                <w:bCs w:val="1"/>
                <w:color w:val="auto"/>
              </w:rPr>
              <w:t>354,227</w:t>
            </w:r>
          </w:p>
        </w:tc>
        <w:tc>
          <w:tcPr>
            <w:tcW w:w="4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(70)</w:t>
            </w:r>
          </w:p>
        </w:tc>
      </w:tr>
      <w:tr>
        <w:trPr>
          <w:trHeight w:val="274"/>
        </w:trPr>
        <w:tc>
          <w:tcPr>
            <w:tcW w:w="6060" w:type="dxa"/>
            <w:vAlign w:val="bottom"/>
          </w:tcPr>
          <w:p>
            <w:pPr>
              <w:ind w:left="40"/>
              <w:spacing w:after="0"/>
              <w:rPr>
                <w:sz w:val="20"/>
                <w:szCs w:val="20"/>
                <w:color w:val="auto"/>
              </w:rPr>
            </w:pPr>
            <w:r>
              <w:rPr>
                <w:rFonts w:ascii="Arial" w:cs="Arial" w:eastAsia="Arial" w:hAnsi="Arial"/>
                <w:sz w:val="16"/>
                <w:szCs w:val="16"/>
                <w:color w:val="auto"/>
              </w:rPr>
              <w:t>Benefit from income taxes on sales of discontinued operations</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(16,075)</w:t>
            </w:r>
          </w:p>
        </w:tc>
        <w:tc>
          <w:tcPr>
            <w:tcW w:w="4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(17,769)</w:t>
            </w:r>
          </w:p>
        </w:tc>
        <w:tc>
          <w:tcPr>
            <w:tcW w:w="4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r>
      <w:tr>
        <w:trPr>
          <w:trHeight w:val="267"/>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Income (Loss) from Discontinued Operations, Net of Tax</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380,465</w:t>
            </w:r>
          </w:p>
        </w:tc>
        <w:tc>
          <w:tcPr>
            <w:tcW w:w="4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(1,951)</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381,537</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(18,924)</w:t>
            </w: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marketable equity securities comprised the following: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9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right"/>
              <w:ind w:right="983"/>
              <w:spacing w:after="0"/>
              <w:rPr>
                <w:sz w:val="20"/>
                <w:szCs w:val="20"/>
                <w:color w:val="auto"/>
              </w:rPr>
            </w:pPr>
            <w:r>
              <w:rPr>
                <w:rFonts w:ascii="Arial" w:cs="Arial" w:eastAsia="Arial" w:hAnsi="Arial"/>
                <w:sz w:val="14"/>
                <w:szCs w:val="14"/>
                <w:b w:val="1"/>
                <w:bCs w:val="1"/>
                <w:color w:val="auto"/>
              </w:rPr>
              <w:t>As of</w:t>
            </w:r>
          </w:p>
        </w:tc>
      </w:tr>
      <w:tr>
        <w:trPr>
          <w:trHeight w:val="330"/>
        </w:trPr>
        <w:tc>
          <w:tcPr>
            <w:tcW w:w="8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ind w:right="143"/>
              <w:spacing w:after="0"/>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24"/>
                <w:szCs w:val="24"/>
                <w:color w:val="auto"/>
              </w:rPr>
            </w:pPr>
          </w:p>
        </w:tc>
        <w:tc>
          <w:tcPr>
            <w:tcW w:w="1120" w:type="dxa"/>
            <w:vAlign w:val="bottom"/>
          </w:tcPr>
          <w:p>
            <w:pPr>
              <w:jc w:val="right"/>
              <w:ind w:right="123"/>
              <w:spacing w:after="0"/>
              <w:rPr>
                <w:sz w:val="20"/>
                <w:szCs w:val="20"/>
                <w:color w:val="auto"/>
              </w:rPr>
            </w:pPr>
            <w:r>
              <w:rPr>
                <w:rFonts w:ascii="Arial" w:cs="Arial" w:eastAsia="Arial" w:hAnsi="Arial"/>
                <w:sz w:val="14"/>
                <w:szCs w:val="14"/>
                <w:color w:val="auto"/>
              </w:rPr>
              <w:t>December 31,</w:t>
            </w:r>
          </w:p>
        </w:tc>
      </w:tr>
      <w:tr>
        <w:trPr>
          <w:trHeight w:val="203"/>
        </w:trPr>
        <w:tc>
          <w:tcPr>
            <w:tcW w:w="8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color w:val="auto"/>
              </w:rPr>
              <w:t>2013</w:t>
            </w:r>
          </w:p>
        </w:tc>
      </w:tr>
      <w:tr>
        <w:trPr>
          <w:trHeight w:val="257"/>
        </w:trPr>
        <w:tc>
          <w:tcPr>
            <w:tcW w:w="8920" w:type="dxa"/>
            <w:vAlign w:val="bottom"/>
          </w:tcPr>
          <w:p>
            <w:pPr>
              <w:ind w:left="40"/>
              <w:spacing w:after="0"/>
              <w:rPr>
                <w:sz w:val="20"/>
                <w:szCs w:val="20"/>
                <w:color w:val="auto"/>
              </w:rPr>
            </w:pPr>
            <w:r>
              <w:rPr>
                <w:rFonts w:ascii="Arial" w:cs="Arial" w:eastAsia="Arial" w:hAnsi="Arial"/>
                <w:sz w:val="16"/>
                <w:szCs w:val="16"/>
                <w:color w:val="auto"/>
              </w:rPr>
              <w:t>Total cost</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56,967</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197,718</w:t>
            </w:r>
          </w:p>
        </w:tc>
      </w:tr>
      <w:tr>
        <w:trPr>
          <w:trHeight w:val="274"/>
        </w:trPr>
        <w:tc>
          <w:tcPr>
            <w:tcW w:w="8920" w:type="dxa"/>
            <w:vAlign w:val="bottom"/>
          </w:tcPr>
          <w:p>
            <w:pPr>
              <w:ind w:left="40"/>
              <w:spacing w:after="0"/>
              <w:rPr>
                <w:sz w:val="20"/>
                <w:szCs w:val="20"/>
                <w:color w:val="auto"/>
              </w:rPr>
            </w:pPr>
            <w:r>
              <w:rPr>
                <w:rFonts w:ascii="Arial" w:cs="Arial" w:eastAsia="Arial" w:hAnsi="Arial"/>
                <w:sz w:val="16"/>
                <w:szCs w:val="16"/>
                <w:color w:val="auto"/>
              </w:rPr>
              <w:t>Net unrealized gains</w:t>
            </w:r>
          </w:p>
        </w:tc>
        <w:tc>
          <w:tcPr>
            <w:tcW w:w="1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60,569</w:t>
            </w: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289,438</w:t>
            </w:r>
          </w:p>
        </w:tc>
      </w:tr>
      <w:tr>
        <w:trPr>
          <w:trHeight w:val="267"/>
        </w:trPr>
        <w:tc>
          <w:tcPr>
            <w:tcW w:w="8920" w:type="dxa"/>
            <w:vAlign w:val="bottom"/>
          </w:tcPr>
          <w:p>
            <w:pPr>
              <w:ind w:left="40"/>
              <w:spacing w:after="0"/>
              <w:rPr>
                <w:sz w:val="20"/>
                <w:szCs w:val="20"/>
                <w:color w:val="auto"/>
              </w:rPr>
            </w:pPr>
            <w:r>
              <w:rPr>
                <w:rFonts w:ascii="Arial" w:cs="Arial" w:eastAsia="Arial" w:hAnsi="Arial"/>
                <w:sz w:val="16"/>
                <w:szCs w:val="16"/>
                <w:b w:val="1"/>
                <w:bCs w:val="1"/>
                <w:color w:val="auto"/>
              </w:rPr>
              <w:t>Total Fair Value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117,536</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487,156</w:t>
            </w:r>
          </w:p>
        </w:tc>
      </w:tr>
      <w:tr>
        <w:trPr>
          <w:trHeight w:val="20"/>
        </w:trPr>
        <w:tc>
          <w:tcPr>
            <w:tcW w:w="8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right="480"/>
        <w:spacing w:after="0" w:line="260" w:lineRule="auto"/>
        <w:rPr>
          <w:sz w:val="20"/>
          <w:szCs w:val="20"/>
          <w:color w:val="auto"/>
        </w:rPr>
      </w:pPr>
      <w:r>
        <w:rPr>
          <w:rFonts w:ascii="Arial" w:cs="Arial" w:eastAsia="Arial" w:hAnsi="Arial"/>
          <w:sz w:val="18"/>
          <w:szCs w:val="18"/>
          <w:color w:val="auto"/>
        </w:rPr>
        <w:t>On June 30, 2014, the Company completed a transaction with Berkshire Hathaway, as described in Note 4, that included the exchange of 2,107 Class A Berkshire shares and 1,278 Class B Berkshire shares owned by the Company; a $266.7 million gain was recorded.</w:t>
      </w:r>
    </w:p>
    <w:p>
      <w:pPr>
        <w:spacing w:after="0" w:line="92" w:lineRule="exact"/>
        <w:rPr>
          <w:sz w:val="20"/>
          <w:szCs w:val="20"/>
          <w:color w:val="auto"/>
        </w:rPr>
      </w:pPr>
    </w:p>
    <w:p>
      <w:pPr>
        <w:ind w:right="60"/>
        <w:spacing w:after="0"/>
        <w:rPr>
          <w:sz w:val="20"/>
          <w:szCs w:val="20"/>
          <w:color w:val="auto"/>
        </w:rPr>
      </w:pPr>
      <w:r>
        <w:rPr>
          <w:rFonts w:ascii="Arial" w:cs="Arial" w:eastAsia="Arial" w:hAnsi="Arial"/>
          <w:sz w:val="18"/>
          <w:szCs w:val="18"/>
          <w:color w:val="auto"/>
        </w:rPr>
        <w:t>In the first quarter of 2014, the Company recorded a $0.5 million write-down of the Company's investment in Corinthian Colleges, Inc., a publicly traded company. In the second quarter of 2014, the Company sold its remaining investment in Corinthian Colleges, Inc. During the first six months of 2014, the proceeds from the sale of these marketable securities were $5.8 million and net realized losses were $2.6 million.</w:t>
      </w:r>
    </w:p>
    <w:p>
      <w:pPr>
        <w:sectPr>
          <w:pgSz w:w="11900" w:h="16838" w:orient="portrait"/>
          <w:cols w:equalWidth="0" w:num="1">
            <w:col w:w="11420"/>
          </w:cols>
          <w:pgMar w:left="240" w:top="562" w:right="239"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562" w:right="239" w:bottom="1440" w:gutter="0" w:footer="0" w:header="0"/>
          <w:type w:val="continuous"/>
        </w:sectPr>
      </w:pPr>
    </w:p>
    <w:bookmarkStart w:id="9" w:name="page10"/>
    <w:bookmarkEnd w:id="9"/>
    <w:p>
      <w:pPr>
        <w:ind w:right="460"/>
        <w:spacing w:after="0" w:line="260" w:lineRule="auto"/>
        <w:rPr>
          <w:sz w:val="20"/>
          <w:szCs w:val="20"/>
          <w:color w:val="auto"/>
        </w:rPr>
      </w:pPr>
      <w:r>
        <w:rPr>
          <w:rFonts w:ascii="Arial" w:cs="Arial" w:eastAsia="Arial" w:hAnsi="Arial"/>
          <w:sz w:val="18"/>
          <w:szCs w:val="18"/>
          <w:color w:val="auto"/>
        </w:rPr>
        <w:t>There were no new investments in marketable equity securities during the first six months of 2014 and 2013. During the first six months of 2013, the proceeds from sales of marketable securities were $3.6 million, and net realized gains on such sales were $0.9 million.</w:t>
      </w:r>
    </w:p>
    <w:p>
      <w:pPr>
        <w:spacing w:after="0" w:line="92" w:lineRule="exact"/>
        <w:rPr>
          <w:sz w:val="20"/>
          <w:szCs w:val="20"/>
          <w:color w:val="auto"/>
        </w:rPr>
      </w:pPr>
    </w:p>
    <w:p>
      <w:pPr>
        <w:ind w:right="20"/>
        <w:spacing w:after="0"/>
        <w:rPr>
          <w:sz w:val="20"/>
          <w:szCs w:val="20"/>
          <w:color w:val="auto"/>
        </w:rPr>
      </w:pPr>
      <w:r>
        <w:rPr>
          <w:rFonts w:ascii="Arial" w:cs="Arial" w:eastAsia="Arial" w:hAnsi="Arial"/>
          <w:sz w:val="18"/>
          <w:szCs w:val="18"/>
          <w:color w:val="auto"/>
        </w:rPr>
        <w:t>As of June 30, 2014, the Company held investments in commercial paper totaling $99.9 million with original maturities of 91 to 180 days. These investments are included in Investments in marketable equity securities and other investments in the Condensed Consolidated Balance Sheets.</w:t>
      </w:r>
    </w:p>
    <w:p>
      <w:pPr>
        <w:spacing w:after="0" w:line="108" w:lineRule="exact"/>
        <w:rPr>
          <w:sz w:val="20"/>
          <w:szCs w:val="20"/>
          <w:color w:val="auto"/>
        </w:rPr>
      </w:pPr>
    </w:p>
    <w:p>
      <w:pPr>
        <w:ind w:right="760"/>
        <w:spacing w:after="0" w:line="260" w:lineRule="auto"/>
        <w:rPr>
          <w:sz w:val="20"/>
          <w:szCs w:val="20"/>
          <w:color w:val="auto"/>
        </w:rPr>
      </w:pPr>
      <w:r>
        <w:rPr>
          <w:rFonts w:ascii="Arial" w:cs="Arial" w:eastAsia="Arial" w:hAnsi="Arial"/>
          <w:sz w:val="18"/>
          <w:szCs w:val="18"/>
          <w:color w:val="auto"/>
        </w:rPr>
        <w:t>On April 1, 2014, the Company received a gross cash distribution of $95.0 million from Classified Ventures' sale of apartments.com. In connection with this sale, the Company recorded a pre-tax gain of $90.9 million in the second quarter of 2014.</w:t>
      </w:r>
    </w:p>
    <w:p>
      <w:pPr>
        <w:spacing w:after="0" w:line="92" w:lineRule="exact"/>
        <w:rPr>
          <w:sz w:val="20"/>
          <w:szCs w:val="20"/>
          <w:color w:val="auto"/>
        </w:rPr>
      </w:pPr>
    </w:p>
    <w:p>
      <w:pPr>
        <w:ind w:right="80"/>
        <w:spacing w:after="0"/>
        <w:rPr>
          <w:sz w:val="20"/>
          <w:szCs w:val="20"/>
          <w:color w:val="auto"/>
        </w:rPr>
      </w:pPr>
      <w:r>
        <w:rPr>
          <w:rFonts w:ascii="Arial" w:cs="Arial" w:eastAsia="Arial" w:hAnsi="Arial"/>
          <w:sz w:val="18"/>
          <w:szCs w:val="18"/>
          <w:color w:val="auto"/>
        </w:rPr>
        <w:t>On August 4, 2014, the Company and its partners entered into an agreement to sell their stake in Classified Ventures to Gannett Co., Inc. for a price that values Classified Ventures at $2.5 billion. Gannett currently owns a 27% share of Classified Ventures; the Company owns a 16.5% interest in Classified Ventures. The transaction is expected to close before the end of 2014, subject to regulatory review.</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 DISPOSITIONS AND EXCHANGES</w:t>
      </w:r>
    </w:p>
    <w:p>
      <w:pPr>
        <w:spacing w:after="0" w:line="144" w:lineRule="exact"/>
        <w:rPr>
          <w:sz w:val="20"/>
          <w:szCs w:val="20"/>
          <w:color w:val="auto"/>
        </w:rPr>
      </w:pPr>
    </w:p>
    <w:p>
      <w:pPr>
        <w:spacing w:after="0" w:line="235" w:lineRule="auto"/>
        <w:rPr>
          <w:sz w:val="20"/>
          <w:szCs w:val="20"/>
          <w:color w:val="auto"/>
        </w:rPr>
      </w:pPr>
      <w:r>
        <w:rPr>
          <w:rFonts w:ascii="Arial" w:cs="Arial" w:eastAsia="Arial" w:hAnsi="Arial"/>
          <w:sz w:val="18"/>
          <w:szCs w:val="18"/>
          <w:b w:val="1"/>
          <w:bCs w:val="1"/>
          <w:color w:val="auto"/>
        </w:rPr>
        <w:t xml:space="preserve">Acquisitions. </w:t>
      </w:r>
      <w:r>
        <w:rPr>
          <w:rFonts w:ascii="Arial" w:cs="Arial" w:eastAsia="Arial" w:hAnsi="Arial"/>
          <w:sz w:val="18"/>
          <w:szCs w:val="18"/>
          <w:color w:val="auto"/>
        </w:rPr>
        <w:t>In the first six months of 2014, the Company acquired six businesses included in other businesses and in its education division</w:t>
      </w:r>
      <w:r>
        <w:rPr>
          <w:rFonts w:ascii="Arial" w:cs="Arial" w:eastAsia="Arial" w:hAnsi="Arial"/>
          <w:sz w:val="18"/>
          <w:szCs w:val="18"/>
          <w:b w:val="1"/>
          <w:bCs w:val="1"/>
          <w:color w:val="auto"/>
        </w:rPr>
        <w:t xml:space="preserve"> </w:t>
      </w:r>
      <w:r>
        <w:rPr>
          <w:rFonts w:ascii="Arial" w:cs="Arial" w:eastAsia="Arial" w:hAnsi="Arial"/>
          <w:sz w:val="18"/>
          <w:szCs w:val="18"/>
          <w:color w:val="auto"/>
        </w:rPr>
        <w:t>totaling $133.5 million; the purchase price allocation comprised goodwill, other intangible assets, property, plant and equipment, and other current assets on a preliminary basis. In the first six months of 2013, the Company acquired two small businesses included in other businesses; the purchase price allocation mostly comprised goodwill and other intangible assets.</w:t>
      </w:r>
    </w:p>
    <w:p>
      <w:pPr>
        <w:spacing w:after="0" w:line="110"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On April 1, 2014, Celtic Healthcare acquired VNA-TIP Healthcare, a provider of home health and hospice services in Missouri and Illinois. On May 30, 2014, the Company completed its acquisition of Joyce/Dayton Corp., a Dayton, OH-based manufacturer of screw jacks and other linear motion systems. The operating results of VNA-TIP and Joyce are included in other businesses.</w:t>
      </w:r>
    </w:p>
    <w:p>
      <w:pPr>
        <w:spacing w:after="0" w:line="108" w:lineRule="exact"/>
        <w:rPr>
          <w:sz w:val="20"/>
          <w:szCs w:val="20"/>
          <w:color w:val="auto"/>
        </w:rPr>
      </w:pPr>
    </w:p>
    <w:p>
      <w:pPr>
        <w:ind w:right="620"/>
        <w:spacing w:after="0" w:line="260" w:lineRule="auto"/>
        <w:rPr>
          <w:sz w:val="20"/>
          <w:szCs w:val="20"/>
          <w:color w:val="auto"/>
        </w:rPr>
      </w:pPr>
      <w:r>
        <w:rPr>
          <w:rFonts w:ascii="Arial" w:cs="Arial" w:eastAsia="Arial" w:hAnsi="Arial"/>
          <w:sz w:val="18"/>
          <w:szCs w:val="18"/>
          <w:color w:val="auto"/>
        </w:rPr>
        <w:t>In the second quarter of 2013, Kaplan purchased the remaining 15% noncontrolling interest in Kaplan China; this additional interest was accounted for as an equity transaction.</w:t>
      </w:r>
    </w:p>
    <w:p>
      <w:pPr>
        <w:spacing w:after="0" w:line="92"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On July 3, 2014, the Company completed its acquisition of an 80% interest in Residential Healthcare Group, Inc., the parent company of Residential Home Health and Residential Hospice, leading providers of skilled home health care and hospice services in Michigan and Illinois. The operating results of Residential will be included in other businesses beginning in the third quarter of 2014.</w:t>
      </w:r>
    </w:p>
    <w:p>
      <w:pPr>
        <w:spacing w:after="0" w:line="106" w:lineRule="exact"/>
        <w:rPr>
          <w:sz w:val="20"/>
          <w:szCs w:val="20"/>
          <w:color w:val="auto"/>
        </w:rPr>
      </w:pPr>
    </w:p>
    <w:p>
      <w:pPr>
        <w:ind w:right="480"/>
        <w:spacing w:after="0" w:line="241" w:lineRule="auto"/>
        <w:rPr>
          <w:sz w:val="20"/>
          <w:szCs w:val="20"/>
          <w:color w:val="auto"/>
        </w:rPr>
      </w:pPr>
      <w:r>
        <w:rPr>
          <w:rFonts w:ascii="Arial" w:cs="Arial" w:eastAsia="Arial" w:hAnsi="Arial"/>
          <w:sz w:val="18"/>
          <w:szCs w:val="18"/>
          <w:b w:val="1"/>
          <w:bCs w:val="1"/>
          <w:color w:val="auto"/>
        </w:rPr>
        <w:t xml:space="preserve">Dispositions. </w:t>
      </w:r>
      <w:r>
        <w:rPr>
          <w:rFonts w:ascii="Arial" w:cs="Arial" w:eastAsia="Arial" w:hAnsi="Arial"/>
          <w:sz w:val="18"/>
          <w:szCs w:val="18"/>
          <w:color w:val="auto"/>
        </w:rPr>
        <w:t>On October 1, 2013, the Company completed the sale of most of its newspaper publishing businesses. The publishing</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businesses sold include The Washington Post, Express, The Gazette Newspapers, Southern Maryland Newspapers, Greater Washington Publishing, Fairfax County Times and El Tiempo Latino and related websites (Publishing Subsidiaries).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In March 2013, the Company completed the sale of certain assets of The Herald, a daily and Sunday newspaper headquartered in Everett, WA.</w:t>
      </w:r>
    </w:p>
    <w:p>
      <w:pPr>
        <w:spacing w:after="0" w:line="142" w:lineRule="exact"/>
        <w:rPr>
          <w:sz w:val="20"/>
          <w:szCs w:val="20"/>
          <w:color w:val="auto"/>
        </w:rPr>
      </w:pPr>
    </w:p>
    <w:p>
      <w:pPr>
        <w:ind w:right="20"/>
        <w:spacing w:after="0" w:line="230" w:lineRule="auto"/>
        <w:rPr>
          <w:sz w:val="20"/>
          <w:szCs w:val="20"/>
          <w:color w:val="auto"/>
        </w:rPr>
      </w:pPr>
      <w:r>
        <w:rPr>
          <w:rFonts w:ascii="Arial" w:cs="Arial" w:eastAsia="Arial" w:hAnsi="Arial"/>
          <w:sz w:val="18"/>
          <w:szCs w:val="18"/>
          <w:b w:val="1"/>
          <w:bCs w:val="1"/>
          <w:color w:val="auto"/>
        </w:rPr>
        <w:t xml:space="preserve">Exchanges. </w:t>
      </w:r>
      <w:r>
        <w:rPr>
          <w:rFonts w:ascii="Arial" w:cs="Arial" w:eastAsia="Arial" w:hAnsi="Arial"/>
          <w:sz w:val="18"/>
          <w:szCs w:val="18"/>
          <w:color w:val="auto"/>
        </w:rPr>
        <w:t>On June 30, 2014, the Company and Berkshire Hathaway Inc. completed a previously announced transaction in which Berkshire</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a wholly-owned subsidiary of the Company that included, among other things, WPLG, a Miami-based television station, 2,107 Class A Berkshire shares and 1,278 Class B Berkshire shares owned by Graham Holdings and $327.7 million in cash, in exchange for 1,620,190 shares of Graham Holdings Class B common stock owned by Berkshire Hathaway (Berkshire exchange transaction). As a result, income from continuing operations for the second quarter of 2014 includes a $266.7 million gain from the sale of the Berkshire Hathaway shares, and income from discontinued operations for the second quarter of 2014 includes a $375.0 million gain from the WPLG exchange.</w:t>
      </w:r>
    </w:p>
    <w:p>
      <w:pPr>
        <w:spacing w:after="0" w:line="108" w:lineRule="exact"/>
        <w:rPr>
          <w:sz w:val="20"/>
          <w:szCs w:val="20"/>
          <w:color w:val="auto"/>
        </w:rPr>
      </w:pPr>
    </w:p>
    <w:p>
      <w:pPr>
        <w:ind w:right="60"/>
        <w:spacing w:after="0"/>
        <w:rPr>
          <w:sz w:val="20"/>
          <w:szCs w:val="20"/>
          <w:color w:val="auto"/>
        </w:rPr>
      </w:pPr>
      <w:r>
        <w:rPr>
          <w:rFonts w:ascii="Arial" w:cs="Arial" w:eastAsia="Arial" w:hAnsi="Arial"/>
          <w:sz w:val="18"/>
          <w:szCs w:val="18"/>
          <w:color w:val="auto"/>
        </w:rPr>
        <w:t>The pre-tax gain of $266.7 million related to the disposition of the Berkshire shares was not subject to income tax as the Berkshire exchange transaction qualifies as a tax-free distribution. The lower effective tax rate for income from continuing operations for the first six months of 2014 of 23.5% primarily resulted from this tax-free transaction.</w:t>
      </w:r>
    </w:p>
    <w:p>
      <w:pPr>
        <w:spacing w:after="0" w:line="108"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As discussed above, this exchange transaction includes significant noncash investing and financing activities. On the date of exchange, the fair value of the Berkshire Class A and B shares was $400.3 million and the fair value of WPLG was determined to be $438.0 million. In total, the Company recorded an increase in treasury stock of $1,165.4 million in the second quarter of 2014 in connection with the Berkshire exchange transaction.</w:t>
      </w:r>
    </w:p>
    <w:p>
      <w:pPr>
        <w:spacing w:after="0" w:line="111"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Consequently, the Company’s income from continuing operations excludes these sold or exchanged businesses, which have been reclassified to discontinued operations, net of tax (see Note 2).</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62"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5. GOODWILL AND OTHER INTANGIBLE ASSETS</w:t>
      </w:r>
    </w:p>
    <w:p>
      <w:pPr>
        <w:spacing w:after="0" w:line="146"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In the second quarter of 2014, as a result of regulatory changes impacting Kaplan's operations in China, Kaplan recorded an intangible asset impairment charge of$7.8 million. The Company estimated the fair value of the student and customer relationships using an income approach.</w:t>
      </w:r>
    </w:p>
    <w:p>
      <w:pPr>
        <w:spacing w:after="0" w:line="92"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Amortization of intangible assets for the three months ended June 30, 2014 and 2013 was $3.4 million and $3.3 million, respectively. Amortization of intangible assets for the six months ended June 30, 2014 and 2013 was $ 6.4 million and $7.0 million, respectively. Amortization of intangible assets is estimated to be approximately $7 million for the remainder of 2014, $13 million in 2015, $12 million in 2016, $8 million in 2017, $8 million in 2018, $7 million in 2019 and $7 million thereafter.</w:t>
      </w:r>
    </w:p>
    <w:p>
      <w:pPr>
        <w:spacing w:after="0" w:line="111" w:lineRule="exact"/>
        <w:rPr>
          <w:sz w:val="20"/>
          <w:szCs w:val="20"/>
          <w:color w:val="auto"/>
        </w:rPr>
      </w:pPr>
    </w:p>
    <w:p>
      <w:pPr>
        <w:ind w:right="280"/>
        <w:spacing w:after="0" w:line="260" w:lineRule="auto"/>
        <w:rPr>
          <w:sz w:val="20"/>
          <w:szCs w:val="20"/>
          <w:color w:val="auto"/>
        </w:rPr>
      </w:pPr>
      <w:r>
        <w:rPr>
          <w:rFonts w:ascii="Arial" w:cs="Arial" w:eastAsia="Arial" w:hAnsi="Arial"/>
          <w:sz w:val="18"/>
          <w:szCs w:val="18"/>
          <w:color w:val="auto"/>
        </w:rPr>
        <w:t>In July 2014, the cable division sold wireless spectrum licenses that were purchased in 2006; an estimated pre-tax gain of $75 million will be reported in the third quarter of 2014 in connection with these sales. The licenses are classified as assets held for sale at June 30, 2014.</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segment,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jc w:val="right"/>
              <w:ind w:right="301"/>
              <w:spacing w:after="0"/>
              <w:rPr>
                <w:sz w:val="20"/>
                <w:szCs w:val="20"/>
                <w:color w:val="auto"/>
              </w:rPr>
            </w:pPr>
            <w:r>
              <w:rPr>
                <w:rFonts w:ascii="Arial" w:cs="Arial" w:eastAsia="Arial" w:hAnsi="Arial"/>
                <w:sz w:val="14"/>
                <w:szCs w:val="14"/>
                <w:b w:val="1"/>
                <w:bCs w:val="1"/>
                <w:color w:val="auto"/>
              </w:rPr>
              <w:t>Television</w:t>
            </w:r>
          </w:p>
        </w:tc>
        <w:tc>
          <w:tcPr>
            <w:tcW w:w="200" w:type="dxa"/>
            <w:vAlign w:val="bottom"/>
          </w:tcPr>
          <w:p>
            <w:pPr>
              <w:spacing w:after="0"/>
              <w:rPr>
                <w:sz w:val="14"/>
                <w:szCs w:val="14"/>
                <w:color w:val="auto"/>
              </w:rPr>
            </w:pPr>
          </w:p>
        </w:tc>
        <w:tc>
          <w:tcPr>
            <w:tcW w:w="1040" w:type="dxa"/>
            <w:vAlign w:val="bottom"/>
          </w:tcPr>
          <w:p>
            <w:pPr>
              <w:jc w:val="right"/>
              <w:ind w:right="341"/>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03"/>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Education</w:t>
            </w: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Cable</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Broadcasting</w:t>
            </w: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Businesses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r>
      <w:tr>
        <w:trPr>
          <w:trHeight w:val="249"/>
        </w:trPr>
        <w:tc>
          <w:tcPr>
            <w:tcW w:w="5160" w:type="dxa"/>
            <w:vAlign w:val="bottom"/>
          </w:tcPr>
          <w:p>
            <w:pPr>
              <w:ind w:left="40"/>
              <w:spacing w:after="0"/>
              <w:rPr>
                <w:sz w:val="20"/>
                <w:szCs w:val="20"/>
                <w:color w:val="auto"/>
              </w:rPr>
            </w:pPr>
            <w:r>
              <w:rPr>
                <w:rFonts w:ascii="Arial" w:cs="Arial" w:eastAsia="Arial" w:hAnsi="Arial"/>
                <w:sz w:val="16"/>
                <w:szCs w:val="16"/>
                <w:color w:val="auto"/>
              </w:rPr>
              <w:t>Balance as of December 31, 2013</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0"/>
        </w:trPr>
        <w:tc>
          <w:tcPr>
            <w:tcW w:w="5160" w:type="dxa"/>
            <w:vAlign w:val="bottom"/>
          </w:tcPr>
          <w:p>
            <w:pPr>
              <w:ind w:left="280"/>
              <w:spacing w:after="0"/>
              <w:rPr>
                <w:sz w:val="20"/>
                <w:szCs w:val="20"/>
                <w:color w:val="auto"/>
              </w:rPr>
            </w:pPr>
            <w:r>
              <w:rPr>
                <w:rFonts w:ascii="Arial" w:cs="Arial" w:eastAsia="Arial" w:hAnsi="Arial"/>
                <w:sz w:val="16"/>
                <w:szCs w:val="16"/>
                <w:color w:val="auto"/>
              </w:rPr>
              <w:t>Goodwill</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1,073,433</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85,488</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81"/>
              <w:spacing w:after="0"/>
              <w:rPr>
                <w:sz w:val="20"/>
                <w:szCs w:val="20"/>
                <w:color w:val="auto"/>
              </w:rPr>
            </w:pPr>
            <w:r>
              <w:rPr>
                <w:rFonts w:ascii="Arial" w:cs="Arial" w:eastAsia="Arial" w:hAnsi="Arial"/>
                <w:sz w:val="16"/>
                <w:szCs w:val="16"/>
                <w:color w:val="auto"/>
              </w:rPr>
              <w:t>203,165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81"/>
              <w:spacing w:after="0"/>
              <w:rPr>
                <w:sz w:val="20"/>
                <w:szCs w:val="20"/>
                <w:color w:val="auto"/>
              </w:rPr>
            </w:pPr>
            <w:r>
              <w:rPr>
                <w:rFonts w:ascii="Arial" w:cs="Arial" w:eastAsia="Arial" w:hAnsi="Arial"/>
                <w:sz w:val="16"/>
                <w:szCs w:val="16"/>
                <w:color w:val="auto"/>
              </w:rPr>
              <w:t>34,877</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1,396,963</w:t>
            </w:r>
          </w:p>
        </w:tc>
      </w:tr>
      <w:tr>
        <w:trPr>
          <w:trHeight w:val="279"/>
        </w:trPr>
        <w:tc>
          <w:tcPr>
            <w:tcW w:w="5160" w:type="dxa"/>
            <w:vAlign w:val="bottom"/>
          </w:tcPr>
          <w:p>
            <w:pPr>
              <w:ind w:left="280"/>
              <w:spacing w:after="0"/>
              <w:rPr>
                <w:sz w:val="20"/>
                <w:szCs w:val="20"/>
                <w:color w:val="auto"/>
              </w:rPr>
            </w:pPr>
            <w:r>
              <w:rPr>
                <w:rFonts w:ascii="Arial" w:cs="Arial" w:eastAsia="Arial" w:hAnsi="Arial"/>
                <w:sz w:val="16"/>
                <w:szCs w:val="16"/>
                <w:color w:val="auto"/>
              </w:rPr>
              <w:t>Accumulated impairment losses</w:t>
            </w: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(102,259)</w:t>
            </w: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(6,082)</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(108,341)</w:t>
            </w:r>
          </w:p>
        </w:tc>
      </w:tr>
      <w:tr>
        <w:trPr>
          <w:trHeight w:val="255"/>
        </w:trPr>
        <w:tc>
          <w:tcPr>
            <w:tcW w:w="5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971,174</w:t>
            </w:r>
          </w:p>
        </w:tc>
        <w:tc>
          <w:tcPr>
            <w:tcW w:w="300" w:type="dxa"/>
            <w:vAlign w:val="bottom"/>
          </w:tcPr>
          <w:p>
            <w:pPr>
              <w:spacing w:after="0"/>
              <w:rPr>
                <w:sz w:val="22"/>
                <w:szCs w:val="22"/>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85,488</w:t>
            </w:r>
          </w:p>
        </w:tc>
        <w:tc>
          <w:tcPr>
            <w:tcW w:w="260" w:type="dxa"/>
            <w:vAlign w:val="bottom"/>
          </w:tcPr>
          <w:p>
            <w:pPr>
              <w:spacing w:after="0"/>
              <w:rPr>
                <w:sz w:val="22"/>
                <w:szCs w:val="22"/>
                <w:color w:val="auto"/>
              </w:rPr>
            </w:pPr>
          </w:p>
        </w:tc>
        <w:tc>
          <w:tcPr>
            <w:tcW w:w="1240" w:type="dxa"/>
            <w:vAlign w:val="bottom"/>
          </w:tcPr>
          <w:p>
            <w:pPr>
              <w:jc w:val="right"/>
              <w:ind w:right="81"/>
              <w:spacing w:after="0"/>
              <w:rPr>
                <w:sz w:val="20"/>
                <w:szCs w:val="20"/>
                <w:color w:val="auto"/>
              </w:rPr>
            </w:pPr>
            <w:r>
              <w:rPr>
                <w:rFonts w:ascii="Arial" w:cs="Arial" w:eastAsia="Arial" w:hAnsi="Arial"/>
                <w:sz w:val="16"/>
                <w:szCs w:val="16"/>
                <w:color w:val="auto"/>
              </w:rPr>
              <w:t>203,165</w:t>
            </w:r>
          </w:p>
        </w:tc>
        <w:tc>
          <w:tcPr>
            <w:tcW w:w="200" w:type="dxa"/>
            <w:vAlign w:val="bottom"/>
          </w:tcPr>
          <w:p>
            <w:pPr>
              <w:spacing w:after="0"/>
              <w:rPr>
                <w:sz w:val="22"/>
                <w:szCs w:val="22"/>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color w:val="auto"/>
              </w:rPr>
              <w:t>28,795</w:t>
            </w:r>
          </w:p>
        </w:tc>
        <w:tc>
          <w:tcPr>
            <w:tcW w:w="280" w:type="dxa"/>
            <w:vAlign w:val="bottom"/>
          </w:tcPr>
          <w:p>
            <w:pPr>
              <w:spacing w:after="0"/>
              <w:rPr>
                <w:sz w:val="22"/>
                <w:szCs w:val="22"/>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1,288,622</w:t>
            </w:r>
          </w:p>
        </w:tc>
      </w:tr>
      <w:tr>
        <w:trPr>
          <w:trHeight w:val="278"/>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Acquisitions</w:t>
            </w:r>
          </w:p>
        </w:tc>
        <w:tc>
          <w:tcPr>
            <w:tcW w:w="180" w:type="dxa"/>
            <w:vAlign w:val="bottom"/>
          </w:tcPr>
          <w:p>
            <w:pPr>
              <w:spacing w:after="0"/>
              <w:rPr>
                <w:sz w:val="24"/>
                <w:szCs w:val="24"/>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14,901</w:t>
            </w:r>
          </w:p>
        </w:tc>
        <w:tc>
          <w:tcPr>
            <w:tcW w:w="300" w:type="dxa"/>
            <w:vAlign w:val="bottom"/>
          </w:tcPr>
          <w:p>
            <w:pPr>
              <w:spacing w:after="0"/>
              <w:rPr>
                <w:sz w:val="24"/>
                <w:szCs w:val="24"/>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4"/>
                <w:szCs w:val="24"/>
                <w:color w:val="auto"/>
              </w:rPr>
            </w:pPr>
          </w:p>
        </w:tc>
        <w:tc>
          <w:tcPr>
            <w:tcW w:w="124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4"/>
                <w:szCs w:val="24"/>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b w:val="1"/>
                <w:bCs w:val="1"/>
                <w:color w:val="auto"/>
              </w:rPr>
              <w:t>67,889</w:t>
            </w:r>
          </w:p>
        </w:tc>
        <w:tc>
          <w:tcPr>
            <w:tcW w:w="280" w:type="dxa"/>
            <w:vAlign w:val="bottom"/>
          </w:tcPr>
          <w:p>
            <w:pPr>
              <w:spacing w:after="0"/>
              <w:rPr>
                <w:sz w:val="24"/>
                <w:szCs w:val="24"/>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82,790</w:t>
            </w:r>
          </w:p>
        </w:tc>
      </w:tr>
      <w:tr>
        <w:trPr>
          <w:trHeight w:val="270"/>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Dispositions</w:t>
            </w:r>
          </w:p>
        </w:tc>
        <w:tc>
          <w:tcPr>
            <w:tcW w:w="18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3"/>
                <w:szCs w:val="23"/>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3"/>
                <w:szCs w:val="23"/>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b w:val="1"/>
                <w:bCs w:val="1"/>
                <w:color w:val="auto"/>
              </w:rPr>
              <w:t>(37,661)</w:t>
            </w:r>
          </w:p>
        </w:tc>
        <w:tc>
          <w:tcPr>
            <w:tcW w:w="200" w:type="dxa"/>
            <w:vAlign w:val="bottom"/>
          </w:tcPr>
          <w:p>
            <w:pPr>
              <w:spacing w:after="0"/>
              <w:rPr>
                <w:sz w:val="23"/>
                <w:szCs w:val="23"/>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(37,661)</w:t>
            </w:r>
          </w:p>
        </w:tc>
      </w:tr>
      <w:tr>
        <w:trPr>
          <w:trHeight w:val="271"/>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Foreign currency exchange rate changes</w:t>
            </w:r>
          </w:p>
        </w:tc>
        <w:tc>
          <w:tcPr>
            <w:tcW w:w="1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14,957</w:t>
            </w:r>
          </w:p>
        </w:tc>
        <w:tc>
          <w:tcPr>
            <w:tcW w:w="3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14,957</w:t>
            </w:r>
          </w:p>
        </w:tc>
      </w:tr>
      <w:tr>
        <w:trPr>
          <w:trHeight w:val="263"/>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Balance as of June 30, 2014</w:t>
            </w: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0"/>
        </w:trPr>
        <w:tc>
          <w:tcPr>
            <w:tcW w:w="5160" w:type="dxa"/>
            <w:vAlign w:val="bottom"/>
          </w:tcPr>
          <w:p>
            <w:pPr>
              <w:ind w:left="280"/>
              <w:spacing w:after="0"/>
              <w:rPr>
                <w:sz w:val="20"/>
                <w:szCs w:val="20"/>
                <w:color w:val="auto"/>
              </w:rPr>
            </w:pPr>
            <w:r>
              <w:rPr>
                <w:rFonts w:ascii="Arial" w:cs="Arial" w:eastAsia="Arial" w:hAnsi="Arial"/>
                <w:sz w:val="16"/>
                <w:szCs w:val="16"/>
                <w:b w:val="1"/>
                <w:bCs w:val="1"/>
                <w:color w:val="auto"/>
              </w:rPr>
              <w:t>Goodwill</w:t>
            </w:r>
          </w:p>
        </w:tc>
        <w:tc>
          <w:tcPr>
            <w:tcW w:w="18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1,103,291</w:t>
            </w:r>
          </w:p>
        </w:tc>
        <w:tc>
          <w:tcPr>
            <w:tcW w:w="300" w:type="dxa"/>
            <w:vAlign w:val="bottom"/>
          </w:tcPr>
          <w:p>
            <w:pPr>
              <w:spacing w:after="0"/>
              <w:rPr>
                <w:sz w:val="23"/>
                <w:szCs w:val="23"/>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85,488</w:t>
            </w:r>
          </w:p>
        </w:tc>
        <w:tc>
          <w:tcPr>
            <w:tcW w:w="260" w:type="dxa"/>
            <w:vAlign w:val="bottom"/>
          </w:tcPr>
          <w:p>
            <w:pPr>
              <w:spacing w:after="0"/>
              <w:rPr>
                <w:sz w:val="23"/>
                <w:szCs w:val="23"/>
                <w:color w:val="auto"/>
              </w:rPr>
            </w:pPr>
          </w:p>
        </w:tc>
        <w:tc>
          <w:tcPr>
            <w:tcW w:w="1240" w:type="dxa"/>
            <w:vAlign w:val="bottom"/>
          </w:tcPr>
          <w:p>
            <w:pPr>
              <w:jc w:val="right"/>
              <w:ind w:right="81"/>
              <w:spacing w:after="0"/>
              <w:rPr>
                <w:sz w:val="20"/>
                <w:szCs w:val="20"/>
                <w:color w:val="auto"/>
              </w:rPr>
            </w:pPr>
            <w:r>
              <w:rPr>
                <w:rFonts w:ascii="Arial" w:cs="Arial" w:eastAsia="Arial" w:hAnsi="Arial"/>
                <w:sz w:val="16"/>
                <w:szCs w:val="16"/>
                <w:b w:val="1"/>
                <w:bCs w:val="1"/>
                <w:color w:val="auto"/>
              </w:rPr>
              <w:t>165,504</w:t>
            </w:r>
          </w:p>
        </w:tc>
        <w:tc>
          <w:tcPr>
            <w:tcW w:w="200" w:type="dxa"/>
            <w:vAlign w:val="bottom"/>
          </w:tcPr>
          <w:p>
            <w:pPr>
              <w:spacing w:after="0"/>
              <w:rPr>
                <w:sz w:val="23"/>
                <w:szCs w:val="23"/>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b w:val="1"/>
                <w:bCs w:val="1"/>
                <w:color w:val="auto"/>
              </w:rPr>
              <w:t>102,766</w:t>
            </w:r>
          </w:p>
        </w:tc>
        <w:tc>
          <w:tcPr>
            <w:tcW w:w="28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1,457,049</w:t>
            </w:r>
          </w:p>
        </w:tc>
      </w:tr>
      <w:tr>
        <w:trPr>
          <w:trHeight w:val="274"/>
        </w:trPr>
        <w:tc>
          <w:tcPr>
            <w:tcW w:w="5160" w:type="dxa"/>
            <w:vAlign w:val="bottom"/>
          </w:tcPr>
          <w:p>
            <w:pPr>
              <w:ind w:left="280"/>
              <w:spacing w:after="0"/>
              <w:rPr>
                <w:sz w:val="20"/>
                <w:szCs w:val="20"/>
                <w:color w:val="auto"/>
              </w:rPr>
            </w:pPr>
            <w:r>
              <w:rPr>
                <w:rFonts w:ascii="Arial" w:cs="Arial" w:eastAsia="Arial" w:hAnsi="Arial"/>
                <w:sz w:val="16"/>
                <w:szCs w:val="16"/>
                <w:b w:val="1"/>
                <w:bCs w:val="1"/>
                <w:color w:val="auto"/>
              </w:rPr>
              <w:t>Accumulated impairment losses</w:t>
            </w:r>
          </w:p>
        </w:tc>
        <w:tc>
          <w:tcPr>
            <w:tcW w:w="1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(102,259)</w:t>
            </w:r>
          </w:p>
        </w:tc>
        <w:tc>
          <w:tcPr>
            <w:tcW w:w="3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(6,082)</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(108,341)</w:t>
            </w:r>
          </w:p>
        </w:tc>
      </w:tr>
      <w:tr>
        <w:trPr>
          <w:trHeight w:val="264"/>
        </w:trPr>
        <w:tc>
          <w:tcPr>
            <w:tcW w:w="516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1,001,032</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85,488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165,504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96,684</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1,348,708</w:t>
            </w: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carrying amount of goodwill at the Company’s education division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281"/>
              <w:spacing w:after="0"/>
              <w:rPr>
                <w:sz w:val="20"/>
                <w:szCs w:val="20"/>
                <w:color w:val="auto"/>
              </w:rPr>
            </w:pPr>
            <w:r>
              <w:rPr>
                <w:rFonts w:ascii="Arial" w:cs="Arial" w:eastAsia="Arial" w:hAnsi="Arial"/>
                <w:sz w:val="14"/>
                <w:szCs w:val="14"/>
                <w:b w:val="1"/>
                <w:bCs w:val="1"/>
                <w:color w:val="auto"/>
              </w:rPr>
              <w:t>Higher</w:t>
            </w:r>
          </w:p>
        </w:tc>
        <w:tc>
          <w:tcPr>
            <w:tcW w:w="240" w:type="dxa"/>
            <w:vAlign w:val="bottom"/>
          </w:tcPr>
          <w:p>
            <w:pPr>
              <w:spacing w:after="0"/>
              <w:rPr>
                <w:sz w:val="14"/>
                <w:szCs w:val="14"/>
                <w:color w:val="auto"/>
              </w:rPr>
            </w:pPr>
          </w:p>
        </w:tc>
        <w:tc>
          <w:tcPr>
            <w:tcW w:w="1040" w:type="dxa"/>
            <w:vAlign w:val="bottom"/>
          </w:tcPr>
          <w:p>
            <w:pPr>
              <w:jc w:val="right"/>
              <w:ind w:right="401"/>
              <w:spacing w:after="0"/>
              <w:rPr>
                <w:sz w:val="20"/>
                <w:szCs w:val="20"/>
                <w:color w:val="auto"/>
              </w:rPr>
            </w:pPr>
            <w:r>
              <w:rPr>
                <w:rFonts w:ascii="Arial" w:cs="Arial" w:eastAsia="Arial" w:hAnsi="Arial"/>
                <w:sz w:val="14"/>
                <w:szCs w:val="14"/>
                <w:b w:val="1"/>
                <w:bCs w:val="1"/>
                <w:color w:val="auto"/>
              </w:rPr>
              <w:t>Test</w:t>
            </w:r>
          </w:p>
        </w:tc>
        <w:tc>
          <w:tcPr>
            <w:tcW w:w="220" w:type="dxa"/>
            <w:vAlign w:val="bottom"/>
          </w:tcPr>
          <w:p>
            <w:pPr>
              <w:spacing w:after="0"/>
              <w:rPr>
                <w:sz w:val="14"/>
                <w:szCs w:val="14"/>
                <w:color w:val="auto"/>
              </w:rPr>
            </w:pPr>
          </w:p>
        </w:tc>
        <w:tc>
          <w:tcPr>
            <w:tcW w:w="1100" w:type="dxa"/>
            <w:vAlign w:val="bottom"/>
          </w:tcPr>
          <w:p>
            <w:pPr>
              <w:jc w:val="right"/>
              <w:ind w:right="321"/>
              <w:spacing w:after="0"/>
              <w:rPr>
                <w:sz w:val="20"/>
                <w:szCs w:val="20"/>
                <w:color w:val="auto"/>
              </w:rPr>
            </w:pPr>
            <w:r>
              <w:rPr>
                <w:rFonts w:ascii="Arial" w:cs="Arial" w:eastAsia="Arial" w:hAnsi="Arial"/>
                <w:sz w:val="14"/>
                <w:szCs w:val="14"/>
                <w:b w:val="1"/>
                <w:bCs w:val="1"/>
                <w:color w:val="auto"/>
              </w:rPr>
              <w:t>Kaplan</w:t>
            </w: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03"/>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Education</w:t>
            </w: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Preparation</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International</w:t>
            </w: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Total</w:t>
            </w:r>
          </w:p>
        </w:tc>
      </w:tr>
      <w:tr>
        <w:trPr>
          <w:trHeight w:val="249"/>
        </w:trPr>
        <w:tc>
          <w:tcPr>
            <w:tcW w:w="6280" w:type="dxa"/>
            <w:vAlign w:val="bottom"/>
          </w:tcPr>
          <w:p>
            <w:pPr>
              <w:ind w:left="40"/>
              <w:spacing w:after="0"/>
              <w:rPr>
                <w:sz w:val="20"/>
                <w:szCs w:val="20"/>
                <w:color w:val="auto"/>
              </w:rPr>
            </w:pPr>
            <w:r>
              <w:rPr>
                <w:rFonts w:ascii="Arial" w:cs="Arial" w:eastAsia="Arial" w:hAnsi="Arial"/>
                <w:sz w:val="16"/>
                <w:szCs w:val="16"/>
                <w:color w:val="auto"/>
              </w:rPr>
              <w:t>Balance as of December 31, 2013</w:t>
            </w: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Goodwill</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409,016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81"/>
              <w:spacing w:after="0"/>
              <w:rPr>
                <w:sz w:val="20"/>
                <w:szCs w:val="20"/>
                <w:color w:val="auto"/>
              </w:rPr>
            </w:pPr>
            <w:r>
              <w:rPr>
                <w:rFonts w:ascii="Arial" w:cs="Arial" w:eastAsia="Arial" w:hAnsi="Arial"/>
                <w:sz w:val="16"/>
                <w:szCs w:val="16"/>
                <w:color w:val="auto"/>
              </w:rPr>
              <w:t>152,187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512,230</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1,073,433</w:t>
            </w:r>
          </w:p>
        </w:tc>
      </w:tr>
      <w:tr>
        <w:trPr>
          <w:trHeight w:val="279"/>
        </w:trPr>
        <w:tc>
          <w:tcPr>
            <w:tcW w:w="6280" w:type="dxa"/>
            <w:vAlign w:val="bottom"/>
          </w:tcPr>
          <w:p>
            <w:pPr>
              <w:ind w:left="280"/>
              <w:spacing w:after="0"/>
              <w:rPr>
                <w:sz w:val="20"/>
                <w:szCs w:val="20"/>
                <w:color w:val="auto"/>
              </w:rPr>
            </w:pPr>
            <w:r>
              <w:rPr>
                <w:rFonts w:ascii="Arial" w:cs="Arial" w:eastAsia="Arial" w:hAnsi="Arial"/>
                <w:sz w:val="16"/>
                <w:szCs w:val="16"/>
                <w:color w:val="auto"/>
              </w:rPr>
              <w:t>Accumulated impairment losses</w:t>
            </w: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(102,259)</w:t>
            </w: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(102,259)</w:t>
            </w:r>
          </w:p>
        </w:tc>
      </w:tr>
      <w:tr>
        <w:trPr>
          <w:trHeight w:val="255"/>
        </w:trPr>
        <w:tc>
          <w:tcPr>
            <w:tcW w:w="6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409,016</w:t>
            </w:r>
          </w:p>
        </w:tc>
        <w:tc>
          <w:tcPr>
            <w:tcW w:w="240" w:type="dxa"/>
            <w:vAlign w:val="bottom"/>
          </w:tcPr>
          <w:p>
            <w:pPr>
              <w:spacing w:after="0"/>
              <w:rPr>
                <w:sz w:val="22"/>
                <w:szCs w:val="22"/>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color w:val="auto"/>
              </w:rPr>
              <w:t>49,928</w:t>
            </w:r>
          </w:p>
        </w:tc>
        <w:tc>
          <w:tcPr>
            <w:tcW w:w="220" w:type="dxa"/>
            <w:vAlign w:val="bottom"/>
          </w:tcPr>
          <w:p>
            <w:pPr>
              <w:spacing w:after="0"/>
              <w:rPr>
                <w:sz w:val="22"/>
                <w:szCs w:val="22"/>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512,230</w:t>
            </w:r>
          </w:p>
        </w:tc>
        <w:tc>
          <w:tcPr>
            <w:tcW w:w="380" w:type="dxa"/>
            <w:vAlign w:val="bottom"/>
          </w:tcPr>
          <w:p>
            <w:pPr>
              <w:spacing w:after="0"/>
              <w:rPr>
                <w:sz w:val="22"/>
                <w:szCs w:val="22"/>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971,174</w:t>
            </w:r>
          </w:p>
        </w:tc>
      </w:tr>
      <w:tr>
        <w:trPr>
          <w:trHeight w:val="278"/>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Acquisitions</w:t>
            </w:r>
          </w:p>
        </w:tc>
        <w:tc>
          <w:tcPr>
            <w:tcW w:w="180" w:type="dxa"/>
            <w:vAlign w:val="bottom"/>
          </w:tcPr>
          <w:p>
            <w:pPr>
              <w:spacing w:after="0"/>
              <w:rPr>
                <w:sz w:val="24"/>
                <w:szCs w:val="24"/>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b w:val="1"/>
                <w:bCs w:val="1"/>
                <w:color w:val="auto"/>
              </w:rPr>
              <w:t>2,186</w:t>
            </w:r>
          </w:p>
        </w:tc>
        <w:tc>
          <w:tcPr>
            <w:tcW w:w="240" w:type="dxa"/>
            <w:vAlign w:val="bottom"/>
          </w:tcPr>
          <w:p>
            <w:pPr>
              <w:spacing w:after="0"/>
              <w:rPr>
                <w:sz w:val="24"/>
                <w:szCs w:val="24"/>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b w:val="1"/>
                <w:bCs w:val="1"/>
                <w:color w:val="auto"/>
              </w:rPr>
              <w:t>12,715</w:t>
            </w:r>
          </w:p>
        </w:tc>
        <w:tc>
          <w:tcPr>
            <w:tcW w:w="220" w:type="dxa"/>
            <w:vAlign w:val="bottom"/>
          </w:tcPr>
          <w:p>
            <w:pPr>
              <w:spacing w:after="0"/>
              <w:rPr>
                <w:sz w:val="24"/>
                <w:szCs w:val="24"/>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24"/>
                <w:szCs w:val="24"/>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14,901</w:t>
            </w:r>
          </w:p>
        </w:tc>
      </w:tr>
      <w:tr>
        <w:trPr>
          <w:trHeight w:val="271"/>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Foreign currency exchange rate changes</w:t>
            </w:r>
          </w:p>
        </w:tc>
        <w:tc>
          <w:tcPr>
            <w:tcW w:w="1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7</w:t>
            </w:r>
          </w:p>
        </w:tc>
        <w:tc>
          <w:tcPr>
            <w:tcW w:w="2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14,950</w:t>
            </w:r>
          </w:p>
        </w:tc>
        <w:tc>
          <w:tcPr>
            <w:tcW w:w="3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14,957</w:t>
            </w:r>
          </w:p>
        </w:tc>
      </w:tr>
      <w:tr>
        <w:trPr>
          <w:trHeight w:val="263"/>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Balance as of June 30, 2014</w:t>
            </w: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b w:val="1"/>
                <w:bCs w:val="1"/>
                <w:color w:val="auto"/>
              </w:rPr>
              <w:t>Goodwill</w:t>
            </w:r>
          </w:p>
        </w:tc>
        <w:tc>
          <w:tcPr>
            <w:tcW w:w="180" w:type="dxa"/>
            <w:vAlign w:val="bottom"/>
          </w:tcPr>
          <w:p>
            <w:pPr>
              <w:spacing w:after="0"/>
              <w:rPr>
                <w:sz w:val="23"/>
                <w:szCs w:val="23"/>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b w:val="1"/>
                <w:bCs w:val="1"/>
                <w:color w:val="auto"/>
              </w:rPr>
              <w:t>411,209</w:t>
            </w:r>
          </w:p>
        </w:tc>
        <w:tc>
          <w:tcPr>
            <w:tcW w:w="240" w:type="dxa"/>
            <w:vAlign w:val="bottom"/>
          </w:tcPr>
          <w:p>
            <w:pPr>
              <w:spacing w:after="0"/>
              <w:rPr>
                <w:sz w:val="23"/>
                <w:szCs w:val="23"/>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b w:val="1"/>
                <w:bCs w:val="1"/>
                <w:color w:val="auto"/>
              </w:rPr>
              <w:t>164,902</w:t>
            </w:r>
          </w:p>
        </w:tc>
        <w:tc>
          <w:tcPr>
            <w:tcW w:w="220" w:type="dxa"/>
            <w:vAlign w:val="bottom"/>
          </w:tcPr>
          <w:p>
            <w:pPr>
              <w:spacing w:after="0"/>
              <w:rPr>
                <w:sz w:val="23"/>
                <w:szCs w:val="23"/>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b w:val="1"/>
                <w:bCs w:val="1"/>
                <w:color w:val="auto"/>
              </w:rPr>
              <w:t>527,180</w:t>
            </w:r>
          </w:p>
        </w:tc>
        <w:tc>
          <w:tcPr>
            <w:tcW w:w="38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1,103,291</w:t>
            </w:r>
          </w:p>
        </w:tc>
      </w:tr>
      <w:tr>
        <w:trPr>
          <w:trHeight w:val="274"/>
        </w:trPr>
        <w:tc>
          <w:tcPr>
            <w:tcW w:w="6280" w:type="dxa"/>
            <w:vAlign w:val="bottom"/>
          </w:tcPr>
          <w:p>
            <w:pPr>
              <w:ind w:left="280"/>
              <w:spacing w:after="0"/>
              <w:rPr>
                <w:sz w:val="20"/>
                <w:szCs w:val="20"/>
                <w:color w:val="auto"/>
              </w:rPr>
            </w:pPr>
            <w:r>
              <w:rPr>
                <w:rFonts w:ascii="Arial" w:cs="Arial" w:eastAsia="Arial" w:hAnsi="Arial"/>
                <w:sz w:val="16"/>
                <w:szCs w:val="16"/>
                <w:b w:val="1"/>
                <w:bCs w:val="1"/>
                <w:color w:val="auto"/>
              </w:rPr>
              <w:t>Accumulated impairment losses</w:t>
            </w:r>
          </w:p>
        </w:tc>
        <w:tc>
          <w:tcPr>
            <w:tcW w:w="1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(102,259)</w:t>
            </w:r>
          </w:p>
        </w:tc>
        <w:tc>
          <w:tcPr>
            <w:tcW w:w="2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3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(102,259)</w:t>
            </w:r>
          </w:p>
        </w:tc>
      </w:tr>
      <w:tr>
        <w:trPr>
          <w:trHeight w:val="264"/>
        </w:trPr>
        <w:tc>
          <w:tcPr>
            <w:tcW w:w="62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411,209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62,643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527,180</w:t>
            </w:r>
          </w:p>
        </w:tc>
        <w:tc>
          <w:tcPr>
            <w:tcW w:w="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1,001,032</w:t>
            </w:r>
          </w:p>
        </w:tc>
      </w:tr>
      <w:tr>
        <w:trPr>
          <w:trHeight w:val="20"/>
        </w:trPr>
        <w:tc>
          <w:tcPr>
            <w:tcW w:w="6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 consist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4"/>
                <w:szCs w:val="14"/>
                <w:b w:val="1"/>
                <w:bCs w:val="1"/>
                <w:color w:val="auto"/>
              </w:rPr>
              <w:t>As of June 30, 2014</w:t>
            </w: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As of December 31, 2013</w:t>
            </w: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3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center"/>
              <w:ind w:right="101"/>
              <w:spacing w:after="0"/>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center"/>
              <w:ind w:right="162"/>
              <w:spacing w:after="0"/>
              <w:rPr>
                <w:sz w:val="20"/>
                <w:szCs w:val="20"/>
                <w:color w:val="auto"/>
              </w:rPr>
            </w:pPr>
            <w:r>
              <w:rPr>
                <w:rFonts w:ascii="Arial" w:cs="Arial" w:eastAsia="Arial" w:hAnsi="Arial"/>
                <w:sz w:val="14"/>
                <w:szCs w:val="14"/>
                <w:b w:val="1"/>
                <w:bCs w:val="1"/>
                <w:color w:val="auto"/>
              </w:rPr>
              <w:t>Net</w:t>
            </w:r>
          </w:p>
        </w:tc>
        <w:tc>
          <w:tcPr>
            <w:tcW w:w="160" w:type="dxa"/>
            <w:vAlign w:val="bottom"/>
          </w:tcPr>
          <w:p>
            <w:pPr>
              <w:spacing w:after="0"/>
              <w:rPr>
                <w:sz w:val="14"/>
                <w:szCs w:val="14"/>
                <w:color w:val="auto"/>
              </w:rPr>
            </w:pPr>
          </w:p>
        </w:tc>
        <w:tc>
          <w:tcPr>
            <w:tcW w:w="860" w:type="dxa"/>
            <w:vAlign w:val="bottom"/>
          </w:tcPr>
          <w:p>
            <w:pPr>
              <w:jc w:val="center"/>
              <w:ind w:right="121"/>
              <w:spacing w:after="0"/>
              <w:rPr>
                <w:sz w:val="20"/>
                <w:szCs w:val="20"/>
                <w:color w:val="auto"/>
              </w:rPr>
            </w:pPr>
            <w:r>
              <w:rPr>
                <w:rFonts w:ascii="Arial" w:cs="Arial" w:eastAsia="Arial" w:hAnsi="Arial"/>
                <w:sz w:val="14"/>
                <w:szCs w:val="14"/>
                <w:color w:val="auto"/>
              </w:rPr>
              <w:t>Gross</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center"/>
              <w:ind w:right="102"/>
              <w:spacing w:after="0"/>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62"/>
        </w:trPr>
        <w:tc>
          <w:tcPr>
            <w:tcW w:w="3100" w:type="dxa"/>
            <w:vAlign w:val="bottom"/>
          </w:tcPr>
          <w:p>
            <w:pPr>
              <w:spacing w:after="0"/>
              <w:rPr>
                <w:sz w:val="14"/>
                <w:szCs w:val="14"/>
                <w:color w:val="auto"/>
              </w:rPr>
            </w:pPr>
          </w:p>
        </w:tc>
        <w:tc>
          <w:tcPr>
            <w:tcW w:w="1500" w:type="dxa"/>
            <w:vAlign w:val="bottom"/>
          </w:tcPr>
          <w:p>
            <w:pPr>
              <w:jc w:val="center"/>
              <w:ind w:left="42"/>
              <w:spacing w:after="0"/>
              <w:rPr>
                <w:sz w:val="20"/>
                <w:szCs w:val="20"/>
                <w:color w:val="auto"/>
              </w:rPr>
            </w:pPr>
            <w:r>
              <w:rPr>
                <w:rFonts w:ascii="Arial" w:cs="Arial" w:eastAsia="Arial" w:hAnsi="Arial"/>
                <w:sz w:val="14"/>
                <w:szCs w:val="14"/>
                <w:b w:val="1"/>
                <w:bCs w:val="1"/>
                <w:color w:val="auto"/>
              </w:rPr>
              <w:t>Useful Life</w:t>
            </w:r>
          </w:p>
        </w:tc>
        <w:tc>
          <w:tcPr>
            <w:tcW w:w="180" w:type="dxa"/>
            <w:vAlign w:val="bottom"/>
          </w:tcPr>
          <w:p>
            <w:pPr>
              <w:spacing w:after="0"/>
              <w:rPr>
                <w:sz w:val="14"/>
                <w:szCs w:val="14"/>
                <w:color w:val="auto"/>
              </w:rPr>
            </w:pPr>
          </w:p>
        </w:tc>
        <w:tc>
          <w:tcPr>
            <w:tcW w:w="880" w:type="dxa"/>
            <w:vAlign w:val="bottom"/>
          </w:tcPr>
          <w:p>
            <w:pPr>
              <w:jc w:val="center"/>
              <w:ind w:right="101"/>
              <w:spacing w:after="0"/>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4"/>
                <w:szCs w:val="14"/>
                <w:color w:val="auto"/>
              </w:rPr>
            </w:pPr>
          </w:p>
        </w:tc>
        <w:tc>
          <w:tcPr>
            <w:tcW w:w="1180" w:type="dxa"/>
            <w:vAlign w:val="bottom"/>
          </w:tcPr>
          <w:p>
            <w:pPr>
              <w:jc w:val="right"/>
              <w:ind w:right="161"/>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4"/>
                <w:szCs w:val="14"/>
                <w:color w:val="auto"/>
              </w:rPr>
            </w:pPr>
          </w:p>
        </w:tc>
        <w:tc>
          <w:tcPr>
            <w:tcW w:w="880" w:type="dxa"/>
            <w:vAlign w:val="bottom"/>
          </w:tcPr>
          <w:p>
            <w:pPr>
              <w:jc w:val="center"/>
              <w:ind w:right="162"/>
              <w:spacing w:after="0"/>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4"/>
                <w:szCs w:val="14"/>
                <w:color w:val="auto"/>
              </w:rPr>
            </w:pPr>
          </w:p>
        </w:tc>
        <w:tc>
          <w:tcPr>
            <w:tcW w:w="860" w:type="dxa"/>
            <w:vAlign w:val="bottom"/>
          </w:tcPr>
          <w:p>
            <w:pPr>
              <w:jc w:val="center"/>
              <w:ind w:right="121"/>
              <w:spacing w:after="0"/>
              <w:rPr>
                <w:sz w:val="20"/>
                <w:szCs w:val="20"/>
                <w:color w:val="auto"/>
              </w:rPr>
            </w:pPr>
            <w:r>
              <w:rPr>
                <w:rFonts w:ascii="Arial" w:cs="Arial" w:eastAsia="Arial" w:hAnsi="Arial"/>
                <w:sz w:val="14"/>
                <w:szCs w:val="14"/>
                <w:color w:val="auto"/>
              </w:rPr>
              <w:t>Carrying</w:t>
            </w:r>
          </w:p>
        </w:tc>
        <w:tc>
          <w:tcPr>
            <w:tcW w:w="240" w:type="dxa"/>
            <w:vAlign w:val="bottom"/>
          </w:tcPr>
          <w:p>
            <w:pPr>
              <w:spacing w:after="0"/>
              <w:rPr>
                <w:sz w:val="14"/>
                <w:szCs w:val="14"/>
                <w:color w:val="auto"/>
              </w:rPr>
            </w:pPr>
          </w:p>
        </w:tc>
        <w:tc>
          <w:tcPr>
            <w:tcW w:w="1020" w:type="dxa"/>
            <w:vAlign w:val="bottom"/>
          </w:tcPr>
          <w:p>
            <w:pPr>
              <w:jc w:val="right"/>
              <w:ind w:right="101"/>
              <w:spacing w:after="0"/>
              <w:rPr>
                <w:sz w:val="20"/>
                <w:szCs w:val="20"/>
                <w:color w:val="auto"/>
              </w:rPr>
            </w:pPr>
            <w:r>
              <w:rPr>
                <w:rFonts w:ascii="Arial" w:cs="Arial" w:eastAsia="Arial" w:hAnsi="Arial"/>
                <w:sz w:val="14"/>
                <w:szCs w:val="14"/>
                <w:color w:val="auto"/>
              </w:rPr>
              <w:t>Accumulated</w:t>
            </w:r>
          </w:p>
        </w:tc>
        <w:tc>
          <w:tcPr>
            <w:tcW w:w="240" w:type="dxa"/>
            <w:vAlign w:val="bottom"/>
          </w:tcPr>
          <w:p>
            <w:pPr>
              <w:spacing w:after="0"/>
              <w:rPr>
                <w:sz w:val="14"/>
                <w:szCs w:val="14"/>
                <w:color w:val="auto"/>
              </w:rPr>
            </w:pPr>
          </w:p>
        </w:tc>
        <w:tc>
          <w:tcPr>
            <w:tcW w:w="760" w:type="dxa"/>
            <w:vAlign w:val="bottom"/>
          </w:tcPr>
          <w:p>
            <w:pPr>
              <w:jc w:val="center"/>
              <w:ind w:right="102"/>
              <w:spacing w:after="0"/>
              <w:rPr>
                <w:sz w:val="20"/>
                <w:szCs w:val="20"/>
                <w:color w:val="auto"/>
              </w:rPr>
            </w:pPr>
            <w:r>
              <w:rPr>
                <w:rFonts w:ascii="Arial" w:cs="Arial" w:eastAsia="Arial" w:hAnsi="Arial"/>
                <w:sz w:val="14"/>
                <w:szCs w:val="14"/>
                <w:color w:val="auto"/>
              </w:rPr>
              <w:t>Carrying</w:t>
            </w:r>
          </w:p>
        </w:tc>
        <w:tc>
          <w:tcPr>
            <w:tcW w:w="0" w:type="dxa"/>
            <w:vAlign w:val="bottom"/>
          </w:tcPr>
          <w:p>
            <w:pPr>
              <w:spacing w:after="0"/>
              <w:rPr>
                <w:sz w:val="1"/>
                <w:szCs w:val="1"/>
                <w:color w:val="auto"/>
              </w:rPr>
            </w:pPr>
          </w:p>
        </w:tc>
      </w:tr>
      <w:tr>
        <w:trPr>
          <w:trHeight w:val="203"/>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500" w:type="dxa"/>
            <w:vAlign w:val="bottom"/>
            <w:tcBorders>
              <w:bottom w:val="single" w:sz="8" w:color="auto"/>
            </w:tcBorders>
          </w:tcPr>
          <w:p>
            <w:pPr>
              <w:jc w:val="center"/>
              <w:ind w:left="22"/>
              <w:spacing w:after="0"/>
              <w:rPr>
                <w:sz w:val="20"/>
                <w:szCs w:val="20"/>
                <w:color w:val="auto"/>
              </w:rPr>
            </w:pPr>
            <w:r>
              <w:rPr>
                <w:rFonts w:ascii="Arial" w:cs="Arial" w:eastAsia="Arial" w:hAnsi="Arial"/>
                <w:sz w:val="14"/>
                <w:szCs w:val="14"/>
                <w:b w:val="1"/>
                <w:bCs w:val="1"/>
                <w:color w:val="auto"/>
              </w:rPr>
              <w:t>Range</w:t>
            </w: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Amount</w:t>
            </w: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color w:val="auto"/>
              </w:rPr>
              <w:t>Amount</w:t>
            </w: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color w:val="auto"/>
              </w:rPr>
              <w:t>Amortization</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257"/>
        </w:trPr>
        <w:tc>
          <w:tcPr>
            <w:tcW w:w="3100" w:type="dxa"/>
            <w:vAlign w:val="bottom"/>
          </w:tcPr>
          <w:p>
            <w:pPr>
              <w:ind w:left="40"/>
              <w:spacing w:after="0"/>
              <w:rPr>
                <w:sz w:val="20"/>
                <w:szCs w:val="20"/>
                <w:color w:val="auto"/>
              </w:rPr>
            </w:pPr>
            <w:r>
              <w:rPr>
                <w:rFonts w:ascii="Arial" w:cs="Arial" w:eastAsia="Arial" w:hAnsi="Arial"/>
                <w:sz w:val="16"/>
                <w:szCs w:val="16"/>
                <w:b w:val="1"/>
                <w:bCs w:val="1"/>
                <w:color w:val="auto"/>
              </w:rPr>
              <w:t>Amortized Intangible Assets</w:t>
            </w:r>
          </w:p>
        </w:tc>
        <w:tc>
          <w:tcPr>
            <w:tcW w:w="1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100" w:type="dxa"/>
            <w:vAlign w:val="bottom"/>
          </w:tcPr>
          <w:p>
            <w:pPr>
              <w:ind w:left="180"/>
              <w:spacing w:after="0"/>
              <w:rPr>
                <w:sz w:val="20"/>
                <w:szCs w:val="20"/>
                <w:color w:val="auto"/>
              </w:rPr>
            </w:pPr>
            <w:r>
              <w:rPr>
                <w:rFonts w:ascii="Arial" w:cs="Arial" w:eastAsia="Arial" w:hAnsi="Arial"/>
                <w:sz w:val="16"/>
                <w:szCs w:val="16"/>
                <w:color w:val="auto"/>
              </w:rPr>
              <w:t>Noncompete agreements</w:t>
            </w:r>
          </w:p>
        </w:tc>
        <w:tc>
          <w:tcPr>
            <w:tcW w:w="1500" w:type="dxa"/>
            <w:vAlign w:val="bottom"/>
          </w:tcPr>
          <w:p>
            <w:pPr>
              <w:jc w:val="center"/>
              <w:ind w:left="42"/>
              <w:spacing w:after="0"/>
              <w:rPr>
                <w:sz w:val="20"/>
                <w:szCs w:val="20"/>
                <w:color w:val="auto"/>
              </w:rPr>
            </w:pPr>
            <w:r>
              <w:rPr>
                <w:rFonts w:ascii="Arial" w:cs="Arial" w:eastAsia="Arial" w:hAnsi="Arial"/>
                <w:sz w:val="16"/>
                <w:szCs w:val="16"/>
                <w:b w:val="1"/>
                <w:bCs w:val="1"/>
                <w:color w:val="auto"/>
              </w:rPr>
              <w:t>2–5 years</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13,943</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ind w:right="101"/>
              <w:spacing w:after="0"/>
              <w:rPr>
                <w:sz w:val="20"/>
                <w:szCs w:val="20"/>
                <w:color w:val="auto"/>
              </w:rPr>
            </w:pPr>
            <w:r>
              <w:rPr>
                <w:rFonts w:ascii="Arial" w:cs="Arial" w:eastAsia="Arial" w:hAnsi="Arial"/>
                <w:sz w:val="16"/>
                <w:szCs w:val="16"/>
                <w:b w:val="1"/>
                <w:bCs w:val="1"/>
                <w:color w:val="auto"/>
              </w:rPr>
              <w:t>12,896</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42"/>
              <w:spacing w:after="0"/>
              <w:rPr>
                <w:sz w:val="20"/>
                <w:szCs w:val="20"/>
                <w:color w:val="auto"/>
              </w:rPr>
            </w:pPr>
            <w:r>
              <w:rPr>
                <w:rFonts w:ascii="Arial" w:cs="Arial" w:eastAsia="Arial" w:hAnsi="Arial"/>
                <w:sz w:val="16"/>
                <w:szCs w:val="16"/>
                <w:b w:val="1"/>
                <w:bCs w:val="1"/>
                <w:color w:val="auto"/>
              </w:rPr>
              <w:t>1,047</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13,540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12,622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918</w:t>
            </w:r>
          </w:p>
        </w:tc>
        <w:tc>
          <w:tcPr>
            <w:tcW w:w="0" w:type="dxa"/>
            <w:vAlign w:val="bottom"/>
          </w:tcPr>
          <w:p>
            <w:pPr>
              <w:spacing w:after="0"/>
              <w:rPr>
                <w:sz w:val="1"/>
                <w:szCs w:val="1"/>
                <w:color w:val="auto"/>
              </w:rPr>
            </w:pPr>
          </w:p>
        </w:tc>
      </w:tr>
      <w:tr>
        <w:trPr>
          <w:trHeight w:val="270"/>
        </w:trPr>
        <w:tc>
          <w:tcPr>
            <w:tcW w:w="3100" w:type="dxa"/>
            <w:vAlign w:val="bottom"/>
          </w:tcPr>
          <w:p>
            <w:pPr>
              <w:ind w:left="180"/>
              <w:spacing w:after="0"/>
              <w:rPr>
                <w:sz w:val="20"/>
                <w:szCs w:val="20"/>
                <w:color w:val="auto"/>
              </w:rPr>
            </w:pPr>
            <w:r>
              <w:rPr>
                <w:rFonts w:ascii="Arial" w:cs="Arial" w:eastAsia="Arial" w:hAnsi="Arial"/>
                <w:sz w:val="16"/>
                <w:szCs w:val="16"/>
                <w:color w:val="auto"/>
              </w:rPr>
              <w:t>Student and customer relationships</w:t>
            </w:r>
          </w:p>
        </w:tc>
        <w:tc>
          <w:tcPr>
            <w:tcW w:w="1500" w:type="dxa"/>
            <w:vAlign w:val="bottom"/>
          </w:tcPr>
          <w:p>
            <w:pPr>
              <w:jc w:val="center"/>
              <w:ind w:left="22"/>
              <w:spacing w:after="0"/>
              <w:rPr>
                <w:sz w:val="20"/>
                <w:szCs w:val="20"/>
                <w:color w:val="auto"/>
              </w:rPr>
            </w:pPr>
            <w:r>
              <w:rPr>
                <w:rFonts w:ascii="Arial" w:cs="Arial" w:eastAsia="Arial" w:hAnsi="Arial"/>
                <w:sz w:val="16"/>
                <w:szCs w:val="16"/>
                <w:b w:val="1"/>
                <w:bCs w:val="1"/>
                <w:color w:val="auto"/>
              </w:rPr>
              <w:t>2–10 years</w:t>
            </w:r>
          </w:p>
        </w:tc>
        <w:tc>
          <w:tcPr>
            <w:tcW w:w="180" w:type="dxa"/>
            <w:vAlign w:val="bottom"/>
          </w:tcPr>
          <w:p>
            <w:pPr>
              <w:spacing w:after="0"/>
              <w:rPr>
                <w:sz w:val="23"/>
                <w:szCs w:val="23"/>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93,064</w:t>
            </w:r>
          </w:p>
        </w:tc>
        <w:tc>
          <w:tcPr>
            <w:tcW w:w="240" w:type="dxa"/>
            <w:vAlign w:val="bottom"/>
          </w:tcPr>
          <w:p>
            <w:pPr>
              <w:spacing w:after="0"/>
              <w:rPr>
                <w:sz w:val="23"/>
                <w:szCs w:val="23"/>
                <w:color w:val="auto"/>
              </w:rPr>
            </w:pPr>
          </w:p>
        </w:tc>
        <w:tc>
          <w:tcPr>
            <w:tcW w:w="1180" w:type="dxa"/>
            <w:vAlign w:val="bottom"/>
          </w:tcPr>
          <w:p>
            <w:pPr>
              <w:jc w:val="right"/>
              <w:ind w:right="101"/>
              <w:spacing w:after="0"/>
              <w:rPr>
                <w:sz w:val="20"/>
                <w:szCs w:val="20"/>
                <w:color w:val="auto"/>
              </w:rPr>
            </w:pPr>
            <w:r>
              <w:rPr>
                <w:rFonts w:ascii="Arial" w:cs="Arial" w:eastAsia="Arial" w:hAnsi="Arial"/>
                <w:sz w:val="16"/>
                <w:szCs w:val="16"/>
                <w:b w:val="1"/>
                <w:bCs w:val="1"/>
                <w:color w:val="auto"/>
              </w:rPr>
              <w:t>43,827</w:t>
            </w:r>
          </w:p>
        </w:tc>
        <w:tc>
          <w:tcPr>
            <w:tcW w:w="180" w:type="dxa"/>
            <w:vAlign w:val="bottom"/>
          </w:tcPr>
          <w:p>
            <w:pPr>
              <w:spacing w:after="0"/>
              <w:rPr>
                <w:sz w:val="23"/>
                <w:szCs w:val="23"/>
                <w:color w:val="auto"/>
              </w:rPr>
            </w:pPr>
          </w:p>
        </w:tc>
        <w:tc>
          <w:tcPr>
            <w:tcW w:w="880" w:type="dxa"/>
            <w:vAlign w:val="bottom"/>
          </w:tcPr>
          <w:p>
            <w:pPr>
              <w:jc w:val="right"/>
              <w:ind w:right="142"/>
              <w:spacing w:after="0"/>
              <w:rPr>
                <w:sz w:val="20"/>
                <w:szCs w:val="20"/>
                <w:color w:val="auto"/>
              </w:rPr>
            </w:pPr>
            <w:r>
              <w:rPr>
                <w:rFonts w:ascii="Arial" w:cs="Arial" w:eastAsia="Arial" w:hAnsi="Arial"/>
                <w:sz w:val="16"/>
                <w:szCs w:val="16"/>
                <w:b w:val="1"/>
                <w:bCs w:val="1"/>
                <w:color w:val="auto"/>
              </w:rPr>
              <w:t>49,237</w:t>
            </w:r>
          </w:p>
        </w:tc>
        <w:tc>
          <w:tcPr>
            <w:tcW w:w="16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72,050</w:t>
            </w:r>
          </w:p>
        </w:tc>
        <w:tc>
          <w:tcPr>
            <w:tcW w:w="240" w:type="dxa"/>
            <w:vAlign w:val="bottom"/>
          </w:tcPr>
          <w:p>
            <w:pPr>
              <w:spacing w:after="0"/>
              <w:rPr>
                <w:sz w:val="23"/>
                <w:szCs w:val="23"/>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45,718</w:t>
            </w:r>
          </w:p>
        </w:tc>
        <w:tc>
          <w:tcPr>
            <w:tcW w:w="240" w:type="dxa"/>
            <w:vAlign w:val="bottom"/>
          </w:tcPr>
          <w:p>
            <w:pPr>
              <w:spacing w:after="0"/>
              <w:rPr>
                <w:sz w:val="23"/>
                <w:szCs w:val="23"/>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26,332</w:t>
            </w:r>
          </w:p>
        </w:tc>
        <w:tc>
          <w:tcPr>
            <w:tcW w:w="0" w:type="dxa"/>
            <w:vAlign w:val="bottom"/>
          </w:tcPr>
          <w:p>
            <w:pPr>
              <w:spacing w:after="0"/>
              <w:rPr>
                <w:sz w:val="1"/>
                <w:szCs w:val="1"/>
                <w:color w:val="auto"/>
              </w:rPr>
            </w:pPr>
          </w:p>
        </w:tc>
      </w:tr>
      <w:tr>
        <w:trPr>
          <w:trHeight w:val="270"/>
        </w:trPr>
        <w:tc>
          <w:tcPr>
            <w:tcW w:w="3100" w:type="dxa"/>
            <w:vAlign w:val="bottom"/>
          </w:tcPr>
          <w:p>
            <w:pPr>
              <w:ind w:left="180"/>
              <w:spacing w:after="0"/>
              <w:rPr>
                <w:sz w:val="20"/>
                <w:szCs w:val="20"/>
                <w:color w:val="auto"/>
              </w:rPr>
            </w:pPr>
            <w:r>
              <w:rPr>
                <w:rFonts w:ascii="Arial" w:cs="Arial" w:eastAsia="Arial" w:hAnsi="Arial"/>
                <w:sz w:val="16"/>
                <w:szCs w:val="16"/>
                <w:color w:val="auto"/>
              </w:rPr>
              <w:t>Databases and technology</w:t>
            </w:r>
          </w:p>
        </w:tc>
        <w:tc>
          <w:tcPr>
            <w:tcW w:w="1500" w:type="dxa"/>
            <w:vAlign w:val="bottom"/>
          </w:tcPr>
          <w:p>
            <w:pPr>
              <w:jc w:val="center"/>
              <w:ind w:left="42"/>
              <w:spacing w:after="0"/>
              <w:rPr>
                <w:sz w:val="20"/>
                <w:szCs w:val="20"/>
                <w:color w:val="auto"/>
              </w:rPr>
            </w:pPr>
            <w:r>
              <w:rPr>
                <w:rFonts w:ascii="Arial" w:cs="Arial" w:eastAsia="Arial" w:hAnsi="Arial"/>
                <w:sz w:val="16"/>
                <w:szCs w:val="16"/>
                <w:b w:val="1"/>
                <w:bCs w:val="1"/>
                <w:color w:val="auto"/>
              </w:rPr>
              <w:t>3–5 years</w:t>
            </w:r>
          </w:p>
        </w:tc>
        <w:tc>
          <w:tcPr>
            <w:tcW w:w="180" w:type="dxa"/>
            <w:vAlign w:val="bottom"/>
          </w:tcPr>
          <w:p>
            <w:pPr>
              <w:spacing w:after="0"/>
              <w:rPr>
                <w:sz w:val="23"/>
                <w:szCs w:val="23"/>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12,229</w:t>
            </w:r>
          </w:p>
        </w:tc>
        <w:tc>
          <w:tcPr>
            <w:tcW w:w="240" w:type="dxa"/>
            <w:vAlign w:val="bottom"/>
          </w:tcPr>
          <w:p>
            <w:pPr>
              <w:spacing w:after="0"/>
              <w:rPr>
                <w:sz w:val="23"/>
                <w:szCs w:val="23"/>
                <w:color w:val="auto"/>
              </w:rPr>
            </w:pPr>
          </w:p>
        </w:tc>
        <w:tc>
          <w:tcPr>
            <w:tcW w:w="1180" w:type="dxa"/>
            <w:vAlign w:val="bottom"/>
          </w:tcPr>
          <w:p>
            <w:pPr>
              <w:jc w:val="right"/>
              <w:ind w:right="101"/>
              <w:spacing w:after="0"/>
              <w:rPr>
                <w:sz w:val="20"/>
                <w:szCs w:val="20"/>
                <w:color w:val="auto"/>
              </w:rPr>
            </w:pPr>
            <w:r>
              <w:rPr>
                <w:rFonts w:ascii="Arial" w:cs="Arial" w:eastAsia="Arial" w:hAnsi="Arial"/>
                <w:sz w:val="16"/>
                <w:szCs w:val="16"/>
                <w:b w:val="1"/>
                <w:bCs w:val="1"/>
                <w:color w:val="auto"/>
              </w:rPr>
              <w:t>7,906</w:t>
            </w:r>
          </w:p>
        </w:tc>
        <w:tc>
          <w:tcPr>
            <w:tcW w:w="180" w:type="dxa"/>
            <w:vAlign w:val="bottom"/>
          </w:tcPr>
          <w:p>
            <w:pPr>
              <w:spacing w:after="0"/>
              <w:rPr>
                <w:sz w:val="23"/>
                <w:szCs w:val="23"/>
                <w:color w:val="auto"/>
              </w:rPr>
            </w:pPr>
          </w:p>
        </w:tc>
        <w:tc>
          <w:tcPr>
            <w:tcW w:w="880" w:type="dxa"/>
            <w:vAlign w:val="bottom"/>
          </w:tcPr>
          <w:p>
            <w:pPr>
              <w:jc w:val="right"/>
              <w:ind w:right="142"/>
              <w:spacing w:after="0"/>
              <w:rPr>
                <w:sz w:val="20"/>
                <w:szCs w:val="20"/>
                <w:color w:val="auto"/>
              </w:rPr>
            </w:pPr>
            <w:r>
              <w:rPr>
                <w:rFonts w:ascii="Arial" w:cs="Arial" w:eastAsia="Arial" w:hAnsi="Arial"/>
                <w:sz w:val="16"/>
                <w:szCs w:val="16"/>
                <w:b w:val="1"/>
                <w:bCs w:val="1"/>
                <w:color w:val="auto"/>
              </w:rPr>
              <w:t>4,323</w:t>
            </w:r>
          </w:p>
        </w:tc>
        <w:tc>
          <w:tcPr>
            <w:tcW w:w="16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10,790</w:t>
            </w:r>
          </w:p>
        </w:tc>
        <w:tc>
          <w:tcPr>
            <w:tcW w:w="240" w:type="dxa"/>
            <w:vAlign w:val="bottom"/>
          </w:tcPr>
          <w:p>
            <w:pPr>
              <w:spacing w:after="0"/>
              <w:rPr>
                <w:sz w:val="23"/>
                <w:szCs w:val="23"/>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6,991</w:t>
            </w:r>
          </w:p>
        </w:tc>
        <w:tc>
          <w:tcPr>
            <w:tcW w:w="240" w:type="dxa"/>
            <w:vAlign w:val="bottom"/>
          </w:tcPr>
          <w:p>
            <w:pPr>
              <w:spacing w:after="0"/>
              <w:rPr>
                <w:sz w:val="23"/>
                <w:szCs w:val="23"/>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3,799</w:t>
            </w:r>
          </w:p>
        </w:tc>
        <w:tc>
          <w:tcPr>
            <w:tcW w:w="0" w:type="dxa"/>
            <w:vAlign w:val="bottom"/>
          </w:tcPr>
          <w:p>
            <w:pPr>
              <w:spacing w:after="0"/>
              <w:rPr>
                <w:sz w:val="1"/>
                <w:szCs w:val="1"/>
                <w:color w:val="auto"/>
              </w:rPr>
            </w:pPr>
          </w:p>
        </w:tc>
      </w:tr>
      <w:tr>
        <w:trPr>
          <w:trHeight w:val="270"/>
        </w:trPr>
        <w:tc>
          <w:tcPr>
            <w:tcW w:w="3100" w:type="dxa"/>
            <w:vAlign w:val="bottom"/>
          </w:tcPr>
          <w:p>
            <w:pPr>
              <w:ind w:left="180"/>
              <w:spacing w:after="0"/>
              <w:rPr>
                <w:sz w:val="20"/>
                <w:szCs w:val="20"/>
                <w:color w:val="auto"/>
              </w:rPr>
            </w:pPr>
            <w:r>
              <w:rPr>
                <w:rFonts w:ascii="Arial" w:cs="Arial" w:eastAsia="Arial" w:hAnsi="Arial"/>
                <w:sz w:val="16"/>
                <w:szCs w:val="16"/>
                <w:color w:val="auto"/>
              </w:rPr>
              <w:t>Trade names and trademarks</w:t>
            </w:r>
          </w:p>
        </w:tc>
        <w:tc>
          <w:tcPr>
            <w:tcW w:w="1500" w:type="dxa"/>
            <w:vAlign w:val="bottom"/>
          </w:tcPr>
          <w:p>
            <w:pPr>
              <w:jc w:val="center"/>
              <w:ind w:left="22"/>
              <w:spacing w:after="0"/>
              <w:rPr>
                <w:sz w:val="20"/>
                <w:szCs w:val="20"/>
                <w:color w:val="auto"/>
              </w:rPr>
            </w:pPr>
            <w:r>
              <w:rPr>
                <w:rFonts w:ascii="Arial" w:cs="Arial" w:eastAsia="Arial" w:hAnsi="Arial"/>
                <w:sz w:val="16"/>
                <w:szCs w:val="16"/>
                <w:b w:val="1"/>
                <w:bCs w:val="1"/>
                <w:color w:val="auto"/>
              </w:rPr>
              <w:t>2–10 years</w:t>
            </w:r>
          </w:p>
        </w:tc>
        <w:tc>
          <w:tcPr>
            <w:tcW w:w="180" w:type="dxa"/>
            <w:vAlign w:val="bottom"/>
          </w:tcPr>
          <w:p>
            <w:pPr>
              <w:spacing w:after="0"/>
              <w:rPr>
                <w:sz w:val="23"/>
                <w:szCs w:val="23"/>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22,672</w:t>
            </w:r>
          </w:p>
        </w:tc>
        <w:tc>
          <w:tcPr>
            <w:tcW w:w="240" w:type="dxa"/>
            <w:vAlign w:val="bottom"/>
          </w:tcPr>
          <w:p>
            <w:pPr>
              <w:spacing w:after="0"/>
              <w:rPr>
                <w:sz w:val="23"/>
                <w:szCs w:val="23"/>
                <w:color w:val="auto"/>
              </w:rPr>
            </w:pPr>
          </w:p>
        </w:tc>
        <w:tc>
          <w:tcPr>
            <w:tcW w:w="1180" w:type="dxa"/>
            <w:vAlign w:val="bottom"/>
          </w:tcPr>
          <w:p>
            <w:pPr>
              <w:jc w:val="right"/>
              <w:ind w:right="101"/>
              <w:spacing w:after="0"/>
              <w:rPr>
                <w:sz w:val="20"/>
                <w:szCs w:val="20"/>
                <w:color w:val="auto"/>
              </w:rPr>
            </w:pPr>
            <w:r>
              <w:rPr>
                <w:rFonts w:ascii="Arial" w:cs="Arial" w:eastAsia="Arial" w:hAnsi="Arial"/>
                <w:sz w:val="16"/>
                <w:szCs w:val="16"/>
                <w:b w:val="1"/>
                <w:bCs w:val="1"/>
                <w:color w:val="auto"/>
              </w:rPr>
              <w:t>17,433</w:t>
            </w:r>
          </w:p>
        </w:tc>
        <w:tc>
          <w:tcPr>
            <w:tcW w:w="180" w:type="dxa"/>
            <w:vAlign w:val="bottom"/>
          </w:tcPr>
          <w:p>
            <w:pPr>
              <w:spacing w:after="0"/>
              <w:rPr>
                <w:sz w:val="23"/>
                <w:szCs w:val="23"/>
                <w:color w:val="auto"/>
              </w:rPr>
            </w:pPr>
          </w:p>
        </w:tc>
        <w:tc>
          <w:tcPr>
            <w:tcW w:w="880" w:type="dxa"/>
            <w:vAlign w:val="bottom"/>
          </w:tcPr>
          <w:p>
            <w:pPr>
              <w:jc w:val="right"/>
              <w:ind w:right="142"/>
              <w:spacing w:after="0"/>
              <w:rPr>
                <w:sz w:val="20"/>
                <w:szCs w:val="20"/>
                <w:color w:val="auto"/>
              </w:rPr>
            </w:pPr>
            <w:r>
              <w:rPr>
                <w:rFonts w:ascii="Arial" w:cs="Arial" w:eastAsia="Arial" w:hAnsi="Arial"/>
                <w:sz w:val="16"/>
                <w:szCs w:val="16"/>
                <w:b w:val="1"/>
                <w:bCs w:val="1"/>
                <w:color w:val="auto"/>
              </w:rPr>
              <w:t>5,239</w:t>
            </w:r>
          </w:p>
        </w:tc>
        <w:tc>
          <w:tcPr>
            <w:tcW w:w="16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22,327</w:t>
            </w:r>
          </w:p>
        </w:tc>
        <w:tc>
          <w:tcPr>
            <w:tcW w:w="240" w:type="dxa"/>
            <w:vAlign w:val="bottom"/>
          </w:tcPr>
          <w:p>
            <w:pPr>
              <w:spacing w:after="0"/>
              <w:rPr>
                <w:sz w:val="23"/>
                <w:szCs w:val="23"/>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16,052</w:t>
            </w:r>
          </w:p>
        </w:tc>
        <w:tc>
          <w:tcPr>
            <w:tcW w:w="240" w:type="dxa"/>
            <w:vAlign w:val="bottom"/>
          </w:tcPr>
          <w:p>
            <w:pPr>
              <w:spacing w:after="0"/>
              <w:rPr>
                <w:sz w:val="23"/>
                <w:szCs w:val="23"/>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6,275</w:t>
            </w:r>
          </w:p>
        </w:tc>
        <w:tc>
          <w:tcPr>
            <w:tcW w:w="0" w:type="dxa"/>
            <w:vAlign w:val="bottom"/>
          </w:tcPr>
          <w:p>
            <w:pPr>
              <w:spacing w:after="0"/>
              <w:rPr>
                <w:sz w:val="1"/>
                <w:szCs w:val="1"/>
                <w:color w:val="auto"/>
              </w:rPr>
            </w:pPr>
          </w:p>
        </w:tc>
      </w:tr>
      <w:tr>
        <w:trPr>
          <w:trHeight w:val="274"/>
        </w:trPr>
        <w:tc>
          <w:tcPr>
            <w:tcW w:w="3100" w:type="dxa"/>
            <w:vAlign w:val="bottom"/>
          </w:tcPr>
          <w:p>
            <w:pPr>
              <w:ind w:left="180"/>
              <w:spacing w:after="0"/>
              <w:rPr>
                <w:sz w:val="20"/>
                <w:szCs w:val="20"/>
                <w:color w:val="auto"/>
              </w:rPr>
            </w:pPr>
            <w:r>
              <w:rPr>
                <w:rFonts w:ascii="Arial" w:cs="Arial" w:eastAsia="Arial" w:hAnsi="Arial"/>
                <w:sz w:val="16"/>
                <w:szCs w:val="16"/>
                <w:color w:val="auto"/>
              </w:rPr>
              <w:t>Other</w:t>
            </w:r>
          </w:p>
        </w:tc>
        <w:tc>
          <w:tcPr>
            <w:tcW w:w="1500" w:type="dxa"/>
            <w:vAlign w:val="bottom"/>
          </w:tcPr>
          <w:p>
            <w:pPr>
              <w:jc w:val="center"/>
              <w:ind w:left="22"/>
              <w:spacing w:after="0"/>
              <w:rPr>
                <w:sz w:val="20"/>
                <w:szCs w:val="20"/>
                <w:color w:val="auto"/>
              </w:rPr>
            </w:pPr>
            <w:r>
              <w:rPr>
                <w:rFonts w:ascii="Arial" w:cs="Arial" w:eastAsia="Arial" w:hAnsi="Arial"/>
                <w:sz w:val="16"/>
                <w:szCs w:val="16"/>
                <w:b w:val="1"/>
                <w:bCs w:val="1"/>
                <w:color w:val="auto"/>
              </w:rPr>
              <w:t>1–25 years</w:t>
            </w:r>
          </w:p>
        </w:tc>
        <w:tc>
          <w:tcPr>
            <w:tcW w:w="1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9,891</w:t>
            </w:r>
          </w:p>
        </w:tc>
        <w:tc>
          <w:tcPr>
            <w:tcW w:w="2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8,005</w:t>
            </w:r>
          </w:p>
        </w:tc>
        <w:tc>
          <w:tcPr>
            <w:tcW w:w="1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1,886</w:t>
            </w:r>
          </w:p>
        </w:tc>
        <w:tc>
          <w:tcPr>
            <w:tcW w:w="1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9,836</w:t>
            </w: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7,572</w:t>
            </w:r>
          </w:p>
        </w:tc>
        <w:tc>
          <w:tcPr>
            <w:tcW w:w="2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2,264</w:t>
            </w:r>
          </w:p>
        </w:tc>
        <w:tc>
          <w:tcPr>
            <w:tcW w:w="0" w:type="dxa"/>
            <w:vAlign w:val="bottom"/>
          </w:tcPr>
          <w:p>
            <w:pPr>
              <w:spacing w:after="0"/>
              <w:rPr>
                <w:sz w:val="1"/>
                <w:szCs w:val="1"/>
                <w:color w:val="auto"/>
              </w:rPr>
            </w:pPr>
          </w:p>
        </w:tc>
      </w:tr>
      <w:tr>
        <w:trPr>
          <w:trHeight w:val="261"/>
        </w:trPr>
        <w:tc>
          <w:tcPr>
            <w:tcW w:w="31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151,799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90,067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61,732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128,543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88,955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39,588</w:t>
            </w:r>
          </w:p>
        </w:tc>
        <w:tc>
          <w:tcPr>
            <w:tcW w:w="0" w:type="dxa"/>
            <w:vAlign w:val="bottom"/>
          </w:tcPr>
          <w:p>
            <w:pPr>
              <w:spacing w:after="0"/>
              <w:rPr>
                <w:sz w:val="1"/>
                <w:szCs w:val="1"/>
                <w:color w:val="auto"/>
              </w:rPr>
            </w:pPr>
          </w:p>
        </w:tc>
      </w:tr>
      <w:tr>
        <w:trPr>
          <w:trHeight w:val="20"/>
        </w:trPr>
        <w:tc>
          <w:tcPr>
            <w:tcW w:w="31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Indefinite-Lived Intangible Assets</w:t>
            </w:r>
          </w:p>
        </w:tc>
        <w:tc>
          <w:tcPr>
            <w:tcW w:w="1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vMerge w:val="continue"/>
          </w:tcPr>
          <w:p>
            <w:pPr>
              <w:spacing w:after="0"/>
              <w:rPr>
                <w:sz w:val="21"/>
                <w:szCs w:val="21"/>
                <w:color w:val="auto"/>
              </w:rPr>
            </w:pPr>
          </w:p>
        </w:tc>
        <w:tc>
          <w:tcPr>
            <w:tcW w:w="1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100" w:type="dxa"/>
            <w:vAlign w:val="bottom"/>
          </w:tcPr>
          <w:p>
            <w:pPr>
              <w:ind w:left="180"/>
              <w:spacing w:after="0"/>
              <w:rPr>
                <w:sz w:val="20"/>
                <w:szCs w:val="20"/>
                <w:color w:val="auto"/>
              </w:rPr>
            </w:pPr>
            <w:r>
              <w:rPr>
                <w:rFonts w:ascii="Arial" w:cs="Arial" w:eastAsia="Arial" w:hAnsi="Arial"/>
                <w:sz w:val="16"/>
                <w:szCs w:val="16"/>
                <w:color w:val="auto"/>
              </w:rPr>
              <w:t>Franchise agreements</w:t>
            </w:r>
          </w:p>
        </w:tc>
        <w:tc>
          <w:tcPr>
            <w:tcW w:w="15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496,321</w:t>
            </w:r>
          </w:p>
        </w:tc>
        <w:tc>
          <w:tcPr>
            <w:tcW w:w="2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496,321</w:t>
            </w: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00" w:type="dxa"/>
            <w:vAlign w:val="bottom"/>
          </w:tcPr>
          <w:p>
            <w:pPr>
              <w:ind w:left="180"/>
              <w:spacing w:after="0"/>
              <w:rPr>
                <w:sz w:val="20"/>
                <w:szCs w:val="20"/>
                <w:color w:val="auto"/>
              </w:rPr>
            </w:pPr>
            <w:r>
              <w:rPr>
                <w:rFonts w:ascii="Arial" w:cs="Arial" w:eastAsia="Arial" w:hAnsi="Arial"/>
                <w:sz w:val="16"/>
                <w:szCs w:val="16"/>
                <w:color w:val="auto"/>
              </w:rPr>
              <w:t>Wireless licenses</w:t>
            </w:r>
          </w:p>
        </w:tc>
        <w:tc>
          <w:tcPr>
            <w:tcW w:w="1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22,150</w:t>
            </w: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00" w:type="dxa"/>
            <w:vAlign w:val="bottom"/>
          </w:tcPr>
          <w:p>
            <w:pPr>
              <w:ind w:left="180"/>
              <w:spacing w:after="0"/>
              <w:rPr>
                <w:sz w:val="20"/>
                <w:szCs w:val="20"/>
                <w:color w:val="auto"/>
              </w:rPr>
            </w:pPr>
            <w:r>
              <w:rPr>
                <w:rFonts w:ascii="Arial" w:cs="Arial" w:eastAsia="Arial" w:hAnsi="Arial"/>
                <w:sz w:val="16"/>
                <w:szCs w:val="16"/>
                <w:color w:val="auto"/>
              </w:rPr>
              <w:t>Licensure and accreditation</w:t>
            </w:r>
          </w:p>
        </w:tc>
        <w:tc>
          <w:tcPr>
            <w:tcW w:w="1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7,321</w:t>
            </w:r>
          </w:p>
        </w:tc>
        <w:tc>
          <w:tcPr>
            <w:tcW w:w="2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7,171</w:t>
            </w: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3100" w:type="dxa"/>
            <w:vAlign w:val="bottom"/>
          </w:tcPr>
          <w:p>
            <w:pPr>
              <w:ind w:left="180"/>
              <w:spacing w:after="0"/>
              <w:rPr>
                <w:sz w:val="20"/>
                <w:szCs w:val="20"/>
                <w:color w:val="auto"/>
              </w:rPr>
            </w:pPr>
            <w:r>
              <w:rPr>
                <w:rFonts w:ascii="Arial" w:cs="Arial" w:eastAsia="Arial" w:hAnsi="Arial"/>
                <w:sz w:val="16"/>
                <w:szCs w:val="16"/>
                <w:color w:val="auto"/>
              </w:rPr>
              <w:t>Other</w:t>
            </w:r>
          </w:p>
        </w:tc>
        <w:tc>
          <w:tcPr>
            <w:tcW w:w="15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31,736</w:t>
            </w:r>
          </w:p>
        </w:tc>
        <w:tc>
          <w:tcPr>
            <w:tcW w:w="2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15,636</w:t>
            </w: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535,378</w:t>
            </w: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541,278</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60" w:right="239" w:bottom="403" w:gutter="0" w:footer="0" w:header="0"/>
        </w:sectPr>
      </w:pP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560" w:right="239" w:bottom="403"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6. DEBT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Company’s borrowings consist of the following: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8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100" w:type="dxa"/>
            <w:vAlign w:val="bottom"/>
            <w:tcBorders>
              <w:bottom w:val="single" w:sz="8" w:color="auto"/>
            </w:tcBorders>
          </w:tcPr>
          <w:p>
            <w:pPr>
              <w:spacing w:after="0"/>
              <w:rPr>
                <w:sz w:val="17"/>
                <w:szCs w:val="17"/>
                <w:color w:val="auto"/>
              </w:rPr>
            </w:pPr>
          </w:p>
        </w:tc>
      </w:tr>
      <w:tr>
        <w:trPr>
          <w:trHeight w:val="330"/>
        </w:trPr>
        <w:tc>
          <w:tcPr>
            <w:tcW w:w="8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ind w:right="322"/>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24"/>
                <w:szCs w:val="24"/>
                <w:color w:val="auto"/>
              </w:rPr>
            </w:pPr>
          </w:p>
        </w:tc>
        <w:tc>
          <w:tcPr>
            <w:tcW w:w="1100" w:type="dxa"/>
            <w:vAlign w:val="bottom"/>
          </w:tcPr>
          <w:p>
            <w:pPr>
              <w:jc w:val="right"/>
              <w:ind w:right="121"/>
              <w:spacing w:after="0"/>
              <w:rPr>
                <w:sz w:val="20"/>
                <w:szCs w:val="20"/>
                <w:color w:val="auto"/>
              </w:rPr>
            </w:pPr>
            <w:r>
              <w:rPr>
                <w:rFonts w:ascii="Arial" w:cs="Arial" w:eastAsia="Arial" w:hAnsi="Arial"/>
                <w:sz w:val="14"/>
                <w:szCs w:val="14"/>
                <w:color w:val="auto"/>
              </w:rPr>
              <w:t>December 31,</w:t>
            </w:r>
          </w:p>
        </w:tc>
      </w:tr>
      <w:tr>
        <w:trPr>
          <w:trHeight w:val="203"/>
        </w:trPr>
        <w:tc>
          <w:tcPr>
            <w:tcW w:w="88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color w:val="auto"/>
              </w:rPr>
              <w:t>2013</w:t>
            </w:r>
          </w:p>
        </w:tc>
      </w:tr>
      <w:tr>
        <w:trPr>
          <w:trHeight w:val="257"/>
        </w:trPr>
        <w:tc>
          <w:tcPr>
            <w:tcW w:w="8800" w:type="dxa"/>
            <w:vAlign w:val="bottom"/>
          </w:tcPr>
          <w:p>
            <w:pPr>
              <w:ind w:left="40"/>
              <w:spacing w:after="0"/>
              <w:rPr>
                <w:sz w:val="20"/>
                <w:szCs w:val="20"/>
                <w:color w:val="auto"/>
              </w:rPr>
            </w:pPr>
            <w:r>
              <w:rPr>
                <w:rFonts w:ascii="Arial" w:cs="Arial" w:eastAsia="Arial" w:hAnsi="Arial"/>
                <w:sz w:val="16"/>
                <w:szCs w:val="16"/>
                <w:color w:val="auto"/>
              </w:rPr>
              <w:t>7.25% unsecured notes due February 1, 2019</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82"/>
              <w:spacing w:after="0"/>
              <w:rPr>
                <w:sz w:val="20"/>
                <w:szCs w:val="20"/>
                <w:color w:val="auto"/>
              </w:rPr>
            </w:pPr>
            <w:r>
              <w:rPr>
                <w:rFonts w:ascii="Arial" w:cs="Arial" w:eastAsia="Arial" w:hAnsi="Arial"/>
                <w:sz w:val="16"/>
                <w:szCs w:val="16"/>
                <w:b w:val="1"/>
                <w:bCs w:val="1"/>
                <w:color w:val="auto"/>
              </w:rPr>
              <w:t>398,101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397,893</w:t>
            </w:r>
          </w:p>
        </w:tc>
      </w:tr>
      <w:tr>
        <w:trPr>
          <w:trHeight w:val="270"/>
        </w:trPr>
        <w:tc>
          <w:tcPr>
            <w:tcW w:w="8800" w:type="dxa"/>
            <w:vAlign w:val="bottom"/>
          </w:tcPr>
          <w:p>
            <w:pPr>
              <w:ind w:left="40"/>
              <w:spacing w:after="0"/>
              <w:rPr>
                <w:sz w:val="20"/>
                <w:szCs w:val="20"/>
                <w:color w:val="auto"/>
              </w:rPr>
            </w:pPr>
            <w:r>
              <w:rPr>
                <w:rFonts w:ascii="Arial" w:cs="Arial" w:eastAsia="Arial" w:hAnsi="Arial"/>
                <w:sz w:val="16"/>
                <w:szCs w:val="16"/>
                <w:color w:val="auto"/>
              </w:rPr>
              <w:t>AUD Revolving credit borrowing</w:t>
            </w:r>
          </w:p>
        </w:tc>
        <w:tc>
          <w:tcPr>
            <w:tcW w:w="220" w:type="dxa"/>
            <w:vAlign w:val="bottom"/>
          </w:tcPr>
          <w:p>
            <w:pPr>
              <w:spacing w:after="0"/>
              <w:rPr>
                <w:sz w:val="23"/>
                <w:szCs w:val="23"/>
                <w:color w:val="auto"/>
              </w:rPr>
            </w:pPr>
          </w:p>
        </w:tc>
        <w:tc>
          <w:tcPr>
            <w:tcW w:w="1080" w:type="dxa"/>
            <w:vAlign w:val="bottom"/>
          </w:tcPr>
          <w:p>
            <w:pPr>
              <w:jc w:val="right"/>
              <w:ind w:right="82"/>
              <w:spacing w:after="0"/>
              <w:rPr>
                <w:sz w:val="20"/>
                <w:szCs w:val="20"/>
                <w:color w:val="auto"/>
              </w:rPr>
            </w:pPr>
            <w:r>
              <w:rPr>
                <w:rFonts w:ascii="Arial" w:cs="Arial" w:eastAsia="Arial" w:hAnsi="Arial"/>
                <w:sz w:val="16"/>
                <w:szCs w:val="16"/>
                <w:b w:val="1"/>
                <w:bCs w:val="1"/>
                <w:color w:val="auto"/>
              </w:rPr>
              <w:t>47,070</w:t>
            </w:r>
          </w:p>
        </w:tc>
        <w:tc>
          <w:tcPr>
            <w:tcW w:w="220" w:type="dxa"/>
            <w:vAlign w:val="bottom"/>
          </w:tcPr>
          <w:p>
            <w:pPr>
              <w:spacing w:after="0"/>
              <w:rPr>
                <w:sz w:val="23"/>
                <w:szCs w:val="23"/>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44,625</w:t>
            </w:r>
          </w:p>
        </w:tc>
      </w:tr>
      <w:tr>
        <w:trPr>
          <w:trHeight w:val="274"/>
        </w:trPr>
        <w:tc>
          <w:tcPr>
            <w:tcW w:w="8800" w:type="dxa"/>
            <w:vAlign w:val="bottom"/>
          </w:tcPr>
          <w:p>
            <w:pPr>
              <w:ind w:left="40"/>
              <w:spacing w:after="0"/>
              <w:rPr>
                <w:sz w:val="20"/>
                <w:szCs w:val="20"/>
                <w:color w:val="auto"/>
              </w:rPr>
            </w:pPr>
            <w:r>
              <w:rPr>
                <w:rFonts w:ascii="Arial" w:cs="Arial" w:eastAsia="Arial" w:hAnsi="Arial"/>
                <w:sz w:val="16"/>
                <w:szCs w:val="16"/>
                <w:color w:val="auto"/>
              </w:rPr>
              <w:t>Other indebtedness</w:t>
            </w:r>
          </w:p>
        </w:tc>
        <w:tc>
          <w:tcPr>
            <w:tcW w:w="2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6,771</w:t>
            </w:r>
          </w:p>
        </w:tc>
        <w:tc>
          <w:tcPr>
            <w:tcW w:w="2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8,258</w:t>
            </w:r>
          </w:p>
        </w:tc>
      </w:tr>
      <w:tr>
        <w:trPr>
          <w:trHeight w:val="260"/>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Total Debt</w:t>
            </w:r>
          </w:p>
        </w:tc>
        <w:tc>
          <w:tcPr>
            <w:tcW w:w="220" w:type="dxa"/>
            <w:vAlign w:val="bottom"/>
          </w:tcPr>
          <w:p>
            <w:pPr>
              <w:spacing w:after="0"/>
              <w:rPr>
                <w:sz w:val="22"/>
                <w:szCs w:val="22"/>
                <w:color w:val="auto"/>
              </w:rPr>
            </w:pPr>
          </w:p>
        </w:tc>
        <w:tc>
          <w:tcPr>
            <w:tcW w:w="1080" w:type="dxa"/>
            <w:vAlign w:val="bottom"/>
          </w:tcPr>
          <w:p>
            <w:pPr>
              <w:jc w:val="right"/>
              <w:ind w:right="82"/>
              <w:spacing w:after="0"/>
              <w:rPr>
                <w:sz w:val="20"/>
                <w:szCs w:val="20"/>
                <w:color w:val="auto"/>
              </w:rPr>
            </w:pPr>
            <w:r>
              <w:rPr>
                <w:rFonts w:ascii="Arial" w:cs="Arial" w:eastAsia="Arial" w:hAnsi="Arial"/>
                <w:sz w:val="16"/>
                <w:szCs w:val="16"/>
                <w:b w:val="1"/>
                <w:bCs w:val="1"/>
                <w:color w:val="auto"/>
              </w:rPr>
              <w:t>451,942</w:t>
            </w:r>
          </w:p>
        </w:tc>
        <w:tc>
          <w:tcPr>
            <w:tcW w:w="220" w:type="dxa"/>
            <w:vAlign w:val="bottom"/>
          </w:tcPr>
          <w:p>
            <w:pPr>
              <w:spacing w:after="0"/>
              <w:rPr>
                <w:sz w:val="22"/>
                <w:szCs w:val="22"/>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450,776</w:t>
            </w:r>
          </w:p>
        </w:tc>
      </w:tr>
      <w:tr>
        <w:trPr>
          <w:trHeight w:val="274"/>
        </w:trPr>
        <w:tc>
          <w:tcPr>
            <w:tcW w:w="8800" w:type="dxa"/>
            <w:vAlign w:val="bottom"/>
          </w:tcPr>
          <w:p>
            <w:pPr>
              <w:ind w:left="40"/>
              <w:spacing w:after="0"/>
              <w:rPr>
                <w:sz w:val="20"/>
                <w:szCs w:val="20"/>
                <w:color w:val="auto"/>
              </w:rPr>
            </w:pPr>
            <w:r>
              <w:rPr>
                <w:rFonts w:ascii="Arial" w:cs="Arial" w:eastAsia="Arial" w:hAnsi="Arial"/>
                <w:sz w:val="16"/>
                <w:szCs w:val="16"/>
                <w:color w:val="auto"/>
              </w:rPr>
              <w:t>Less: current portion</w:t>
            </w:r>
          </w:p>
        </w:tc>
        <w:tc>
          <w:tcPr>
            <w:tcW w:w="2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(53,740)</w:t>
            </w:r>
          </w:p>
        </w:tc>
        <w:tc>
          <w:tcPr>
            <w:tcW w:w="2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(3,168)</w:t>
            </w:r>
          </w:p>
        </w:tc>
      </w:tr>
      <w:tr>
        <w:trPr>
          <w:trHeight w:val="267"/>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Total Long-Term Debt</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398,202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447,608</w:t>
            </w:r>
          </w:p>
        </w:tc>
      </w:tr>
      <w:tr>
        <w:trPr>
          <w:trHeight w:val="20"/>
        </w:trPr>
        <w:tc>
          <w:tcPr>
            <w:tcW w:w="8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right="380"/>
        <w:spacing w:after="0" w:line="260" w:lineRule="auto"/>
        <w:rPr>
          <w:sz w:val="20"/>
          <w:szCs w:val="20"/>
          <w:color w:val="auto"/>
        </w:rPr>
      </w:pPr>
      <w:r>
        <w:rPr>
          <w:rFonts w:ascii="Arial" w:cs="Arial" w:eastAsia="Arial" w:hAnsi="Arial"/>
          <w:sz w:val="18"/>
          <w:szCs w:val="18"/>
          <w:color w:val="auto"/>
        </w:rPr>
        <w:t>The Company’s other indebtedness at June 30, 2014 and December 31, 2013 is at interest rates from 0% to 6% and matures from 2014 to 2017.</w:t>
      </w:r>
    </w:p>
    <w:p>
      <w:pPr>
        <w:spacing w:after="0" w:line="92" w:lineRule="exact"/>
        <w:rPr>
          <w:sz w:val="20"/>
          <w:szCs w:val="20"/>
          <w:color w:val="auto"/>
        </w:rPr>
      </w:pPr>
    </w:p>
    <w:p>
      <w:pPr>
        <w:jc w:val="both"/>
        <w:ind w:right="280"/>
        <w:spacing w:after="0"/>
        <w:rPr>
          <w:sz w:val="20"/>
          <w:szCs w:val="20"/>
          <w:color w:val="auto"/>
        </w:rPr>
      </w:pPr>
      <w:r>
        <w:rPr>
          <w:rFonts w:ascii="Arial" w:cs="Arial" w:eastAsia="Arial" w:hAnsi="Arial"/>
          <w:sz w:val="18"/>
          <w:szCs w:val="18"/>
          <w:color w:val="auto"/>
        </w:rPr>
        <w:t>During the three months ended June 30, 2014 and 2013, the Company had average borrowings outstanding of approximately $452.5 million and $ 454.1 million, respectively, at average annual interest rates of approximately 7.0%. During the three months ended June 30, 2014 and 2013, the Company incurred net interest expense of $7.9 million and $8.5 million, respectively.</w:t>
      </w:r>
    </w:p>
    <w:p>
      <w:pPr>
        <w:spacing w:after="0" w:line="108" w:lineRule="exact"/>
        <w:rPr>
          <w:sz w:val="20"/>
          <w:szCs w:val="20"/>
          <w:color w:val="auto"/>
        </w:rPr>
      </w:pPr>
    </w:p>
    <w:p>
      <w:pPr>
        <w:jc w:val="both"/>
        <w:ind w:right="60"/>
        <w:spacing w:after="0"/>
        <w:rPr>
          <w:sz w:val="20"/>
          <w:szCs w:val="20"/>
          <w:color w:val="auto"/>
        </w:rPr>
      </w:pPr>
      <w:r>
        <w:rPr>
          <w:rFonts w:ascii="Arial" w:cs="Arial" w:eastAsia="Arial" w:hAnsi="Arial"/>
          <w:sz w:val="18"/>
          <w:szCs w:val="18"/>
          <w:color w:val="auto"/>
        </w:rPr>
        <w:t>During the six months ended June 30, 2014 and 2013, the Company had average borrowings outstanding of approximately $451.8 million and $489.5 million, respectively, at average annual interest rates of approximately 7.0%. During the six months ended June 30, 2014 and 2013, the Company incurred net interest expense of $16.1 million and $17.0 million, respectively.</w:t>
      </w:r>
    </w:p>
    <w:p>
      <w:pPr>
        <w:spacing w:after="0" w:line="108" w:lineRule="exact"/>
        <w:rPr>
          <w:sz w:val="20"/>
          <w:szCs w:val="20"/>
          <w:color w:val="auto"/>
        </w:rPr>
      </w:pPr>
    </w:p>
    <w:p>
      <w:pPr>
        <w:ind w:right="220"/>
        <w:spacing w:after="0" w:line="234" w:lineRule="auto"/>
        <w:rPr>
          <w:sz w:val="20"/>
          <w:szCs w:val="20"/>
          <w:color w:val="auto"/>
        </w:rPr>
      </w:pPr>
      <w:r>
        <w:rPr>
          <w:rFonts w:ascii="Arial" w:cs="Arial" w:eastAsia="Arial" w:hAnsi="Arial"/>
          <w:sz w:val="18"/>
          <w:szCs w:val="18"/>
          <w:color w:val="auto"/>
        </w:rPr>
        <w:t>At June 30, 2014, the fair value of the Company’s 7.25% unsecured notes, based on quoted market prices, totaled $470.1 million, compared with the carrying amount of $398.1 million. At December 31, 2013, the fair value of the Company’s 7.25% unsecured notes, based on quoted market prices, totaled $475.2 million, compared with the carrying amount of $397.9 million. The carrying value of the Company’s other unsecured debt at June 30, 2014 approximates fair value.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MEASUREMENTS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assets and liabilities measured at fair value on a recurring basis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June 30, 2014</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Level 1</w:t>
            </w:r>
          </w:p>
        </w:tc>
        <w:tc>
          <w:tcPr>
            <w:tcW w:w="3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7"/>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Money market investments (1)</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160"/>
              <w:spacing w:after="0"/>
              <w:rPr>
                <w:sz w:val="20"/>
                <w:szCs w:val="20"/>
                <w:color w:val="auto"/>
              </w:rPr>
            </w:pPr>
            <w:r>
              <w:rPr>
                <w:rFonts w:ascii="Arial" w:cs="Arial" w:eastAsia="Arial" w:hAnsi="Arial"/>
                <w:sz w:val="16"/>
                <w:szCs w:val="16"/>
                <w:b w:val="1"/>
                <w:bCs w:val="1"/>
                <w:color w:val="auto"/>
              </w:rPr>
              <w:t>136,751</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20"/>
              <w:spacing w:after="0"/>
              <w:rPr>
                <w:sz w:val="20"/>
                <w:szCs w:val="20"/>
                <w:color w:val="auto"/>
              </w:rPr>
            </w:pPr>
            <w:r>
              <w:rPr>
                <w:rFonts w:ascii="Arial" w:cs="Arial" w:eastAsia="Arial" w:hAnsi="Arial"/>
                <w:sz w:val="16"/>
                <w:szCs w:val="16"/>
                <w:b w:val="1"/>
                <w:bCs w:val="1"/>
                <w:color w:val="auto"/>
              </w:rPr>
              <w:t>136,751</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Marketable equity securities (2)</w:t>
            </w:r>
          </w:p>
        </w:tc>
        <w:tc>
          <w:tcPr>
            <w:tcW w:w="2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117,536</w:t>
            </w:r>
          </w:p>
        </w:tc>
        <w:tc>
          <w:tcPr>
            <w:tcW w:w="380" w:type="dxa"/>
            <w:vAlign w:val="bottom"/>
          </w:tcPr>
          <w:p>
            <w:pPr>
              <w:spacing w:after="0"/>
              <w:rPr>
                <w:sz w:val="23"/>
                <w:szCs w:val="23"/>
                <w:color w:val="auto"/>
              </w:rPr>
            </w:pPr>
          </w:p>
        </w:tc>
        <w:tc>
          <w:tcPr>
            <w:tcW w:w="1040" w:type="dxa"/>
            <w:vAlign w:val="bottom"/>
          </w:tcPr>
          <w:p>
            <w:pPr>
              <w:jc w:val="right"/>
              <w:ind w:right="16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b w:val="1"/>
                <w:bCs w:val="1"/>
                <w:color w:val="auto"/>
              </w:rPr>
              <w:t>117,536</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Commercial paper (3)</w:t>
            </w:r>
          </w:p>
        </w:tc>
        <w:tc>
          <w:tcPr>
            <w:tcW w:w="2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124,927</w:t>
            </w:r>
          </w:p>
        </w:tc>
        <w:tc>
          <w:tcPr>
            <w:tcW w:w="380" w:type="dxa"/>
            <w:vAlign w:val="bottom"/>
          </w:tcPr>
          <w:p>
            <w:pPr>
              <w:spacing w:after="0"/>
              <w:rPr>
                <w:sz w:val="23"/>
                <w:szCs w:val="23"/>
                <w:color w:val="auto"/>
              </w:rPr>
            </w:pPr>
          </w:p>
        </w:tc>
        <w:tc>
          <w:tcPr>
            <w:tcW w:w="1040" w:type="dxa"/>
            <w:vAlign w:val="bottom"/>
          </w:tcPr>
          <w:p>
            <w:pPr>
              <w:jc w:val="right"/>
              <w:ind w:right="16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b w:val="1"/>
                <w:bCs w:val="1"/>
                <w:color w:val="auto"/>
              </w:rPr>
              <w:t>124,927</w:t>
            </w:r>
          </w:p>
        </w:tc>
        <w:tc>
          <w:tcPr>
            <w:tcW w:w="0" w:type="dxa"/>
            <w:vAlign w:val="bottom"/>
          </w:tcPr>
          <w:p>
            <w:pPr>
              <w:spacing w:after="0"/>
              <w:rPr>
                <w:sz w:val="1"/>
                <w:szCs w:val="1"/>
                <w:color w:val="auto"/>
              </w:rPr>
            </w:pPr>
          </w:p>
        </w:tc>
      </w:tr>
      <w:tr>
        <w:trPr>
          <w:trHeight w:val="274"/>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Other current investments (4)</w:t>
            </w:r>
          </w:p>
        </w:tc>
        <w:tc>
          <w:tcPr>
            <w:tcW w:w="2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8,215</w:t>
            </w:r>
          </w:p>
        </w:tc>
        <w:tc>
          <w:tcPr>
            <w:tcW w:w="3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23,265</w:t>
            </w: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31,480</w:t>
            </w:r>
          </w:p>
        </w:tc>
        <w:tc>
          <w:tcPr>
            <w:tcW w:w="0" w:type="dxa"/>
            <w:vAlign w:val="bottom"/>
          </w:tcPr>
          <w:p>
            <w:pPr>
              <w:spacing w:after="0"/>
              <w:rPr>
                <w:sz w:val="1"/>
                <w:szCs w:val="1"/>
                <w:color w:val="auto"/>
              </w:rPr>
            </w:pPr>
          </w:p>
        </w:tc>
      </w:tr>
      <w:tr>
        <w:trPr>
          <w:trHeight w:val="267"/>
        </w:trPr>
        <w:tc>
          <w:tcPr>
            <w:tcW w:w="7780" w:type="dxa"/>
            <w:vAlign w:val="bottom"/>
          </w:tcPr>
          <w:p>
            <w:pPr>
              <w:ind w:left="280"/>
              <w:spacing w:after="0"/>
              <w:rPr>
                <w:sz w:val="20"/>
                <w:szCs w:val="20"/>
                <w:color w:val="auto"/>
              </w:rPr>
            </w:pPr>
            <w:r>
              <w:rPr>
                <w:rFonts w:ascii="Arial" w:cs="Arial" w:eastAsia="Arial" w:hAnsi="Arial"/>
                <w:sz w:val="16"/>
                <w:szCs w:val="16"/>
                <w:b w:val="1"/>
                <w:bCs w:val="1"/>
                <w:color w:val="auto"/>
              </w:rPr>
              <w:t>Total Financial Assets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250,678</w:t>
            </w:r>
          </w:p>
        </w:tc>
        <w:tc>
          <w:tcPr>
            <w:tcW w:w="3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160,016</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410,694</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w:t>
            </w: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78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Deferred compensation plan liabilities (5)</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160"/>
              <w:spacing w:after="0"/>
              <w:rPr>
                <w:sz w:val="20"/>
                <w:szCs w:val="20"/>
                <w:color w:val="auto"/>
              </w:rPr>
            </w:pPr>
            <w:r>
              <w:rPr>
                <w:rFonts w:ascii="Arial" w:cs="Arial" w:eastAsia="Arial" w:hAnsi="Arial"/>
                <w:sz w:val="16"/>
                <w:szCs w:val="16"/>
                <w:b w:val="1"/>
                <w:bCs w:val="1"/>
                <w:color w:val="auto"/>
              </w:rPr>
              <w:t>65,914</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20"/>
              <w:spacing w:after="0"/>
              <w:rPr>
                <w:sz w:val="20"/>
                <w:szCs w:val="20"/>
                <w:color w:val="auto"/>
              </w:rPr>
            </w:pPr>
            <w:r>
              <w:rPr>
                <w:rFonts w:ascii="Arial" w:cs="Arial" w:eastAsia="Arial" w:hAnsi="Arial"/>
                <w:sz w:val="16"/>
                <w:szCs w:val="16"/>
                <w:b w:val="1"/>
                <w:bCs w:val="1"/>
                <w:color w:val="auto"/>
              </w:rPr>
              <w:t>65,914</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7.25% unsecured notes (6)</w:t>
            </w:r>
          </w:p>
        </w:tc>
        <w:tc>
          <w:tcPr>
            <w:tcW w:w="2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23"/>
                <w:szCs w:val="23"/>
                <w:color w:val="auto"/>
              </w:rPr>
            </w:pPr>
          </w:p>
        </w:tc>
        <w:tc>
          <w:tcPr>
            <w:tcW w:w="1040" w:type="dxa"/>
            <w:vAlign w:val="bottom"/>
          </w:tcPr>
          <w:p>
            <w:pPr>
              <w:jc w:val="right"/>
              <w:ind w:right="160"/>
              <w:spacing w:after="0"/>
              <w:rPr>
                <w:sz w:val="20"/>
                <w:szCs w:val="20"/>
                <w:color w:val="auto"/>
              </w:rPr>
            </w:pPr>
            <w:r>
              <w:rPr>
                <w:rFonts w:ascii="Arial" w:cs="Arial" w:eastAsia="Arial" w:hAnsi="Arial"/>
                <w:sz w:val="16"/>
                <w:szCs w:val="16"/>
                <w:b w:val="1"/>
                <w:bCs w:val="1"/>
                <w:color w:val="auto"/>
              </w:rPr>
              <w:t>470,080</w:t>
            </w:r>
          </w:p>
        </w:tc>
        <w:tc>
          <w:tcPr>
            <w:tcW w:w="24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b w:val="1"/>
                <w:bCs w:val="1"/>
                <w:color w:val="auto"/>
              </w:rPr>
              <w:t>470,080</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AUD revolving credit borrowing (6)</w:t>
            </w:r>
          </w:p>
        </w:tc>
        <w:tc>
          <w:tcPr>
            <w:tcW w:w="2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23"/>
                <w:szCs w:val="23"/>
                <w:color w:val="auto"/>
              </w:rPr>
            </w:pPr>
          </w:p>
        </w:tc>
        <w:tc>
          <w:tcPr>
            <w:tcW w:w="1040" w:type="dxa"/>
            <w:vAlign w:val="bottom"/>
          </w:tcPr>
          <w:p>
            <w:pPr>
              <w:jc w:val="right"/>
              <w:ind w:right="160"/>
              <w:spacing w:after="0"/>
              <w:rPr>
                <w:sz w:val="20"/>
                <w:szCs w:val="20"/>
                <w:color w:val="auto"/>
              </w:rPr>
            </w:pPr>
            <w:r>
              <w:rPr>
                <w:rFonts w:ascii="Arial" w:cs="Arial" w:eastAsia="Arial" w:hAnsi="Arial"/>
                <w:sz w:val="16"/>
                <w:szCs w:val="16"/>
                <w:b w:val="1"/>
                <w:bCs w:val="1"/>
                <w:color w:val="auto"/>
              </w:rPr>
              <w:t>47,070</w:t>
            </w:r>
          </w:p>
        </w:tc>
        <w:tc>
          <w:tcPr>
            <w:tcW w:w="24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b w:val="1"/>
                <w:bCs w:val="1"/>
                <w:color w:val="auto"/>
              </w:rPr>
              <w:t>47,070</w:t>
            </w:r>
          </w:p>
        </w:tc>
        <w:tc>
          <w:tcPr>
            <w:tcW w:w="0" w:type="dxa"/>
            <w:vAlign w:val="bottom"/>
          </w:tcPr>
          <w:p>
            <w:pPr>
              <w:spacing w:after="0"/>
              <w:rPr>
                <w:sz w:val="1"/>
                <w:szCs w:val="1"/>
                <w:color w:val="auto"/>
              </w:rPr>
            </w:pPr>
          </w:p>
        </w:tc>
      </w:tr>
      <w:tr>
        <w:trPr>
          <w:trHeight w:val="274"/>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Interest rate swap (7)</w:t>
            </w:r>
          </w:p>
        </w:tc>
        <w:tc>
          <w:tcPr>
            <w:tcW w:w="2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3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636</w:t>
            </w: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636</w:t>
            </w:r>
          </w:p>
        </w:tc>
        <w:tc>
          <w:tcPr>
            <w:tcW w:w="0" w:type="dxa"/>
            <w:vAlign w:val="bottom"/>
          </w:tcPr>
          <w:p>
            <w:pPr>
              <w:spacing w:after="0"/>
              <w:rPr>
                <w:sz w:val="1"/>
                <w:szCs w:val="1"/>
                <w:color w:val="auto"/>
              </w:rPr>
            </w:pPr>
          </w:p>
        </w:tc>
      </w:tr>
      <w:tr>
        <w:trPr>
          <w:trHeight w:val="267"/>
        </w:trPr>
        <w:tc>
          <w:tcPr>
            <w:tcW w:w="7780" w:type="dxa"/>
            <w:vAlign w:val="bottom"/>
          </w:tcPr>
          <w:p>
            <w:pPr>
              <w:ind w:left="280"/>
              <w:spacing w:after="0"/>
              <w:rPr>
                <w:sz w:val="20"/>
                <w:szCs w:val="20"/>
                <w:color w:val="auto"/>
              </w:rPr>
            </w:pPr>
            <w:r>
              <w:rPr>
                <w:rFonts w:ascii="Arial" w:cs="Arial" w:eastAsia="Arial" w:hAnsi="Arial"/>
                <w:sz w:val="16"/>
                <w:szCs w:val="16"/>
                <w:b w:val="1"/>
                <w:bCs w:val="1"/>
                <w:color w:val="auto"/>
              </w:rPr>
              <w:t>Total Financial Liabilities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3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583,700</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583,700</w:t>
            </w: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Arial" w:cs="Arial" w:eastAsia="Arial" w:hAnsi="Arial"/>
                <w:sz w:val="14"/>
                <w:szCs w:val="14"/>
                <w:color w:val="auto"/>
              </w:rPr>
              <w:t>____________</w:t>
            </w: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7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Company’s money market investments are included in cash, cash equivalents and restricted cash.</w:t>
      </w:r>
    </w:p>
    <w:p>
      <w:pPr>
        <w:spacing w:after="0" w:line="14" w:lineRule="exact"/>
        <w:rPr>
          <w:rFonts w:ascii="Arial" w:cs="Arial" w:eastAsia="Arial" w:hAnsi="Arial"/>
          <w:sz w:val="14"/>
          <w:szCs w:val="14"/>
          <w:color w:val="auto"/>
        </w:rPr>
      </w:pPr>
    </w:p>
    <w:p>
      <w:pPr>
        <w:ind w:left="420" w:hanging="412"/>
        <w:spacing w:after="0"/>
        <w:tabs>
          <w:tab w:leader="none" w:pos="4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Company’s investments in marketable equity securities are classified as available-for-sale.</w:t>
      </w:r>
    </w:p>
    <w:p>
      <w:pPr>
        <w:spacing w:after="0" w:line="14" w:lineRule="exact"/>
        <w:rPr>
          <w:rFonts w:ascii="Arial" w:cs="Arial" w:eastAsia="Arial" w:hAnsi="Arial"/>
          <w:sz w:val="14"/>
          <w:szCs w:val="14"/>
          <w:color w:val="auto"/>
        </w:rPr>
      </w:pPr>
    </w:p>
    <w:p>
      <w:pPr>
        <w:ind w:left="420" w:right="340" w:hanging="412"/>
        <w:spacing w:after="0" w:line="251" w:lineRule="auto"/>
        <w:tabs>
          <w:tab w:leader="none" w:pos="4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Company's commercial paper investments with original maturities of 90 days or less are included in cash and cash equivalents; commercial paper investments with original maturities greater than 90 days, but less than one year, are included in investments in marketable equity securities and other investments.</w:t>
      </w:r>
    </w:p>
    <w:p>
      <w:pPr>
        <w:ind w:left="420" w:hanging="412"/>
        <w:spacing w:after="0"/>
        <w:tabs>
          <w:tab w:leader="none" w:pos="42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Includes U.S. Government Securities, corporate bonds, mutual funds and time deposits (with original maturities greater than 90 days, but less than one year).</w:t>
      </w:r>
    </w:p>
    <w:p>
      <w:pPr>
        <w:spacing w:after="0" w:line="14" w:lineRule="exact"/>
        <w:rPr>
          <w:rFonts w:ascii="Arial" w:cs="Arial" w:eastAsia="Arial" w:hAnsi="Arial"/>
          <w:sz w:val="14"/>
          <w:szCs w:val="14"/>
          <w:color w:val="auto"/>
        </w:rPr>
      </w:pPr>
    </w:p>
    <w:p>
      <w:pPr>
        <w:ind w:left="420" w:right="620" w:hanging="412"/>
        <w:spacing w:after="0" w:line="251" w:lineRule="auto"/>
        <w:tabs>
          <w:tab w:leader="none" w:pos="42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Includes Graham Holdings Company's Deferred Compensation Plan and supplemental savings plan benefits under the Graham Holdings Company's Supplemental Executive Retirement Plan, which are included in accrued compensation and related benefits.</w:t>
      </w:r>
    </w:p>
    <w:p>
      <w:pPr>
        <w:ind w:left="420" w:hanging="412"/>
        <w:spacing w:after="0"/>
        <w:tabs>
          <w:tab w:leader="none" w:pos="420" w:val="left"/>
        </w:tabs>
        <w:numPr>
          <w:ilvl w:val="0"/>
          <w:numId w:val="4"/>
        </w:numPr>
        <w:rPr>
          <w:rFonts w:ascii="Arial" w:cs="Arial" w:eastAsia="Arial" w:hAnsi="Arial"/>
          <w:sz w:val="14"/>
          <w:szCs w:val="14"/>
          <w:color w:val="auto"/>
        </w:rPr>
      </w:pPr>
      <w:r>
        <w:rPr>
          <w:rFonts w:ascii="Arial" w:cs="Arial" w:eastAsia="Arial" w:hAnsi="Arial"/>
          <w:sz w:val="14"/>
          <w:szCs w:val="14"/>
          <w:color w:val="auto"/>
        </w:rPr>
        <w:t>See Note 6 for carrying amount of these notes and borrowing.</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60" w:right="239" w:bottom="1440" w:gutter="0" w:footer="0" w:header="0"/>
        </w:sectPr>
      </w:pPr>
    </w:p>
    <w:bookmarkStart w:id="12" w:name="page13"/>
    <w:bookmarkEnd w:id="12"/>
    <w:p>
      <w:pPr>
        <w:ind w:left="8760"/>
        <w:spacing w:after="0"/>
        <w:rPr>
          <w:sz w:val="20"/>
          <w:szCs w:val="20"/>
          <w:color w:val="auto"/>
        </w:rPr>
      </w:pPr>
      <w:r>
        <w:rPr>
          <w:rFonts w:ascii="Arial" w:cs="Arial" w:eastAsia="Arial" w:hAnsi="Arial"/>
          <w:sz w:val="14"/>
          <w:szCs w:val="14"/>
          <w:b w:val="1"/>
          <w:bCs w:val="1"/>
          <w:color w:val="auto"/>
        </w:rPr>
        <w:t>As of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27305</wp:posOffset>
            </wp:positionV>
            <wp:extent cx="23152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03" w:lineRule="exact"/>
        <w:rPr>
          <w:sz w:val="20"/>
          <w:szCs w:val="20"/>
          <w:color w:val="auto"/>
        </w:rPr>
      </w:pPr>
    </w:p>
    <w:p>
      <w:pPr>
        <w:ind w:left="40"/>
        <w:spacing w:after="0"/>
        <w:tabs>
          <w:tab w:leader="none" w:pos="8100" w:val="left"/>
          <w:tab w:leader="none" w:pos="9340" w:val="left"/>
          <w:tab w:leader="none" w:pos="10660" w:val="left"/>
        </w:tabs>
        <w:rPr>
          <w:sz w:val="20"/>
          <w:szCs w:val="20"/>
          <w:color w:val="auto"/>
        </w:rPr>
      </w:pPr>
      <w:r>
        <w:rPr>
          <w:rFonts w:ascii="Arial" w:cs="Arial" w:eastAsia="Arial" w:hAnsi="Arial"/>
          <w:sz w:val="14"/>
          <w:szCs w:val="14"/>
          <w:color w:val="auto"/>
        </w:rPr>
        <w:t>(in thousands)</w:t>
      </w:r>
      <w:r>
        <w:rPr>
          <w:sz w:val="20"/>
          <w:szCs w:val="20"/>
          <w:color w:val="auto"/>
        </w:rPr>
        <w:tab/>
      </w:r>
      <w:r>
        <w:rPr>
          <w:rFonts w:ascii="Arial" w:cs="Arial" w:eastAsia="Arial" w:hAnsi="Arial"/>
          <w:sz w:val="14"/>
          <w:szCs w:val="14"/>
          <w:b w:val="1"/>
          <w:bCs w:val="1"/>
          <w:color w:val="auto"/>
        </w:rPr>
        <w:t>Level 1</w:t>
      </w:r>
      <w:r>
        <w:rPr>
          <w:sz w:val="20"/>
          <w:szCs w:val="20"/>
          <w:color w:val="auto"/>
        </w:rPr>
        <w:tab/>
      </w:r>
      <w:r>
        <w:rPr>
          <w:rFonts w:ascii="Arial" w:cs="Arial" w:eastAsia="Arial" w:hAnsi="Arial"/>
          <w:sz w:val="14"/>
          <w:szCs w:val="14"/>
          <w:b w:val="1"/>
          <w:bCs w:val="1"/>
          <w:color w:val="auto"/>
        </w:rPr>
        <w:t>Level 2</w:t>
      </w:r>
      <w:r>
        <w:rPr>
          <w:sz w:val="20"/>
          <w:szCs w:val="20"/>
          <w:color w:val="auto"/>
        </w:rPr>
        <w:tab/>
      </w:r>
      <w:r>
        <w:rPr>
          <w:rFonts w:ascii="Arial" w:cs="Arial" w:eastAsia="Arial" w:hAnsi="Arial"/>
          <w:sz w:val="14"/>
          <w:szCs w:val="14"/>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Assets</w:t>
      </w:r>
    </w:p>
    <w:p>
      <w:pPr>
        <w:sectPr>
          <w:pgSz w:w="11900" w:h="16838" w:orient="portrait"/>
          <w:cols w:equalWidth="0" w:num="1">
            <w:col w:w="11420"/>
          </w:cols>
          <w:pgMar w:left="240" w:top="800" w:right="239" w:bottom="390" w:gutter="0" w:footer="0" w:header="0"/>
        </w:sectPr>
      </w:pPr>
    </w:p>
    <w:p>
      <w:pPr>
        <w:spacing w:after="0" w:line="88" w:lineRule="exact"/>
        <w:rPr>
          <w:sz w:val="20"/>
          <w:szCs w:val="20"/>
          <w:color w:val="auto"/>
        </w:rPr>
      </w:pPr>
    </w:p>
    <w:p>
      <w:pPr>
        <w:ind w:left="40"/>
        <w:spacing w:after="0"/>
        <w:rPr>
          <w:sz w:val="20"/>
          <w:szCs w:val="20"/>
          <w:color w:val="auto"/>
        </w:rPr>
      </w:pPr>
      <w:r>
        <w:rPr>
          <w:rFonts w:ascii="Arial" w:cs="Arial" w:eastAsia="Arial" w:hAnsi="Arial"/>
          <w:sz w:val="16"/>
          <w:szCs w:val="16"/>
          <w:color w:val="auto"/>
        </w:rPr>
        <w:t>Money market investments (1)</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Marketable equity securities (2)</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current investments (3)</w:t>
      </w:r>
    </w:p>
    <w:p>
      <w:pPr>
        <w:spacing w:after="0" w:line="111"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Total Financial Assets</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Liabilities</w:t>
      </w:r>
    </w:p>
    <w:p>
      <w:pPr>
        <w:spacing w:after="0" w:line="88"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Deferred compensation plan liabilities (4)</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7.25% unsecured notes (5)</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AUD revolving credit borrowing (5)</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Interest rate swap (6)</w:t>
      </w:r>
    </w:p>
    <w:p>
      <w:pPr>
        <w:spacing w:after="0" w:line="111"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Total Financial Liabilities</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9"/>
        </w:trPr>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431,836</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431,836</w:t>
            </w:r>
          </w:p>
        </w:tc>
      </w:tr>
      <w:tr>
        <w:trPr>
          <w:trHeight w:val="270"/>
        </w:trPr>
        <w:tc>
          <w:tcPr>
            <w:tcW w:w="28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487,156</w:t>
            </w:r>
          </w:p>
        </w:tc>
        <w:tc>
          <w:tcPr>
            <w:tcW w:w="380" w:type="dxa"/>
            <w:vAlign w:val="bottom"/>
          </w:tcPr>
          <w:p>
            <w:pPr>
              <w:spacing w:after="0"/>
              <w:rPr>
                <w:sz w:val="23"/>
                <w:szCs w:val="23"/>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487,156</w:t>
            </w:r>
          </w:p>
        </w:tc>
      </w:tr>
      <w:tr>
        <w:trPr>
          <w:trHeight w:val="27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11,826</w:t>
            </w: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23,336</w:t>
            </w:r>
          </w:p>
        </w:tc>
        <w:tc>
          <w:tcPr>
            <w:tcW w:w="3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35,162</w:t>
            </w:r>
          </w:p>
        </w:tc>
      </w:tr>
      <w:tr>
        <w:trPr>
          <w:trHeight w:val="264"/>
        </w:trPr>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498,982</w:t>
            </w:r>
          </w:p>
        </w:tc>
        <w:tc>
          <w:tcPr>
            <w:tcW w:w="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455,172</w:t>
            </w:r>
          </w:p>
        </w:tc>
        <w:tc>
          <w:tcPr>
            <w:tcW w:w="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954,154</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512"/>
        </w:trPr>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67,603</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67,603</w:t>
            </w:r>
          </w:p>
        </w:tc>
      </w:tr>
      <w:tr>
        <w:trPr>
          <w:trHeight w:val="270"/>
        </w:trPr>
        <w:tc>
          <w:tcPr>
            <w:tcW w:w="28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475,224</w:t>
            </w:r>
          </w:p>
        </w:tc>
        <w:tc>
          <w:tcPr>
            <w:tcW w:w="36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475,224</w:t>
            </w:r>
          </w:p>
        </w:tc>
      </w:tr>
      <w:tr>
        <w:trPr>
          <w:trHeight w:val="270"/>
        </w:trPr>
        <w:tc>
          <w:tcPr>
            <w:tcW w:w="28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44,625</w:t>
            </w:r>
          </w:p>
        </w:tc>
        <w:tc>
          <w:tcPr>
            <w:tcW w:w="36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44,625</w:t>
            </w:r>
          </w:p>
        </w:tc>
      </w:tr>
      <w:tr>
        <w:trPr>
          <w:trHeight w:val="27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1,047</w:t>
            </w:r>
          </w:p>
        </w:tc>
        <w:tc>
          <w:tcPr>
            <w:tcW w:w="3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1,047</w:t>
            </w:r>
          </w:p>
        </w:tc>
      </w:tr>
      <w:tr>
        <w:trPr>
          <w:trHeight w:val="264"/>
        </w:trPr>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588,499</w:t>
            </w:r>
          </w:p>
        </w:tc>
        <w:tc>
          <w:tcPr>
            <w:tcW w:w="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588,499</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ectPr>
          <w:pgSz w:w="11900" w:h="16838" w:orient="portrait"/>
          <w:cols w:equalWidth="0" w:num="2">
            <w:col w:w="7060" w:space="720"/>
            <w:col w:w="3640"/>
          </w:cols>
          <w:pgMar w:left="240" w:top="800" w:right="239" w:bottom="390" w:gutter="0" w:footer="0" w:header="0"/>
          <w:type w:val="continuous"/>
        </w:sectPr>
      </w:pPr>
    </w:p>
    <w:p>
      <w:pPr>
        <w:ind w:left="420" w:hanging="412"/>
        <w:spacing w:after="0"/>
        <w:tabs>
          <w:tab w:leader="none" w:pos="42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Company’s money market investments are included in cash, cash equivalents and restricted cash.</w:t>
      </w:r>
    </w:p>
    <w:p>
      <w:pPr>
        <w:spacing w:after="0" w:line="14" w:lineRule="exact"/>
        <w:rPr>
          <w:rFonts w:ascii="Arial" w:cs="Arial" w:eastAsia="Arial" w:hAnsi="Arial"/>
          <w:sz w:val="14"/>
          <w:szCs w:val="14"/>
          <w:color w:val="auto"/>
        </w:rPr>
      </w:pPr>
    </w:p>
    <w:p>
      <w:pPr>
        <w:ind w:left="420" w:hanging="412"/>
        <w:spacing w:after="0"/>
        <w:tabs>
          <w:tab w:leader="none" w:pos="42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Company’s investments in marketable equity securities are classified as available-for-sale.</w:t>
      </w:r>
    </w:p>
    <w:p>
      <w:pPr>
        <w:spacing w:after="0" w:line="14" w:lineRule="exact"/>
        <w:rPr>
          <w:rFonts w:ascii="Arial" w:cs="Arial" w:eastAsia="Arial" w:hAnsi="Arial"/>
          <w:sz w:val="14"/>
          <w:szCs w:val="14"/>
          <w:color w:val="auto"/>
        </w:rPr>
      </w:pPr>
    </w:p>
    <w:p>
      <w:pPr>
        <w:ind w:left="420" w:hanging="412"/>
        <w:spacing w:after="0"/>
        <w:tabs>
          <w:tab w:leader="none" w:pos="42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U.S. Government Securities, corporate bonds, mutual funds and time deposits (with original maturities greater than 90 days, but less than one year).</w:t>
      </w:r>
    </w:p>
    <w:p>
      <w:pPr>
        <w:spacing w:after="0" w:line="14" w:lineRule="exact"/>
        <w:rPr>
          <w:rFonts w:ascii="Arial" w:cs="Arial" w:eastAsia="Arial" w:hAnsi="Arial"/>
          <w:sz w:val="14"/>
          <w:szCs w:val="14"/>
          <w:color w:val="auto"/>
        </w:rPr>
      </w:pPr>
    </w:p>
    <w:p>
      <w:pPr>
        <w:ind w:left="420" w:right="620" w:hanging="412"/>
        <w:spacing w:after="0" w:line="251" w:lineRule="auto"/>
        <w:tabs>
          <w:tab w:leader="none" w:pos="42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Graham Holdings Company's Deferred Compensation Plan and supplemental savings plan benefits under the Graham Holdings Company's Supplemental Executive Retirement Plan, which are included in accrued compensation and related benefits.</w:t>
      </w:r>
    </w:p>
    <w:p>
      <w:pPr>
        <w:ind w:left="420" w:hanging="412"/>
        <w:spacing w:after="0"/>
        <w:tabs>
          <w:tab w:leader="none" w:pos="420" w:val="left"/>
        </w:tabs>
        <w:numPr>
          <w:ilvl w:val="0"/>
          <w:numId w:val="5"/>
        </w:numPr>
        <w:rPr>
          <w:rFonts w:ascii="Arial" w:cs="Arial" w:eastAsia="Arial" w:hAnsi="Arial"/>
          <w:sz w:val="14"/>
          <w:szCs w:val="14"/>
          <w:color w:val="auto"/>
        </w:rPr>
      </w:pPr>
      <w:r>
        <w:rPr>
          <w:rFonts w:ascii="Arial" w:cs="Arial" w:eastAsia="Arial" w:hAnsi="Arial"/>
          <w:sz w:val="14"/>
          <w:szCs w:val="14"/>
          <w:color w:val="auto"/>
        </w:rPr>
        <w:t>See Note 6 for carrying amount of these notes and borrowing.</w:t>
      </w:r>
    </w:p>
    <w:p>
      <w:pPr>
        <w:spacing w:after="0" w:line="14" w:lineRule="exact"/>
        <w:rPr>
          <w:rFonts w:ascii="Arial" w:cs="Arial" w:eastAsia="Arial" w:hAnsi="Arial"/>
          <w:sz w:val="14"/>
          <w:szCs w:val="14"/>
          <w:color w:val="auto"/>
        </w:rPr>
      </w:pPr>
    </w:p>
    <w:p>
      <w:pPr>
        <w:ind w:left="420" w:right="40" w:hanging="412"/>
        <w:spacing w:after="0" w:line="264" w:lineRule="auto"/>
        <w:tabs>
          <w:tab w:leader="none" w:pos="42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Included in Other liabilities. The Company utilized a market approach model using the notional amount of the interest rate swap multiplied by the observable inputs of time to maturity and market interest rates.</w:t>
      </w:r>
    </w:p>
    <w:p>
      <w:pPr>
        <w:spacing w:after="0" w:line="118"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In the second quarter of 2014, the Company recorded an intangible asset impairment charge of $7.8 million (see Note 5). The remeasurement of the intangible assets is classified as a Level 3 fair value assessment due to the significance of unobservable inputs developed in the determination of the fair value.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EARNINGS PER SHARE</w:t>
      </w:r>
    </w:p>
    <w:p>
      <w:pPr>
        <w:spacing w:after="0" w:line="146" w:lineRule="exact"/>
        <w:rPr>
          <w:sz w:val="20"/>
          <w:szCs w:val="20"/>
          <w:color w:val="auto"/>
        </w:rPr>
      </w:pPr>
    </w:p>
    <w:p>
      <w:pPr>
        <w:ind w:right="80"/>
        <w:spacing w:after="0" w:line="229" w:lineRule="auto"/>
        <w:rPr>
          <w:sz w:val="20"/>
          <w:szCs w:val="20"/>
          <w:color w:val="auto"/>
        </w:rPr>
      </w:pPr>
      <w:r>
        <w:rPr>
          <w:rFonts w:ascii="Arial" w:cs="Arial" w:eastAsia="Arial" w:hAnsi="Arial"/>
          <w:sz w:val="18"/>
          <w:szCs w:val="18"/>
          <w:color w:val="auto"/>
        </w:rPr>
        <w:t>The Company's unvested restricted stock awards contain nonforfeitable rights to dividends and, therefore, are considered participating securities for purposes of computing earnings per share pursuant to the two-class method. The diluted earnings per share computed under the two-class method is lower than the diluted earnings per share computed under the treasury stock method, resulting in the presentation of the lower amount in diluted earnings per share. The computation of the earnings per share under the two-class method excludes the income attributable to the unvested restricted stock awards from the numerator and excludes the dilutive impact of those underlying shares from the denominator.</w:t>
      </w:r>
    </w:p>
    <w:p>
      <w:pPr>
        <w:spacing w:after="0" w:line="112" w:lineRule="exact"/>
        <w:rPr>
          <w:sz w:val="20"/>
          <w:szCs w:val="20"/>
          <w:color w:val="auto"/>
        </w:rPr>
      </w:pPr>
    </w:p>
    <w:p>
      <w:pPr>
        <w:ind w:right="540"/>
        <w:spacing w:after="0" w:line="260" w:lineRule="auto"/>
        <w:rPr>
          <w:sz w:val="20"/>
          <w:szCs w:val="20"/>
          <w:color w:val="auto"/>
        </w:rPr>
      </w:pPr>
      <w:r>
        <w:rPr>
          <w:rFonts w:ascii="Arial" w:cs="Arial" w:eastAsia="Arial" w:hAnsi="Arial"/>
          <w:sz w:val="18"/>
          <w:szCs w:val="18"/>
          <w:color w:val="auto"/>
        </w:rPr>
        <w:t>The following reflects the Company's income from continuing operations and share data used in the basic and diluted earnings per share computations using the two-class method: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24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03"/>
        </w:trPr>
        <w:tc>
          <w:tcPr>
            <w:tcW w:w="63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63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2013</w:t>
            </w: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249"/>
        </w:trPr>
        <w:tc>
          <w:tcPr>
            <w:tcW w:w="6300" w:type="dxa"/>
            <w:vAlign w:val="bottom"/>
          </w:tcPr>
          <w:p>
            <w:pPr>
              <w:ind w:left="40"/>
              <w:spacing w:after="0"/>
              <w:rPr>
                <w:sz w:val="20"/>
                <w:szCs w:val="20"/>
                <w:color w:val="auto"/>
              </w:rPr>
            </w:pPr>
            <w:r>
              <w:rPr>
                <w:rFonts w:ascii="Arial" w:cs="Arial" w:eastAsia="Arial" w:hAnsi="Arial"/>
                <w:sz w:val="16"/>
                <w:szCs w:val="16"/>
                <w:color w:val="auto"/>
              </w:rPr>
              <w:t>Numerator:</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300" w:type="dxa"/>
            <w:vAlign w:val="bottom"/>
          </w:tcPr>
          <w:p>
            <w:pPr>
              <w:ind w:left="180"/>
              <w:spacing w:after="0"/>
              <w:rPr>
                <w:sz w:val="20"/>
                <w:szCs w:val="20"/>
                <w:color w:val="auto"/>
              </w:rPr>
            </w:pPr>
            <w:r>
              <w:rPr>
                <w:rFonts w:ascii="Arial" w:cs="Arial" w:eastAsia="Arial" w:hAnsi="Arial"/>
                <w:sz w:val="16"/>
                <w:szCs w:val="16"/>
                <w:color w:val="auto"/>
              </w:rPr>
              <w:t>Numerator for basic earnings per share:</w:t>
            </w: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6300" w:type="dxa"/>
            <w:vAlign w:val="bottom"/>
          </w:tcPr>
          <w:p>
            <w:pPr>
              <w:ind w:left="280"/>
              <w:spacing w:after="0"/>
              <w:rPr>
                <w:sz w:val="20"/>
                <w:szCs w:val="20"/>
                <w:color w:val="auto"/>
              </w:rPr>
            </w:pPr>
            <w:r>
              <w:rPr>
                <w:rFonts w:ascii="Arial" w:cs="Arial" w:eastAsia="Arial" w:hAnsi="Arial"/>
                <w:sz w:val="16"/>
                <w:szCs w:val="16"/>
                <w:color w:val="auto"/>
              </w:rPr>
              <w:t>Income from continuing operations attributable to Graham Holdings Company</w:t>
            </w:r>
          </w:p>
        </w:tc>
        <w:tc>
          <w:tcPr>
            <w:tcW w:w="28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vMerge w:val="restart"/>
          </w:tcPr>
          <w:p>
            <w:pPr>
              <w:jc w:val="right"/>
              <w:ind w:right="162"/>
              <w:spacing w:after="0"/>
              <w:rPr>
                <w:sz w:val="20"/>
                <w:szCs w:val="20"/>
                <w:color w:val="auto"/>
              </w:rPr>
            </w:pPr>
            <w:r>
              <w:rPr>
                <w:rFonts w:ascii="Arial" w:cs="Arial" w:eastAsia="Arial" w:hAnsi="Arial"/>
                <w:sz w:val="16"/>
                <w:szCs w:val="16"/>
                <w:b w:val="1"/>
                <w:bCs w:val="1"/>
                <w:color w:val="auto"/>
              </w:rPr>
              <w:t>369,672</w:t>
            </w: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vMerge w:val="restart"/>
          </w:tcPr>
          <w:p>
            <w:pPr>
              <w:jc w:val="right"/>
              <w:ind w:right="142"/>
              <w:spacing w:after="0"/>
              <w:rPr>
                <w:sz w:val="20"/>
                <w:szCs w:val="20"/>
                <w:color w:val="auto"/>
              </w:rPr>
            </w:pPr>
            <w:r>
              <w:rPr>
                <w:rFonts w:ascii="Arial" w:cs="Arial" w:eastAsia="Arial" w:hAnsi="Arial"/>
                <w:sz w:val="16"/>
                <w:szCs w:val="16"/>
                <w:b w:val="1"/>
                <w:bCs w:val="1"/>
                <w:color w:val="auto"/>
              </w:rPr>
              <w:t>500,698</w:t>
            </w: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300" w:type="dxa"/>
            <w:vAlign w:val="bottom"/>
          </w:tcPr>
          <w:p>
            <w:pPr>
              <w:ind w:left="440"/>
              <w:spacing w:after="0"/>
              <w:rPr>
                <w:sz w:val="20"/>
                <w:szCs w:val="20"/>
                <w:color w:val="auto"/>
              </w:rPr>
            </w:pPr>
            <w:r>
              <w:rPr>
                <w:rFonts w:ascii="Arial" w:cs="Arial" w:eastAsia="Arial" w:hAnsi="Arial"/>
                <w:sz w:val="16"/>
                <w:szCs w:val="16"/>
                <w:color w:val="auto"/>
              </w:rPr>
              <w:t>common stockholders</w:t>
            </w:r>
          </w:p>
        </w:tc>
        <w:tc>
          <w:tcPr>
            <w:tcW w:w="28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60"/>
              <w:spacing w:after="0"/>
              <w:rPr>
                <w:sz w:val="20"/>
                <w:szCs w:val="20"/>
                <w:color w:val="auto"/>
              </w:rPr>
            </w:pPr>
            <w:r>
              <w:rPr>
                <w:rFonts w:ascii="Arial" w:cs="Arial" w:eastAsia="Arial" w:hAnsi="Arial"/>
                <w:sz w:val="16"/>
                <w:szCs w:val="16"/>
                <w:color w:val="auto"/>
              </w:rPr>
              <w:t>46,626</w:t>
            </w:r>
          </w:p>
        </w:tc>
        <w:tc>
          <w:tcPr>
            <w:tcW w:w="32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00"/>
              <w:spacing w:after="0"/>
              <w:rPr>
                <w:sz w:val="20"/>
                <w:szCs w:val="20"/>
                <w:color w:val="auto"/>
              </w:rPr>
            </w:pPr>
            <w:r>
              <w:rPr>
                <w:rFonts w:ascii="Arial" w:cs="Arial" w:eastAsia="Arial" w:hAnsi="Arial"/>
                <w:sz w:val="16"/>
                <w:szCs w:val="16"/>
                <w:color w:val="auto"/>
              </w:rPr>
              <w:t>68,317</w:t>
            </w:r>
          </w:p>
        </w:tc>
        <w:tc>
          <w:tcPr>
            <w:tcW w:w="0" w:type="dxa"/>
            <w:vAlign w:val="bottom"/>
          </w:tcPr>
          <w:p>
            <w:pPr>
              <w:spacing w:after="0"/>
              <w:rPr>
                <w:sz w:val="1"/>
                <w:szCs w:val="1"/>
                <w:color w:val="auto"/>
              </w:rPr>
            </w:pPr>
          </w:p>
        </w:tc>
      </w:tr>
      <w:tr>
        <w:trPr>
          <w:trHeight w:val="274"/>
        </w:trPr>
        <w:tc>
          <w:tcPr>
            <w:tcW w:w="6300" w:type="dxa"/>
            <w:vAlign w:val="bottom"/>
          </w:tcPr>
          <w:p>
            <w:pPr>
              <w:ind w:left="280"/>
              <w:spacing w:after="0"/>
              <w:rPr>
                <w:sz w:val="20"/>
                <w:szCs w:val="20"/>
                <w:color w:val="auto"/>
              </w:rPr>
            </w:pPr>
            <w:r>
              <w:rPr>
                <w:rFonts w:ascii="Arial" w:cs="Arial" w:eastAsia="Arial" w:hAnsi="Arial"/>
                <w:sz w:val="16"/>
                <w:szCs w:val="16"/>
                <w:color w:val="auto"/>
              </w:rPr>
              <w:t>Less: Dividends-common stock outstanding and unvested restricted shares</w:t>
            </w: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rPr>
              <w:t>(14,819)</w:t>
            </w:r>
          </w:p>
        </w:tc>
        <w:tc>
          <w:tcPr>
            <w:tcW w:w="3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rPr>
              <w:t>(52,494)</w:t>
            </w:r>
          </w:p>
        </w:tc>
        <w:tc>
          <w:tcPr>
            <w:tcW w:w="4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6300" w:type="dxa"/>
            <w:vAlign w:val="bottom"/>
          </w:tcPr>
          <w:p>
            <w:pPr>
              <w:ind w:left="280"/>
              <w:spacing w:after="0"/>
              <w:rPr>
                <w:sz w:val="20"/>
                <w:szCs w:val="20"/>
                <w:color w:val="auto"/>
              </w:rPr>
            </w:pPr>
            <w:r>
              <w:rPr>
                <w:rFonts w:ascii="Arial" w:cs="Arial" w:eastAsia="Arial" w:hAnsi="Arial"/>
                <w:sz w:val="16"/>
                <w:szCs w:val="16"/>
                <w:color w:val="auto"/>
              </w:rPr>
              <w:t>Undistributed earnings</w:t>
            </w:r>
          </w:p>
        </w:tc>
        <w:tc>
          <w:tcPr>
            <w:tcW w:w="280" w:type="dxa"/>
            <w:vAlign w:val="bottom"/>
          </w:tcPr>
          <w:p>
            <w:pPr>
              <w:spacing w:after="0"/>
              <w:rPr>
                <w:sz w:val="22"/>
                <w:szCs w:val="22"/>
                <w:color w:val="auto"/>
              </w:rPr>
            </w:pPr>
          </w:p>
        </w:tc>
        <w:tc>
          <w:tcPr>
            <w:tcW w:w="980" w:type="dxa"/>
            <w:vAlign w:val="bottom"/>
          </w:tcPr>
          <w:p>
            <w:pPr>
              <w:jc w:val="right"/>
              <w:ind w:right="162"/>
              <w:spacing w:after="0"/>
              <w:rPr>
                <w:sz w:val="20"/>
                <w:szCs w:val="20"/>
                <w:color w:val="auto"/>
              </w:rPr>
            </w:pPr>
            <w:r>
              <w:rPr>
                <w:rFonts w:ascii="Arial" w:cs="Arial" w:eastAsia="Arial" w:hAnsi="Arial"/>
                <w:sz w:val="16"/>
                <w:szCs w:val="16"/>
                <w:b w:val="1"/>
                <w:bCs w:val="1"/>
                <w:color w:val="auto"/>
              </w:rPr>
              <w:t>354,853</w:t>
            </w:r>
          </w:p>
        </w:tc>
        <w:tc>
          <w:tcPr>
            <w:tcW w:w="380" w:type="dxa"/>
            <w:vAlign w:val="bottom"/>
          </w:tcPr>
          <w:p>
            <w:pPr>
              <w:spacing w:after="0"/>
              <w:rPr>
                <w:sz w:val="22"/>
                <w:szCs w:val="22"/>
                <w:color w:val="auto"/>
              </w:rPr>
            </w:pPr>
          </w:p>
        </w:tc>
        <w:tc>
          <w:tcPr>
            <w:tcW w:w="920" w:type="dxa"/>
            <w:vAlign w:val="bottom"/>
          </w:tcPr>
          <w:p>
            <w:pPr>
              <w:jc w:val="right"/>
              <w:ind w:right="160"/>
              <w:spacing w:after="0"/>
              <w:rPr>
                <w:sz w:val="20"/>
                <w:szCs w:val="20"/>
                <w:color w:val="auto"/>
              </w:rPr>
            </w:pPr>
            <w:r>
              <w:rPr>
                <w:rFonts w:ascii="Arial" w:cs="Arial" w:eastAsia="Arial" w:hAnsi="Arial"/>
                <w:sz w:val="16"/>
                <w:szCs w:val="16"/>
                <w:color w:val="auto"/>
              </w:rPr>
              <w:t>46,626</w:t>
            </w:r>
          </w:p>
        </w:tc>
        <w:tc>
          <w:tcPr>
            <w:tcW w:w="320" w:type="dxa"/>
            <w:vAlign w:val="bottom"/>
          </w:tcPr>
          <w:p>
            <w:pPr>
              <w:spacing w:after="0"/>
              <w:rPr>
                <w:sz w:val="22"/>
                <w:szCs w:val="22"/>
                <w:color w:val="auto"/>
              </w:rPr>
            </w:pPr>
          </w:p>
        </w:tc>
        <w:tc>
          <w:tcPr>
            <w:tcW w:w="980" w:type="dxa"/>
            <w:vAlign w:val="bottom"/>
          </w:tcPr>
          <w:p>
            <w:pPr>
              <w:jc w:val="right"/>
              <w:ind w:right="142"/>
              <w:spacing w:after="0"/>
              <w:rPr>
                <w:sz w:val="20"/>
                <w:szCs w:val="20"/>
                <w:color w:val="auto"/>
              </w:rPr>
            </w:pPr>
            <w:r>
              <w:rPr>
                <w:rFonts w:ascii="Arial" w:cs="Arial" w:eastAsia="Arial" w:hAnsi="Arial"/>
                <w:sz w:val="16"/>
                <w:szCs w:val="16"/>
                <w:b w:val="1"/>
                <w:bCs w:val="1"/>
                <w:color w:val="auto"/>
              </w:rPr>
              <w:t>448,204</w:t>
            </w:r>
          </w:p>
        </w:tc>
        <w:tc>
          <w:tcPr>
            <w:tcW w:w="400" w:type="dxa"/>
            <w:vAlign w:val="bottom"/>
          </w:tcPr>
          <w:p>
            <w:pPr>
              <w:spacing w:after="0"/>
              <w:rPr>
                <w:sz w:val="22"/>
                <w:szCs w:val="22"/>
                <w:color w:val="auto"/>
              </w:rPr>
            </w:pPr>
          </w:p>
        </w:tc>
        <w:tc>
          <w:tcPr>
            <w:tcW w:w="860" w:type="dxa"/>
            <w:vAlign w:val="bottom"/>
          </w:tcPr>
          <w:p>
            <w:pPr>
              <w:jc w:val="right"/>
              <w:ind w:right="100"/>
              <w:spacing w:after="0"/>
              <w:rPr>
                <w:sz w:val="20"/>
                <w:szCs w:val="20"/>
                <w:color w:val="auto"/>
              </w:rPr>
            </w:pPr>
            <w:r>
              <w:rPr>
                <w:rFonts w:ascii="Arial" w:cs="Arial" w:eastAsia="Arial" w:hAnsi="Arial"/>
                <w:sz w:val="16"/>
                <w:szCs w:val="16"/>
                <w:color w:val="auto"/>
              </w:rPr>
              <w:t>68,317</w:t>
            </w:r>
          </w:p>
        </w:tc>
        <w:tc>
          <w:tcPr>
            <w:tcW w:w="0" w:type="dxa"/>
            <w:vAlign w:val="bottom"/>
          </w:tcPr>
          <w:p>
            <w:pPr>
              <w:spacing w:after="0"/>
              <w:rPr>
                <w:sz w:val="1"/>
                <w:szCs w:val="1"/>
                <w:color w:val="auto"/>
              </w:rPr>
            </w:pPr>
          </w:p>
        </w:tc>
      </w:tr>
      <w:tr>
        <w:trPr>
          <w:trHeight w:val="274"/>
        </w:trPr>
        <w:tc>
          <w:tcPr>
            <w:tcW w:w="6300" w:type="dxa"/>
            <w:vAlign w:val="bottom"/>
          </w:tcPr>
          <w:p>
            <w:pPr>
              <w:ind w:left="280"/>
              <w:spacing w:after="0"/>
              <w:rPr>
                <w:sz w:val="20"/>
                <w:szCs w:val="20"/>
                <w:color w:val="auto"/>
              </w:rPr>
            </w:pPr>
            <w:r>
              <w:rPr>
                <w:rFonts w:ascii="Arial" w:cs="Arial" w:eastAsia="Arial" w:hAnsi="Arial"/>
                <w:sz w:val="16"/>
                <w:szCs w:val="16"/>
                <w:color w:val="auto"/>
              </w:rPr>
              <w:t>Percent allocated to common stockholders</w:t>
            </w: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97.88%</w:t>
            </w:r>
          </w:p>
        </w:tc>
        <w:tc>
          <w:tcPr>
            <w:tcW w:w="3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97.40%</w:t>
            </w: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97.88%</w:t>
            </w:r>
          </w:p>
        </w:tc>
        <w:tc>
          <w:tcPr>
            <w:tcW w:w="4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97.40%</w:t>
            </w:r>
          </w:p>
        </w:tc>
        <w:tc>
          <w:tcPr>
            <w:tcW w:w="0" w:type="dxa"/>
            <w:vAlign w:val="bottom"/>
          </w:tcPr>
          <w:p>
            <w:pPr>
              <w:spacing w:after="0"/>
              <w:rPr>
                <w:sz w:val="1"/>
                <w:szCs w:val="1"/>
                <w:color w:val="auto"/>
              </w:rPr>
            </w:pPr>
          </w:p>
        </w:tc>
      </w:tr>
      <w:tr>
        <w:trPr>
          <w:trHeight w:val="260"/>
        </w:trPr>
        <w:tc>
          <w:tcPr>
            <w:tcW w:w="6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162"/>
              <w:spacing w:after="0"/>
              <w:rPr>
                <w:sz w:val="20"/>
                <w:szCs w:val="20"/>
                <w:color w:val="auto"/>
              </w:rPr>
            </w:pPr>
            <w:r>
              <w:rPr>
                <w:rFonts w:ascii="Arial" w:cs="Arial" w:eastAsia="Arial" w:hAnsi="Arial"/>
                <w:sz w:val="16"/>
                <w:szCs w:val="16"/>
                <w:b w:val="1"/>
                <w:bCs w:val="1"/>
                <w:color w:val="auto"/>
              </w:rPr>
              <w:t>347,342</w:t>
            </w:r>
          </w:p>
        </w:tc>
        <w:tc>
          <w:tcPr>
            <w:tcW w:w="380" w:type="dxa"/>
            <w:vAlign w:val="bottom"/>
          </w:tcPr>
          <w:p>
            <w:pPr>
              <w:spacing w:after="0"/>
              <w:rPr>
                <w:sz w:val="22"/>
                <w:szCs w:val="22"/>
                <w:color w:val="auto"/>
              </w:rPr>
            </w:pPr>
          </w:p>
        </w:tc>
        <w:tc>
          <w:tcPr>
            <w:tcW w:w="920" w:type="dxa"/>
            <w:vAlign w:val="bottom"/>
          </w:tcPr>
          <w:p>
            <w:pPr>
              <w:jc w:val="right"/>
              <w:ind w:right="160"/>
              <w:spacing w:after="0"/>
              <w:rPr>
                <w:sz w:val="20"/>
                <w:szCs w:val="20"/>
                <w:color w:val="auto"/>
              </w:rPr>
            </w:pPr>
            <w:r>
              <w:rPr>
                <w:rFonts w:ascii="Arial" w:cs="Arial" w:eastAsia="Arial" w:hAnsi="Arial"/>
                <w:sz w:val="16"/>
                <w:szCs w:val="16"/>
                <w:color w:val="auto"/>
              </w:rPr>
              <w:t>45,415</w:t>
            </w:r>
          </w:p>
        </w:tc>
        <w:tc>
          <w:tcPr>
            <w:tcW w:w="320" w:type="dxa"/>
            <w:vAlign w:val="bottom"/>
          </w:tcPr>
          <w:p>
            <w:pPr>
              <w:spacing w:after="0"/>
              <w:rPr>
                <w:sz w:val="22"/>
                <w:szCs w:val="22"/>
                <w:color w:val="auto"/>
              </w:rPr>
            </w:pPr>
          </w:p>
        </w:tc>
        <w:tc>
          <w:tcPr>
            <w:tcW w:w="980" w:type="dxa"/>
            <w:vAlign w:val="bottom"/>
          </w:tcPr>
          <w:p>
            <w:pPr>
              <w:jc w:val="right"/>
              <w:ind w:right="142"/>
              <w:spacing w:after="0"/>
              <w:rPr>
                <w:sz w:val="20"/>
                <w:szCs w:val="20"/>
                <w:color w:val="auto"/>
              </w:rPr>
            </w:pPr>
            <w:r>
              <w:rPr>
                <w:rFonts w:ascii="Arial" w:cs="Arial" w:eastAsia="Arial" w:hAnsi="Arial"/>
                <w:sz w:val="16"/>
                <w:szCs w:val="16"/>
                <w:b w:val="1"/>
                <w:bCs w:val="1"/>
                <w:color w:val="auto"/>
              </w:rPr>
              <w:t>438,716</w:t>
            </w:r>
          </w:p>
        </w:tc>
        <w:tc>
          <w:tcPr>
            <w:tcW w:w="400" w:type="dxa"/>
            <w:vAlign w:val="bottom"/>
          </w:tcPr>
          <w:p>
            <w:pPr>
              <w:spacing w:after="0"/>
              <w:rPr>
                <w:sz w:val="22"/>
                <w:szCs w:val="22"/>
                <w:color w:val="auto"/>
              </w:rPr>
            </w:pPr>
          </w:p>
        </w:tc>
        <w:tc>
          <w:tcPr>
            <w:tcW w:w="860" w:type="dxa"/>
            <w:vAlign w:val="bottom"/>
          </w:tcPr>
          <w:p>
            <w:pPr>
              <w:jc w:val="right"/>
              <w:ind w:right="100"/>
              <w:spacing w:after="0"/>
              <w:rPr>
                <w:sz w:val="20"/>
                <w:szCs w:val="20"/>
                <w:color w:val="auto"/>
              </w:rPr>
            </w:pPr>
            <w:r>
              <w:rPr>
                <w:rFonts w:ascii="Arial" w:cs="Arial" w:eastAsia="Arial" w:hAnsi="Arial"/>
                <w:sz w:val="16"/>
                <w:szCs w:val="16"/>
                <w:color w:val="auto"/>
              </w:rPr>
              <w:t>66,543</w:t>
            </w:r>
          </w:p>
        </w:tc>
        <w:tc>
          <w:tcPr>
            <w:tcW w:w="0" w:type="dxa"/>
            <w:vAlign w:val="bottom"/>
          </w:tcPr>
          <w:p>
            <w:pPr>
              <w:spacing w:after="0"/>
              <w:rPr>
                <w:sz w:val="1"/>
                <w:szCs w:val="1"/>
                <w:color w:val="auto"/>
              </w:rPr>
            </w:pPr>
          </w:p>
        </w:tc>
      </w:tr>
    </w:tbl>
    <w:p>
      <w:pPr>
        <w:spacing w:after="0" w:line="41" w:lineRule="exact"/>
        <w:rPr>
          <w:sz w:val="20"/>
          <w:szCs w:val="20"/>
          <w:color w:val="auto"/>
        </w:rPr>
      </w:pPr>
    </w:p>
    <w:p>
      <w:pPr>
        <w:sectPr>
          <w:pgSz w:w="11900" w:h="16838" w:orient="portrait"/>
          <w:cols w:equalWidth="0" w:num="1">
            <w:col w:w="11420"/>
          </w:cols>
          <w:pgMar w:left="240" w:top="800" w:right="239" w:bottom="390" w:gutter="0" w:footer="0" w:header="0"/>
          <w:type w:val="continuous"/>
        </w:sectPr>
      </w:pPr>
    </w:p>
    <w:p>
      <w:pPr>
        <w:spacing w:after="0" w:line="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Add: Dividends-common stock outstanding</w:t>
      </w:r>
    </w:p>
    <w:p>
      <w:pPr>
        <w:spacing w:after="0" w:line="11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Numerator for basic earnings per share</w:t>
      </w:r>
    </w:p>
    <w:p>
      <w:pPr>
        <w:spacing w:after="0" w:line="113" w:lineRule="exact"/>
        <w:rPr>
          <w:sz w:val="20"/>
          <w:szCs w:val="20"/>
          <w:color w:val="auto"/>
        </w:rPr>
      </w:pPr>
    </w:p>
    <w:p>
      <w:pPr>
        <w:ind w:left="180" w:right="540" w:firstLine="108"/>
        <w:spacing w:after="0" w:line="387" w:lineRule="auto"/>
        <w:rPr>
          <w:sz w:val="20"/>
          <w:szCs w:val="20"/>
          <w:color w:val="auto"/>
        </w:rPr>
      </w:pPr>
      <w:r>
        <w:rPr>
          <w:rFonts w:ascii="Arial" w:cs="Arial" w:eastAsia="Arial" w:hAnsi="Arial"/>
          <w:sz w:val="16"/>
          <w:szCs w:val="16"/>
          <w:color w:val="auto"/>
        </w:rPr>
        <w:t>Add: Additional undistributed earnings due to dilutive stock options Numerator for diluted earnings per share</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Denominator:</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Denominator for basic earnings per share:</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Weighted average shares outstanding</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Add: Effect of dilutive stock options</w:t>
      </w:r>
    </w:p>
    <w:p>
      <w:pPr>
        <w:spacing w:after="0" w:line="11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Denominator for diluted earnings per share</w:t>
      </w:r>
    </w:p>
    <w:p>
      <w:pPr>
        <w:spacing w:after="0" w:line="111" w:lineRule="exact"/>
        <w:rPr>
          <w:sz w:val="20"/>
          <w:szCs w:val="20"/>
          <w:color w:val="auto"/>
        </w:rPr>
      </w:pPr>
    </w:p>
    <w:p>
      <w:pPr>
        <w:ind w:left="180" w:right="1220" w:hanging="134"/>
        <w:spacing w:after="0" w:line="416" w:lineRule="auto"/>
        <w:rPr>
          <w:sz w:val="20"/>
          <w:szCs w:val="20"/>
          <w:color w:val="auto"/>
        </w:rPr>
      </w:pPr>
      <w:r>
        <w:rPr>
          <w:rFonts w:ascii="Arial" w:cs="Arial" w:eastAsia="Arial" w:hAnsi="Arial"/>
          <w:sz w:val="16"/>
          <w:szCs w:val="16"/>
          <w:b w:val="1"/>
          <w:bCs w:val="1"/>
          <w:color w:val="auto"/>
        </w:rPr>
        <w:t>Graham Holdings Company Common Stockholders: Basic earnings per share from continuing operations Diluted earnings per share from continuing operations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2"/>
        </w:trPr>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14,506</w:t>
            </w: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51,556</w:t>
            </w: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r>
      <w:tr>
        <w:trPr>
          <w:trHeight w:val="264"/>
        </w:trPr>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361,848</w:t>
            </w:r>
          </w:p>
        </w:tc>
        <w:tc>
          <w:tcPr>
            <w:tcW w:w="4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45,415</w:t>
            </w:r>
          </w:p>
        </w:tc>
        <w:tc>
          <w:tcPr>
            <w:tcW w:w="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490,272</w:t>
            </w:r>
          </w:p>
        </w:tc>
        <w:tc>
          <w:tcPr>
            <w:tcW w:w="4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66,543</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51"/>
        </w:trPr>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31</w:t>
            </w:r>
          </w:p>
        </w:tc>
        <w:tc>
          <w:tcPr>
            <w:tcW w:w="4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w:t>
            </w:r>
          </w:p>
        </w:tc>
        <w:tc>
          <w:tcPr>
            <w:tcW w:w="4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40</w:t>
            </w:r>
          </w:p>
        </w:tc>
        <w:tc>
          <w:tcPr>
            <w:tcW w:w="4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w:t>
            </w:r>
          </w:p>
        </w:tc>
      </w:tr>
      <w:tr>
        <w:trPr>
          <w:trHeight w:val="264"/>
        </w:trPr>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361,879</w:t>
            </w:r>
          </w:p>
        </w:tc>
        <w:tc>
          <w:tcPr>
            <w:tcW w:w="4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45,416</w:t>
            </w:r>
          </w:p>
        </w:tc>
        <w:tc>
          <w:tcPr>
            <w:tcW w:w="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490,312</w:t>
            </w:r>
          </w:p>
        </w:tc>
        <w:tc>
          <w:tcPr>
            <w:tcW w:w="4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66,544</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787"/>
        </w:trPr>
        <w:tc>
          <w:tcPr>
            <w:tcW w:w="280" w:type="dxa"/>
            <w:vAlign w:val="bottom"/>
          </w:tcPr>
          <w:p>
            <w:pPr>
              <w:spacing w:after="0"/>
              <w:rPr>
                <w:sz w:val="24"/>
                <w:szCs w:val="24"/>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7,284</w:t>
            </w:r>
          </w:p>
        </w:tc>
        <w:tc>
          <w:tcPr>
            <w:tcW w:w="440" w:type="dxa"/>
            <w:vAlign w:val="bottom"/>
          </w:tcPr>
          <w:p>
            <w:pPr>
              <w:spacing w:after="0"/>
              <w:rPr>
                <w:sz w:val="24"/>
                <w:szCs w:val="24"/>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7,229</w:t>
            </w:r>
          </w:p>
        </w:tc>
        <w:tc>
          <w:tcPr>
            <w:tcW w:w="400" w:type="dxa"/>
            <w:vAlign w:val="bottom"/>
          </w:tcPr>
          <w:p>
            <w:pPr>
              <w:spacing w:after="0"/>
              <w:rPr>
                <w:sz w:val="24"/>
                <w:szCs w:val="24"/>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b w:val="1"/>
                <w:bCs w:val="1"/>
                <w:color w:val="auto"/>
              </w:rPr>
              <w:t>7,280</w:t>
            </w:r>
          </w:p>
        </w:tc>
        <w:tc>
          <w:tcPr>
            <w:tcW w:w="460" w:type="dxa"/>
            <w:vAlign w:val="bottom"/>
          </w:tcPr>
          <w:p>
            <w:pPr>
              <w:spacing w:after="0"/>
              <w:rPr>
                <w:sz w:val="24"/>
                <w:szCs w:val="24"/>
                <w:color w:val="auto"/>
              </w:rPr>
            </w:pP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7,228</w:t>
            </w:r>
          </w:p>
        </w:tc>
      </w:tr>
      <w:tr>
        <w:trPr>
          <w:trHeight w:val="274"/>
        </w:trPr>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24</w:t>
            </w:r>
          </w:p>
        </w:tc>
        <w:tc>
          <w:tcPr>
            <w:tcW w:w="4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w:t>
            </w:r>
          </w:p>
        </w:tc>
        <w:tc>
          <w:tcPr>
            <w:tcW w:w="4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24</w:t>
            </w:r>
          </w:p>
        </w:tc>
        <w:tc>
          <w:tcPr>
            <w:tcW w:w="4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w:t>
            </w:r>
          </w:p>
        </w:tc>
      </w:tr>
      <w:tr>
        <w:trPr>
          <w:trHeight w:val="264"/>
        </w:trPr>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7,308</w:t>
            </w:r>
          </w:p>
        </w:tc>
        <w:tc>
          <w:tcPr>
            <w:tcW w:w="4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7,233</w:t>
            </w:r>
          </w:p>
        </w:tc>
        <w:tc>
          <w:tcPr>
            <w:tcW w:w="4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7,304</w:t>
            </w:r>
          </w:p>
        </w:tc>
        <w:tc>
          <w:tcPr>
            <w:tcW w:w="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7,231</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521"/>
        </w:trPr>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49.68</w:t>
            </w:r>
          </w:p>
        </w:tc>
        <w:tc>
          <w:tcPr>
            <w:tcW w:w="4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6.28</w:t>
            </w:r>
          </w:p>
        </w:tc>
        <w:tc>
          <w:tcPr>
            <w:tcW w:w="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67.35</w:t>
            </w:r>
          </w:p>
        </w:tc>
        <w:tc>
          <w:tcPr>
            <w:tcW w:w="4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9.21</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51"/>
        </w:trPr>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49.52</w:t>
            </w:r>
          </w:p>
        </w:tc>
        <w:tc>
          <w:tcPr>
            <w:tcW w:w="4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6.28</w:t>
            </w:r>
          </w:p>
        </w:tc>
        <w:tc>
          <w:tcPr>
            <w:tcW w:w="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67.13</w:t>
            </w:r>
          </w:p>
        </w:tc>
        <w:tc>
          <w:tcPr>
            <w:tcW w:w="4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9.21</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sectPr>
          <w:pgSz w:w="11900" w:h="16838" w:orient="portrait"/>
          <w:cols w:equalWidth="0" w:num="2">
            <w:col w:w="5580" w:space="720"/>
            <w:col w:w="5120"/>
          </w:cols>
          <w:pgMar w:left="240" w:top="800" w:right="239" w:bottom="390" w:gutter="0" w:footer="0" w:header="0"/>
          <w:type w:val="continuous"/>
        </w:sectPr>
      </w:pP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20"/>
          </w:cols>
          <w:pgMar w:left="240" w:top="800" w:right="239" w:bottom="390" w:gutter="0" w:footer="0" w:header="0"/>
          <w:type w:val="continuous"/>
        </w:sectPr>
      </w:pPr>
    </w:p>
    <w:bookmarkStart w:id="13" w:name="page14"/>
    <w:bookmarkEnd w:id="13"/>
    <w:p>
      <w:pPr>
        <w:ind w:right="80"/>
        <w:spacing w:after="0" w:line="260" w:lineRule="auto"/>
        <w:rPr>
          <w:sz w:val="20"/>
          <w:szCs w:val="20"/>
          <w:color w:val="auto"/>
        </w:rPr>
      </w:pPr>
      <w:r>
        <w:rPr>
          <w:rFonts w:ascii="Arial" w:cs="Arial" w:eastAsia="Arial" w:hAnsi="Arial"/>
          <w:sz w:val="18"/>
          <w:szCs w:val="18"/>
          <w:color w:val="auto"/>
        </w:rPr>
        <w:t>Diluted earnings per share excludes the following weighted average potential common shares, as the effect would be antidilutive, as computed under the treasury stock method: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60" w:type="dxa"/>
            <w:vAlign w:val="bottom"/>
          </w:tcPr>
          <w:p>
            <w:pPr>
              <w:spacing w:after="0"/>
              <w:rPr>
                <w:sz w:val="14"/>
                <w:szCs w:val="14"/>
                <w:color w:val="auto"/>
              </w:rPr>
            </w:pPr>
          </w:p>
        </w:tc>
        <w:tc>
          <w:tcPr>
            <w:tcW w:w="1880" w:type="dxa"/>
            <w:vAlign w:val="bottom"/>
            <w:gridSpan w:val="2"/>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2200" w:type="dxa"/>
            <w:vAlign w:val="bottom"/>
            <w:gridSpan w:val="2"/>
          </w:tcPr>
          <w:p>
            <w:pPr>
              <w:jc w:val="right"/>
              <w:ind w:right="443"/>
              <w:spacing w:after="0"/>
              <w:rPr>
                <w:sz w:val="20"/>
                <w:szCs w:val="20"/>
                <w:color w:val="auto"/>
              </w:rPr>
            </w:pPr>
            <w:r>
              <w:rPr>
                <w:rFonts w:ascii="Arial" w:cs="Arial" w:eastAsia="Arial" w:hAnsi="Arial"/>
                <w:sz w:val="14"/>
                <w:szCs w:val="14"/>
                <w:b w:val="1"/>
                <w:bCs w:val="1"/>
                <w:color w:val="auto"/>
              </w:rPr>
              <w:t>Six Months Ended</w:t>
            </w:r>
          </w:p>
        </w:tc>
      </w:tr>
      <w:tr>
        <w:trPr>
          <w:trHeight w:val="203"/>
        </w:trPr>
        <w:tc>
          <w:tcPr>
            <w:tcW w:w="686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05"/>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7"/>
                <w:szCs w:val="17"/>
                <w:color w:val="auto"/>
              </w:rPr>
            </w:pPr>
          </w:p>
        </w:tc>
      </w:tr>
      <w:tr>
        <w:trPr>
          <w:trHeight w:val="264"/>
        </w:trPr>
        <w:tc>
          <w:tcPr>
            <w:tcW w:w="6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72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2014</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2013</w:t>
            </w:r>
          </w:p>
        </w:tc>
        <w:tc>
          <w:tcPr>
            <w:tcW w:w="4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726"/>
              <w:spacing w:after="0"/>
              <w:rPr>
                <w:sz w:val="20"/>
                <w:szCs w:val="20"/>
                <w:color w:val="auto"/>
              </w:rPr>
            </w:pPr>
            <w:r>
              <w:rPr>
                <w:rFonts w:ascii="Arial" w:cs="Arial" w:eastAsia="Arial" w:hAnsi="Arial"/>
                <w:sz w:val="14"/>
                <w:szCs w:val="14"/>
                <w:b w:val="1"/>
                <w:bCs w:val="1"/>
                <w:color w:val="auto"/>
              </w:rPr>
              <w:t>2014</w:t>
            </w:r>
          </w:p>
        </w:tc>
        <w:tc>
          <w:tcPr>
            <w:tcW w:w="78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color w:val="auto"/>
              </w:rPr>
              <w:t>2013</w:t>
            </w:r>
          </w:p>
        </w:tc>
      </w:tr>
      <w:tr>
        <w:trPr>
          <w:trHeight w:val="257"/>
        </w:trPr>
        <w:tc>
          <w:tcPr>
            <w:tcW w:w="6860" w:type="dxa"/>
            <w:vAlign w:val="bottom"/>
          </w:tcPr>
          <w:p>
            <w:pPr>
              <w:ind w:left="180"/>
              <w:spacing w:after="0"/>
              <w:rPr>
                <w:sz w:val="20"/>
                <w:szCs w:val="20"/>
                <w:color w:val="auto"/>
              </w:rPr>
            </w:pPr>
            <w:r>
              <w:rPr>
                <w:rFonts w:ascii="Arial" w:cs="Arial" w:eastAsia="Arial" w:hAnsi="Arial"/>
                <w:sz w:val="16"/>
                <w:szCs w:val="16"/>
                <w:color w:val="auto"/>
              </w:rPr>
              <w:t>Weighted average restricted stock</w:t>
            </w:r>
          </w:p>
        </w:tc>
        <w:tc>
          <w:tcPr>
            <w:tcW w:w="720" w:type="dxa"/>
            <w:vAlign w:val="bottom"/>
          </w:tcPr>
          <w:p>
            <w:pPr>
              <w:spacing w:after="0"/>
              <w:rPr>
                <w:sz w:val="22"/>
                <w:szCs w:val="22"/>
                <w:color w:val="auto"/>
              </w:rPr>
            </w:pPr>
          </w:p>
        </w:tc>
        <w:tc>
          <w:tcPr>
            <w:tcW w:w="1160" w:type="dxa"/>
            <w:vAlign w:val="bottom"/>
          </w:tcPr>
          <w:p>
            <w:pPr>
              <w:jc w:val="right"/>
              <w:ind w:right="885"/>
              <w:spacing w:after="0"/>
              <w:rPr>
                <w:sz w:val="20"/>
                <w:szCs w:val="20"/>
                <w:color w:val="auto"/>
              </w:rPr>
            </w:pPr>
            <w:r>
              <w:rPr>
                <w:rFonts w:ascii="Arial" w:cs="Arial" w:eastAsia="Arial" w:hAnsi="Arial"/>
                <w:sz w:val="16"/>
                <w:szCs w:val="16"/>
                <w:b w:val="1"/>
                <w:bCs w:val="1"/>
                <w:color w:val="auto"/>
              </w:rPr>
              <w:t>55</w:t>
            </w:r>
          </w:p>
        </w:tc>
        <w:tc>
          <w:tcPr>
            <w:tcW w:w="480" w:type="dxa"/>
            <w:vAlign w:val="bottom"/>
          </w:tcPr>
          <w:p>
            <w:pPr>
              <w:jc w:val="right"/>
              <w:ind w:right="199"/>
              <w:spacing w:after="0"/>
              <w:rPr>
                <w:sz w:val="20"/>
                <w:szCs w:val="20"/>
                <w:color w:val="auto"/>
              </w:rPr>
            </w:pPr>
            <w:r>
              <w:rPr>
                <w:rFonts w:ascii="Arial" w:cs="Arial" w:eastAsia="Arial" w:hAnsi="Arial"/>
                <w:sz w:val="16"/>
                <w:szCs w:val="16"/>
                <w:color w:val="auto"/>
              </w:rPr>
              <w:t>50</w:t>
            </w:r>
          </w:p>
        </w:tc>
        <w:tc>
          <w:tcPr>
            <w:tcW w:w="1420" w:type="dxa"/>
            <w:vAlign w:val="bottom"/>
          </w:tcPr>
          <w:p>
            <w:pPr>
              <w:jc w:val="right"/>
              <w:ind w:right="506"/>
              <w:spacing w:after="0"/>
              <w:rPr>
                <w:sz w:val="20"/>
                <w:szCs w:val="20"/>
                <w:color w:val="auto"/>
              </w:rPr>
            </w:pPr>
            <w:r>
              <w:rPr>
                <w:rFonts w:ascii="Arial" w:cs="Arial" w:eastAsia="Arial" w:hAnsi="Arial"/>
                <w:sz w:val="16"/>
                <w:szCs w:val="16"/>
                <w:b w:val="1"/>
                <w:bCs w:val="1"/>
                <w:color w:val="auto"/>
              </w:rPr>
              <w:t>57</w:t>
            </w:r>
          </w:p>
        </w:tc>
        <w:tc>
          <w:tcPr>
            <w:tcW w:w="780" w:type="dxa"/>
            <w:vAlign w:val="bottom"/>
          </w:tcPr>
          <w:p>
            <w:pPr>
              <w:jc w:val="right"/>
              <w:ind w:right="23"/>
              <w:spacing w:after="0"/>
              <w:rPr>
                <w:sz w:val="20"/>
                <w:szCs w:val="20"/>
                <w:color w:val="auto"/>
              </w:rPr>
            </w:pPr>
            <w:r>
              <w:rPr>
                <w:rFonts w:ascii="Arial" w:cs="Arial" w:eastAsia="Arial" w:hAnsi="Arial"/>
                <w:sz w:val="16"/>
                <w:szCs w:val="16"/>
                <w:color w:val="auto"/>
              </w:rPr>
              <w:t>45</w:t>
            </w:r>
          </w:p>
        </w:tc>
      </w:tr>
    </w:tbl>
    <w:p>
      <w:pPr>
        <w:spacing w:after="0" w:line="133" w:lineRule="exact"/>
        <w:rPr>
          <w:sz w:val="20"/>
          <w:szCs w:val="20"/>
          <w:color w:val="auto"/>
        </w:rPr>
      </w:pPr>
    </w:p>
    <w:p>
      <w:pPr>
        <w:ind w:right="660"/>
        <w:spacing w:after="0" w:line="231" w:lineRule="auto"/>
        <w:rPr>
          <w:sz w:val="20"/>
          <w:szCs w:val="20"/>
          <w:color w:val="auto"/>
        </w:rPr>
      </w:pPr>
      <w:r>
        <w:rPr>
          <w:rFonts w:ascii="Arial" w:cs="Arial" w:eastAsia="Arial" w:hAnsi="Arial"/>
          <w:sz w:val="18"/>
          <w:szCs w:val="18"/>
          <w:color w:val="auto"/>
        </w:rPr>
        <w:t>The diluted earnings per share amounts for the three and six months ended June 30, 2014 exclude the effects of 5,000 stock options outstanding as their inclusion would have been antidilutive. The diluted earnings per share amounts for the three and six months ended</w:t>
      </w:r>
    </w:p>
    <w:p>
      <w:pPr>
        <w:spacing w:after="0" w:line="2" w:lineRule="exact"/>
        <w:rPr>
          <w:sz w:val="20"/>
          <w:szCs w:val="20"/>
          <w:color w:val="auto"/>
        </w:rPr>
      </w:pPr>
    </w:p>
    <w:p>
      <w:pPr>
        <w:ind w:right="60"/>
        <w:spacing w:after="0" w:line="228" w:lineRule="auto"/>
        <w:rPr>
          <w:sz w:val="20"/>
          <w:szCs w:val="20"/>
          <w:color w:val="auto"/>
        </w:rPr>
      </w:pPr>
      <w:r>
        <w:rPr>
          <w:rFonts w:ascii="Arial" w:cs="Arial" w:eastAsia="Arial" w:hAnsi="Arial"/>
          <w:sz w:val="18"/>
          <w:szCs w:val="18"/>
          <w:color w:val="auto"/>
        </w:rPr>
        <w:t>June 30, 2013 exclude the effects of 63,000 and 63,750 stock options outstanding, respectively, as their inclusion would have been antidilutive. The diluted earnings per share amounts for the three and six months ended June 30, 2014 exclude the effects of 5,550 restricted stock awards as their inclusion would have been antidilutive. The diluted earnings per share amounts for the three and six months ended June 30, 2013 exclude the effects of 51,300 restricted stock awards, as their inclusion would have been antidilutive.</w:t>
      </w:r>
    </w:p>
    <w:p>
      <w:pPr>
        <w:spacing w:after="0" w:line="110"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In the three and six months ended June 30, 2014, the Company declared regular dividends totaling $2.55 and $7.65 per share, respectively. No dividends were paid in 2013.</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PENSION AND POSTRETIREMENT PLANS</w:t>
      </w:r>
    </w:p>
    <w:p>
      <w:pPr>
        <w:spacing w:after="0" w:line="144" w:lineRule="exact"/>
        <w:rPr>
          <w:sz w:val="20"/>
          <w:szCs w:val="20"/>
          <w:color w:val="auto"/>
        </w:rPr>
      </w:pPr>
    </w:p>
    <w:p>
      <w:pPr>
        <w:ind w:right="560"/>
        <w:spacing w:after="0" w:line="263" w:lineRule="auto"/>
        <w:rPr>
          <w:sz w:val="20"/>
          <w:szCs w:val="20"/>
          <w:color w:val="auto"/>
        </w:rPr>
      </w:pPr>
      <w:r>
        <w:rPr>
          <w:rFonts w:ascii="Arial" w:cs="Arial" w:eastAsia="Arial" w:hAnsi="Arial"/>
          <w:sz w:val="18"/>
          <w:szCs w:val="18"/>
          <w:b w:val="1"/>
          <w:bCs w:val="1"/>
          <w:color w:val="auto"/>
        </w:rPr>
        <w:t xml:space="preserve">Defined Benefit Plans. </w:t>
      </w:r>
      <w:r>
        <w:rPr>
          <w:rFonts w:ascii="Arial" w:cs="Arial" w:eastAsia="Arial" w:hAnsi="Arial"/>
          <w:sz w:val="18"/>
          <w:szCs w:val="18"/>
          <w:color w:val="auto"/>
        </w:rPr>
        <w:t>The total (benefit) cost arising from the Company’s defined benefit pension plans, including a portion included in</w:t>
      </w:r>
      <w:r>
        <w:rPr>
          <w:rFonts w:ascii="Arial" w:cs="Arial" w:eastAsia="Arial" w:hAnsi="Arial"/>
          <w:sz w:val="18"/>
          <w:szCs w:val="18"/>
          <w:b w:val="1"/>
          <w:bCs w:val="1"/>
          <w:color w:val="auto"/>
        </w:rPr>
        <w:t xml:space="preserve"> </w:t>
      </w:r>
      <w:r>
        <w:rPr>
          <w:rFonts w:ascii="Arial" w:cs="Arial" w:eastAsia="Arial" w:hAnsi="Arial"/>
          <w:sz w:val="18"/>
          <w:szCs w:val="18"/>
          <w:color w:val="auto"/>
        </w:rPr>
        <w:t>discontinued operations, consists of the following components: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color w:val="auto"/>
              </w:rPr>
              <w:t>2013</w:t>
            </w: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2013</w:t>
            </w:r>
          </w:p>
        </w:tc>
      </w:tr>
      <w:tr>
        <w:trPr>
          <w:trHeight w:val="257"/>
        </w:trPr>
        <w:tc>
          <w:tcPr>
            <w:tcW w:w="562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Pr>
          <w:p>
            <w:pPr>
              <w:jc w:val="right"/>
              <w:ind w:right="61"/>
              <w:spacing w:after="0"/>
              <w:rPr>
                <w:sz w:val="20"/>
                <w:szCs w:val="20"/>
                <w:color w:val="auto"/>
              </w:rPr>
            </w:pPr>
            <w:r>
              <w:rPr>
                <w:rFonts w:ascii="Arial" w:cs="Arial" w:eastAsia="Arial" w:hAnsi="Arial"/>
                <w:sz w:val="16"/>
                <w:szCs w:val="16"/>
                <w:b w:val="1"/>
                <w:bCs w:val="1"/>
                <w:color w:val="auto"/>
              </w:rPr>
              <w:t>6,976</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12,710</w:t>
            </w:r>
          </w:p>
        </w:tc>
        <w:tc>
          <w:tcPr>
            <w:tcW w:w="38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61"/>
              <w:spacing w:after="0"/>
              <w:rPr>
                <w:sz w:val="20"/>
                <w:szCs w:val="20"/>
                <w:color w:val="auto"/>
              </w:rPr>
            </w:pPr>
            <w:r>
              <w:rPr>
                <w:rFonts w:ascii="Arial" w:cs="Arial" w:eastAsia="Arial" w:hAnsi="Arial"/>
                <w:sz w:val="16"/>
                <w:szCs w:val="16"/>
                <w:b w:val="1"/>
                <w:bCs w:val="1"/>
                <w:color w:val="auto"/>
              </w:rPr>
              <w:t>14,513</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26,075</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280" w:type="dxa"/>
            <w:vAlign w:val="bottom"/>
          </w:tcPr>
          <w:p>
            <w:pPr>
              <w:spacing w:after="0"/>
              <w:rPr>
                <w:sz w:val="23"/>
                <w:szCs w:val="23"/>
                <w:color w:val="auto"/>
              </w:rPr>
            </w:pPr>
          </w:p>
        </w:tc>
        <w:tc>
          <w:tcPr>
            <w:tcW w:w="1140" w:type="dxa"/>
            <w:vAlign w:val="bottom"/>
          </w:tcPr>
          <w:p>
            <w:pPr>
              <w:jc w:val="right"/>
              <w:ind w:right="61"/>
              <w:spacing w:after="0"/>
              <w:rPr>
                <w:sz w:val="20"/>
                <w:szCs w:val="20"/>
                <w:color w:val="auto"/>
              </w:rPr>
            </w:pPr>
            <w:r>
              <w:rPr>
                <w:rFonts w:ascii="Arial" w:cs="Arial" w:eastAsia="Arial" w:hAnsi="Arial"/>
                <w:sz w:val="16"/>
                <w:szCs w:val="16"/>
                <w:b w:val="1"/>
                <w:bCs w:val="1"/>
                <w:color w:val="auto"/>
              </w:rPr>
              <w:t>12,894</w:t>
            </w:r>
          </w:p>
        </w:tc>
        <w:tc>
          <w:tcPr>
            <w:tcW w:w="400" w:type="dxa"/>
            <w:vAlign w:val="bottom"/>
          </w:tcPr>
          <w:p>
            <w:pPr>
              <w:spacing w:after="0"/>
              <w:rPr>
                <w:sz w:val="23"/>
                <w:szCs w:val="23"/>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14,243</w:t>
            </w:r>
          </w:p>
        </w:tc>
        <w:tc>
          <w:tcPr>
            <w:tcW w:w="380" w:type="dxa"/>
            <w:vAlign w:val="bottom"/>
          </w:tcPr>
          <w:p>
            <w:pPr>
              <w:spacing w:after="0"/>
              <w:rPr>
                <w:sz w:val="23"/>
                <w:szCs w:val="23"/>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b w:val="1"/>
                <w:bCs w:val="1"/>
                <w:color w:val="auto"/>
              </w:rPr>
              <w:t>25,976</w:t>
            </w:r>
          </w:p>
        </w:tc>
        <w:tc>
          <w:tcPr>
            <w:tcW w:w="4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28,534</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Expected return on assets</w:t>
            </w:r>
          </w:p>
        </w:tc>
        <w:tc>
          <w:tcPr>
            <w:tcW w:w="280" w:type="dxa"/>
            <w:vAlign w:val="bottom"/>
          </w:tcPr>
          <w:p>
            <w:pPr>
              <w:spacing w:after="0"/>
              <w:rPr>
                <w:sz w:val="23"/>
                <w:szCs w:val="23"/>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b w:val="1"/>
                <w:bCs w:val="1"/>
                <w:color w:val="auto"/>
              </w:rPr>
              <w:t>(30,504)</w:t>
            </w:r>
          </w:p>
        </w:tc>
        <w:tc>
          <w:tcPr>
            <w:tcW w:w="40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(25,467)</w:t>
            </w:r>
          </w:p>
        </w:tc>
        <w:tc>
          <w:tcPr>
            <w:tcW w:w="380" w:type="dxa"/>
            <w:vAlign w:val="bottom"/>
          </w:tcPr>
          <w:p>
            <w:pPr>
              <w:spacing w:after="0"/>
              <w:rPr>
                <w:sz w:val="23"/>
                <w:szCs w:val="23"/>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(60,767)</w:t>
            </w: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(51,789)</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Amortization of prior service cost</w:t>
            </w:r>
          </w:p>
        </w:tc>
        <w:tc>
          <w:tcPr>
            <w:tcW w:w="280" w:type="dxa"/>
            <w:vAlign w:val="bottom"/>
          </w:tcPr>
          <w:p>
            <w:pPr>
              <w:spacing w:after="0"/>
              <w:rPr>
                <w:sz w:val="23"/>
                <w:szCs w:val="23"/>
                <w:color w:val="auto"/>
              </w:rPr>
            </w:pPr>
          </w:p>
        </w:tc>
        <w:tc>
          <w:tcPr>
            <w:tcW w:w="1140" w:type="dxa"/>
            <w:vAlign w:val="bottom"/>
          </w:tcPr>
          <w:p>
            <w:pPr>
              <w:jc w:val="right"/>
              <w:ind w:right="61"/>
              <w:spacing w:after="0"/>
              <w:rPr>
                <w:sz w:val="20"/>
                <w:szCs w:val="20"/>
                <w:color w:val="auto"/>
              </w:rPr>
            </w:pPr>
            <w:r>
              <w:rPr>
                <w:rFonts w:ascii="Arial" w:cs="Arial" w:eastAsia="Arial" w:hAnsi="Arial"/>
                <w:sz w:val="16"/>
                <w:szCs w:val="16"/>
                <w:b w:val="1"/>
                <w:bCs w:val="1"/>
                <w:color w:val="auto"/>
              </w:rPr>
              <w:t>82</w:t>
            </w:r>
          </w:p>
        </w:tc>
        <w:tc>
          <w:tcPr>
            <w:tcW w:w="400" w:type="dxa"/>
            <w:vAlign w:val="bottom"/>
          </w:tcPr>
          <w:p>
            <w:pPr>
              <w:spacing w:after="0"/>
              <w:rPr>
                <w:sz w:val="23"/>
                <w:szCs w:val="23"/>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909</w:t>
            </w:r>
          </w:p>
        </w:tc>
        <w:tc>
          <w:tcPr>
            <w:tcW w:w="380" w:type="dxa"/>
            <w:vAlign w:val="bottom"/>
          </w:tcPr>
          <w:p>
            <w:pPr>
              <w:spacing w:after="0"/>
              <w:rPr>
                <w:sz w:val="23"/>
                <w:szCs w:val="23"/>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b w:val="1"/>
                <w:bCs w:val="1"/>
                <w:color w:val="auto"/>
              </w:rPr>
              <w:t>164</w:t>
            </w:r>
          </w:p>
        </w:tc>
        <w:tc>
          <w:tcPr>
            <w:tcW w:w="4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1,818</w:t>
            </w:r>
          </w:p>
        </w:tc>
      </w:tr>
      <w:tr>
        <w:trPr>
          <w:trHeight w:val="274"/>
        </w:trPr>
        <w:tc>
          <w:tcPr>
            <w:tcW w:w="5620" w:type="dxa"/>
            <w:vAlign w:val="bottom"/>
          </w:tcPr>
          <w:p>
            <w:pPr>
              <w:ind w:left="40"/>
              <w:spacing w:after="0"/>
              <w:rPr>
                <w:sz w:val="20"/>
                <w:szCs w:val="20"/>
                <w:color w:val="auto"/>
              </w:rPr>
            </w:pPr>
            <w:r>
              <w:rPr>
                <w:rFonts w:ascii="Arial" w:cs="Arial" w:eastAsia="Arial" w:hAnsi="Arial"/>
                <w:sz w:val="16"/>
                <w:szCs w:val="16"/>
                <w:color w:val="auto"/>
              </w:rPr>
              <w:t>Recognized actuarial (gain) loss</w:t>
            </w:r>
          </w:p>
        </w:tc>
        <w:tc>
          <w:tcPr>
            <w:tcW w:w="2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(7,281)</w:t>
            </w:r>
          </w:p>
        </w:tc>
        <w:tc>
          <w:tcPr>
            <w:tcW w:w="4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1,797</w:t>
            </w:r>
          </w:p>
        </w:tc>
        <w:tc>
          <w:tcPr>
            <w:tcW w:w="3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(14,319)</w:t>
            </w:r>
          </w:p>
        </w:tc>
        <w:tc>
          <w:tcPr>
            <w:tcW w:w="4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3,944</w:t>
            </w:r>
          </w:p>
        </w:tc>
      </w:tr>
      <w:tr>
        <w:trPr>
          <w:trHeight w:val="260"/>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Net Periodic (Benefit) Cost</w:t>
            </w:r>
          </w:p>
        </w:tc>
        <w:tc>
          <w:tcPr>
            <w:tcW w:w="280" w:type="dxa"/>
            <w:vAlign w:val="bottom"/>
          </w:tcPr>
          <w:p>
            <w:pPr>
              <w:spacing w:after="0"/>
              <w:rPr>
                <w:sz w:val="22"/>
                <w:szCs w:val="22"/>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b w:val="1"/>
                <w:bCs w:val="1"/>
                <w:color w:val="auto"/>
              </w:rPr>
              <w:t>(17,833)</w:t>
            </w:r>
          </w:p>
        </w:tc>
        <w:tc>
          <w:tcPr>
            <w:tcW w:w="400" w:type="dxa"/>
            <w:vAlign w:val="bottom"/>
          </w:tcPr>
          <w:p>
            <w:pPr>
              <w:spacing w:after="0"/>
              <w:rPr>
                <w:sz w:val="22"/>
                <w:szCs w:val="22"/>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4,192</w:t>
            </w:r>
          </w:p>
        </w:tc>
        <w:tc>
          <w:tcPr>
            <w:tcW w:w="380" w:type="dxa"/>
            <w:vAlign w:val="bottom"/>
          </w:tcPr>
          <w:p>
            <w:pPr>
              <w:spacing w:after="0"/>
              <w:rPr>
                <w:sz w:val="22"/>
                <w:szCs w:val="22"/>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(34,433)</w:t>
            </w:r>
          </w:p>
        </w:tc>
        <w:tc>
          <w:tcPr>
            <w:tcW w:w="400" w:type="dxa"/>
            <w:vAlign w:val="bottom"/>
          </w:tcPr>
          <w:p>
            <w:pPr>
              <w:spacing w:after="0"/>
              <w:rPr>
                <w:sz w:val="22"/>
                <w:szCs w:val="22"/>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8,582</w:t>
            </w:r>
          </w:p>
        </w:tc>
      </w:tr>
      <w:tr>
        <w:trPr>
          <w:trHeight w:val="274"/>
        </w:trPr>
        <w:tc>
          <w:tcPr>
            <w:tcW w:w="5620" w:type="dxa"/>
            <w:vAlign w:val="bottom"/>
          </w:tcPr>
          <w:p>
            <w:pPr>
              <w:ind w:left="40"/>
              <w:spacing w:after="0"/>
              <w:rPr>
                <w:sz w:val="20"/>
                <w:szCs w:val="20"/>
                <w:color w:val="auto"/>
              </w:rPr>
            </w:pPr>
            <w:r>
              <w:rPr>
                <w:rFonts w:ascii="Arial" w:cs="Arial" w:eastAsia="Arial" w:hAnsi="Arial"/>
                <w:sz w:val="16"/>
                <w:szCs w:val="16"/>
                <w:color w:val="auto"/>
              </w:rPr>
              <w:t>Early retirement programs expense</w:t>
            </w:r>
          </w:p>
        </w:tc>
        <w:tc>
          <w:tcPr>
            <w:tcW w:w="2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8,442</w:t>
            </w:r>
          </w:p>
        </w:tc>
        <w:tc>
          <w:tcPr>
            <w:tcW w:w="3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4,490</w:t>
            </w:r>
          </w:p>
        </w:tc>
        <w:tc>
          <w:tcPr>
            <w:tcW w:w="4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22,700</w:t>
            </w:r>
          </w:p>
        </w:tc>
      </w:tr>
      <w:tr>
        <w:trPr>
          <w:trHeight w:val="267"/>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Total (Benefit) Cost</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(17,833)</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12,634</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(29,943)</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31,282</w:t>
            </w: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For the three and six months ended June 30, 2014, the net periodic benefit for the Company's pension plans, as reported above, includes costs of $0.1 million and $ 0.2 million, respectively, reported in discontinued operations. For the three and six months ended June 30, 2013, the net periodic cost for the Company's pension plans, as reported above, includes costs of $ 6.8 million and $13.9 million, respectively, reported in discontinued operations. The early retirement programs expense for the three and six months ended June 30, 2013 is included in discontinued operations.</w:t>
      </w:r>
    </w:p>
    <w:p>
      <w:pPr>
        <w:spacing w:after="0" w:line="111" w:lineRule="exact"/>
        <w:rPr>
          <w:sz w:val="20"/>
          <w:szCs w:val="20"/>
          <w:color w:val="auto"/>
        </w:rPr>
      </w:pPr>
    </w:p>
    <w:p>
      <w:pPr>
        <w:ind w:right="400"/>
        <w:spacing w:after="0"/>
        <w:rPr>
          <w:sz w:val="20"/>
          <w:szCs w:val="20"/>
          <w:color w:val="auto"/>
        </w:rPr>
      </w:pPr>
      <w:r>
        <w:rPr>
          <w:rFonts w:ascii="Arial" w:cs="Arial" w:eastAsia="Arial" w:hAnsi="Arial"/>
          <w:sz w:val="18"/>
          <w:szCs w:val="18"/>
          <w:color w:val="auto"/>
        </w:rPr>
        <w:t>In the first quarter of 2014, the Company recorded $4.5 million related to a Separation Incentive Program for certain Corporate employees, which will be funded from the assets of the Company's pension plan. In June 2014, the Company announced that a Voluntary Retirement Incentive Program was offered to certain Corporate employees; the related expense will be recorded in the third quarter of 2014.</w:t>
      </w:r>
    </w:p>
    <w:p>
      <w:pPr>
        <w:spacing w:after="0" w:line="108" w:lineRule="exact"/>
        <w:rPr>
          <w:sz w:val="20"/>
          <w:szCs w:val="20"/>
          <w:color w:val="auto"/>
        </w:rPr>
      </w:pPr>
    </w:p>
    <w:p>
      <w:pPr>
        <w:ind w:right="200"/>
        <w:spacing w:after="0" w:line="229" w:lineRule="auto"/>
        <w:rPr>
          <w:sz w:val="20"/>
          <w:szCs w:val="20"/>
          <w:color w:val="auto"/>
        </w:rPr>
      </w:pPr>
      <w:r>
        <w:rPr>
          <w:rFonts w:ascii="Arial" w:cs="Arial" w:eastAsia="Arial" w:hAnsi="Arial"/>
          <w:sz w:val="18"/>
          <w:szCs w:val="18"/>
          <w:color w:val="auto"/>
        </w:rPr>
        <w:t>The Company announced a Voluntary Retirement Incentive Program in February 2013, which was offered to certain employees of the Washington Post newspaper. The total early retirement program expense for this program for the six months ended June 30, 2013 was $20.4 million. Of this amount, $ 12.0 million was recorded in the first quarter of 2013 and $8.4 million was recorded in the second quarter of 2013. In addition, the Washington Post newspaper recorded $2.3 million in special separation benefits for a group of employees in the first quarter of 2013. The early retirement program expense and special separation benefits for these programs were funded from the assets of the Company’s pension plan and are included in discontinued operations, net of tax.</w:t>
      </w:r>
    </w:p>
    <w:p>
      <w:pPr>
        <w:spacing w:after="0" w:line="112" w:lineRule="exact"/>
        <w:rPr>
          <w:sz w:val="20"/>
          <w:szCs w:val="20"/>
          <w:color w:val="auto"/>
        </w:rPr>
      </w:pPr>
    </w:p>
    <w:p>
      <w:pPr>
        <w:ind w:right="580"/>
        <w:spacing w:after="0" w:line="260" w:lineRule="auto"/>
        <w:rPr>
          <w:sz w:val="20"/>
          <w:szCs w:val="20"/>
          <w:color w:val="auto"/>
        </w:rPr>
      </w:pPr>
      <w:r>
        <w:rPr>
          <w:rFonts w:ascii="Arial" w:cs="Arial" w:eastAsia="Arial" w:hAnsi="Arial"/>
          <w:sz w:val="18"/>
          <w:szCs w:val="18"/>
          <w:color w:val="auto"/>
        </w:rPr>
        <w:t>The total cost arising from the Company’s Supplemental Executive Retirement Plan (SERP), including a portion included in discontinued operations, consists of the following components: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rPr>
              <w:t>Three Months Ended June 30</w:t>
            </w:r>
          </w:p>
        </w:tc>
        <w:tc>
          <w:tcPr>
            <w:tcW w:w="40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5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2013</w:t>
            </w: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2013</w:t>
            </w:r>
          </w:p>
        </w:tc>
      </w:tr>
      <w:tr>
        <w:trPr>
          <w:trHeight w:val="257"/>
        </w:trPr>
        <w:tc>
          <w:tcPr>
            <w:tcW w:w="550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Pr>
          <w:p>
            <w:pPr>
              <w:jc w:val="right"/>
              <w:ind w:right="42"/>
              <w:spacing w:after="0"/>
              <w:rPr>
                <w:sz w:val="20"/>
                <w:szCs w:val="20"/>
                <w:color w:val="auto"/>
              </w:rPr>
            </w:pPr>
            <w:r>
              <w:rPr>
                <w:rFonts w:ascii="Arial" w:cs="Arial" w:eastAsia="Arial" w:hAnsi="Arial"/>
                <w:sz w:val="16"/>
                <w:szCs w:val="16"/>
                <w:b w:val="1"/>
                <w:bCs w:val="1"/>
                <w:color w:val="auto"/>
              </w:rPr>
              <w:t>373</w:t>
            </w:r>
          </w:p>
        </w:tc>
        <w:tc>
          <w:tcPr>
            <w:tcW w:w="4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430</w:t>
            </w:r>
          </w:p>
        </w:tc>
        <w:tc>
          <w:tcPr>
            <w:tcW w:w="40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42"/>
              <w:spacing w:after="0"/>
              <w:rPr>
                <w:sz w:val="20"/>
                <w:szCs w:val="20"/>
                <w:color w:val="auto"/>
              </w:rPr>
            </w:pPr>
            <w:r>
              <w:rPr>
                <w:rFonts w:ascii="Arial" w:cs="Arial" w:eastAsia="Arial" w:hAnsi="Arial"/>
                <w:sz w:val="16"/>
                <w:szCs w:val="16"/>
                <w:b w:val="1"/>
                <w:bCs w:val="1"/>
                <w:color w:val="auto"/>
              </w:rPr>
              <w:t>746</w:t>
            </w:r>
          </w:p>
        </w:tc>
        <w:tc>
          <w:tcPr>
            <w:tcW w:w="4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859</w:t>
            </w:r>
          </w:p>
        </w:tc>
      </w:tr>
      <w:tr>
        <w:trPr>
          <w:trHeight w:val="270"/>
        </w:trPr>
        <w:tc>
          <w:tcPr>
            <w:tcW w:w="550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260" w:type="dxa"/>
            <w:vAlign w:val="bottom"/>
          </w:tcPr>
          <w:p>
            <w:pPr>
              <w:spacing w:after="0"/>
              <w:rPr>
                <w:sz w:val="23"/>
                <w:szCs w:val="23"/>
                <w:color w:val="auto"/>
              </w:rPr>
            </w:pPr>
          </w:p>
        </w:tc>
        <w:tc>
          <w:tcPr>
            <w:tcW w:w="1100" w:type="dxa"/>
            <w:vAlign w:val="bottom"/>
          </w:tcPr>
          <w:p>
            <w:pPr>
              <w:jc w:val="right"/>
              <w:ind w:right="42"/>
              <w:spacing w:after="0"/>
              <w:rPr>
                <w:sz w:val="20"/>
                <w:szCs w:val="20"/>
                <w:color w:val="auto"/>
              </w:rPr>
            </w:pPr>
            <w:r>
              <w:rPr>
                <w:rFonts w:ascii="Arial" w:cs="Arial" w:eastAsia="Arial" w:hAnsi="Arial"/>
                <w:sz w:val="16"/>
                <w:szCs w:val="16"/>
                <w:b w:val="1"/>
                <w:bCs w:val="1"/>
                <w:color w:val="auto"/>
              </w:rPr>
              <w:t>1,086</w:t>
            </w:r>
          </w:p>
        </w:tc>
        <w:tc>
          <w:tcPr>
            <w:tcW w:w="420" w:type="dxa"/>
            <w:vAlign w:val="bottom"/>
          </w:tcPr>
          <w:p>
            <w:pPr>
              <w:spacing w:after="0"/>
              <w:rPr>
                <w:sz w:val="23"/>
                <w:szCs w:val="23"/>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1,023</w:t>
            </w:r>
          </w:p>
        </w:tc>
        <w:tc>
          <w:tcPr>
            <w:tcW w:w="400" w:type="dxa"/>
            <w:vAlign w:val="bottom"/>
          </w:tcPr>
          <w:p>
            <w:pPr>
              <w:spacing w:after="0"/>
              <w:rPr>
                <w:sz w:val="23"/>
                <w:szCs w:val="23"/>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b w:val="1"/>
                <w:bCs w:val="1"/>
                <w:color w:val="auto"/>
              </w:rPr>
              <w:t>2,171</w:t>
            </w:r>
          </w:p>
        </w:tc>
        <w:tc>
          <w:tcPr>
            <w:tcW w:w="400" w:type="dxa"/>
            <w:vAlign w:val="bottom"/>
          </w:tcPr>
          <w:p>
            <w:pPr>
              <w:spacing w:after="0"/>
              <w:rPr>
                <w:sz w:val="23"/>
                <w:szCs w:val="23"/>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2,046</w:t>
            </w:r>
          </w:p>
        </w:tc>
      </w:tr>
      <w:tr>
        <w:trPr>
          <w:trHeight w:val="270"/>
        </w:trPr>
        <w:tc>
          <w:tcPr>
            <w:tcW w:w="5500" w:type="dxa"/>
            <w:vAlign w:val="bottom"/>
          </w:tcPr>
          <w:p>
            <w:pPr>
              <w:ind w:left="40"/>
              <w:spacing w:after="0"/>
              <w:rPr>
                <w:sz w:val="20"/>
                <w:szCs w:val="20"/>
                <w:color w:val="auto"/>
              </w:rPr>
            </w:pPr>
            <w:r>
              <w:rPr>
                <w:rFonts w:ascii="Arial" w:cs="Arial" w:eastAsia="Arial" w:hAnsi="Arial"/>
                <w:sz w:val="16"/>
                <w:szCs w:val="16"/>
                <w:color w:val="auto"/>
              </w:rPr>
              <w:t>Amortization of prior service cost</w:t>
            </w:r>
          </w:p>
        </w:tc>
        <w:tc>
          <w:tcPr>
            <w:tcW w:w="260" w:type="dxa"/>
            <w:vAlign w:val="bottom"/>
          </w:tcPr>
          <w:p>
            <w:pPr>
              <w:spacing w:after="0"/>
              <w:rPr>
                <w:sz w:val="23"/>
                <w:szCs w:val="23"/>
                <w:color w:val="auto"/>
              </w:rPr>
            </w:pPr>
          </w:p>
        </w:tc>
        <w:tc>
          <w:tcPr>
            <w:tcW w:w="1100" w:type="dxa"/>
            <w:vAlign w:val="bottom"/>
          </w:tcPr>
          <w:p>
            <w:pPr>
              <w:jc w:val="right"/>
              <w:ind w:right="42"/>
              <w:spacing w:after="0"/>
              <w:rPr>
                <w:sz w:val="20"/>
                <w:szCs w:val="20"/>
                <w:color w:val="auto"/>
              </w:rPr>
            </w:pPr>
            <w:r>
              <w:rPr>
                <w:rFonts w:ascii="Arial" w:cs="Arial" w:eastAsia="Arial" w:hAnsi="Arial"/>
                <w:sz w:val="16"/>
                <w:szCs w:val="16"/>
                <w:b w:val="1"/>
                <w:bCs w:val="1"/>
                <w:color w:val="auto"/>
              </w:rPr>
              <w:t>11</w:t>
            </w:r>
          </w:p>
        </w:tc>
        <w:tc>
          <w:tcPr>
            <w:tcW w:w="420" w:type="dxa"/>
            <w:vAlign w:val="bottom"/>
          </w:tcPr>
          <w:p>
            <w:pPr>
              <w:spacing w:after="0"/>
              <w:rPr>
                <w:sz w:val="23"/>
                <w:szCs w:val="23"/>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13</w:t>
            </w:r>
          </w:p>
        </w:tc>
        <w:tc>
          <w:tcPr>
            <w:tcW w:w="400" w:type="dxa"/>
            <w:vAlign w:val="bottom"/>
          </w:tcPr>
          <w:p>
            <w:pPr>
              <w:spacing w:after="0"/>
              <w:rPr>
                <w:sz w:val="23"/>
                <w:szCs w:val="23"/>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b w:val="1"/>
                <w:bCs w:val="1"/>
                <w:color w:val="auto"/>
              </w:rPr>
              <w:t>23</w:t>
            </w:r>
          </w:p>
        </w:tc>
        <w:tc>
          <w:tcPr>
            <w:tcW w:w="400" w:type="dxa"/>
            <w:vAlign w:val="bottom"/>
          </w:tcPr>
          <w:p>
            <w:pPr>
              <w:spacing w:after="0"/>
              <w:rPr>
                <w:sz w:val="23"/>
                <w:szCs w:val="23"/>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27</w:t>
            </w:r>
          </w:p>
        </w:tc>
      </w:tr>
      <w:tr>
        <w:trPr>
          <w:trHeight w:val="274"/>
        </w:trPr>
        <w:tc>
          <w:tcPr>
            <w:tcW w:w="5500" w:type="dxa"/>
            <w:vAlign w:val="bottom"/>
          </w:tcPr>
          <w:p>
            <w:pPr>
              <w:ind w:left="40"/>
              <w:spacing w:after="0"/>
              <w:rPr>
                <w:sz w:val="20"/>
                <w:szCs w:val="20"/>
                <w:color w:val="auto"/>
              </w:rPr>
            </w:pPr>
            <w:r>
              <w:rPr>
                <w:rFonts w:ascii="Arial" w:cs="Arial" w:eastAsia="Arial" w:hAnsi="Arial"/>
                <w:sz w:val="16"/>
                <w:szCs w:val="16"/>
                <w:color w:val="auto"/>
              </w:rPr>
              <w:t>Recognized actuarial loss</w:t>
            </w:r>
          </w:p>
        </w:tc>
        <w:tc>
          <w:tcPr>
            <w:tcW w:w="2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375</w:t>
            </w:r>
          </w:p>
        </w:tc>
        <w:tc>
          <w:tcPr>
            <w:tcW w:w="4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711</w:t>
            </w:r>
          </w:p>
        </w:tc>
        <w:tc>
          <w:tcPr>
            <w:tcW w:w="4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750</w:t>
            </w:r>
          </w:p>
        </w:tc>
        <w:tc>
          <w:tcPr>
            <w:tcW w:w="4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1,422</w:t>
            </w:r>
          </w:p>
        </w:tc>
      </w:tr>
      <w:tr>
        <w:trPr>
          <w:trHeight w:val="267"/>
        </w:trPr>
        <w:tc>
          <w:tcPr>
            <w:tcW w:w="5500" w:type="dxa"/>
            <w:vAlign w:val="bottom"/>
          </w:tcPr>
          <w:p>
            <w:pPr>
              <w:ind w:left="40"/>
              <w:spacing w:after="0"/>
              <w:rPr>
                <w:sz w:val="20"/>
                <w:szCs w:val="20"/>
                <w:color w:val="auto"/>
              </w:rPr>
            </w:pPr>
            <w:r>
              <w:rPr>
                <w:rFonts w:ascii="Arial" w:cs="Arial" w:eastAsia="Arial" w:hAnsi="Arial"/>
                <w:sz w:val="16"/>
                <w:szCs w:val="16"/>
                <w:b w:val="1"/>
                <w:bCs w:val="1"/>
                <w:color w:val="auto"/>
              </w:rPr>
              <w:t>Net Periodic Cost</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1,845</w:t>
            </w:r>
          </w:p>
        </w:tc>
        <w:tc>
          <w:tcPr>
            <w:tcW w:w="4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2,177</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3,690</w:t>
            </w:r>
          </w:p>
        </w:tc>
        <w:tc>
          <w:tcPr>
            <w:tcW w:w="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4,354</w:t>
            </w:r>
          </w:p>
        </w:tc>
      </w:tr>
      <w:tr>
        <w:trPr>
          <w:trHeight w:val="20"/>
        </w:trPr>
        <w:tc>
          <w:tcPr>
            <w:tcW w:w="5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62" w:right="239" w:bottom="1440" w:gutter="0" w:footer="0" w:header="0"/>
        </w:sectPr>
      </w:pP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562" w:right="239" w:bottom="1440" w:gutter="0" w:footer="0" w:header="0"/>
          <w:type w:val="continuous"/>
        </w:sectPr>
      </w:pPr>
    </w:p>
    <w:bookmarkStart w:id="14" w:name="page15"/>
    <w:bookmarkEnd w:id="14"/>
    <w:p>
      <w:pPr>
        <w:ind w:right="180"/>
        <w:spacing w:after="0" w:line="234" w:lineRule="auto"/>
        <w:rPr>
          <w:sz w:val="20"/>
          <w:szCs w:val="20"/>
          <w:color w:val="auto"/>
        </w:rPr>
      </w:pPr>
      <w:r>
        <w:rPr>
          <w:rFonts w:ascii="Arial" w:cs="Arial" w:eastAsia="Arial" w:hAnsi="Arial"/>
          <w:sz w:val="18"/>
          <w:szCs w:val="18"/>
          <w:color w:val="auto"/>
        </w:rPr>
        <w:t>For the three and six months ended June 30, 2014, the net periodic cost for the Company's SERP, as reported above, includes costs of $0.1 million and $0.2 million, respectively, reported in discontinued operations. For the three and six months ended June 30, 2013, the net periodic cost for the Company's SERP, as reported above, includes costs of $0.3 million and $0.6 million, respectively, reported in discontinued operations.</w:t>
      </w:r>
    </w:p>
    <w:p>
      <w:pPr>
        <w:spacing w:after="0" w:line="109" w:lineRule="exact"/>
        <w:rPr>
          <w:sz w:val="20"/>
          <w:szCs w:val="20"/>
          <w:color w:val="auto"/>
        </w:rPr>
      </w:pPr>
    </w:p>
    <w:p>
      <w:pPr>
        <w:jc w:val="both"/>
        <w:ind w:right="440"/>
        <w:spacing w:after="0" w:line="241" w:lineRule="auto"/>
        <w:rPr>
          <w:sz w:val="20"/>
          <w:szCs w:val="20"/>
          <w:color w:val="auto"/>
        </w:rPr>
      </w:pPr>
      <w:r>
        <w:rPr>
          <w:rFonts w:ascii="Arial" w:cs="Arial" w:eastAsia="Arial" w:hAnsi="Arial"/>
          <w:sz w:val="18"/>
          <w:szCs w:val="18"/>
          <w:b w:val="1"/>
          <w:bCs w:val="1"/>
          <w:color w:val="auto"/>
        </w:rPr>
        <w:t xml:space="preserve">Defined Benefit Plan Assets. </w:t>
      </w:r>
      <w:r>
        <w:rPr>
          <w:rFonts w:ascii="Arial" w:cs="Arial" w:eastAsia="Arial" w:hAnsi="Arial"/>
          <w:sz w:val="18"/>
          <w:szCs w:val="18"/>
          <w:color w:val="auto"/>
        </w:rPr>
        <w:t>The Company’s defined benefit pension obligations are funded by a portfolio made up of a relatively small</w:t>
      </w:r>
      <w:r>
        <w:rPr>
          <w:rFonts w:ascii="Arial" w:cs="Arial" w:eastAsia="Arial" w:hAnsi="Arial"/>
          <w:sz w:val="18"/>
          <w:szCs w:val="18"/>
          <w:b w:val="1"/>
          <w:bCs w:val="1"/>
          <w:color w:val="auto"/>
        </w:rPr>
        <w:t xml:space="preserve"> </w:t>
      </w:r>
      <w:r>
        <w:rPr>
          <w:rFonts w:ascii="Arial" w:cs="Arial" w:eastAsia="Arial" w:hAnsi="Arial"/>
          <w:sz w:val="18"/>
          <w:szCs w:val="18"/>
          <w:color w:val="auto"/>
        </w:rPr>
        <w:t>number of stocks and high-quality fixed-income securities that are held by a third-party trustee. The assets of the Company’s pension plan were allocated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700" w:type="dxa"/>
            <w:vAlign w:val="bottom"/>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 of</w:t>
            </w:r>
          </w:p>
        </w:tc>
        <w:tc>
          <w:tcPr>
            <w:tcW w:w="1140" w:type="dxa"/>
            <w:vAlign w:val="bottom"/>
            <w:tcBorders>
              <w:bottom w:val="single" w:sz="8" w:color="auto"/>
            </w:tcBorders>
          </w:tcPr>
          <w:p>
            <w:pPr>
              <w:spacing w:after="0"/>
              <w:rPr>
                <w:sz w:val="17"/>
                <w:szCs w:val="17"/>
                <w:color w:val="auto"/>
              </w:rPr>
            </w:pPr>
          </w:p>
        </w:tc>
      </w:tr>
      <w:tr>
        <w:trPr>
          <w:trHeight w:val="330"/>
        </w:trPr>
        <w:tc>
          <w:tcPr>
            <w:tcW w:w="8700" w:type="dxa"/>
            <w:vAlign w:val="bottom"/>
          </w:tcPr>
          <w:p>
            <w:pPr>
              <w:spacing w:after="0"/>
              <w:rPr>
                <w:sz w:val="24"/>
                <w:szCs w:val="24"/>
                <w:color w:val="auto"/>
              </w:rPr>
            </w:pPr>
          </w:p>
        </w:tc>
        <w:tc>
          <w:tcPr>
            <w:tcW w:w="1580" w:type="dxa"/>
            <w:vAlign w:val="bottom"/>
          </w:tcPr>
          <w:p>
            <w:pPr>
              <w:jc w:val="right"/>
              <w:ind w:right="583"/>
              <w:spacing w:after="0"/>
              <w:rPr>
                <w:sz w:val="20"/>
                <w:szCs w:val="20"/>
                <w:color w:val="auto"/>
              </w:rPr>
            </w:pPr>
            <w:r>
              <w:rPr>
                <w:rFonts w:ascii="Arial" w:cs="Arial" w:eastAsia="Arial" w:hAnsi="Arial"/>
                <w:sz w:val="14"/>
                <w:szCs w:val="14"/>
                <w:b w:val="1"/>
                <w:bCs w:val="1"/>
                <w:color w:val="auto"/>
              </w:rPr>
              <w:t>June 30,</w:t>
            </w:r>
          </w:p>
        </w:tc>
        <w:tc>
          <w:tcPr>
            <w:tcW w:w="1140" w:type="dxa"/>
            <w:vAlign w:val="bottom"/>
          </w:tcPr>
          <w:p>
            <w:pPr>
              <w:jc w:val="right"/>
              <w:ind w:right="142"/>
              <w:spacing w:after="0"/>
              <w:rPr>
                <w:sz w:val="20"/>
                <w:szCs w:val="20"/>
                <w:color w:val="auto"/>
              </w:rPr>
            </w:pPr>
            <w:r>
              <w:rPr>
                <w:rFonts w:ascii="Arial" w:cs="Arial" w:eastAsia="Arial" w:hAnsi="Arial"/>
                <w:sz w:val="14"/>
                <w:szCs w:val="14"/>
                <w:color w:val="auto"/>
              </w:rPr>
              <w:t>December 31,</w:t>
            </w:r>
          </w:p>
        </w:tc>
      </w:tr>
      <w:tr>
        <w:trPr>
          <w:trHeight w:val="203"/>
        </w:trPr>
        <w:tc>
          <w:tcPr>
            <w:tcW w:w="87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703"/>
              <w:spacing w:after="0"/>
              <w:rPr>
                <w:sz w:val="20"/>
                <w:szCs w:val="20"/>
                <w:color w:val="auto"/>
              </w:rPr>
            </w:pPr>
            <w:r>
              <w:rPr>
                <w:rFonts w:ascii="Arial" w:cs="Arial" w:eastAsia="Arial" w:hAnsi="Arial"/>
                <w:sz w:val="14"/>
                <w:szCs w:val="14"/>
                <w:b w:val="1"/>
                <w:bCs w:val="1"/>
                <w:color w:val="auto"/>
              </w:rPr>
              <w:t>2014</w:t>
            </w:r>
          </w:p>
        </w:tc>
        <w:tc>
          <w:tcPr>
            <w:tcW w:w="114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color w:val="auto"/>
              </w:rPr>
              <w:t>2013</w:t>
            </w:r>
          </w:p>
        </w:tc>
      </w:tr>
      <w:tr>
        <w:trPr>
          <w:trHeight w:val="257"/>
        </w:trPr>
        <w:tc>
          <w:tcPr>
            <w:tcW w:w="8700" w:type="dxa"/>
            <w:vAlign w:val="bottom"/>
          </w:tcPr>
          <w:p>
            <w:pPr>
              <w:ind w:left="40"/>
              <w:spacing w:after="0"/>
              <w:rPr>
                <w:sz w:val="20"/>
                <w:szCs w:val="20"/>
                <w:color w:val="auto"/>
              </w:rPr>
            </w:pPr>
            <w:r>
              <w:rPr>
                <w:rFonts w:ascii="Arial" w:cs="Arial" w:eastAsia="Arial" w:hAnsi="Arial"/>
                <w:sz w:val="16"/>
                <w:szCs w:val="16"/>
                <w:color w:val="auto"/>
              </w:rPr>
              <w:t>U.S. equities</w:t>
            </w:r>
          </w:p>
        </w:tc>
        <w:tc>
          <w:tcPr>
            <w:tcW w:w="1580" w:type="dxa"/>
            <w:vAlign w:val="bottom"/>
          </w:tcPr>
          <w:p>
            <w:pPr>
              <w:jc w:val="right"/>
              <w:ind w:right="223"/>
              <w:spacing w:after="0"/>
              <w:rPr>
                <w:sz w:val="20"/>
                <w:szCs w:val="20"/>
                <w:color w:val="auto"/>
              </w:rPr>
            </w:pPr>
            <w:r>
              <w:rPr>
                <w:rFonts w:ascii="Arial" w:cs="Arial" w:eastAsia="Arial" w:hAnsi="Arial"/>
                <w:sz w:val="16"/>
                <w:szCs w:val="16"/>
                <w:b w:val="1"/>
                <w:bCs w:val="1"/>
                <w:color w:val="auto"/>
              </w:rPr>
              <w:t>59%</w:t>
            </w:r>
          </w:p>
        </w:tc>
        <w:tc>
          <w:tcPr>
            <w:tcW w:w="114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270"/>
        </w:trPr>
        <w:tc>
          <w:tcPr>
            <w:tcW w:w="8700" w:type="dxa"/>
            <w:vAlign w:val="bottom"/>
          </w:tcPr>
          <w:p>
            <w:pPr>
              <w:ind w:left="40"/>
              <w:spacing w:after="0"/>
              <w:rPr>
                <w:sz w:val="20"/>
                <w:szCs w:val="20"/>
                <w:color w:val="auto"/>
              </w:rPr>
            </w:pPr>
            <w:r>
              <w:rPr>
                <w:rFonts w:ascii="Arial" w:cs="Arial" w:eastAsia="Arial" w:hAnsi="Arial"/>
                <w:sz w:val="16"/>
                <w:szCs w:val="16"/>
                <w:color w:val="auto"/>
              </w:rPr>
              <w:t>U.S. fixed income</w:t>
            </w:r>
          </w:p>
        </w:tc>
        <w:tc>
          <w:tcPr>
            <w:tcW w:w="1580" w:type="dxa"/>
            <w:vAlign w:val="bottom"/>
          </w:tcPr>
          <w:p>
            <w:pPr>
              <w:jc w:val="right"/>
              <w:ind w:right="223"/>
              <w:spacing w:after="0"/>
              <w:rPr>
                <w:sz w:val="20"/>
                <w:szCs w:val="20"/>
                <w:color w:val="auto"/>
              </w:rPr>
            </w:pPr>
            <w:r>
              <w:rPr>
                <w:rFonts w:ascii="Arial" w:cs="Arial" w:eastAsia="Arial" w:hAnsi="Arial"/>
                <w:sz w:val="16"/>
                <w:szCs w:val="16"/>
                <w:b w:val="1"/>
                <w:bCs w:val="1"/>
                <w:color w:val="auto"/>
              </w:rPr>
              <w:t>11%</w:t>
            </w:r>
          </w:p>
        </w:tc>
        <w:tc>
          <w:tcPr>
            <w:tcW w:w="114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74"/>
        </w:trPr>
        <w:tc>
          <w:tcPr>
            <w:tcW w:w="8700" w:type="dxa"/>
            <w:vAlign w:val="bottom"/>
          </w:tcPr>
          <w:p>
            <w:pPr>
              <w:ind w:left="40"/>
              <w:spacing w:after="0"/>
              <w:rPr>
                <w:sz w:val="20"/>
                <w:szCs w:val="20"/>
                <w:color w:val="auto"/>
              </w:rPr>
            </w:pPr>
            <w:r>
              <w:rPr>
                <w:rFonts w:ascii="Arial" w:cs="Arial" w:eastAsia="Arial" w:hAnsi="Arial"/>
                <w:sz w:val="16"/>
                <w:szCs w:val="16"/>
                <w:color w:val="auto"/>
              </w:rPr>
              <w:t>International equities</w:t>
            </w:r>
          </w:p>
        </w:tc>
        <w:tc>
          <w:tcPr>
            <w:tcW w:w="1580" w:type="dxa"/>
            <w:vAlign w:val="bottom"/>
            <w:tcBorders>
              <w:bottom w:val="single" w:sz="8" w:color="auto"/>
            </w:tcBorders>
          </w:tcPr>
          <w:p>
            <w:pPr>
              <w:jc w:val="right"/>
              <w:ind w:right="223"/>
              <w:spacing w:after="0"/>
              <w:rPr>
                <w:sz w:val="20"/>
                <w:szCs w:val="20"/>
                <w:color w:val="auto"/>
              </w:rPr>
            </w:pPr>
            <w:r>
              <w:rPr>
                <w:rFonts w:ascii="Arial" w:cs="Arial" w:eastAsia="Arial" w:hAnsi="Arial"/>
                <w:sz w:val="16"/>
                <w:szCs w:val="16"/>
                <w:b w:val="1"/>
                <w:bCs w:val="1"/>
                <w:color w:val="auto"/>
              </w:rPr>
              <w:t>30%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r>
      <w:tr>
        <w:trPr>
          <w:trHeight w:val="264"/>
        </w:trPr>
        <w:tc>
          <w:tcPr>
            <w:tcW w:w="8700" w:type="dxa"/>
            <w:vAlign w:val="bottom"/>
          </w:tcPr>
          <w:p>
            <w:pPr>
              <w:spacing w:after="0"/>
              <w:rPr>
                <w:sz w:val="22"/>
                <w:szCs w:val="22"/>
                <w:color w:val="auto"/>
              </w:rPr>
            </w:pPr>
          </w:p>
        </w:tc>
        <w:tc>
          <w:tcPr>
            <w:tcW w:w="1580" w:type="dxa"/>
            <w:vAlign w:val="bottom"/>
            <w:tcBorders>
              <w:bottom w:val="single" w:sz="8" w:color="auto"/>
            </w:tcBorders>
          </w:tcPr>
          <w:p>
            <w:pPr>
              <w:jc w:val="right"/>
              <w:ind w:right="223"/>
              <w:spacing w:after="0"/>
              <w:rPr>
                <w:sz w:val="20"/>
                <w:szCs w:val="20"/>
                <w:color w:val="auto"/>
              </w:rPr>
            </w:pPr>
            <w:r>
              <w:rPr>
                <w:rFonts w:ascii="Arial" w:cs="Arial" w:eastAsia="Arial" w:hAnsi="Arial"/>
                <w:sz w:val="16"/>
                <w:szCs w:val="16"/>
                <w:b w:val="1"/>
                <w:bCs w:val="1"/>
                <w:color w:val="auto"/>
              </w:rPr>
              <w:t>100%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r>
      <w:tr>
        <w:trPr>
          <w:trHeight w:val="20"/>
        </w:trPr>
        <w:tc>
          <w:tcPr>
            <w:tcW w:w="87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Essentially all of the assets are actively managed by two investment companies. The goal of the investment managers is to produce moderate long-term growth in the value of these assets, while protecting them against large decreases in value. Both of these managers may invest in a combination of equity and fixed-income securities and cash. The managers are not permitted to invest in securities of the Company or in alternative investments. The investment managers cannot invest more than 20% of the assets at the time of purchase in the stock of Berkshire Hathaway or more than 10% of the assets in the securities of any other single issuer, except for obligations of the U.S. Government, without receiving prior approval by the Plan administrator. As of June 30, 2014, the managers can invest no more than 24% of the assets in international stocks, at the time the investment is made, and no less than 10% of the assets could be invested in fixed-income securities. None of the assets is managed internally by the Company.</w:t>
      </w:r>
    </w:p>
    <w:p>
      <w:pPr>
        <w:spacing w:after="0" w:line="108" w:lineRule="exact"/>
        <w:rPr>
          <w:sz w:val="20"/>
          <w:szCs w:val="20"/>
          <w:color w:val="auto"/>
        </w:rPr>
      </w:pPr>
    </w:p>
    <w:p>
      <w:pPr>
        <w:ind w:right="720"/>
        <w:spacing w:after="0"/>
        <w:rPr>
          <w:sz w:val="20"/>
          <w:szCs w:val="20"/>
          <w:color w:val="auto"/>
        </w:rPr>
      </w:pPr>
      <w:r>
        <w:rPr>
          <w:rFonts w:ascii="Arial" w:cs="Arial" w:eastAsia="Arial" w:hAnsi="Arial"/>
          <w:sz w:val="18"/>
          <w:szCs w:val="18"/>
          <w:color w:val="auto"/>
        </w:rPr>
        <w:t>In determining the expected rate of return on plan assets, the Company considers the relative weighting of plan assets, the historical performance of total plan assets and individual asset classes and economic and other indicators of future performance. In addition, the Company may consult with and consider the input of financial and other professionals in developing appropriate return benchmarks.</w:t>
      </w:r>
    </w:p>
    <w:p>
      <w:pPr>
        <w:spacing w:after="0" w:line="108"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The Company evaluated its defined benefit pension plan asset portfolio for the existence of significant concentrations (defined as greater than 10% of plan assets) of credit risk as of June 30, 2014. Types of concentrations that were evaluated include, but are not limited to, investment concentrations in a single entity, type of industry, foreign country and individual fund. At June 30, 2014 and December 31, 2013, the pension plan held common stock in one investment that exceeded 10% of total plan assets. This investment was valued at $ 410.5 million and $382.1 million at June 30, 2014 and December 31, 2013, respectively, or approximately 17% and 16%, respectively, of total plan assets. Assets also included $222.5 million and $208.4 million of Berkshire Hathaway common stock at June 30, 2014 and December 31, 2013, respectively. At June 30, 2014 and December 31, 2013, the pension plan held investments in one foreign country that exceeded 10% of total plan assets. These investments were valued at $429.3 million and $398.9 million at June 30, 2014 and December 31, 2013, respectively, or approximately 18% and 17%, respectively, of total plan assets.</w:t>
      </w:r>
    </w:p>
    <w:p>
      <w:pPr>
        <w:spacing w:after="0" w:line="108"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b w:val="1"/>
          <w:bCs w:val="1"/>
          <w:color w:val="auto"/>
        </w:rPr>
        <w:t xml:space="preserve">Other Postretirement Plans. </w:t>
      </w:r>
      <w:r>
        <w:rPr>
          <w:rFonts w:ascii="Arial" w:cs="Arial" w:eastAsia="Arial" w:hAnsi="Arial"/>
          <w:sz w:val="18"/>
          <w:szCs w:val="18"/>
          <w:color w:val="auto"/>
        </w:rPr>
        <w:t>The total cost (benefit) arising from the Company’s other postretirement plans, including a portion included in</w:t>
      </w:r>
      <w:r>
        <w:rPr>
          <w:rFonts w:ascii="Arial" w:cs="Arial" w:eastAsia="Arial" w:hAnsi="Arial"/>
          <w:sz w:val="18"/>
          <w:szCs w:val="18"/>
          <w:b w:val="1"/>
          <w:bCs w:val="1"/>
          <w:color w:val="auto"/>
        </w:rPr>
        <w:t xml:space="preserve"> </w:t>
      </w:r>
      <w:r>
        <w:rPr>
          <w:rFonts w:ascii="Arial" w:cs="Arial" w:eastAsia="Arial" w:hAnsi="Arial"/>
          <w:sz w:val="18"/>
          <w:szCs w:val="18"/>
          <w:color w:val="auto"/>
        </w:rPr>
        <w:t>discontinued operations, consists of the following components: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color w:val="auto"/>
              </w:rPr>
              <w:t>2013</w:t>
            </w: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2013</w:t>
            </w:r>
          </w:p>
        </w:tc>
      </w:tr>
      <w:tr>
        <w:trPr>
          <w:trHeight w:val="257"/>
        </w:trPr>
        <w:tc>
          <w:tcPr>
            <w:tcW w:w="562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Pr>
          <w:p>
            <w:pPr>
              <w:jc w:val="right"/>
              <w:ind w:right="61"/>
              <w:spacing w:after="0"/>
              <w:rPr>
                <w:sz w:val="20"/>
                <w:szCs w:val="20"/>
                <w:color w:val="auto"/>
              </w:rPr>
            </w:pPr>
            <w:r>
              <w:rPr>
                <w:rFonts w:ascii="Arial" w:cs="Arial" w:eastAsia="Arial" w:hAnsi="Arial"/>
                <w:sz w:val="16"/>
                <w:szCs w:val="16"/>
                <w:b w:val="1"/>
                <w:bCs w:val="1"/>
                <w:color w:val="auto"/>
              </w:rPr>
              <w:t>375</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728</w:t>
            </w:r>
          </w:p>
        </w:tc>
        <w:tc>
          <w:tcPr>
            <w:tcW w:w="38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61"/>
              <w:spacing w:after="0"/>
              <w:rPr>
                <w:sz w:val="20"/>
                <w:szCs w:val="20"/>
                <w:color w:val="auto"/>
              </w:rPr>
            </w:pPr>
            <w:r>
              <w:rPr>
                <w:rFonts w:ascii="Arial" w:cs="Arial" w:eastAsia="Arial" w:hAnsi="Arial"/>
                <w:sz w:val="16"/>
                <w:szCs w:val="16"/>
                <w:b w:val="1"/>
                <w:bCs w:val="1"/>
                <w:color w:val="auto"/>
              </w:rPr>
              <w:t>750</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1,455</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280" w:type="dxa"/>
            <w:vAlign w:val="bottom"/>
          </w:tcPr>
          <w:p>
            <w:pPr>
              <w:spacing w:after="0"/>
              <w:rPr>
                <w:sz w:val="23"/>
                <w:szCs w:val="23"/>
                <w:color w:val="auto"/>
              </w:rPr>
            </w:pPr>
          </w:p>
        </w:tc>
        <w:tc>
          <w:tcPr>
            <w:tcW w:w="1140" w:type="dxa"/>
            <w:vAlign w:val="bottom"/>
          </w:tcPr>
          <w:p>
            <w:pPr>
              <w:jc w:val="right"/>
              <w:ind w:right="61"/>
              <w:spacing w:after="0"/>
              <w:rPr>
                <w:sz w:val="20"/>
                <w:szCs w:val="20"/>
                <w:color w:val="auto"/>
              </w:rPr>
            </w:pPr>
            <w:r>
              <w:rPr>
                <w:rFonts w:ascii="Arial" w:cs="Arial" w:eastAsia="Arial" w:hAnsi="Arial"/>
                <w:sz w:val="16"/>
                <w:szCs w:val="16"/>
                <w:b w:val="1"/>
                <w:bCs w:val="1"/>
                <w:color w:val="auto"/>
              </w:rPr>
              <w:t>362</w:t>
            </w:r>
          </w:p>
        </w:tc>
        <w:tc>
          <w:tcPr>
            <w:tcW w:w="400" w:type="dxa"/>
            <w:vAlign w:val="bottom"/>
          </w:tcPr>
          <w:p>
            <w:pPr>
              <w:spacing w:after="0"/>
              <w:rPr>
                <w:sz w:val="23"/>
                <w:szCs w:val="23"/>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507</w:t>
            </w:r>
          </w:p>
        </w:tc>
        <w:tc>
          <w:tcPr>
            <w:tcW w:w="380" w:type="dxa"/>
            <w:vAlign w:val="bottom"/>
          </w:tcPr>
          <w:p>
            <w:pPr>
              <w:spacing w:after="0"/>
              <w:rPr>
                <w:sz w:val="23"/>
                <w:szCs w:val="23"/>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b w:val="1"/>
                <w:bCs w:val="1"/>
                <w:color w:val="auto"/>
              </w:rPr>
              <w:t>724</w:t>
            </w:r>
          </w:p>
        </w:tc>
        <w:tc>
          <w:tcPr>
            <w:tcW w:w="4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1,017</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Amortization of prior service credit</w:t>
            </w:r>
          </w:p>
        </w:tc>
        <w:tc>
          <w:tcPr>
            <w:tcW w:w="280" w:type="dxa"/>
            <w:vAlign w:val="bottom"/>
          </w:tcPr>
          <w:p>
            <w:pPr>
              <w:spacing w:after="0"/>
              <w:rPr>
                <w:sz w:val="23"/>
                <w:szCs w:val="23"/>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b w:val="1"/>
                <w:bCs w:val="1"/>
                <w:color w:val="auto"/>
              </w:rPr>
              <w:t>(195)</w:t>
            </w:r>
          </w:p>
        </w:tc>
        <w:tc>
          <w:tcPr>
            <w:tcW w:w="40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(1,306)</w:t>
            </w:r>
          </w:p>
        </w:tc>
        <w:tc>
          <w:tcPr>
            <w:tcW w:w="380" w:type="dxa"/>
            <w:vAlign w:val="bottom"/>
          </w:tcPr>
          <w:p>
            <w:pPr>
              <w:spacing w:after="0"/>
              <w:rPr>
                <w:sz w:val="23"/>
                <w:szCs w:val="23"/>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(391)</w:t>
            </w: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(2,666)</w:t>
            </w:r>
          </w:p>
        </w:tc>
      </w:tr>
      <w:tr>
        <w:trPr>
          <w:trHeight w:val="274"/>
        </w:trPr>
        <w:tc>
          <w:tcPr>
            <w:tcW w:w="5620" w:type="dxa"/>
            <w:vAlign w:val="bottom"/>
          </w:tcPr>
          <w:p>
            <w:pPr>
              <w:ind w:left="40"/>
              <w:spacing w:after="0"/>
              <w:rPr>
                <w:sz w:val="20"/>
                <w:szCs w:val="20"/>
                <w:color w:val="auto"/>
              </w:rPr>
            </w:pPr>
            <w:r>
              <w:rPr>
                <w:rFonts w:ascii="Arial" w:cs="Arial" w:eastAsia="Arial" w:hAnsi="Arial"/>
                <w:sz w:val="16"/>
                <w:szCs w:val="16"/>
                <w:color w:val="auto"/>
              </w:rPr>
              <w:t>Recognized actuarial gain</w:t>
            </w:r>
          </w:p>
        </w:tc>
        <w:tc>
          <w:tcPr>
            <w:tcW w:w="2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(519)</w:t>
            </w:r>
          </w:p>
        </w:tc>
        <w:tc>
          <w:tcPr>
            <w:tcW w:w="4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(504)</w:t>
            </w:r>
          </w:p>
        </w:tc>
        <w:tc>
          <w:tcPr>
            <w:tcW w:w="3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(1,038)</w:t>
            </w:r>
          </w:p>
        </w:tc>
        <w:tc>
          <w:tcPr>
            <w:tcW w:w="4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(1,045)</w:t>
            </w:r>
          </w:p>
        </w:tc>
      </w:tr>
      <w:tr>
        <w:trPr>
          <w:trHeight w:val="260"/>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Net Periodic Cost (Benefit)</w:t>
            </w:r>
          </w:p>
        </w:tc>
        <w:tc>
          <w:tcPr>
            <w:tcW w:w="280" w:type="dxa"/>
            <w:vAlign w:val="bottom"/>
          </w:tcPr>
          <w:p>
            <w:pPr>
              <w:spacing w:after="0"/>
              <w:rPr>
                <w:sz w:val="22"/>
                <w:szCs w:val="22"/>
                <w:color w:val="auto"/>
              </w:rPr>
            </w:pPr>
          </w:p>
        </w:tc>
        <w:tc>
          <w:tcPr>
            <w:tcW w:w="1140" w:type="dxa"/>
            <w:vAlign w:val="bottom"/>
          </w:tcPr>
          <w:p>
            <w:pPr>
              <w:jc w:val="right"/>
              <w:ind w:right="61"/>
              <w:spacing w:after="0"/>
              <w:rPr>
                <w:sz w:val="20"/>
                <w:szCs w:val="20"/>
                <w:color w:val="auto"/>
              </w:rPr>
            </w:pPr>
            <w:r>
              <w:rPr>
                <w:rFonts w:ascii="Arial" w:cs="Arial" w:eastAsia="Arial" w:hAnsi="Arial"/>
                <w:sz w:val="16"/>
                <w:szCs w:val="16"/>
                <w:b w:val="1"/>
                <w:bCs w:val="1"/>
                <w:color w:val="auto"/>
              </w:rPr>
              <w:t>23</w:t>
            </w:r>
          </w:p>
        </w:tc>
        <w:tc>
          <w:tcPr>
            <w:tcW w:w="400" w:type="dxa"/>
            <w:vAlign w:val="bottom"/>
          </w:tcPr>
          <w:p>
            <w:pPr>
              <w:spacing w:after="0"/>
              <w:rPr>
                <w:sz w:val="22"/>
                <w:szCs w:val="22"/>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(575)</w:t>
            </w:r>
          </w:p>
        </w:tc>
        <w:tc>
          <w:tcPr>
            <w:tcW w:w="380" w:type="dxa"/>
            <w:vAlign w:val="bottom"/>
          </w:tcPr>
          <w:p>
            <w:pPr>
              <w:spacing w:after="0"/>
              <w:rPr>
                <w:sz w:val="22"/>
                <w:szCs w:val="22"/>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b w:val="1"/>
                <w:bCs w:val="1"/>
                <w:color w:val="auto"/>
              </w:rPr>
              <w:t>45</w:t>
            </w:r>
          </w:p>
        </w:tc>
        <w:tc>
          <w:tcPr>
            <w:tcW w:w="4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(1,239)</w:t>
            </w:r>
          </w:p>
        </w:tc>
      </w:tr>
      <w:tr>
        <w:trPr>
          <w:trHeight w:val="274"/>
        </w:trPr>
        <w:tc>
          <w:tcPr>
            <w:tcW w:w="5620" w:type="dxa"/>
            <w:vAlign w:val="bottom"/>
          </w:tcPr>
          <w:p>
            <w:pPr>
              <w:ind w:left="40"/>
              <w:spacing w:after="0"/>
              <w:rPr>
                <w:sz w:val="20"/>
                <w:szCs w:val="20"/>
                <w:color w:val="auto"/>
              </w:rPr>
            </w:pPr>
            <w:r>
              <w:rPr>
                <w:rFonts w:ascii="Arial" w:cs="Arial" w:eastAsia="Arial" w:hAnsi="Arial"/>
                <w:sz w:val="16"/>
                <w:szCs w:val="16"/>
                <w:color w:val="auto"/>
              </w:rPr>
              <w:t>Settlement gain</w:t>
            </w:r>
          </w:p>
        </w:tc>
        <w:tc>
          <w:tcPr>
            <w:tcW w:w="2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(3,471)</w:t>
            </w:r>
          </w:p>
        </w:tc>
      </w:tr>
      <w:tr>
        <w:trPr>
          <w:trHeight w:val="267"/>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Total Cost (Benefit)</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23</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(575)</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45</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(4,710)</w:t>
            </w: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right="60"/>
        <w:spacing w:after="0" w:line="234" w:lineRule="auto"/>
        <w:rPr>
          <w:sz w:val="20"/>
          <w:szCs w:val="20"/>
          <w:color w:val="auto"/>
        </w:rPr>
      </w:pPr>
      <w:r>
        <w:rPr>
          <w:rFonts w:ascii="Arial" w:cs="Arial" w:eastAsia="Arial" w:hAnsi="Arial"/>
          <w:sz w:val="18"/>
          <w:szCs w:val="18"/>
          <w:color w:val="auto"/>
        </w:rPr>
        <w:t>For the three and six months ended June 30, 2013, the net periodic benefit, as reported above, includes a benefit of $0.8 million and $1.4 million, respectively, included in discontinued operations. As part of the sale of The Herald, changes were made with respect to its postretirement medical plan, resulting in a $3.5 million settlement gain that is included in discontinued operations, net of tax, for the first quarter of 2013.</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62"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10. OTHER NON-OPERATING INCOME (EXPENSE)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A summary of non-operating income (expense) is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0" w:type="dxa"/>
            <w:vAlign w:val="bottom"/>
            <w:gridSpan w:val="3"/>
          </w:tcPr>
          <w:p>
            <w:pPr>
              <w:jc w:val="right"/>
              <w:ind w:right="799"/>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720" w:type="dxa"/>
            <w:vAlign w:val="bottom"/>
            <w:gridSpan w:val="3"/>
          </w:tcPr>
          <w:p>
            <w:pPr>
              <w:jc w:val="right"/>
              <w:ind w:right="819"/>
              <w:spacing w:after="0"/>
              <w:rPr>
                <w:sz w:val="20"/>
                <w:szCs w:val="20"/>
                <w:color w:val="auto"/>
              </w:rPr>
            </w:pPr>
            <w:r>
              <w:rPr>
                <w:rFonts w:ascii="Arial" w:cs="Arial" w:eastAsia="Arial" w:hAnsi="Arial"/>
                <w:sz w:val="14"/>
                <w:szCs w:val="14"/>
                <w:b w:val="1"/>
                <w:bCs w:val="1"/>
                <w:color w:val="auto"/>
              </w:rPr>
              <w:t>Six Months Ended</w:t>
            </w:r>
          </w:p>
        </w:tc>
      </w:tr>
      <w:tr>
        <w:trPr>
          <w:trHeight w:val="203"/>
        </w:trPr>
        <w:tc>
          <w:tcPr>
            <w:tcW w:w="5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4"/>
                <w:szCs w:val="14"/>
                <w:b w:val="1"/>
                <w:bCs w:val="1"/>
                <w:color w:val="auto"/>
              </w:rPr>
              <w:t>June 30</w:t>
            </w:r>
          </w:p>
        </w:tc>
        <w:tc>
          <w:tcPr>
            <w:tcW w:w="11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4"/>
                <w:szCs w:val="14"/>
                <w:b w:val="1"/>
                <w:bCs w:val="1"/>
                <w:color w:val="auto"/>
              </w:rPr>
              <w:t>June 30</w:t>
            </w:r>
          </w:p>
        </w:tc>
        <w:tc>
          <w:tcPr>
            <w:tcW w:w="1080" w:type="dxa"/>
            <w:vAlign w:val="bottom"/>
            <w:tcBorders>
              <w:bottom w:val="single" w:sz="8" w:color="auto"/>
            </w:tcBorders>
          </w:tcPr>
          <w:p>
            <w:pPr>
              <w:spacing w:after="0"/>
              <w:rPr>
                <w:sz w:val="17"/>
                <w:szCs w:val="17"/>
                <w:color w:val="auto"/>
              </w:rPr>
            </w:pPr>
          </w:p>
        </w:tc>
      </w:tr>
      <w:tr>
        <w:trPr>
          <w:trHeight w:val="261"/>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2014</w:t>
            </w:r>
          </w:p>
        </w:tc>
        <w:tc>
          <w:tcPr>
            <w:tcW w:w="4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2013</w:t>
            </w:r>
          </w:p>
        </w:tc>
        <w:tc>
          <w:tcPr>
            <w:tcW w:w="4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2014</w:t>
            </w:r>
          </w:p>
        </w:tc>
        <w:tc>
          <w:tcPr>
            <w:tcW w:w="4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2013</w:t>
            </w: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Gain on Berkshire marketable equity securities exchange</w:t>
            </w:r>
          </w:p>
        </w:tc>
        <w:tc>
          <w:tcPr>
            <w:tcW w:w="340" w:type="dxa"/>
            <w:vAlign w:val="bottom"/>
          </w:tcPr>
          <w:p>
            <w:pPr>
              <w:jc w:val="right"/>
              <w:ind w:right="139"/>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ind w:right="81"/>
              <w:spacing w:after="0"/>
              <w:rPr>
                <w:sz w:val="20"/>
                <w:szCs w:val="20"/>
                <w:color w:val="auto"/>
              </w:rPr>
            </w:pPr>
            <w:r>
              <w:rPr>
                <w:rFonts w:ascii="Arial" w:cs="Arial" w:eastAsia="Arial" w:hAnsi="Arial"/>
                <w:sz w:val="16"/>
                <w:szCs w:val="16"/>
                <w:b w:val="1"/>
                <w:bCs w:val="1"/>
                <w:color w:val="auto"/>
              </w:rPr>
              <w:t>266,733</w:t>
            </w:r>
          </w:p>
        </w:tc>
        <w:tc>
          <w:tcPr>
            <w:tcW w:w="4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139"/>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ind w:right="61"/>
              <w:spacing w:after="0"/>
              <w:rPr>
                <w:sz w:val="20"/>
                <w:szCs w:val="20"/>
                <w:color w:val="auto"/>
              </w:rPr>
            </w:pPr>
            <w:r>
              <w:rPr>
                <w:rFonts w:ascii="Arial" w:cs="Arial" w:eastAsia="Arial" w:hAnsi="Arial"/>
                <w:sz w:val="16"/>
                <w:szCs w:val="16"/>
                <w:b w:val="1"/>
                <w:bCs w:val="1"/>
                <w:color w:val="auto"/>
              </w:rPr>
              <w:t>266,733</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5160" w:type="dxa"/>
            <w:vAlign w:val="bottom"/>
          </w:tcPr>
          <w:p>
            <w:pPr>
              <w:ind w:left="40"/>
              <w:spacing w:after="0"/>
              <w:rPr>
                <w:sz w:val="20"/>
                <w:szCs w:val="20"/>
                <w:color w:val="auto"/>
              </w:rPr>
            </w:pPr>
            <w:r>
              <w:rPr>
                <w:rFonts w:ascii="Arial" w:cs="Arial" w:eastAsia="Arial" w:hAnsi="Arial"/>
                <w:sz w:val="16"/>
                <w:szCs w:val="16"/>
                <w:color w:val="auto"/>
              </w:rPr>
              <w:t>Gain on sale of headquarters building</w:t>
            </w:r>
          </w:p>
        </w:tc>
        <w:tc>
          <w:tcPr>
            <w:tcW w:w="340" w:type="dxa"/>
            <w:vAlign w:val="bottom"/>
          </w:tcPr>
          <w:p>
            <w:pPr>
              <w:spacing w:after="0"/>
              <w:rPr>
                <w:sz w:val="23"/>
                <w:szCs w:val="23"/>
                <w:color w:val="auto"/>
              </w:rPr>
            </w:pPr>
          </w:p>
        </w:tc>
        <w:tc>
          <w:tcPr>
            <w:tcW w:w="120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480" w:type="dxa"/>
            <w:vAlign w:val="bottom"/>
          </w:tcPr>
          <w:p>
            <w:pPr>
              <w:spacing w:after="0"/>
              <w:rPr>
                <w:sz w:val="23"/>
                <w:szCs w:val="23"/>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1180" w:type="dxa"/>
            <w:vAlign w:val="bottom"/>
          </w:tcPr>
          <w:p>
            <w:pPr>
              <w:jc w:val="right"/>
              <w:ind w:right="61"/>
              <w:spacing w:after="0"/>
              <w:rPr>
                <w:sz w:val="20"/>
                <w:szCs w:val="20"/>
                <w:color w:val="auto"/>
              </w:rPr>
            </w:pPr>
            <w:r>
              <w:rPr>
                <w:rFonts w:ascii="Arial" w:cs="Arial" w:eastAsia="Arial" w:hAnsi="Arial"/>
                <w:sz w:val="16"/>
                <w:szCs w:val="16"/>
                <w:b w:val="1"/>
                <w:bCs w:val="1"/>
                <w:color w:val="auto"/>
              </w:rPr>
              <w:t>127,670</w:t>
            </w:r>
          </w:p>
        </w:tc>
        <w:tc>
          <w:tcPr>
            <w:tcW w:w="46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5160" w:type="dxa"/>
            <w:vAlign w:val="bottom"/>
          </w:tcPr>
          <w:p>
            <w:pPr>
              <w:ind w:left="40"/>
              <w:spacing w:after="0"/>
              <w:rPr>
                <w:sz w:val="20"/>
                <w:szCs w:val="20"/>
                <w:color w:val="auto"/>
              </w:rPr>
            </w:pPr>
            <w:r>
              <w:rPr>
                <w:rFonts w:ascii="Arial" w:cs="Arial" w:eastAsia="Arial" w:hAnsi="Arial"/>
                <w:sz w:val="16"/>
                <w:szCs w:val="16"/>
                <w:color w:val="auto"/>
              </w:rPr>
              <w:t>Foreign currency gain (loss), net</w:t>
            </w:r>
          </w:p>
        </w:tc>
        <w:tc>
          <w:tcPr>
            <w:tcW w:w="340" w:type="dxa"/>
            <w:vAlign w:val="bottom"/>
          </w:tcPr>
          <w:p>
            <w:pPr>
              <w:spacing w:after="0"/>
              <w:rPr>
                <w:sz w:val="23"/>
                <w:szCs w:val="23"/>
                <w:color w:val="auto"/>
              </w:rPr>
            </w:pPr>
          </w:p>
        </w:tc>
        <w:tc>
          <w:tcPr>
            <w:tcW w:w="1200" w:type="dxa"/>
            <w:vAlign w:val="bottom"/>
          </w:tcPr>
          <w:p>
            <w:pPr>
              <w:jc w:val="right"/>
              <w:ind w:right="81"/>
              <w:spacing w:after="0"/>
              <w:rPr>
                <w:sz w:val="20"/>
                <w:szCs w:val="20"/>
                <w:color w:val="auto"/>
              </w:rPr>
            </w:pPr>
            <w:r>
              <w:rPr>
                <w:rFonts w:ascii="Arial" w:cs="Arial" w:eastAsia="Arial" w:hAnsi="Arial"/>
                <w:sz w:val="16"/>
                <w:szCs w:val="16"/>
                <w:b w:val="1"/>
                <w:bCs w:val="1"/>
                <w:color w:val="auto"/>
              </w:rPr>
              <w:t>2,909</w:t>
            </w:r>
          </w:p>
        </w:tc>
        <w:tc>
          <w:tcPr>
            <w:tcW w:w="48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(12,622)</w:t>
            </w:r>
          </w:p>
        </w:tc>
        <w:tc>
          <w:tcPr>
            <w:tcW w:w="400" w:type="dxa"/>
            <w:vAlign w:val="bottom"/>
          </w:tcPr>
          <w:p>
            <w:pPr>
              <w:spacing w:after="0"/>
              <w:rPr>
                <w:sz w:val="23"/>
                <w:szCs w:val="23"/>
                <w:color w:val="auto"/>
              </w:rPr>
            </w:pPr>
          </w:p>
        </w:tc>
        <w:tc>
          <w:tcPr>
            <w:tcW w:w="1180" w:type="dxa"/>
            <w:vAlign w:val="bottom"/>
          </w:tcPr>
          <w:p>
            <w:pPr>
              <w:jc w:val="right"/>
              <w:ind w:right="61"/>
              <w:spacing w:after="0"/>
              <w:rPr>
                <w:sz w:val="20"/>
                <w:szCs w:val="20"/>
                <w:color w:val="auto"/>
              </w:rPr>
            </w:pPr>
            <w:r>
              <w:rPr>
                <w:rFonts w:ascii="Arial" w:cs="Arial" w:eastAsia="Arial" w:hAnsi="Arial"/>
                <w:sz w:val="16"/>
                <w:szCs w:val="16"/>
                <w:b w:val="1"/>
                <w:bCs w:val="1"/>
                <w:color w:val="auto"/>
              </w:rPr>
              <w:t>7,946</w:t>
            </w:r>
          </w:p>
        </w:tc>
        <w:tc>
          <w:tcPr>
            <w:tcW w:w="4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(17,236)</w:t>
            </w:r>
          </w:p>
        </w:tc>
      </w:tr>
      <w:tr>
        <w:trPr>
          <w:trHeight w:val="270"/>
        </w:trPr>
        <w:tc>
          <w:tcPr>
            <w:tcW w:w="5160" w:type="dxa"/>
            <w:vAlign w:val="bottom"/>
          </w:tcPr>
          <w:p>
            <w:pPr>
              <w:ind w:left="40"/>
              <w:spacing w:after="0"/>
              <w:rPr>
                <w:sz w:val="20"/>
                <w:szCs w:val="20"/>
                <w:color w:val="auto"/>
              </w:rPr>
            </w:pPr>
            <w:r>
              <w:rPr>
                <w:rFonts w:ascii="Arial" w:cs="Arial" w:eastAsia="Arial" w:hAnsi="Arial"/>
                <w:sz w:val="16"/>
                <w:szCs w:val="16"/>
                <w:color w:val="auto"/>
              </w:rPr>
              <w:t>(Losses) gains on sales or write-downs of marketable equity securities</w:t>
            </w:r>
          </w:p>
        </w:tc>
        <w:tc>
          <w:tcPr>
            <w:tcW w:w="340" w:type="dxa"/>
            <w:vAlign w:val="bottom"/>
          </w:tcPr>
          <w:p>
            <w:pPr>
              <w:spacing w:after="0"/>
              <w:rPr>
                <w:sz w:val="23"/>
                <w:szCs w:val="23"/>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b w:val="1"/>
                <w:bCs w:val="1"/>
                <w:color w:val="auto"/>
              </w:rPr>
              <w:t>(2,259)</w:t>
            </w:r>
          </w:p>
        </w:tc>
        <w:tc>
          <w:tcPr>
            <w:tcW w:w="480" w:type="dxa"/>
            <w:vAlign w:val="bottom"/>
          </w:tcPr>
          <w:p>
            <w:pPr>
              <w:spacing w:after="0"/>
              <w:rPr>
                <w:sz w:val="23"/>
                <w:szCs w:val="23"/>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337</w:t>
            </w:r>
          </w:p>
        </w:tc>
        <w:tc>
          <w:tcPr>
            <w:tcW w:w="400" w:type="dxa"/>
            <w:vAlign w:val="bottom"/>
          </w:tcPr>
          <w:p>
            <w:pPr>
              <w:spacing w:after="0"/>
              <w:rPr>
                <w:sz w:val="23"/>
                <w:szCs w:val="23"/>
                <w:color w:val="auto"/>
              </w:rPr>
            </w:pPr>
          </w:p>
        </w:tc>
        <w:tc>
          <w:tcPr>
            <w:tcW w:w="1180" w:type="dxa"/>
            <w:vAlign w:val="bottom"/>
          </w:tcPr>
          <w:p>
            <w:pPr>
              <w:jc w:val="right"/>
              <w:ind w:right="21"/>
              <w:spacing w:after="0"/>
              <w:rPr>
                <w:sz w:val="20"/>
                <w:szCs w:val="20"/>
                <w:color w:val="auto"/>
              </w:rPr>
            </w:pPr>
            <w:r>
              <w:rPr>
                <w:rFonts w:ascii="Arial" w:cs="Arial" w:eastAsia="Arial" w:hAnsi="Arial"/>
                <w:sz w:val="16"/>
                <w:szCs w:val="16"/>
                <w:b w:val="1"/>
                <w:bCs w:val="1"/>
                <w:color w:val="auto"/>
              </w:rPr>
              <w:t>(3,044)</w:t>
            </w:r>
          </w:p>
        </w:tc>
        <w:tc>
          <w:tcPr>
            <w:tcW w:w="46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879</w:t>
            </w:r>
          </w:p>
        </w:tc>
      </w:tr>
      <w:tr>
        <w:trPr>
          <w:trHeight w:val="274"/>
        </w:trPr>
        <w:tc>
          <w:tcPr>
            <w:tcW w:w="5160" w:type="dxa"/>
            <w:vAlign w:val="bottom"/>
          </w:tcPr>
          <w:p>
            <w:pPr>
              <w:ind w:left="40"/>
              <w:spacing w:after="0"/>
              <w:rPr>
                <w:sz w:val="20"/>
                <w:szCs w:val="20"/>
                <w:color w:val="auto"/>
              </w:rPr>
            </w:pPr>
            <w:r>
              <w:rPr>
                <w:rFonts w:ascii="Arial" w:cs="Arial" w:eastAsia="Arial" w:hAnsi="Arial"/>
                <w:sz w:val="16"/>
                <w:szCs w:val="16"/>
                <w:color w:val="auto"/>
              </w:rPr>
              <w:t>Other, net</w:t>
            </w:r>
          </w:p>
        </w:tc>
        <w:tc>
          <w:tcPr>
            <w:tcW w:w="3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731</w:t>
            </w:r>
          </w:p>
        </w:tc>
        <w:tc>
          <w:tcPr>
            <w:tcW w:w="4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(573)</w:t>
            </w:r>
          </w:p>
        </w:tc>
        <w:tc>
          <w:tcPr>
            <w:tcW w:w="4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2,082</w:t>
            </w:r>
          </w:p>
        </w:tc>
        <w:tc>
          <w:tcPr>
            <w:tcW w:w="4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(584)</w:t>
            </w:r>
          </w:p>
        </w:tc>
      </w:tr>
      <w:tr>
        <w:trPr>
          <w:trHeight w:val="267"/>
        </w:trPr>
        <w:tc>
          <w:tcPr>
            <w:tcW w:w="5160" w:type="dxa"/>
            <w:vAlign w:val="bottom"/>
          </w:tcPr>
          <w:p>
            <w:pPr>
              <w:ind w:left="500"/>
              <w:spacing w:after="0"/>
              <w:rPr>
                <w:sz w:val="20"/>
                <w:szCs w:val="20"/>
                <w:color w:val="auto"/>
              </w:rPr>
            </w:pPr>
            <w:r>
              <w:rPr>
                <w:rFonts w:ascii="Arial" w:cs="Arial" w:eastAsia="Arial" w:hAnsi="Arial"/>
                <w:sz w:val="16"/>
                <w:szCs w:val="16"/>
                <w:b w:val="1"/>
                <w:bCs w:val="1"/>
                <w:color w:val="auto"/>
              </w:rPr>
              <w:t>Total Other Non-Operating Income (Expense)</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268,114</w:t>
            </w:r>
          </w:p>
        </w:tc>
        <w:tc>
          <w:tcPr>
            <w:tcW w:w="4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(12,858)</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401,387</w:t>
            </w:r>
          </w:p>
        </w:tc>
        <w:tc>
          <w:tcPr>
            <w:tcW w:w="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(16,941)</w:t>
            </w: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jc w:val="both"/>
        <w:ind w:right="40"/>
        <w:spacing w:after="0" w:line="260" w:lineRule="auto"/>
        <w:rPr>
          <w:sz w:val="20"/>
          <w:szCs w:val="20"/>
          <w:color w:val="auto"/>
        </w:rPr>
      </w:pPr>
      <w:r>
        <w:rPr>
          <w:rFonts w:ascii="Arial" w:cs="Arial" w:eastAsia="Arial" w:hAnsi="Arial"/>
          <w:sz w:val="18"/>
          <w:szCs w:val="18"/>
          <w:color w:val="auto"/>
        </w:rPr>
        <w:t>On June 30, 2014, the Company completed a transaction with Berkshire Hathaway, as described in Note 4 that included the exchange of 2,107 Class A Berkshire shares and 1,278 Class B Berkshire shares owned by the Company; a $266.7 million gain was recorded.</w:t>
      </w:r>
    </w:p>
    <w:p>
      <w:pPr>
        <w:spacing w:after="0" w:line="92" w:lineRule="exact"/>
        <w:rPr>
          <w:sz w:val="20"/>
          <w:szCs w:val="20"/>
          <w:color w:val="auto"/>
        </w:rPr>
      </w:pPr>
    </w:p>
    <w:p>
      <w:pPr>
        <w:ind w:right="40"/>
        <w:spacing w:after="0"/>
        <w:rPr>
          <w:sz w:val="20"/>
          <w:szCs w:val="20"/>
          <w:color w:val="auto"/>
        </w:rPr>
      </w:pPr>
      <w:r>
        <w:rPr>
          <w:rFonts w:ascii="Arial" w:cs="Arial" w:eastAsia="Arial" w:hAnsi="Arial"/>
          <w:sz w:val="18"/>
          <w:szCs w:val="18"/>
          <w:color w:val="auto"/>
        </w:rPr>
        <w:t>On March 27, 2014, the Company completed the sale of its headquarters building for approximately $158 million. In connection with the sale, the Company recorded a $127.7 million pre-tax gain in the first quarter of 2014. The headquarters building is used primarily by The Washington Post newspaper, which was sold by the Company in October 2013.</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ACCUMULATED OTHER COMPREHENSIVE INCOME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other comprehensive (loss) income consists of the following components: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0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color w:val="auto"/>
              </w:rPr>
              <w:t>2013</w:t>
            </w: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0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ind w:right="121"/>
              <w:spacing w:after="0"/>
              <w:rPr>
                <w:sz w:val="20"/>
                <w:szCs w:val="20"/>
                <w:color w:val="auto"/>
              </w:rPr>
            </w:pPr>
            <w:r>
              <w:rPr>
                <w:rFonts w:ascii="Arial" w:cs="Arial" w:eastAsia="Arial" w:hAnsi="Arial"/>
                <w:sz w:val="14"/>
                <w:szCs w:val="14"/>
                <w:b w:val="1"/>
                <w:bCs w:val="1"/>
                <w:color w:val="auto"/>
              </w:rPr>
              <w:t>Before-Tax</w:t>
            </w:r>
          </w:p>
        </w:tc>
        <w:tc>
          <w:tcPr>
            <w:tcW w:w="240" w:type="dxa"/>
            <w:vAlign w:val="bottom"/>
          </w:tcPr>
          <w:p>
            <w:pPr>
              <w:spacing w:after="0"/>
              <w:rPr>
                <w:sz w:val="22"/>
                <w:szCs w:val="22"/>
                <w:color w:val="auto"/>
              </w:rPr>
            </w:pPr>
          </w:p>
        </w:tc>
        <w:tc>
          <w:tcPr>
            <w:tcW w:w="780" w:type="dxa"/>
            <w:vAlign w:val="bottom"/>
          </w:tcPr>
          <w:p>
            <w:pPr>
              <w:jc w:val="center"/>
              <w:ind w:right="121"/>
              <w:spacing w:after="0"/>
              <w:rPr>
                <w:sz w:val="20"/>
                <w:szCs w:val="20"/>
                <w:color w:val="auto"/>
              </w:rPr>
            </w:pPr>
            <w:r>
              <w:rPr>
                <w:rFonts w:ascii="Arial" w:cs="Arial" w:eastAsia="Arial" w:hAnsi="Arial"/>
                <w:sz w:val="14"/>
                <w:szCs w:val="14"/>
                <w:b w:val="1"/>
                <w:bCs w:val="1"/>
                <w:color w:val="auto"/>
              </w:rPr>
              <w:t>Income</w:t>
            </w:r>
          </w:p>
        </w:tc>
        <w:tc>
          <w:tcPr>
            <w:tcW w:w="240" w:type="dxa"/>
            <w:vAlign w:val="bottom"/>
          </w:tcPr>
          <w:p>
            <w:pPr>
              <w:spacing w:after="0"/>
              <w:rPr>
                <w:sz w:val="22"/>
                <w:szCs w:val="22"/>
                <w:color w:val="auto"/>
              </w:rPr>
            </w:pPr>
          </w:p>
        </w:tc>
        <w:tc>
          <w:tcPr>
            <w:tcW w:w="900" w:type="dxa"/>
            <w:vAlign w:val="bottom"/>
          </w:tcPr>
          <w:p>
            <w:pPr>
              <w:jc w:val="right"/>
              <w:ind w:right="161"/>
              <w:spacing w:after="0"/>
              <w:rPr>
                <w:sz w:val="20"/>
                <w:szCs w:val="20"/>
                <w:color w:val="auto"/>
              </w:rPr>
            </w:pPr>
            <w:r>
              <w:rPr>
                <w:rFonts w:ascii="Arial" w:cs="Arial" w:eastAsia="Arial" w:hAnsi="Arial"/>
                <w:sz w:val="14"/>
                <w:szCs w:val="14"/>
                <w:b w:val="1"/>
                <w:bCs w:val="1"/>
                <w:color w:val="auto"/>
              </w:rPr>
              <w:t>After-Tax</w:t>
            </w:r>
          </w:p>
        </w:tc>
        <w:tc>
          <w:tcPr>
            <w:tcW w:w="200" w:type="dxa"/>
            <w:vAlign w:val="bottom"/>
          </w:tcPr>
          <w:p>
            <w:pPr>
              <w:spacing w:after="0"/>
              <w:rPr>
                <w:sz w:val="22"/>
                <w:szCs w:val="22"/>
                <w:color w:val="auto"/>
              </w:rPr>
            </w:pPr>
          </w:p>
        </w:tc>
        <w:tc>
          <w:tcPr>
            <w:tcW w:w="940" w:type="dxa"/>
            <w:vAlign w:val="bottom"/>
          </w:tcPr>
          <w:p>
            <w:pPr>
              <w:jc w:val="right"/>
              <w:ind w:right="141"/>
              <w:spacing w:after="0"/>
              <w:rPr>
                <w:sz w:val="20"/>
                <w:szCs w:val="20"/>
                <w:color w:val="auto"/>
              </w:rPr>
            </w:pPr>
            <w:r>
              <w:rPr>
                <w:rFonts w:ascii="Arial" w:cs="Arial" w:eastAsia="Arial" w:hAnsi="Arial"/>
                <w:sz w:val="14"/>
                <w:szCs w:val="14"/>
                <w:color w:val="auto"/>
              </w:rPr>
              <w:t>Before-Tax</w:t>
            </w:r>
          </w:p>
        </w:tc>
        <w:tc>
          <w:tcPr>
            <w:tcW w:w="220" w:type="dxa"/>
            <w:vAlign w:val="bottom"/>
          </w:tcPr>
          <w:p>
            <w:pPr>
              <w:spacing w:after="0"/>
              <w:rPr>
                <w:sz w:val="22"/>
                <w:szCs w:val="22"/>
                <w:color w:val="auto"/>
              </w:rPr>
            </w:pPr>
          </w:p>
        </w:tc>
        <w:tc>
          <w:tcPr>
            <w:tcW w:w="780" w:type="dxa"/>
            <w:vAlign w:val="bottom"/>
          </w:tcPr>
          <w:p>
            <w:pPr>
              <w:jc w:val="right"/>
              <w:ind w:right="161"/>
              <w:spacing w:after="0"/>
              <w:rPr>
                <w:sz w:val="20"/>
                <w:szCs w:val="20"/>
                <w:color w:val="auto"/>
              </w:rPr>
            </w:pPr>
            <w:r>
              <w:rPr>
                <w:rFonts w:ascii="Arial" w:cs="Arial" w:eastAsia="Arial" w:hAnsi="Arial"/>
                <w:sz w:val="14"/>
                <w:szCs w:val="14"/>
                <w:color w:val="auto"/>
              </w:rPr>
              <w:t>Income</w:t>
            </w:r>
          </w:p>
        </w:tc>
        <w:tc>
          <w:tcPr>
            <w:tcW w:w="220" w:type="dxa"/>
            <w:vAlign w:val="bottom"/>
          </w:tcPr>
          <w:p>
            <w:pPr>
              <w:spacing w:after="0"/>
              <w:rPr>
                <w:sz w:val="22"/>
                <w:szCs w:val="22"/>
                <w:color w:val="auto"/>
              </w:rPr>
            </w:pPr>
          </w:p>
        </w:tc>
        <w:tc>
          <w:tcPr>
            <w:tcW w:w="760" w:type="dxa"/>
            <w:vAlign w:val="bottom"/>
          </w:tcPr>
          <w:p>
            <w:pPr>
              <w:jc w:val="right"/>
              <w:ind w:right="81"/>
              <w:spacing w:after="0"/>
              <w:rPr>
                <w:sz w:val="20"/>
                <w:szCs w:val="20"/>
                <w:color w:val="auto"/>
              </w:rPr>
            </w:pPr>
            <w:r>
              <w:rPr>
                <w:rFonts w:ascii="Arial" w:cs="Arial" w:eastAsia="Arial" w:hAnsi="Arial"/>
                <w:sz w:val="14"/>
                <w:szCs w:val="14"/>
                <w:color w:val="auto"/>
              </w:rPr>
              <w:t>After-Tax</w:t>
            </w:r>
          </w:p>
        </w:tc>
        <w:tc>
          <w:tcPr>
            <w:tcW w:w="0" w:type="dxa"/>
            <w:vAlign w:val="bottom"/>
          </w:tcPr>
          <w:p>
            <w:pPr>
              <w:spacing w:after="0"/>
              <w:rPr>
                <w:sz w:val="1"/>
                <w:szCs w:val="1"/>
                <w:color w:val="auto"/>
              </w:rPr>
            </w:pPr>
          </w:p>
        </w:tc>
      </w:tr>
      <w:tr>
        <w:trPr>
          <w:trHeight w:val="268"/>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Amount</w:t>
            </w:r>
          </w:p>
        </w:tc>
        <w:tc>
          <w:tcPr>
            <w:tcW w:w="2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99"/>
              </w:rPr>
              <w:t>Tax</w:t>
            </w: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color w:val="auto"/>
              </w:rPr>
              <w:t>Amount</w:t>
            </w:r>
          </w:p>
        </w:tc>
        <w:tc>
          <w:tcPr>
            <w:tcW w:w="2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color w:val="auto"/>
              </w:rPr>
              <w:t>Tax</w:t>
            </w:r>
          </w:p>
        </w:tc>
        <w:tc>
          <w:tcPr>
            <w:tcW w:w="2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252"/>
        </w:trPr>
        <w:tc>
          <w:tcPr>
            <w:tcW w:w="5040" w:type="dxa"/>
            <w:vAlign w:val="bottom"/>
          </w:tcPr>
          <w:p>
            <w:pPr>
              <w:ind w:left="40"/>
              <w:spacing w:after="0"/>
              <w:rPr>
                <w:sz w:val="20"/>
                <w:szCs w:val="20"/>
                <w:color w:val="auto"/>
              </w:rPr>
            </w:pPr>
            <w:r>
              <w:rPr>
                <w:rFonts w:ascii="Arial" w:cs="Arial" w:eastAsia="Arial" w:hAnsi="Arial"/>
                <w:sz w:val="16"/>
                <w:szCs w:val="16"/>
                <w:color w:val="auto"/>
              </w:rPr>
              <w:t>Foreign currency translation adjustments:</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5040" w:type="dxa"/>
            <w:vAlign w:val="bottom"/>
          </w:tcPr>
          <w:p>
            <w:pPr>
              <w:ind w:left="180"/>
              <w:spacing w:after="0"/>
              <w:rPr>
                <w:sz w:val="20"/>
                <w:szCs w:val="20"/>
                <w:color w:val="auto"/>
              </w:rPr>
            </w:pPr>
            <w:r>
              <w:rPr>
                <w:rFonts w:ascii="Arial" w:cs="Arial" w:eastAsia="Arial" w:hAnsi="Arial"/>
                <w:sz w:val="16"/>
                <w:szCs w:val="16"/>
                <w:color w:val="auto"/>
              </w:rPr>
              <w:t>Translation adjustments arising during the period</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81"/>
              <w:spacing w:after="0"/>
              <w:rPr>
                <w:sz w:val="20"/>
                <w:szCs w:val="20"/>
                <w:color w:val="auto"/>
              </w:rPr>
            </w:pPr>
            <w:r>
              <w:rPr>
                <w:rFonts w:ascii="Arial" w:cs="Arial" w:eastAsia="Arial" w:hAnsi="Arial"/>
                <w:sz w:val="16"/>
                <w:szCs w:val="16"/>
                <w:b w:val="1"/>
                <w:bCs w:val="1"/>
                <w:color w:val="auto"/>
              </w:rPr>
              <w:t>1,920</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ind w:left="100"/>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61"/>
              <w:spacing w:after="0"/>
              <w:rPr>
                <w:sz w:val="20"/>
                <w:szCs w:val="20"/>
                <w:color w:val="auto"/>
              </w:rPr>
            </w:pPr>
            <w:r>
              <w:rPr>
                <w:rFonts w:ascii="Arial" w:cs="Arial" w:eastAsia="Arial" w:hAnsi="Arial"/>
                <w:sz w:val="16"/>
                <w:szCs w:val="16"/>
                <w:b w:val="1"/>
                <w:bCs w:val="1"/>
                <w:color w:val="auto"/>
              </w:rPr>
              <w:t>1,920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(3,509)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(3,509)</w:t>
            </w:r>
          </w:p>
        </w:tc>
        <w:tc>
          <w:tcPr>
            <w:tcW w:w="0" w:type="dxa"/>
            <w:vAlign w:val="bottom"/>
          </w:tcPr>
          <w:p>
            <w:pPr>
              <w:spacing w:after="0"/>
              <w:rPr>
                <w:sz w:val="1"/>
                <w:szCs w:val="1"/>
                <w:color w:val="auto"/>
              </w:rPr>
            </w:pPr>
          </w:p>
        </w:tc>
      </w:tr>
      <w:tr>
        <w:trPr>
          <w:trHeight w:val="262"/>
        </w:trPr>
        <w:tc>
          <w:tcPr>
            <w:tcW w:w="5040" w:type="dxa"/>
            <w:vAlign w:val="bottom"/>
          </w:tcPr>
          <w:p>
            <w:pPr>
              <w:ind w:left="40"/>
              <w:spacing w:after="0"/>
              <w:rPr>
                <w:sz w:val="20"/>
                <w:szCs w:val="20"/>
                <w:color w:val="auto"/>
              </w:rPr>
            </w:pPr>
            <w:r>
              <w:rPr>
                <w:rFonts w:ascii="Arial" w:cs="Arial" w:eastAsia="Arial" w:hAnsi="Arial"/>
                <w:sz w:val="16"/>
                <w:szCs w:val="16"/>
                <w:color w:val="auto"/>
              </w:rPr>
              <w:t>Unrealized gains on available-for-sale securities:</w:t>
            </w: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5040" w:type="dxa"/>
            <w:vAlign w:val="bottom"/>
          </w:tcPr>
          <w:p>
            <w:pPr>
              <w:ind w:left="180"/>
              <w:spacing w:after="0"/>
              <w:rPr>
                <w:sz w:val="20"/>
                <w:szCs w:val="20"/>
                <w:color w:val="auto"/>
              </w:rPr>
            </w:pPr>
            <w:r>
              <w:rPr>
                <w:rFonts w:ascii="Arial" w:cs="Arial" w:eastAsia="Arial" w:hAnsi="Arial"/>
                <w:sz w:val="16"/>
                <w:szCs w:val="16"/>
                <w:color w:val="auto"/>
              </w:rPr>
              <w:t>Unrealized gains for the period, net</w:t>
            </w:r>
          </w:p>
        </w:tc>
        <w:tc>
          <w:tcPr>
            <w:tcW w:w="140" w:type="dxa"/>
            <w:vAlign w:val="bottom"/>
          </w:tcPr>
          <w:p>
            <w:pPr>
              <w:spacing w:after="0"/>
              <w:rPr>
                <w:sz w:val="24"/>
                <w:szCs w:val="24"/>
                <w:color w:val="auto"/>
              </w:rPr>
            </w:pPr>
          </w:p>
        </w:tc>
        <w:tc>
          <w:tcPr>
            <w:tcW w:w="960" w:type="dxa"/>
            <w:vAlign w:val="bottom"/>
          </w:tcPr>
          <w:p>
            <w:pPr>
              <w:jc w:val="right"/>
              <w:ind w:right="81"/>
              <w:spacing w:after="0"/>
              <w:rPr>
                <w:sz w:val="20"/>
                <w:szCs w:val="20"/>
                <w:color w:val="auto"/>
              </w:rPr>
            </w:pPr>
            <w:r>
              <w:rPr>
                <w:rFonts w:ascii="Arial" w:cs="Arial" w:eastAsia="Arial" w:hAnsi="Arial"/>
                <w:sz w:val="16"/>
                <w:szCs w:val="16"/>
                <w:b w:val="1"/>
                <w:bCs w:val="1"/>
                <w:color w:val="auto"/>
              </w:rPr>
              <w:t>8,667</w:t>
            </w:r>
          </w:p>
        </w:tc>
        <w:tc>
          <w:tcPr>
            <w:tcW w:w="240" w:type="dxa"/>
            <w:vAlign w:val="bottom"/>
          </w:tcPr>
          <w:p>
            <w:pPr>
              <w:spacing w:after="0"/>
              <w:rPr>
                <w:sz w:val="24"/>
                <w:szCs w:val="24"/>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b w:val="1"/>
                <w:bCs w:val="1"/>
                <w:color w:val="auto"/>
              </w:rPr>
              <w:t>(3,466)</w:t>
            </w:r>
          </w:p>
        </w:tc>
        <w:tc>
          <w:tcPr>
            <w:tcW w:w="240" w:type="dxa"/>
            <w:vAlign w:val="bottom"/>
          </w:tcPr>
          <w:p>
            <w:pPr>
              <w:spacing w:after="0"/>
              <w:rPr>
                <w:sz w:val="24"/>
                <w:szCs w:val="24"/>
                <w:color w:val="auto"/>
              </w:rPr>
            </w:pPr>
          </w:p>
        </w:tc>
        <w:tc>
          <w:tcPr>
            <w:tcW w:w="900" w:type="dxa"/>
            <w:vAlign w:val="bottom"/>
          </w:tcPr>
          <w:p>
            <w:pPr>
              <w:jc w:val="right"/>
              <w:ind w:right="61"/>
              <w:spacing w:after="0"/>
              <w:rPr>
                <w:sz w:val="20"/>
                <w:szCs w:val="20"/>
                <w:color w:val="auto"/>
              </w:rPr>
            </w:pPr>
            <w:r>
              <w:rPr>
                <w:rFonts w:ascii="Arial" w:cs="Arial" w:eastAsia="Arial" w:hAnsi="Arial"/>
                <w:sz w:val="16"/>
                <w:szCs w:val="16"/>
                <w:b w:val="1"/>
                <w:bCs w:val="1"/>
                <w:color w:val="auto"/>
              </w:rPr>
              <w:t>5,201</w:t>
            </w:r>
          </w:p>
        </w:tc>
        <w:tc>
          <w:tcPr>
            <w:tcW w:w="200" w:type="dxa"/>
            <w:vAlign w:val="bottom"/>
          </w:tcPr>
          <w:p>
            <w:pPr>
              <w:spacing w:after="0"/>
              <w:rPr>
                <w:sz w:val="24"/>
                <w:szCs w:val="24"/>
                <w:color w:val="auto"/>
              </w:rPr>
            </w:pPr>
          </w:p>
        </w:tc>
        <w:tc>
          <w:tcPr>
            <w:tcW w:w="940" w:type="dxa"/>
            <w:vAlign w:val="bottom"/>
          </w:tcPr>
          <w:p>
            <w:pPr>
              <w:jc w:val="right"/>
              <w:ind w:right="81"/>
              <w:spacing w:after="0"/>
              <w:rPr>
                <w:sz w:val="20"/>
                <w:szCs w:val="20"/>
                <w:color w:val="auto"/>
              </w:rPr>
            </w:pPr>
            <w:r>
              <w:rPr>
                <w:rFonts w:ascii="Arial" w:cs="Arial" w:eastAsia="Arial" w:hAnsi="Arial"/>
                <w:sz w:val="16"/>
                <w:szCs w:val="16"/>
                <w:color w:val="auto"/>
              </w:rPr>
              <w:t>31,423</w:t>
            </w:r>
          </w:p>
        </w:tc>
        <w:tc>
          <w:tcPr>
            <w:tcW w:w="220" w:type="dxa"/>
            <w:vAlign w:val="bottom"/>
          </w:tcPr>
          <w:p>
            <w:pPr>
              <w:spacing w:after="0"/>
              <w:rPr>
                <w:sz w:val="24"/>
                <w:szCs w:val="24"/>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(12,569)</w:t>
            </w:r>
          </w:p>
        </w:tc>
        <w:tc>
          <w:tcPr>
            <w:tcW w:w="220" w:type="dxa"/>
            <w:vAlign w:val="bottom"/>
          </w:tcPr>
          <w:p>
            <w:pPr>
              <w:spacing w:after="0"/>
              <w:rPr>
                <w:sz w:val="24"/>
                <w:szCs w:val="24"/>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18,854</w:t>
            </w:r>
          </w:p>
        </w:tc>
        <w:tc>
          <w:tcPr>
            <w:tcW w:w="0" w:type="dxa"/>
            <w:vAlign w:val="bottom"/>
          </w:tcPr>
          <w:p>
            <w:pPr>
              <w:spacing w:after="0"/>
              <w:rPr>
                <w:sz w:val="1"/>
                <w:szCs w:val="1"/>
                <w:color w:val="auto"/>
              </w:rPr>
            </w:pPr>
          </w:p>
        </w:tc>
      </w:tr>
      <w:tr>
        <w:trPr>
          <w:trHeight w:val="206"/>
        </w:trPr>
        <w:tc>
          <w:tcPr>
            <w:tcW w:w="5040" w:type="dxa"/>
            <w:vAlign w:val="bottom"/>
          </w:tcPr>
          <w:p>
            <w:pPr>
              <w:ind w:left="180"/>
              <w:spacing w:after="0"/>
              <w:rPr>
                <w:sz w:val="20"/>
                <w:szCs w:val="20"/>
                <w:color w:val="auto"/>
              </w:rPr>
            </w:pPr>
            <w:r>
              <w:rPr>
                <w:rFonts w:ascii="Arial" w:cs="Arial" w:eastAsia="Arial" w:hAnsi="Arial"/>
                <w:sz w:val="16"/>
                <w:szCs w:val="16"/>
                <w:color w:val="auto"/>
              </w:rPr>
              <w:t>Reclassification adjustment for realization of (gain) loss on</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040" w:type="dxa"/>
            <w:vAlign w:val="bottom"/>
          </w:tcPr>
          <w:p>
            <w:pPr>
              <w:ind w:left="340"/>
              <w:spacing w:after="0"/>
              <w:rPr>
                <w:sz w:val="20"/>
                <w:szCs w:val="20"/>
                <w:color w:val="auto"/>
              </w:rPr>
            </w:pPr>
            <w:r>
              <w:rPr>
                <w:rFonts w:ascii="Arial" w:cs="Arial" w:eastAsia="Arial" w:hAnsi="Arial"/>
                <w:sz w:val="16"/>
                <w:szCs w:val="16"/>
                <w:color w:val="auto"/>
              </w:rPr>
              <w:t>exchange, sale or write-down of available-for-sale securities</w:t>
            </w:r>
          </w:p>
        </w:tc>
        <w:tc>
          <w:tcPr>
            <w:tcW w:w="140" w:type="dxa"/>
            <w:vAlign w:val="bottom"/>
          </w:tcPr>
          <w:p>
            <w:pPr>
              <w:spacing w:after="0"/>
              <w:rPr>
                <w:sz w:val="16"/>
                <w:szCs w:val="16"/>
                <w:color w:val="auto"/>
              </w:rPr>
            </w:pPr>
          </w:p>
        </w:tc>
        <w:tc>
          <w:tcPr>
            <w:tcW w:w="960" w:type="dxa"/>
            <w:vAlign w:val="bottom"/>
            <w:vMerge w:val="restart"/>
          </w:tcPr>
          <w:p>
            <w:pPr>
              <w:jc w:val="right"/>
              <w:ind w:right="21"/>
              <w:spacing w:after="0"/>
              <w:rPr>
                <w:sz w:val="20"/>
                <w:szCs w:val="20"/>
                <w:color w:val="auto"/>
              </w:rPr>
            </w:pPr>
            <w:r>
              <w:rPr>
                <w:rFonts w:ascii="Arial" w:cs="Arial" w:eastAsia="Arial" w:hAnsi="Arial"/>
                <w:sz w:val="16"/>
                <w:szCs w:val="16"/>
                <w:b w:val="1"/>
                <w:bCs w:val="1"/>
                <w:color w:val="auto"/>
              </w:rPr>
              <w:t>(266,059)</w:t>
            </w:r>
          </w:p>
        </w:tc>
        <w:tc>
          <w:tcPr>
            <w:tcW w:w="240" w:type="dxa"/>
            <w:vAlign w:val="bottom"/>
          </w:tcPr>
          <w:p>
            <w:pPr>
              <w:spacing w:after="0"/>
              <w:rPr>
                <w:sz w:val="16"/>
                <w:szCs w:val="16"/>
                <w:color w:val="auto"/>
              </w:rPr>
            </w:pPr>
          </w:p>
        </w:tc>
        <w:tc>
          <w:tcPr>
            <w:tcW w:w="780" w:type="dxa"/>
            <w:vAlign w:val="bottom"/>
            <w:vMerge w:val="restart"/>
          </w:tcPr>
          <w:p>
            <w:pPr>
              <w:jc w:val="right"/>
              <w:ind w:right="61"/>
              <w:spacing w:after="0"/>
              <w:rPr>
                <w:sz w:val="20"/>
                <w:szCs w:val="20"/>
                <w:color w:val="auto"/>
              </w:rPr>
            </w:pPr>
            <w:r>
              <w:rPr>
                <w:rFonts w:ascii="Arial" w:cs="Arial" w:eastAsia="Arial" w:hAnsi="Arial"/>
                <w:sz w:val="16"/>
                <w:szCs w:val="16"/>
                <w:b w:val="1"/>
                <w:bCs w:val="1"/>
                <w:color w:val="auto"/>
              </w:rPr>
              <w:t>106,424</w:t>
            </w:r>
          </w:p>
        </w:tc>
        <w:tc>
          <w:tcPr>
            <w:tcW w:w="240" w:type="dxa"/>
            <w:vAlign w:val="bottom"/>
          </w:tcPr>
          <w:p>
            <w:pPr>
              <w:spacing w:after="0"/>
              <w:rPr>
                <w:sz w:val="16"/>
                <w:szCs w:val="16"/>
                <w:color w:val="auto"/>
              </w:rPr>
            </w:pPr>
          </w:p>
        </w:tc>
        <w:tc>
          <w:tcPr>
            <w:tcW w:w="900" w:type="dxa"/>
            <w:vAlign w:val="bottom"/>
            <w:vMerge w:val="restart"/>
          </w:tcPr>
          <w:p>
            <w:pPr>
              <w:jc w:val="right"/>
              <w:ind w:right="21"/>
              <w:spacing w:after="0"/>
              <w:rPr>
                <w:sz w:val="20"/>
                <w:szCs w:val="20"/>
                <w:color w:val="auto"/>
              </w:rPr>
            </w:pPr>
            <w:r>
              <w:rPr>
                <w:rFonts w:ascii="Arial" w:cs="Arial" w:eastAsia="Arial" w:hAnsi="Arial"/>
                <w:sz w:val="16"/>
                <w:szCs w:val="16"/>
                <w:b w:val="1"/>
                <w:bCs w:val="1"/>
                <w:color w:val="auto"/>
              </w:rPr>
              <w:t>(159,635)</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340"/>
              <w:spacing w:after="0"/>
              <w:rPr>
                <w:sz w:val="20"/>
                <w:szCs w:val="20"/>
                <w:color w:val="auto"/>
              </w:rPr>
            </w:pPr>
            <w:r>
              <w:rPr>
                <w:rFonts w:ascii="Arial" w:cs="Arial" w:eastAsia="Arial" w:hAnsi="Arial"/>
                <w:sz w:val="16"/>
                <w:szCs w:val="16"/>
                <w:color w:val="auto"/>
              </w:rPr>
              <w:t>included in net income</w:t>
            </w: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(333)</w:t>
            </w: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133</w:t>
            </w: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61"/>
        </w:trPr>
        <w:tc>
          <w:tcPr>
            <w:tcW w:w="50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(257,392)</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102,958</w:t>
            </w: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(154,434)</w:t>
            </w: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31,090</w:t>
            </w: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(12,436)</w:t>
            </w: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18,654</w:t>
            </w:r>
          </w:p>
        </w:tc>
        <w:tc>
          <w:tcPr>
            <w:tcW w:w="0" w:type="dxa"/>
            <w:vAlign w:val="bottom"/>
          </w:tcPr>
          <w:p>
            <w:pPr>
              <w:spacing w:after="0"/>
              <w:rPr>
                <w:sz w:val="1"/>
                <w:szCs w:val="1"/>
                <w:color w:val="auto"/>
              </w:rPr>
            </w:pPr>
          </w:p>
        </w:tc>
      </w:tr>
      <w:tr>
        <w:trPr>
          <w:trHeight w:val="255"/>
        </w:trPr>
        <w:tc>
          <w:tcPr>
            <w:tcW w:w="5040" w:type="dxa"/>
            <w:vAlign w:val="bottom"/>
          </w:tcPr>
          <w:p>
            <w:pPr>
              <w:ind w:left="40"/>
              <w:spacing w:after="0"/>
              <w:rPr>
                <w:sz w:val="20"/>
                <w:szCs w:val="20"/>
                <w:color w:val="auto"/>
              </w:rPr>
            </w:pPr>
            <w:r>
              <w:rPr>
                <w:rFonts w:ascii="Arial" w:cs="Arial" w:eastAsia="Arial" w:hAnsi="Arial"/>
                <w:sz w:val="16"/>
                <w:szCs w:val="16"/>
                <w:color w:val="auto"/>
              </w:rPr>
              <w:t>Pension and other postretirement plans:</w:t>
            </w: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5040" w:type="dxa"/>
            <w:vAlign w:val="bottom"/>
          </w:tcPr>
          <w:p>
            <w:pPr>
              <w:ind w:left="180"/>
              <w:spacing w:after="0"/>
              <w:rPr>
                <w:sz w:val="20"/>
                <w:szCs w:val="20"/>
                <w:color w:val="auto"/>
              </w:rPr>
            </w:pPr>
            <w:r>
              <w:rPr>
                <w:rFonts w:ascii="Arial" w:cs="Arial" w:eastAsia="Arial" w:hAnsi="Arial"/>
                <w:sz w:val="16"/>
                <w:szCs w:val="16"/>
                <w:color w:val="auto"/>
              </w:rPr>
              <w:t>Amortization of net prior service credit included in net income</w:t>
            </w:r>
          </w:p>
        </w:tc>
        <w:tc>
          <w:tcPr>
            <w:tcW w:w="140" w:type="dxa"/>
            <w:vAlign w:val="bottom"/>
          </w:tcPr>
          <w:p>
            <w:pPr>
              <w:spacing w:after="0"/>
              <w:rPr>
                <w:sz w:val="24"/>
                <w:szCs w:val="24"/>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b w:val="1"/>
                <w:bCs w:val="1"/>
                <w:color w:val="auto"/>
              </w:rPr>
              <w:t>(102)</w:t>
            </w:r>
          </w:p>
        </w:tc>
        <w:tc>
          <w:tcPr>
            <w:tcW w:w="240" w:type="dxa"/>
            <w:vAlign w:val="bottom"/>
          </w:tcPr>
          <w:p>
            <w:pPr>
              <w:spacing w:after="0"/>
              <w:rPr>
                <w:sz w:val="24"/>
                <w:szCs w:val="24"/>
                <w:color w:val="auto"/>
              </w:rPr>
            </w:pPr>
          </w:p>
        </w:tc>
        <w:tc>
          <w:tcPr>
            <w:tcW w:w="780" w:type="dxa"/>
            <w:vAlign w:val="bottom"/>
          </w:tcPr>
          <w:p>
            <w:pPr>
              <w:jc w:val="right"/>
              <w:ind w:right="61"/>
              <w:spacing w:after="0"/>
              <w:rPr>
                <w:sz w:val="20"/>
                <w:szCs w:val="20"/>
                <w:color w:val="auto"/>
              </w:rPr>
            </w:pPr>
            <w:r>
              <w:rPr>
                <w:rFonts w:ascii="Arial" w:cs="Arial" w:eastAsia="Arial" w:hAnsi="Arial"/>
                <w:sz w:val="16"/>
                <w:szCs w:val="16"/>
                <w:b w:val="1"/>
                <w:bCs w:val="1"/>
                <w:color w:val="auto"/>
              </w:rPr>
              <w:t>41</w:t>
            </w:r>
          </w:p>
        </w:tc>
        <w:tc>
          <w:tcPr>
            <w:tcW w:w="240" w:type="dxa"/>
            <w:vAlign w:val="bottom"/>
          </w:tcPr>
          <w:p>
            <w:pPr>
              <w:spacing w:after="0"/>
              <w:rPr>
                <w:sz w:val="24"/>
                <w:szCs w:val="24"/>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b w:val="1"/>
                <w:bCs w:val="1"/>
                <w:color w:val="auto"/>
              </w:rPr>
              <w:t>(61)</w:t>
            </w:r>
          </w:p>
        </w:tc>
        <w:tc>
          <w:tcPr>
            <w:tcW w:w="200" w:type="dxa"/>
            <w:vAlign w:val="bottom"/>
          </w:tcPr>
          <w:p>
            <w:pPr>
              <w:spacing w:after="0"/>
              <w:rPr>
                <w:sz w:val="24"/>
                <w:szCs w:val="24"/>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(384)</w:t>
            </w:r>
          </w:p>
        </w:tc>
        <w:tc>
          <w:tcPr>
            <w:tcW w:w="220" w:type="dxa"/>
            <w:vAlign w:val="bottom"/>
          </w:tcPr>
          <w:p>
            <w:pPr>
              <w:spacing w:after="0"/>
              <w:rPr>
                <w:sz w:val="24"/>
                <w:szCs w:val="24"/>
                <w:color w:val="auto"/>
              </w:rPr>
            </w:pPr>
          </w:p>
        </w:tc>
        <w:tc>
          <w:tcPr>
            <w:tcW w:w="780" w:type="dxa"/>
            <w:vAlign w:val="bottom"/>
          </w:tcPr>
          <w:p>
            <w:pPr>
              <w:jc w:val="right"/>
              <w:ind w:right="61"/>
              <w:spacing w:after="0"/>
              <w:rPr>
                <w:sz w:val="20"/>
                <w:szCs w:val="20"/>
                <w:color w:val="auto"/>
              </w:rPr>
            </w:pPr>
            <w:r>
              <w:rPr>
                <w:rFonts w:ascii="Arial" w:cs="Arial" w:eastAsia="Arial" w:hAnsi="Arial"/>
                <w:sz w:val="16"/>
                <w:szCs w:val="16"/>
                <w:color w:val="auto"/>
              </w:rPr>
              <w:t>153</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274"/>
        </w:trPr>
        <w:tc>
          <w:tcPr>
            <w:tcW w:w="5040" w:type="dxa"/>
            <w:vAlign w:val="bottom"/>
          </w:tcPr>
          <w:p>
            <w:pPr>
              <w:ind w:left="180"/>
              <w:spacing w:after="0"/>
              <w:rPr>
                <w:sz w:val="20"/>
                <w:szCs w:val="20"/>
                <w:color w:val="auto"/>
              </w:rPr>
            </w:pPr>
            <w:r>
              <w:rPr>
                <w:rFonts w:ascii="Arial" w:cs="Arial" w:eastAsia="Arial" w:hAnsi="Arial"/>
                <w:sz w:val="16"/>
                <w:szCs w:val="16"/>
                <w:color w:val="auto"/>
              </w:rPr>
              <w:t>Amortization of net actuarial (gain) loss included in net income</w:t>
            </w:r>
          </w:p>
        </w:tc>
        <w:tc>
          <w:tcPr>
            <w:tcW w:w="1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(7,425)</w:t>
            </w:r>
          </w:p>
        </w:tc>
        <w:tc>
          <w:tcPr>
            <w:tcW w:w="2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2,970</w:t>
            </w: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(4,455)</w:t>
            </w: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2,004</w:t>
            </w:r>
          </w:p>
        </w:tc>
        <w:tc>
          <w:tcPr>
            <w:tcW w:w="2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(801)</w:t>
            </w:r>
          </w:p>
        </w:tc>
        <w:tc>
          <w:tcPr>
            <w:tcW w:w="2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1,203</w:t>
            </w:r>
          </w:p>
        </w:tc>
        <w:tc>
          <w:tcPr>
            <w:tcW w:w="0" w:type="dxa"/>
            <w:vAlign w:val="bottom"/>
          </w:tcPr>
          <w:p>
            <w:pPr>
              <w:spacing w:after="0"/>
              <w:rPr>
                <w:sz w:val="1"/>
                <w:szCs w:val="1"/>
                <w:color w:val="auto"/>
              </w:rPr>
            </w:pPr>
          </w:p>
        </w:tc>
      </w:tr>
      <w:tr>
        <w:trPr>
          <w:trHeight w:val="261"/>
        </w:trPr>
        <w:tc>
          <w:tcPr>
            <w:tcW w:w="50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(7,527)</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3,011</w:t>
            </w: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(4,516)</w:t>
            </w: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1,620</w:t>
            </w: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(648)</w:t>
            </w: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972</w:t>
            </w:r>
          </w:p>
        </w:tc>
        <w:tc>
          <w:tcPr>
            <w:tcW w:w="0" w:type="dxa"/>
            <w:vAlign w:val="bottom"/>
          </w:tcPr>
          <w:p>
            <w:pPr>
              <w:spacing w:after="0"/>
              <w:rPr>
                <w:sz w:val="1"/>
                <w:szCs w:val="1"/>
                <w:color w:val="auto"/>
              </w:rPr>
            </w:pPr>
          </w:p>
        </w:tc>
      </w:tr>
      <w:tr>
        <w:trPr>
          <w:trHeight w:val="255"/>
        </w:trPr>
        <w:tc>
          <w:tcPr>
            <w:tcW w:w="5040" w:type="dxa"/>
            <w:vAlign w:val="bottom"/>
          </w:tcPr>
          <w:p>
            <w:pPr>
              <w:ind w:left="40"/>
              <w:spacing w:after="0"/>
              <w:rPr>
                <w:sz w:val="20"/>
                <w:szCs w:val="20"/>
                <w:color w:val="auto"/>
              </w:rPr>
            </w:pPr>
            <w:r>
              <w:rPr>
                <w:rFonts w:ascii="Arial" w:cs="Arial" w:eastAsia="Arial" w:hAnsi="Arial"/>
                <w:sz w:val="16"/>
                <w:szCs w:val="16"/>
                <w:color w:val="auto"/>
              </w:rPr>
              <w:t>Cash flow hedge:</w:t>
            </w: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5040" w:type="dxa"/>
            <w:vAlign w:val="bottom"/>
          </w:tcPr>
          <w:p>
            <w:pPr>
              <w:ind w:left="180"/>
              <w:spacing w:after="0"/>
              <w:rPr>
                <w:sz w:val="20"/>
                <w:szCs w:val="20"/>
                <w:color w:val="auto"/>
              </w:rPr>
            </w:pPr>
            <w:r>
              <w:rPr>
                <w:rFonts w:ascii="Arial" w:cs="Arial" w:eastAsia="Arial" w:hAnsi="Arial"/>
                <w:sz w:val="16"/>
                <w:szCs w:val="16"/>
                <w:color w:val="auto"/>
              </w:rPr>
              <w:t>Gain for the period</w:t>
            </w: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239</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(95)</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144</w:t>
            </w: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214</w:t>
            </w: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(86)</w:t>
            </w: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267"/>
        </w:trPr>
        <w:tc>
          <w:tcPr>
            <w:tcW w:w="5040" w:type="dxa"/>
            <w:vAlign w:val="bottom"/>
          </w:tcPr>
          <w:p>
            <w:pPr>
              <w:ind w:left="40"/>
              <w:spacing w:after="0"/>
              <w:rPr>
                <w:sz w:val="20"/>
                <w:szCs w:val="20"/>
                <w:color w:val="auto"/>
              </w:rPr>
            </w:pPr>
            <w:r>
              <w:rPr>
                <w:rFonts w:ascii="Arial" w:cs="Arial" w:eastAsia="Arial" w:hAnsi="Arial"/>
                <w:sz w:val="16"/>
                <w:szCs w:val="16"/>
                <w:b w:val="1"/>
                <w:bCs w:val="1"/>
                <w:color w:val="auto"/>
              </w:rPr>
              <w:t>Other Comprehensive (Loss)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(262,760)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105,874</w:t>
            </w:r>
          </w:p>
        </w:tc>
        <w:tc>
          <w:tcPr>
            <w:tcW w:w="24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(156,886)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29,415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(13,170)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16,245</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60"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3"/>
        </w:trPr>
        <w:tc>
          <w:tcPr>
            <w:tcW w:w="504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Six Months Ended June 30</w:t>
            </w:r>
          </w:p>
        </w:tc>
        <w:tc>
          <w:tcPr>
            <w:tcW w:w="9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r>
      <w:tr>
        <w:trPr>
          <w:trHeight w:val="264"/>
        </w:trPr>
        <w:tc>
          <w:tcPr>
            <w:tcW w:w="5040" w:type="dxa"/>
            <w:vAlign w:val="bottom"/>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2014</w:t>
            </w:r>
          </w:p>
        </w:tc>
        <w:tc>
          <w:tcPr>
            <w:tcW w:w="1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2013</w:t>
            </w:r>
          </w:p>
        </w:tc>
        <w:tc>
          <w:tcPr>
            <w:tcW w:w="980" w:type="dxa"/>
            <w:vAlign w:val="bottom"/>
            <w:tcBorders>
              <w:bottom w:val="single" w:sz="8" w:color="auto"/>
            </w:tcBorders>
          </w:tcPr>
          <w:p>
            <w:pPr>
              <w:spacing w:after="0"/>
              <w:rPr>
                <w:sz w:val="22"/>
                <w:szCs w:val="22"/>
                <w:color w:val="auto"/>
              </w:rPr>
            </w:pPr>
          </w:p>
        </w:tc>
      </w:tr>
      <w:tr>
        <w:trPr>
          <w:trHeight w:val="263"/>
        </w:trPr>
        <w:tc>
          <w:tcPr>
            <w:tcW w:w="5040" w:type="dxa"/>
            <w:vAlign w:val="bottom"/>
          </w:tcPr>
          <w:p>
            <w:pPr>
              <w:spacing w:after="0"/>
              <w:rPr>
                <w:sz w:val="22"/>
                <w:szCs w:val="22"/>
                <w:color w:val="auto"/>
              </w:rPr>
            </w:pPr>
          </w:p>
        </w:tc>
        <w:tc>
          <w:tcPr>
            <w:tcW w:w="1140" w:type="dxa"/>
            <w:vAlign w:val="bottom"/>
          </w:tcPr>
          <w:p>
            <w:pPr>
              <w:jc w:val="center"/>
              <w:ind w:right="8"/>
              <w:spacing w:after="0"/>
              <w:rPr>
                <w:sz w:val="20"/>
                <w:szCs w:val="20"/>
                <w:color w:val="auto"/>
              </w:rPr>
            </w:pPr>
            <w:r>
              <w:rPr>
                <w:rFonts w:ascii="Arial" w:cs="Arial" w:eastAsia="Arial" w:hAnsi="Arial"/>
                <w:sz w:val="14"/>
                <w:szCs w:val="14"/>
                <w:b w:val="1"/>
                <w:bCs w:val="1"/>
                <w:color w:val="auto"/>
              </w:rPr>
              <w:t>Before-Tax</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Income</w:t>
            </w:r>
          </w:p>
        </w:tc>
        <w:tc>
          <w:tcPr>
            <w:tcW w:w="1180" w:type="dxa"/>
            <w:vAlign w:val="bottom"/>
          </w:tcPr>
          <w:p>
            <w:pPr>
              <w:jc w:val="center"/>
              <w:ind w:left="8"/>
              <w:spacing w:after="0"/>
              <w:rPr>
                <w:sz w:val="20"/>
                <w:szCs w:val="20"/>
                <w:color w:val="auto"/>
              </w:rPr>
            </w:pPr>
            <w:r>
              <w:rPr>
                <w:rFonts w:ascii="Arial" w:cs="Arial" w:eastAsia="Arial" w:hAnsi="Arial"/>
                <w:sz w:val="14"/>
                <w:szCs w:val="14"/>
                <w:b w:val="1"/>
                <w:bCs w:val="1"/>
                <w:color w:val="auto"/>
              </w:rPr>
              <w:t>After-Tax</w:t>
            </w:r>
          </w:p>
        </w:tc>
        <w:tc>
          <w:tcPr>
            <w:tcW w:w="1180" w:type="dxa"/>
            <w:vAlign w:val="bottom"/>
          </w:tcPr>
          <w:p>
            <w:pPr>
              <w:jc w:val="center"/>
              <w:spacing w:after="0"/>
              <w:rPr>
                <w:sz w:val="20"/>
                <w:szCs w:val="20"/>
                <w:color w:val="auto"/>
              </w:rPr>
            </w:pPr>
            <w:r>
              <w:rPr>
                <w:rFonts w:ascii="Arial" w:cs="Arial" w:eastAsia="Arial" w:hAnsi="Arial"/>
                <w:sz w:val="14"/>
                <w:szCs w:val="14"/>
                <w:color w:val="auto"/>
                <w:w w:val="98"/>
              </w:rPr>
              <w:t>Before-Tax</w:t>
            </w:r>
          </w:p>
        </w:tc>
        <w:tc>
          <w:tcPr>
            <w:tcW w:w="960" w:type="dxa"/>
            <w:vAlign w:val="bottom"/>
          </w:tcPr>
          <w:p>
            <w:pPr>
              <w:jc w:val="right"/>
              <w:ind w:right="168"/>
              <w:spacing w:after="0"/>
              <w:rPr>
                <w:sz w:val="20"/>
                <w:szCs w:val="20"/>
                <w:color w:val="auto"/>
              </w:rPr>
            </w:pPr>
            <w:r>
              <w:rPr>
                <w:rFonts w:ascii="Arial" w:cs="Arial" w:eastAsia="Arial" w:hAnsi="Arial"/>
                <w:sz w:val="14"/>
                <w:szCs w:val="14"/>
                <w:color w:val="auto"/>
              </w:rPr>
              <w:t>Income</w:t>
            </w:r>
          </w:p>
        </w:tc>
        <w:tc>
          <w:tcPr>
            <w:tcW w:w="980" w:type="dxa"/>
            <w:vAlign w:val="bottom"/>
          </w:tcPr>
          <w:p>
            <w:pPr>
              <w:jc w:val="center"/>
              <w:ind w:left="8"/>
              <w:spacing w:after="0"/>
              <w:rPr>
                <w:sz w:val="20"/>
                <w:szCs w:val="20"/>
                <w:color w:val="auto"/>
              </w:rPr>
            </w:pPr>
            <w:r>
              <w:rPr>
                <w:rFonts w:ascii="Arial" w:cs="Arial" w:eastAsia="Arial" w:hAnsi="Arial"/>
                <w:sz w:val="14"/>
                <w:szCs w:val="14"/>
                <w:color w:val="auto"/>
              </w:rPr>
              <w:t>After-Tax</w:t>
            </w:r>
          </w:p>
        </w:tc>
      </w:tr>
      <w:tr>
        <w:trPr>
          <w:trHeight w:val="268"/>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14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Amount</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Tax</w:t>
            </w:r>
          </w:p>
        </w:tc>
        <w:tc>
          <w:tcPr>
            <w:tcW w:w="118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rPr>
              <w:t>Amount</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Amount</w:t>
            </w:r>
          </w:p>
        </w:tc>
        <w:tc>
          <w:tcPr>
            <w:tcW w:w="9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Tax</w:t>
            </w:r>
          </w:p>
        </w:tc>
        <w:tc>
          <w:tcPr>
            <w:tcW w:w="98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rPr>
              <w:t>Amount</w:t>
            </w:r>
          </w:p>
        </w:tc>
      </w:tr>
    </w:tbl>
    <w:p>
      <w:pPr>
        <w:spacing w:after="0" w:line="36" w:lineRule="exact"/>
        <w:rPr>
          <w:sz w:val="20"/>
          <w:szCs w:val="20"/>
          <w:color w:val="auto"/>
        </w:rPr>
      </w:pPr>
    </w:p>
    <w:p>
      <w:pPr>
        <w:sectPr>
          <w:pgSz w:w="11900" w:h="16838" w:orient="portrait"/>
          <w:cols w:equalWidth="0" w:num="1">
            <w:col w:w="11420"/>
          </w:cols>
          <w:pgMar w:left="240" w:top="746" w:right="239" w:bottom="0" w:gutter="0" w:footer="0" w:header="0"/>
        </w:sectPr>
      </w:pPr>
    </w:p>
    <w:p>
      <w:pPr>
        <w:ind w:left="40"/>
        <w:spacing w:after="0"/>
        <w:rPr>
          <w:sz w:val="20"/>
          <w:szCs w:val="20"/>
          <w:color w:val="auto"/>
        </w:rPr>
      </w:pPr>
      <w:r>
        <w:rPr>
          <w:rFonts w:ascii="Arial" w:cs="Arial" w:eastAsia="Arial" w:hAnsi="Arial"/>
          <w:sz w:val="16"/>
          <w:szCs w:val="16"/>
          <w:color w:val="auto"/>
        </w:rPr>
        <w:t>Foreign currency translation adjustments: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Translation adjustments arising during the period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Unrealized gains on available-for-sale securities: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Unrealized gains for the period, net</w:t>
      </w:r>
    </w:p>
    <w:p>
      <w:pPr>
        <w:spacing w:after="0" w:line="59" w:lineRule="exact"/>
        <w:rPr>
          <w:sz w:val="20"/>
          <w:szCs w:val="20"/>
          <w:color w:val="auto"/>
        </w:rPr>
      </w:pPr>
    </w:p>
    <w:p>
      <w:pPr>
        <w:ind w:left="340" w:hanging="161"/>
        <w:spacing w:after="0" w:line="269" w:lineRule="auto"/>
        <w:rPr>
          <w:sz w:val="20"/>
          <w:szCs w:val="20"/>
          <w:color w:val="auto"/>
        </w:rPr>
      </w:pPr>
      <w:r>
        <w:rPr>
          <w:rFonts w:ascii="Arial" w:cs="Arial" w:eastAsia="Arial" w:hAnsi="Arial"/>
          <w:sz w:val="16"/>
          <w:szCs w:val="16"/>
          <w:color w:val="auto"/>
        </w:rPr>
        <w:t>Reclassification adjustment for realization of (gain) loss on exchange, sale or write-down of available-for-sale securities included in net income</w:t>
      </w:r>
    </w:p>
    <w:p>
      <w:pPr>
        <w:spacing w:after="0" w:line="327" w:lineRule="exact"/>
        <w:rPr>
          <w:sz w:val="20"/>
          <w:szCs w:val="20"/>
          <w:color w:val="auto"/>
        </w:rPr>
      </w:pPr>
    </w:p>
    <w:p>
      <w:pPr>
        <w:ind w:left="40"/>
        <w:spacing w:after="0"/>
        <w:rPr>
          <w:sz w:val="20"/>
          <w:szCs w:val="20"/>
          <w:color w:val="auto"/>
        </w:rPr>
      </w:pPr>
      <w:r>
        <w:rPr>
          <w:rFonts w:ascii="Arial" w:cs="Arial" w:eastAsia="Arial" w:hAnsi="Arial"/>
          <w:sz w:val="16"/>
          <w:szCs w:val="16"/>
          <w:color w:val="auto"/>
        </w:rPr>
        <w:t>Pension and other postretirement plans: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Amortization of net prior service credit included in net income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Amortization of net actuarial (gain) loss included in net income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Settlement gain included in net income</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Cash flow hedge: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Gain for the period</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(Loss) Income</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2,666</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59"/>
              <w:spacing w:after="0"/>
              <w:rPr>
                <w:sz w:val="20"/>
                <w:szCs w:val="20"/>
                <w:color w:val="auto"/>
              </w:rPr>
            </w:pPr>
            <w:r>
              <w:rPr>
                <w:rFonts w:ascii="Arial" w:cs="Arial" w:eastAsia="Arial" w:hAnsi="Arial"/>
                <w:sz w:val="16"/>
                <w:szCs w:val="16"/>
                <w:b w:val="1"/>
                <w:bCs w:val="1"/>
                <w:color w:val="auto"/>
              </w:rPr>
              <w:t>2,666</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(7,700)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(7,700)</w:t>
            </w:r>
          </w:p>
        </w:tc>
      </w:tr>
      <w:tr>
        <w:trPr>
          <w:trHeight w:val="540"/>
        </w:trPr>
        <w:tc>
          <w:tcPr>
            <w:tcW w:w="200" w:type="dxa"/>
            <w:vAlign w:val="bottom"/>
          </w:tcPr>
          <w:p>
            <w:pPr>
              <w:spacing w:after="0"/>
              <w:rPr>
                <w:sz w:val="24"/>
                <w:szCs w:val="24"/>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36,405</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(14,562)</w:t>
            </w:r>
          </w:p>
        </w:tc>
        <w:tc>
          <w:tcPr>
            <w:tcW w:w="280" w:type="dxa"/>
            <w:vAlign w:val="bottom"/>
          </w:tcPr>
          <w:p>
            <w:pPr>
              <w:spacing w:after="0"/>
              <w:rPr>
                <w:sz w:val="24"/>
                <w:szCs w:val="24"/>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b w:val="1"/>
                <w:bCs w:val="1"/>
                <w:color w:val="auto"/>
              </w:rPr>
              <w:t>21,843</w:t>
            </w:r>
          </w:p>
        </w:tc>
        <w:tc>
          <w:tcPr>
            <w:tcW w:w="340" w:type="dxa"/>
            <w:vAlign w:val="bottom"/>
          </w:tcPr>
          <w:p>
            <w:pPr>
              <w:spacing w:after="0"/>
              <w:rPr>
                <w:sz w:val="24"/>
                <w:szCs w:val="24"/>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80,501</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(32,200)</w:t>
            </w:r>
          </w:p>
        </w:tc>
        <w:tc>
          <w:tcPr>
            <w:tcW w:w="280" w:type="dxa"/>
            <w:vAlign w:val="bottom"/>
          </w:tcPr>
          <w:p>
            <w:pPr>
              <w:spacing w:after="0"/>
              <w:rPr>
                <w:sz w:val="24"/>
                <w:szCs w:val="24"/>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48,301</w:t>
            </w:r>
          </w:p>
        </w:tc>
      </w:tr>
      <w:tr>
        <w:trPr>
          <w:trHeight w:val="625"/>
        </w:trPr>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(265,274)</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106,110</w:t>
            </w: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(159,164)</w:t>
            </w: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(884)</w:t>
            </w: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353</w:t>
            </w:r>
          </w:p>
        </w:tc>
        <w:tc>
          <w:tcPr>
            <w:tcW w:w="2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(531)</w:t>
            </w:r>
          </w:p>
        </w:tc>
      </w:tr>
      <w:tr>
        <w:trPr>
          <w:trHeight w:val="264"/>
        </w:trPr>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(228,869)</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91,548</w:t>
            </w: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(137,321)</w:t>
            </w: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79,617</w:t>
            </w: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(31,847)</w:t>
            </w:r>
          </w:p>
        </w:tc>
        <w:tc>
          <w:tcPr>
            <w:tcW w:w="2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47,770</w:t>
            </w:r>
          </w:p>
        </w:tc>
      </w:tr>
      <w:tr>
        <w:trPr>
          <w:trHeight w:val="530"/>
        </w:trPr>
        <w:tc>
          <w:tcPr>
            <w:tcW w:w="200" w:type="dxa"/>
            <w:vAlign w:val="bottom"/>
          </w:tcPr>
          <w:p>
            <w:pPr>
              <w:spacing w:after="0"/>
              <w:rPr>
                <w:sz w:val="24"/>
                <w:szCs w:val="24"/>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auto"/>
              </w:rPr>
              <w:t>(204)</w:t>
            </w:r>
          </w:p>
        </w:tc>
        <w:tc>
          <w:tcPr>
            <w:tcW w:w="240" w:type="dxa"/>
            <w:vAlign w:val="bottom"/>
          </w:tcPr>
          <w:p>
            <w:pPr>
              <w:spacing w:after="0"/>
              <w:rPr>
                <w:sz w:val="24"/>
                <w:szCs w:val="24"/>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b w:val="1"/>
                <w:bCs w:val="1"/>
                <w:color w:val="auto"/>
              </w:rPr>
              <w:t>81</w:t>
            </w:r>
          </w:p>
        </w:tc>
        <w:tc>
          <w:tcPr>
            <w:tcW w:w="28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(123)</w:t>
            </w:r>
          </w:p>
        </w:tc>
        <w:tc>
          <w:tcPr>
            <w:tcW w:w="340" w:type="dxa"/>
            <w:vAlign w:val="bottom"/>
          </w:tcPr>
          <w:p>
            <w:pPr>
              <w:spacing w:after="0"/>
              <w:rPr>
                <w:sz w:val="24"/>
                <w:szCs w:val="24"/>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(821)</w:t>
            </w:r>
          </w:p>
        </w:tc>
        <w:tc>
          <w:tcPr>
            <w:tcW w:w="240" w:type="dxa"/>
            <w:vAlign w:val="bottom"/>
          </w:tcPr>
          <w:p>
            <w:pPr>
              <w:spacing w:after="0"/>
              <w:rPr>
                <w:sz w:val="24"/>
                <w:szCs w:val="24"/>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328</w:t>
            </w:r>
          </w:p>
        </w:tc>
        <w:tc>
          <w:tcPr>
            <w:tcW w:w="2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(493)</w:t>
            </w:r>
          </w:p>
        </w:tc>
      </w:tr>
      <w:tr>
        <w:trPr>
          <w:trHeight w:val="270"/>
        </w:trPr>
        <w:tc>
          <w:tcPr>
            <w:tcW w:w="20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auto"/>
              </w:rPr>
              <w:t>(14,607)</w:t>
            </w:r>
          </w:p>
        </w:tc>
        <w:tc>
          <w:tcPr>
            <w:tcW w:w="240" w:type="dxa"/>
            <w:vAlign w:val="bottom"/>
          </w:tcPr>
          <w:p>
            <w:pPr>
              <w:spacing w:after="0"/>
              <w:rPr>
                <w:sz w:val="23"/>
                <w:szCs w:val="23"/>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b w:val="1"/>
                <w:bCs w:val="1"/>
                <w:color w:val="auto"/>
              </w:rPr>
              <w:t>5,843</w:t>
            </w:r>
          </w:p>
        </w:tc>
        <w:tc>
          <w:tcPr>
            <w:tcW w:w="28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(8,764)</w:t>
            </w:r>
          </w:p>
        </w:tc>
        <w:tc>
          <w:tcPr>
            <w:tcW w:w="340" w:type="dxa"/>
            <w:vAlign w:val="bottom"/>
          </w:tcPr>
          <w:p>
            <w:pPr>
              <w:spacing w:after="0"/>
              <w:rPr>
                <w:sz w:val="23"/>
                <w:szCs w:val="23"/>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4,321</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(1,728)</w:t>
            </w:r>
          </w:p>
        </w:tc>
        <w:tc>
          <w:tcPr>
            <w:tcW w:w="28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2,593</w:t>
            </w:r>
          </w:p>
        </w:tc>
      </w:tr>
      <w:tr>
        <w:trPr>
          <w:trHeight w:val="274"/>
        </w:trPr>
        <w:tc>
          <w:tcPr>
            <w:tcW w:w="2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(3,471)</w:t>
            </w:r>
          </w:p>
        </w:tc>
        <w:tc>
          <w:tcPr>
            <w:tcW w:w="2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1,388</w:t>
            </w:r>
          </w:p>
        </w:tc>
        <w:tc>
          <w:tcPr>
            <w:tcW w:w="28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(2,083)</w:t>
            </w:r>
          </w:p>
        </w:tc>
      </w:tr>
      <w:tr>
        <w:trPr>
          <w:trHeight w:val="264"/>
        </w:trPr>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(14,811)</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5,924</w:t>
            </w: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(8,887)</w:t>
            </w: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29</w:t>
            </w: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2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w:t>
            </w:r>
          </w:p>
        </w:tc>
      </w:tr>
      <w:tr>
        <w:trPr>
          <w:trHeight w:val="534"/>
        </w:trPr>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411</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(164)</w:t>
            </w: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247</w:t>
            </w: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244</w:t>
            </w: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w:t>
            </w:r>
          </w:p>
        </w:tc>
        <w:tc>
          <w:tcPr>
            <w:tcW w:w="2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146</w:t>
            </w:r>
          </w:p>
        </w:tc>
      </w:tr>
      <w:tr>
        <w:trPr>
          <w:trHeight w:val="264"/>
        </w:trPr>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(240,603)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97,308</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(143,295)</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72,190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(31,957)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40,233</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sectPr>
          <w:pgSz w:w="11900" w:h="16838" w:orient="portrait"/>
          <w:cols w:equalWidth="0" w:num="2">
            <w:col w:w="4620" w:space="420"/>
            <w:col w:w="6380"/>
          </w:cols>
          <w:pgMar w:left="240" w:top="746" w:right="239" w:bottom="0" w:gutter="0" w:footer="0" w:header="0"/>
          <w:type w:val="continuous"/>
        </w:sectPr>
      </w:pPr>
    </w:p>
    <w:p>
      <w:pPr>
        <w:spacing w:after="0"/>
        <w:rPr>
          <w:sz w:val="20"/>
          <w:szCs w:val="20"/>
          <w:color w:val="auto"/>
        </w:rPr>
      </w:pPr>
      <w:r>
        <w:rPr>
          <w:rFonts w:ascii="Arial" w:cs="Arial" w:eastAsia="Arial" w:hAnsi="Arial"/>
          <w:sz w:val="18"/>
          <w:szCs w:val="18"/>
          <w:color w:val="auto"/>
        </w:rPr>
        <w:t>The accumulated balances related to each component of other comprehensive income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center"/>
              <w:ind w:right="103"/>
              <w:spacing w:after="0"/>
              <w:rPr>
                <w:sz w:val="20"/>
                <w:szCs w:val="20"/>
                <w:color w:val="auto"/>
              </w:rPr>
            </w:pPr>
            <w:r>
              <w:rPr>
                <w:rFonts w:ascii="Arial" w:cs="Arial" w:eastAsia="Arial" w:hAnsi="Arial"/>
                <w:sz w:val="14"/>
                <w:szCs w:val="14"/>
                <w:b w:val="1"/>
                <w:bCs w:val="1"/>
                <w:color w:val="auto"/>
              </w:rPr>
              <w:t>Cumulative</w:t>
            </w: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ind w:right="103"/>
              <w:spacing w:after="0"/>
              <w:rPr>
                <w:sz w:val="20"/>
                <w:szCs w:val="20"/>
                <w:color w:val="auto"/>
              </w:rPr>
            </w:pPr>
            <w:r>
              <w:rPr>
                <w:rFonts w:ascii="Arial" w:cs="Arial" w:eastAsia="Arial" w:hAnsi="Arial"/>
                <w:sz w:val="14"/>
                <w:szCs w:val="14"/>
                <w:b w:val="1"/>
                <w:bCs w:val="1"/>
                <w:color w:val="auto"/>
              </w:rPr>
              <w:t>Unrealized Gain</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2"/>
        </w:trPr>
        <w:tc>
          <w:tcPr>
            <w:tcW w:w="4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center"/>
              <w:ind w:right="123"/>
              <w:spacing w:after="0"/>
              <w:rPr>
                <w:sz w:val="20"/>
                <w:szCs w:val="20"/>
                <w:color w:val="auto"/>
              </w:rPr>
            </w:pPr>
            <w:r>
              <w:rPr>
                <w:rFonts w:ascii="Arial" w:cs="Arial" w:eastAsia="Arial" w:hAnsi="Arial"/>
                <w:sz w:val="14"/>
                <w:szCs w:val="14"/>
                <w:b w:val="1"/>
                <w:bCs w:val="1"/>
                <w:color w:val="auto"/>
              </w:rPr>
              <w:t>Foreign</w:t>
            </w: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ind w:right="103"/>
              <w:spacing w:after="0"/>
              <w:rPr>
                <w:sz w:val="20"/>
                <w:szCs w:val="20"/>
                <w:color w:val="auto"/>
              </w:rPr>
            </w:pPr>
            <w:r>
              <w:rPr>
                <w:rFonts w:ascii="Arial" w:cs="Arial" w:eastAsia="Arial" w:hAnsi="Arial"/>
                <w:sz w:val="14"/>
                <w:szCs w:val="14"/>
                <w:b w:val="1"/>
                <w:bCs w:val="1"/>
                <w:color w:val="auto"/>
              </w:rPr>
              <w:t>on Pensions</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center"/>
              <w:ind w:right="63"/>
              <w:spacing w:after="0"/>
              <w:rPr>
                <w:sz w:val="20"/>
                <w:szCs w:val="20"/>
                <w:color w:val="auto"/>
              </w:rPr>
            </w:pPr>
            <w:r>
              <w:rPr>
                <w:rFonts w:ascii="Arial" w:cs="Arial" w:eastAsia="Arial" w:hAnsi="Arial"/>
                <w:sz w:val="14"/>
                <w:szCs w:val="14"/>
                <w:b w:val="1"/>
                <w:bCs w:val="1"/>
                <w:color w:val="auto"/>
              </w:rPr>
              <w:t>Accumulated</w:t>
            </w:r>
          </w:p>
        </w:tc>
      </w:tr>
      <w:tr>
        <w:trPr>
          <w:trHeight w:val="162"/>
        </w:trPr>
        <w:tc>
          <w:tcPr>
            <w:tcW w:w="4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center"/>
              <w:ind w:right="123"/>
              <w:spacing w:after="0"/>
              <w:rPr>
                <w:sz w:val="20"/>
                <w:szCs w:val="20"/>
                <w:color w:val="auto"/>
              </w:rPr>
            </w:pPr>
            <w:r>
              <w:rPr>
                <w:rFonts w:ascii="Arial" w:cs="Arial" w:eastAsia="Arial" w:hAnsi="Arial"/>
                <w:sz w:val="14"/>
                <w:szCs w:val="14"/>
                <w:b w:val="1"/>
                <w:bCs w:val="1"/>
                <w:color w:val="auto"/>
              </w:rPr>
              <w:t>Currency</w:t>
            </w:r>
          </w:p>
        </w:tc>
        <w:tc>
          <w:tcPr>
            <w:tcW w:w="260" w:type="dxa"/>
            <w:vAlign w:val="bottom"/>
          </w:tcPr>
          <w:p>
            <w:pPr>
              <w:spacing w:after="0"/>
              <w:rPr>
                <w:sz w:val="14"/>
                <w:szCs w:val="14"/>
                <w:color w:val="auto"/>
              </w:rPr>
            </w:pPr>
          </w:p>
        </w:tc>
        <w:tc>
          <w:tcPr>
            <w:tcW w:w="1360" w:type="dxa"/>
            <w:vAlign w:val="bottom"/>
          </w:tcPr>
          <w:p>
            <w:pPr>
              <w:jc w:val="center"/>
              <w:ind w:right="102"/>
              <w:spacing w:after="0"/>
              <w:rPr>
                <w:sz w:val="20"/>
                <w:szCs w:val="20"/>
                <w:color w:val="auto"/>
              </w:rPr>
            </w:pPr>
            <w:r>
              <w:rPr>
                <w:rFonts w:ascii="Arial" w:cs="Arial" w:eastAsia="Arial" w:hAnsi="Arial"/>
                <w:sz w:val="14"/>
                <w:szCs w:val="14"/>
                <w:b w:val="1"/>
                <w:bCs w:val="1"/>
                <w:color w:val="auto"/>
              </w:rPr>
              <w:t>Unrealized Gain</w:t>
            </w:r>
          </w:p>
        </w:tc>
        <w:tc>
          <w:tcPr>
            <w:tcW w:w="220" w:type="dxa"/>
            <w:vAlign w:val="bottom"/>
          </w:tcPr>
          <w:p>
            <w:pPr>
              <w:spacing w:after="0"/>
              <w:rPr>
                <w:sz w:val="14"/>
                <w:szCs w:val="14"/>
                <w:color w:val="auto"/>
              </w:rPr>
            </w:pPr>
          </w:p>
        </w:tc>
        <w:tc>
          <w:tcPr>
            <w:tcW w:w="1360" w:type="dxa"/>
            <w:vAlign w:val="bottom"/>
          </w:tcPr>
          <w:p>
            <w:pPr>
              <w:jc w:val="center"/>
              <w:ind w:right="123"/>
              <w:spacing w:after="0"/>
              <w:rPr>
                <w:sz w:val="20"/>
                <w:szCs w:val="20"/>
                <w:color w:val="auto"/>
              </w:rPr>
            </w:pPr>
            <w:r>
              <w:rPr>
                <w:rFonts w:ascii="Arial" w:cs="Arial" w:eastAsia="Arial" w:hAnsi="Arial"/>
                <w:sz w:val="14"/>
                <w:szCs w:val="14"/>
                <w:b w:val="1"/>
                <w:bCs w:val="1"/>
                <w:color w:val="auto"/>
              </w:rPr>
              <w:t>and Other</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center"/>
              <w:ind w:right="63"/>
              <w:spacing w:after="0"/>
              <w:rPr>
                <w:sz w:val="20"/>
                <w:szCs w:val="20"/>
                <w:color w:val="auto"/>
              </w:rPr>
            </w:pPr>
            <w:r>
              <w:rPr>
                <w:rFonts w:ascii="Arial" w:cs="Arial" w:eastAsia="Arial" w:hAnsi="Arial"/>
                <w:sz w:val="14"/>
                <w:szCs w:val="14"/>
                <w:b w:val="1"/>
                <w:bCs w:val="1"/>
                <w:color w:val="auto"/>
              </w:rPr>
              <w:t>Other</w:t>
            </w:r>
          </w:p>
        </w:tc>
      </w:tr>
      <w:tr>
        <w:trPr>
          <w:trHeight w:val="162"/>
        </w:trPr>
        <w:tc>
          <w:tcPr>
            <w:tcW w:w="4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center"/>
              <w:ind w:right="123"/>
              <w:spacing w:after="0"/>
              <w:rPr>
                <w:sz w:val="20"/>
                <w:szCs w:val="20"/>
                <w:color w:val="auto"/>
              </w:rPr>
            </w:pPr>
            <w:r>
              <w:rPr>
                <w:rFonts w:ascii="Arial" w:cs="Arial" w:eastAsia="Arial" w:hAnsi="Arial"/>
                <w:sz w:val="14"/>
                <w:szCs w:val="14"/>
                <w:b w:val="1"/>
                <w:bCs w:val="1"/>
                <w:color w:val="auto"/>
              </w:rPr>
              <w:t>Translation</w:t>
            </w:r>
          </w:p>
        </w:tc>
        <w:tc>
          <w:tcPr>
            <w:tcW w:w="260" w:type="dxa"/>
            <w:vAlign w:val="bottom"/>
          </w:tcPr>
          <w:p>
            <w:pPr>
              <w:spacing w:after="0"/>
              <w:rPr>
                <w:sz w:val="14"/>
                <w:szCs w:val="14"/>
                <w:color w:val="auto"/>
              </w:rPr>
            </w:pPr>
          </w:p>
        </w:tc>
        <w:tc>
          <w:tcPr>
            <w:tcW w:w="1360" w:type="dxa"/>
            <w:vAlign w:val="bottom"/>
          </w:tcPr>
          <w:p>
            <w:pPr>
              <w:jc w:val="center"/>
              <w:ind w:right="102"/>
              <w:spacing w:after="0"/>
              <w:rPr>
                <w:sz w:val="20"/>
                <w:szCs w:val="20"/>
                <w:color w:val="auto"/>
              </w:rPr>
            </w:pPr>
            <w:r>
              <w:rPr>
                <w:rFonts w:ascii="Arial" w:cs="Arial" w:eastAsia="Arial" w:hAnsi="Arial"/>
                <w:sz w:val="14"/>
                <w:szCs w:val="14"/>
                <w:b w:val="1"/>
                <w:bCs w:val="1"/>
                <w:color w:val="auto"/>
              </w:rPr>
              <w:t>on Available-for-</w:t>
            </w:r>
          </w:p>
        </w:tc>
        <w:tc>
          <w:tcPr>
            <w:tcW w:w="220" w:type="dxa"/>
            <w:vAlign w:val="bottom"/>
          </w:tcPr>
          <w:p>
            <w:pPr>
              <w:spacing w:after="0"/>
              <w:rPr>
                <w:sz w:val="14"/>
                <w:szCs w:val="14"/>
                <w:color w:val="auto"/>
              </w:rPr>
            </w:pPr>
          </w:p>
        </w:tc>
        <w:tc>
          <w:tcPr>
            <w:tcW w:w="1360" w:type="dxa"/>
            <w:vAlign w:val="bottom"/>
          </w:tcPr>
          <w:p>
            <w:pPr>
              <w:jc w:val="center"/>
              <w:ind w:right="103"/>
              <w:spacing w:after="0"/>
              <w:rPr>
                <w:sz w:val="20"/>
                <w:szCs w:val="20"/>
                <w:color w:val="auto"/>
              </w:rPr>
            </w:pPr>
            <w:r>
              <w:rPr>
                <w:rFonts w:ascii="Arial" w:cs="Arial" w:eastAsia="Arial" w:hAnsi="Arial"/>
                <w:sz w:val="14"/>
                <w:szCs w:val="14"/>
                <w:b w:val="1"/>
                <w:bCs w:val="1"/>
                <w:color w:val="auto"/>
              </w:rPr>
              <w:t>Postretirement</w:t>
            </w:r>
          </w:p>
        </w:tc>
        <w:tc>
          <w:tcPr>
            <w:tcW w:w="200" w:type="dxa"/>
            <w:vAlign w:val="bottom"/>
          </w:tcPr>
          <w:p>
            <w:pPr>
              <w:spacing w:after="0"/>
              <w:rPr>
                <w:sz w:val="14"/>
                <w:szCs w:val="14"/>
                <w:color w:val="auto"/>
              </w:rPr>
            </w:pPr>
          </w:p>
        </w:tc>
        <w:tc>
          <w:tcPr>
            <w:tcW w:w="940" w:type="dxa"/>
            <w:vAlign w:val="bottom"/>
          </w:tcPr>
          <w:p>
            <w:pPr>
              <w:jc w:val="right"/>
              <w:ind w:right="122"/>
              <w:spacing w:after="0"/>
              <w:rPr>
                <w:sz w:val="20"/>
                <w:szCs w:val="20"/>
                <w:color w:val="auto"/>
              </w:rPr>
            </w:pPr>
            <w:r>
              <w:rPr>
                <w:rFonts w:ascii="Arial" w:cs="Arial" w:eastAsia="Arial" w:hAnsi="Arial"/>
                <w:sz w:val="14"/>
                <w:szCs w:val="14"/>
                <w:b w:val="1"/>
                <w:bCs w:val="1"/>
                <w:color w:val="auto"/>
              </w:rPr>
              <w:t>Cash Flow</w:t>
            </w:r>
          </w:p>
        </w:tc>
        <w:tc>
          <w:tcPr>
            <w:tcW w:w="220" w:type="dxa"/>
            <w:vAlign w:val="bottom"/>
          </w:tcPr>
          <w:p>
            <w:pPr>
              <w:spacing w:after="0"/>
              <w:rPr>
                <w:sz w:val="14"/>
                <w:szCs w:val="14"/>
                <w:color w:val="auto"/>
              </w:rPr>
            </w:pPr>
          </w:p>
        </w:tc>
        <w:tc>
          <w:tcPr>
            <w:tcW w:w="1320" w:type="dxa"/>
            <w:vAlign w:val="bottom"/>
          </w:tcPr>
          <w:p>
            <w:pPr>
              <w:jc w:val="center"/>
              <w:ind w:right="83"/>
              <w:spacing w:after="0"/>
              <w:rPr>
                <w:sz w:val="20"/>
                <w:szCs w:val="20"/>
                <w:color w:val="auto"/>
              </w:rPr>
            </w:pPr>
            <w:r>
              <w:rPr>
                <w:rFonts w:ascii="Arial" w:cs="Arial" w:eastAsia="Arial" w:hAnsi="Arial"/>
                <w:sz w:val="14"/>
                <w:szCs w:val="14"/>
                <w:b w:val="1"/>
                <w:bCs w:val="1"/>
                <w:color w:val="auto"/>
              </w:rPr>
              <w:t>Comprehensive</w:t>
            </w:r>
          </w:p>
        </w:tc>
      </w:tr>
      <w:tr>
        <w:trPr>
          <w:trHeight w:val="203"/>
        </w:trPr>
        <w:tc>
          <w:tcPr>
            <w:tcW w:w="4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net of taxes)</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rPr>
              <w:t>Adjustment</w:t>
            </w: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Sale Securities</w:t>
            </w: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rPr>
              <w:t>Plans</w:t>
            </w: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Hedge</w:t>
            </w: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rPr>
              <w:t>Income</w:t>
            </w:r>
          </w:p>
        </w:tc>
      </w:tr>
      <w:tr>
        <w:trPr>
          <w:trHeight w:val="249"/>
        </w:trPr>
        <w:tc>
          <w:tcPr>
            <w:tcW w:w="4240" w:type="dxa"/>
            <w:vAlign w:val="bottom"/>
          </w:tcPr>
          <w:p>
            <w:pPr>
              <w:ind w:left="40"/>
              <w:spacing w:after="0"/>
              <w:rPr>
                <w:sz w:val="20"/>
                <w:szCs w:val="20"/>
                <w:color w:val="auto"/>
              </w:rPr>
            </w:pPr>
            <w:r>
              <w:rPr>
                <w:rFonts w:ascii="Arial" w:cs="Arial" w:eastAsia="Arial" w:hAnsi="Arial"/>
                <w:sz w:val="16"/>
                <w:szCs w:val="16"/>
                <w:color w:val="auto"/>
              </w:rPr>
              <w:t>Balance as of December 31, 2013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3"/>
              <w:spacing w:after="0"/>
              <w:rPr>
                <w:sz w:val="20"/>
                <w:szCs w:val="20"/>
                <w:color w:val="auto"/>
              </w:rPr>
            </w:pPr>
            <w:r>
              <w:rPr>
                <w:rFonts w:ascii="Arial" w:cs="Arial" w:eastAsia="Arial" w:hAnsi="Arial"/>
                <w:sz w:val="16"/>
                <w:szCs w:val="16"/>
                <w:color w:val="auto"/>
              </w:rPr>
              <w:t>25,013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62"/>
              <w:spacing w:after="0"/>
              <w:rPr>
                <w:sz w:val="20"/>
                <w:szCs w:val="20"/>
                <w:color w:val="auto"/>
              </w:rPr>
            </w:pPr>
            <w:r>
              <w:rPr>
                <w:rFonts w:ascii="Arial" w:cs="Arial" w:eastAsia="Arial" w:hAnsi="Arial"/>
                <w:sz w:val="16"/>
                <w:szCs w:val="16"/>
                <w:color w:val="auto"/>
              </w:rPr>
              <w:t>173,663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63"/>
              <w:spacing w:after="0"/>
              <w:rPr>
                <w:sz w:val="20"/>
                <w:szCs w:val="20"/>
                <w:color w:val="auto"/>
              </w:rPr>
            </w:pPr>
            <w:r>
              <w:rPr>
                <w:rFonts w:ascii="Arial" w:cs="Arial" w:eastAsia="Arial" w:hAnsi="Arial"/>
                <w:sz w:val="16"/>
                <w:szCs w:val="16"/>
                <w:color w:val="auto"/>
              </w:rPr>
              <w:t>501,446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(628)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3"/>
              <w:spacing w:after="0"/>
              <w:rPr>
                <w:sz w:val="20"/>
                <w:szCs w:val="20"/>
                <w:color w:val="auto"/>
              </w:rPr>
            </w:pPr>
            <w:r>
              <w:rPr>
                <w:rFonts w:ascii="Arial" w:cs="Arial" w:eastAsia="Arial" w:hAnsi="Arial"/>
                <w:sz w:val="16"/>
                <w:szCs w:val="16"/>
                <w:color w:val="auto"/>
              </w:rPr>
              <w:t>699,494</w:t>
            </w:r>
          </w:p>
        </w:tc>
      </w:tr>
      <w:tr>
        <w:trPr>
          <w:trHeight w:val="212"/>
        </w:trPr>
        <w:tc>
          <w:tcPr>
            <w:tcW w:w="4240" w:type="dxa"/>
            <w:vAlign w:val="bottom"/>
          </w:tcPr>
          <w:p>
            <w:pPr>
              <w:ind w:left="180"/>
              <w:spacing w:after="0"/>
              <w:rPr>
                <w:sz w:val="20"/>
                <w:szCs w:val="20"/>
                <w:color w:val="auto"/>
              </w:rPr>
            </w:pPr>
            <w:r>
              <w:rPr>
                <w:rFonts w:ascii="Arial" w:cs="Arial" w:eastAsia="Arial" w:hAnsi="Arial"/>
                <w:sz w:val="16"/>
                <w:szCs w:val="16"/>
                <w:b w:val="1"/>
                <w:bCs w:val="1"/>
                <w:color w:val="auto"/>
              </w:rPr>
              <w:t>Other comprehensive income (loss) before</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9"/>
        </w:trPr>
        <w:tc>
          <w:tcPr>
            <w:tcW w:w="4240" w:type="dxa"/>
            <w:vAlign w:val="bottom"/>
          </w:tcPr>
          <w:p>
            <w:pPr>
              <w:ind w:left="260"/>
              <w:spacing w:after="0"/>
              <w:rPr>
                <w:sz w:val="20"/>
                <w:szCs w:val="20"/>
                <w:color w:val="auto"/>
              </w:rPr>
            </w:pPr>
            <w:r>
              <w:rPr>
                <w:rFonts w:ascii="Arial" w:cs="Arial" w:eastAsia="Arial" w:hAnsi="Arial"/>
                <w:sz w:val="16"/>
                <w:szCs w:val="16"/>
                <w:b w:val="1"/>
                <w:bCs w:val="1"/>
                <w:color w:val="auto"/>
              </w:rPr>
              <w:t>reclassifications</w:t>
            </w:r>
          </w:p>
        </w:tc>
        <w:tc>
          <w:tcPr>
            <w:tcW w:w="180" w:type="dxa"/>
            <w:vAlign w:val="bottom"/>
          </w:tcPr>
          <w:p>
            <w:pPr>
              <w:spacing w:after="0"/>
              <w:rPr>
                <w:sz w:val="19"/>
                <w:szCs w:val="19"/>
                <w:color w:val="auto"/>
              </w:rPr>
            </w:pPr>
          </w:p>
        </w:tc>
        <w:tc>
          <w:tcPr>
            <w:tcW w:w="1120" w:type="dxa"/>
            <w:vAlign w:val="bottom"/>
          </w:tcPr>
          <w:p>
            <w:pPr>
              <w:jc w:val="right"/>
              <w:ind w:right="43"/>
              <w:spacing w:after="0"/>
              <w:rPr>
                <w:sz w:val="20"/>
                <w:szCs w:val="20"/>
                <w:color w:val="auto"/>
              </w:rPr>
            </w:pPr>
            <w:r>
              <w:rPr>
                <w:rFonts w:ascii="Arial" w:cs="Arial" w:eastAsia="Arial" w:hAnsi="Arial"/>
                <w:sz w:val="16"/>
                <w:szCs w:val="16"/>
                <w:b w:val="1"/>
                <w:bCs w:val="1"/>
                <w:color w:val="auto"/>
              </w:rPr>
              <w:t>2,666</w:t>
            </w:r>
          </w:p>
        </w:tc>
        <w:tc>
          <w:tcPr>
            <w:tcW w:w="260" w:type="dxa"/>
            <w:vAlign w:val="bottom"/>
          </w:tcPr>
          <w:p>
            <w:pPr>
              <w:spacing w:after="0"/>
              <w:rPr>
                <w:sz w:val="19"/>
                <w:szCs w:val="19"/>
                <w:color w:val="auto"/>
              </w:rPr>
            </w:pPr>
          </w:p>
        </w:tc>
        <w:tc>
          <w:tcPr>
            <w:tcW w:w="1360" w:type="dxa"/>
            <w:vAlign w:val="bottom"/>
          </w:tcPr>
          <w:p>
            <w:pPr>
              <w:jc w:val="right"/>
              <w:ind w:right="62"/>
              <w:spacing w:after="0"/>
              <w:rPr>
                <w:sz w:val="20"/>
                <w:szCs w:val="20"/>
                <w:color w:val="auto"/>
              </w:rPr>
            </w:pPr>
            <w:r>
              <w:rPr>
                <w:rFonts w:ascii="Arial" w:cs="Arial" w:eastAsia="Arial" w:hAnsi="Arial"/>
                <w:sz w:val="16"/>
                <w:szCs w:val="16"/>
                <w:b w:val="1"/>
                <w:bCs w:val="1"/>
                <w:color w:val="auto"/>
              </w:rPr>
              <w:t>21,843</w:t>
            </w:r>
          </w:p>
        </w:tc>
        <w:tc>
          <w:tcPr>
            <w:tcW w:w="220" w:type="dxa"/>
            <w:vAlign w:val="bottom"/>
          </w:tcPr>
          <w:p>
            <w:pPr>
              <w:spacing w:after="0"/>
              <w:rPr>
                <w:sz w:val="19"/>
                <w:szCs w:val="19"/>
                <w:color w:val="auto"/>
              </w:rPr>
            </w:pPr>
          </w:p>
        </w:tc>
        <w:tc>
          <w:tcPr>
            <w:tcW w:w="1360" w:type="dxa"/>
            <w:vAlign w:val="bottom"/>
          </w:tcPr>
          <w:p>
            <w:pPr>
              <w:jc w:val="right"/>
              <w:ind w:right="63"/>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9"/>
                <w:szCs w:val="19"/>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b w:val="1"/>
                <w:bCs w:val="1"/>
                <w:color w:val="auto"/>
              </w:rPr>
              <w:t>(10)</w:t>
            </w:r>
          </w:p>
        </w:tc>
        <w:tc>
          <w:tcPr>
            <w:tcW w:w="220" w:type="dxa"/>
            <w:vAlign w:val="bottom"/>
          </w:tcPr>
          <w:p>
            <w:pPr>
              <w:spacing w:after="0"/>
              <w:rPr>
                <w:sz w:val="19"/>
                <w:szCs w:val="19"/>
                <w:color w:val="auto"/>
              </w:rPr>
            </w:pPr>
          </w:p>
        </w:tc>
        <w:tc>
          <w:tcPr>
            <w:tcW w:w="1320" w:type="dxa"/>
            <w:vAlign w:val="bottom"/>
          </w:tcPr>
          <w:p>
            <w:pPr>
              <w:jc w:val="right"/>
              <w:ind w:right="23"/>
              <w:spacing w:after="0"/>
              <w:rPr>
                <w:sz w:val="20"/>
                <w:szCs w:val="20"/>
                <w:color w:val="auto"/>
              </w:rPr>
            </w:pPr>
            <w:r>
              <w:rPr>
                <w:rFonts w:ascii="Arial" w:cs="Arial" w:eastAsia="Arial" w:hAnsi="Arial"/>
                <w:sz w:val="16"/>
                <w:szCs w:val="16"/>
                <w:b w:val="1"/>
                <w:bCs w:val="1"/>
                <w:color w:val="auto"/>
              </w:rPr>
              <w:t>24,499</w:t>
            </w:r>
          </w:p>
        </w:tc>
      </w:tr>
      <w:tr>
        <w:trPr>
          <w:trHeight w:val="204"/>
        </w:trPr>
        <w:tc>
          <w:tcPr>
            <w:tcW w:w="4240" w:type="dxa"/>
            <w:vAlign w:val="bottom"/>
          </w:tcPr>
          <w:p>
            <w:pPr>
              <w:ind w:left="180"/>
              <w:spacing w:after="0"/>
              <w:rPr>
                <w:sz w:val="20"/>
                <w:szCs w:val="20"/>
                <w:color w:val="auto"/>
              </w:rPr>
            </w:pPr>
            <w:r>
              <w:rPr>
                <w:rFonts w:ascii="Arial" w:cs="Arial" w:eastAsia="Arial" w:hAnsi="Arial"/>
                <w:sz w:val="16"/>
                <w:szCs w:val="16"/>
                <w:b w:val="1"/>
                <w:bCs w:val="1"/>
                <w:color w:val="auto"/>
              </w:rPr>
              <w:t>Net amount reclassified from accumulated other</w:t>
            </w: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2"/>
        </w:trPr>
        <w:tc>
          <w:tcPr>
            <w:tcW w:w="4240" w:type="dxa"/>
            <w:vAlign w:val="bottom"/>
          </w:tcPr>
          <w:p>
            <w:pPr>
              <w:ind w:left="260"/>
              <w:spacing w:after="0"/>
              <w:rPr>
                <w:sz w:val="20"/>
                <w:szCs w:val="20"/>
                <w:color w:val="auto"/>
              </w:rPr>
            </w:pPr>
            <w:r>
              <w:rPr>
                <w:rFonts w:ascii="Arial" w:cs="Arial" w:eastAsia="Arial" w:hAnsi="Arial"/>
                <w:sz w:val="16"/>
                <w:szCs w:val="16"/>
                <w:b w:val="1"/>
                <w:bCs w:val="1"/>
                <w:color w:val="auto"/>
              </w:rPr>
              <w:t>comprehensive income</w:t>
            </w: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(159,164)</w:t>
            </w: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(8,887)</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257</w:t>
            </w: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(167,794)</w:t>
            </w:r>
          </w:p>
        </w:tc>
      </w:tr>
      <w:tr>
        <w:trPr>
          <w:trHeight w:val="264"/>
        </w:trPr>
        <w:tc>
          <w:tcPr>
            <w:tcW w:w="4240" w:type="dxa"/>
            <w:vAlign w:val="bottom"/>
          </w:tcPr>
          <w:p>
            <w:pPr>
              <w:ind w:left="180"/>
              <w:spacing w:after="0"/>
              <w:rPr>
                <w:sz w:val="20"/>
                <w:szCs w:val="20"/>
                <w:color w:val="auto"/>
              </w:rPr>
            </w:pPr>
            <w:r>
              <w:rPr>
                <w:rFonts w:ascii="Arial" w:cs="Arial" w:eastAsia="Arial" w:hAnsi="Arial"/>
                <w:sz w:val="16"/>
                <w:szCs w:val="16"/>
                <w:b w:val="1"/>
                <w:bCs w:val="1"/>
                <w:color w:val="auto"/>
              </w:rPr>
              <w:t>Other comprehensive income, net of tax</w:t>
            </w: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2,666</w:t>
            </w:r>
          </w:p>
        </w:tc>
        <w:tc>
          <w:tcPr>
            <w:tcW w:w="2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(137,321)</w:t>
            </w:r>
          </w:p>
        </w:tc>
        <w:tc>
          <w:tcPr>
            <w:tcW w:w="2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(8,887)</w:t>
            </w: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247</w:t>
            </w:r>
          </w:p>
        </w:tc>
        <w:tc>
          <w:tcPr>
            <w:tcW w:w="2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(143,295)</w:t>
            </w:r>
          </w:p>
        </w:tc>
      </w:tr>
      <w:tr>
        <w:trPr>
          <w:trHeight w:val="267"/>
        </w:trPr>
        <w:tc>
          <w:tcPr>
            <w:tcW w:w="4240" w:type="dxa"/>
            <w:vAlign w:val="bottom"/>
          </w:tcPr>
          <w:p>
            <w:pPr>
              <w:ind w:left="40"/>
              <w:spacing w:after="0"/>
              <w:rPr>
                <w:sz w:val="20"/>
                <w:szCs w:val="20"/>
                <w:color w:val="auto"/>
              </w:rPr>
            </w:pPr>
            <w:r>
              <w:rPr>
                <w:rFonts w:ascii="Arial" w:cs="Arial" w:eastAsia="Arial" w:hAnsi="Arial"/>
                <w:sz w:val="16"/>
                <w:szCs w:val="16"/>
                <w:b w:val="1"/>
                <w:bCs w:val="1"/>
                <w:color w:val="auto"/>
              </w:rPr>
              <w:t>Balance as of June 30, 2014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27,679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36,342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rPr>
              <w:t>492,559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(381)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556,199</w:t>
            </w:r>
          </w:p>
        </w:tc>
      </w:tr>
      <w:tr>
        <w:trPr>
          <w:trHeight w:val="20"/>
        </w:trPr>
        <w:tc>
          <w:tcPr>
            <w:tcW w:w="4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amounts and line items of reclassifications out of Accumulated Other Comprehensive Income are as follows: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7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Six Months Ended</w:t>
            </w:r>
          </w:p>
        </w:tc>
        <w:tc>
          <w:tcPr>
            <w:tcW w:w="2500" w:type="dxa"/>
            <w:vAlign w:val="bottom"/>
            <w:vMerge w:val="restart"/>
          </w:tcPr>
          <w:p>
            <w:pPr>
              <w:jc w:val="center"/>
              <w:ind w:left="28"/>
              <w:spacing w:after="0"/>
              <w:rPr>
                <w:sz w:val="20"/>
                <w:szCs w:val="20"/>
                <w:color w:val="auto"/>
              </w:rPr>
            </w:pPr>
            <w:r>
              <w:rPr>
                <w:rFonts w:ascii="Arial" w:cs="Arial" w:eastAsia="Arial" w:hAnsi="Arial"/>
                <w:sz w:val="14"/>
                <w:szCs w:val="14"/>
                <w:b w:val="1"/>
                <w:bCs w:val="1"/>
                <w:color w:val="auto"/>
              </w:rPr>
              <w:t>Affected Line Item in the</w:t>
            </w:r>
          </w:p>
        </w:tc>
        <w:tc>
          <w:tcPr>
            <w:tcW w:w="0" w:type="dxa"/>
            <w:vAlign w:val="bottom"/>
          </w:tcPr>
          <w:p>
            <w:pPr>
              <w:spacing w:after="0"/>
              <w:rPr>
                <w:sz w:val="1"/>
                <w:szCs w:val="1"/>
                <w:color w:val="auto"/>
              </w:rPr>
            </w:pPr>
          </w:p>
        </w:tc>
      </w:tr>
      <w:tr>
        <w:trPr>
          <w:trHeight w:val="150"/>
        </w:trPr>
        <w:tc>
          <w:tcPr>
            <w:tcW w:w="4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jc w:val="right"/>
              <w:spacing w:after="0" w:line="151" w:lineRule="exact"/>
              <w:rPr>
                <w:sz w:val="20"/>
                <w:szCs w:val="20"/>
                <w:color w:val="auto"/>
              </w:rPr>
            </w:pPr>
            <w:r>
              <w:rPr>
                <w:rFonts w:ascii="Arial" w:cs="Arial" w:eastAsia="Arial" w:hAnsi="Arial"/>
                <w:sz w:val="14"/>
                <w:szCs w:val="14"/>
                <w:b w:val="1"/>
                <w:bCs w:val="1"/>
                <w:color w:val="auto"/>
              </w:rPr>
              <w:t>June 30</w:t>
            </w: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2"/>
          </w:tcPr>
          <w:p>
            <w:pPr>
              <w:jc w:val="right"/>
              <w:spacing w:after="0" w:line="151" w:lineRule="exact"/>
              <w:rPr>
                <w:sz w:val="20"/>
                <w:szCs w:val="20"/>
                <w:color w:val="auto"/>
              </w:rPr>
            </w:pPr>
            <w:r>
              <w:rPr>
                <w:rFonts w:ascii="Arial" w:cs="Arial" w:eastAsia="Arial" w:hAnsi="Arial"/>
                <w:sz w:val="14"/>
                <w:szCs w:val="14"/>
                <w:b w:val="1"/>
                <w:bCs w:val="1"/>
                <w:color w:val="auto"/>
              </w:rPr>
              <w:t>June 30</w:t>
            </w:r>
          </w:p>
        </w:tc>
        <w:tc>
          <w:tcPr>
            <w:tcW w:w="620" w:type="dxa"/>
            <w:vAlign w:val="bottom"/>
          </w:tcPr>
          <w:p>
            <w:pPr>
              <w:spacing w:after="0"/>
              <w:rPr>
                <w:sz w:val="13"/>
                <w:szCs w:val="13"/>
                <w:color w:val="auto"/>
              </w:rPr>
            </w:pPr>
          </w:p>
        </w:tc>
        <w:tc>
          <w:tcPr>
            <w:tcW w:w="2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49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500" w:type="dxa"/>
            <w:vAlign w:val="bottom"/>
            <w:vMerge w:val="restart"/>
          </w:tcPr>
          <w:p>
            <w:pPr>
              <w:jc w:val="center"/>
              <w:ind w:left="48"/>
              <w:spacing w:after="0" w:line="133" w:lineRule="exact"/>
              <w:rPr>
                <w:sz w:val="20"/>
                <w:szCs w:val="20"/>
                <w:color w:val="auto"/>
              </w:rPr>
            </w:pPr>
            <w:r>
              <w:rPr>
                <w:rFonts w:ascii="Arial" w:cs="Arial" w:eastAsia="Arial" w:hAnsi="Arial"/>
                <w:sz w:val="14"/>
                <w:szCs w:val="14"/>
                <w:b w:val="1"/>
                <w:bCs w:val="1"/>
                <w:color w:val="auto"/>
              </w:rPr>
              <w:t>Condensed Consolidated</w:t>
            </w:r>
          </w:p>
        </w:tc>
        <w:tc>
          <w:tcPr>
            <w:tcW w:w="0" w:type="dxa"/>
            <w:vAlign w:val="bottom"/>
          </w:tcPr>
          <w:p>
            <w:pPr>
              <w:spacing w:after="0"/>
              <w:rPr>
                <w:sz w:val="1"/>
                <w:szCs w:val="1"/>
                <w:color w:val="auto"/>
              </w:rPr>
            </w:pPr>
          </w:p>
        </w:tc>
      </w:tr>
      <w:tr>
        <w:trPr>
          <w:trHeight w:val="59"/>
        </w:trPr>
        <w:tc>
          <w:tcPr>
            <w:tcW w:w="4920" w:type="dxa"/>
            <w:vAlign w:val="bottom"/>
          </w:tcPr>
          <w:p>
            <w:pPr>
              <w:spacing w:after="0"/>
              <w:rPr>
                <w:sz w:val="5"/>
                <w:szCs w:val="5"/>
                <w:color w:val="auto"/>
              </w:rPr>
            </w:pPr>
          </w:p>
        </w:tc>
        <w:tc>
          <w:tcPr>
            <w:tcW w:w="200" w:type="dxa"/>
            <w:vAlign w:val="bottom"/>
          </w:tcPr>
          <w:p>
            <w:pPr>
              <w:spacing w:after="0"/>
              <w:rPr>
                <w:sz w:val="5"/>
                <w:szCs w:val="5"/>
                <w:color w:val="auto"/>
              </w:rPr>
            </w:pPr>
          </w:p>
        </w:tc>
        <w:tc>
          <w:tcPr>
            <w:tcW w:w="9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color w:val="auto"/>
              </w:rPr>
              <w:t>2013</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color w:val="auto"/>
              </w:rPr>
              <w:t>2013</w:t>
            </w:r>
          </w:p>
        </w:tc>
        <w:tc>
          <w:tcPr>
            <w:tcW w:w="250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rPr>
              <w:t>Statement of Operations</w:t>
            </w:r>
          </w:p>
        </w:tc>
        <w:tc>
          <w:tcPr>
            <w:tcW w:w="0" w:type="dxa"/>
            <w:vAlign w:val="bottom"/>
          </w:tcPr>
          <w:p>
            <w:pPr>
              <w:spacing w:after="0"/>
              <w:rPr>
                <w:sz w:val="1"/>
                <w:szCs w:val="1"/>
                <w:color w:val="auto"/>
              </w:rPr>
            </w:pPr>
          </w:p>
        </w:tc>
      </w:tr>
      <w:tr>
        <w:trPr>
          <w:trHeight w:val="257"/>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Unrealized Gains on Available-for-sale Securities:</w:t>
            </w: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Realized (gain) loss for the period</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21"/>
              <w:spacing w:after="0"/>
              <w:rPr>
                <w:sz w:val="20"/>
                <w:szCs w:val="20"/>
                <w:color w:val="auto"/>
              </w:rPr>
            </w:pPr>
            <w:r>
              <w:rPr>
                <w:rFonts w:ascii="Arial" w:cs="Arial" w:eastAsia="Arial" w:hAnsi="Arial"/>
                <w:sz w:val="16"/>
                <w:szCs w:val="16"/>
                <w:b w:val="1"/>
                <w:bCs w:val="1"/>
                <w:color w:val="auto"/>
              </w:rPr>
              <w:t>(266,059)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(333)</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21"/>
              <w:spacing w:after="0"/>
              <w:rPr>
                <w:sz w:val="20"/>
                <w:szCs w:val="20"/>
                <w:color w:val="auto"/>
              </w:rPr>
            </w:pPr>
            <w:r>
              <w:rPr>
                <w:rFonts w:ascii="Arial" w:cs="Arial" w:eastAsia="Arial" w:hAnsi="Arial"/>
                <w:sz w:val="16"/>
                <w:szCs w:val="16"/>
                <w:b w:val="1"/>
                <w:bCs w:val="1"/>
                <w:color w:val="auto"/>
              </w:rPr>
              <w:t>(265,274)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(884)</w:t>
            </w:r>
          </w:p>
        </w:tc>
        <w:tc>
          <w:tcPr>
            <w:tcW w:w="2500" w:type="dxa"/>
            <w:vAlign w:val="bottom"/>
          </w:tcPr>
          <w:p>
            <w:pPr>
              <w:ind w:left="140"/>
              <w:spacing w:after="0"/>
              <w:rPr>
                <w:sz w:val="20"/>
                <w:szCs w:val="20"/>
                <w:color w:val="auto"/>
              </w:rPr>
            </w:pPr>
            <w:r>
              <w:rPr>
                <w:rFonts w:ascii="Arial" w:cs="Arial" w:eastAsia="Arial" w:hAnsi="Arial"/>
                <w:sz w:val="14"/>
                <w:szCs w:val="14"/>
                <w:color w:val="auto"/>
              </w:rPr>
              <w:t>Other income (expense), net</w:t>
            </w:r>
          </w:p>
        </w:tc>
        <w:tc>
          <w:tcPr>
            <w:tcW w:w="0" w:type="dxa"/>
            <w:vAlign w:val="bottom"/>
          </w:tcPr>
          <w:p>
            <w:pPr>
              <w:spacing w:after="0"/>
              <w:rPr>
                <w:sz w:val="1"/>
                <w:szCs w:val="1"/>
                <w:color w:val="auto"/>
              </w:rPr>
            </w:pPr>
          </w:p>
        </w:tc>
      </w:tr>
      <w:tr>
        <w:trPr>
          <w:trHeight w:val="274"/>
        </w:trPr>
        <w:tc>
          <w:tcPr>
            <w:tcW w:w="49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106,424</w:t>
            </w:r>
          </w:p>
        </w:tc>
        <w:tc>
          <w:tcPr>
            <w:tcW w:w="24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133</w:t>
            </w: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106,110</w:t>
            </w:r>
          </w:p>
        </w:tc>
        <w:tc>
          <w:tcPr>
            <w:tcW w:w="24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353</w:t>
            </w:r>
          </w:p>
        </w:tc>
        <w:tc>
          <w:tcPr>
            <w:tcW w:w="2500" w:type="dxa"/>
            <w:vAlign w:val="bottom"/>
          </w:tcPr>
          <w:p>
            <w:pPr>
              <w:ind w:left="14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61"/>
        </w:trPr>
        <w:tc>
          <w:tcPr>
            <w:tcW w:w="49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(159,635)</w:t>
            </w:r>
          </w:p>
        </w:tc>
        <w:tc>
          <w:tcPr>
            <w:tcW w:w="2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(200)</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(159,164)</w:t>
            </w:r>
          </w:p>
        </w:tc>
        <w:tc>
          <w:tcPr>
            <w:tcW w:w="2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(531)</w:t>
            </w:r>
          </w:p>
        </w:tc>
        <w:tc>
          <w:tcPr>
            <w:tcW w:w="2500" w:type="dxa"/>
            <w:vAlign w:val="bottom"/>
          </w:tcPr>
          <w:p>
            <w:pPr>
              <w:ind w:left="140"/>
              <w:spacing w:after="0"/>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263"/>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Pension and Other Postretirement Plans:</w:t>
            </w: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Amortization of net prior service credit</w:t>
            </w:r>
          </w:p>
        </w:tc>
        <w:tc>
          <w:tcPr>
            <w:tcW w:w="200" w:type="dxa"/>
            <w:vAlign w:val="bottom"/>
          </w:tcPr>
          <w:p>
            <w:pPr>
              <w:spacing w:after="0"/>
              <w:rPr>
                <w:sz w:val="23"/>
                <w:szCs w:val="23"/>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b w:val="1"/>
                <w:bCs w:val="1"/>
                <w:color w:val="auto"/>
              </w:rPr>
              <w:t>(102)</w:t>
            </w:r>
          </w:p>
        </w:tc>
        <w:tc>
          <w:tcPr>
            <w:tcW w:w="240" w:type="dxa"/>
            <w:vAlign w:val="bottom"/>
          </w:tcPr>
          <w:p>
            <w:pPr>
              <w:spacing w:after="0"/>
              <w:rPr>
                <w:sz w:val="23"/>
                <w:szCs w:val="23"/>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(384)</w:t>
            </w:r>
          </w:p>
        </w:tc>
        <w:tc>
          <w:tcPr>
            <w:tcW w:w="260" w:type="dxa"/>
            <w:vAlign w:val="bottom"/>
          </w:tcPr>
          <w:p>
            <w:pPr>
              <w:spacing w:after="0"/>
              <w:rPr>
                <w:sz w:val="23"/>
                <w:szCs w:val="23"/>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b w:val="1"/>
                <w:bCs w:val="1"/>
                <w:color w:val="auto"/>
              </w:rPr>
              <w:t>(204)</w:t>
            </w:r>
          </w:p>
        </w:tc>
        <w:tc>
          <w:tcPr>
            <w:tcW w:w="2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(821)</w:t>
            </w:r>
          </w:p>
        </w:tc>
        <w:tc>
          <w:tcPr>
            <w:tcW w:w="2500" w:type="dxa"/>
            <w:vAlign w:val="bottom"/>
          </w:tcPr>
          <w:p>
            <w:pPr>
              <w:ind w:left="14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Amortization of net actuarial (gain) loss</w:t>
            </w:r>
          </w:p>
        </w:tc>
        <w:tc>
          <w:tcPr>
            <w:tcW w:w="200" w:type="dxa"/>
            <w:vAlign w:val="bottom"/>
          </w:tcPr>
          <w:p>
            <w:pPr>
              <w:spacing w:after="0"/>
              <w:rPr>
                <w:sz w:val="23"/>
                <w:szCs w:val="23"/>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b w:val="1"/>
                <w:bCs w:val="1"/>
                <w:color w:val="auto"/>
              </w:rPr>
              <w:t>(7,425)</w:t>
            </w:r>
          </w:p>
        </w:tc>
        <w:tc>
          <w:tcPr>
            <w:tcW w:w="240" w:type="dxa"/>
            <w:vAlign w:val="bottom"/>
          </w:tcPr>
          <w:p>
            <w:pPr>
              <w:spacing w:after="0"/>
              <w:rPr>
                <w:sz w:val="23"/>
                <w:szCs w:val="23"/>
                <w:color w:val="auto"/>
              </w:rPr>
            </w:pPr>
          </w:p>
        </w:tc>
        <w:tc>
          <w:tcPr>
            <w:tcW w:w="660" w:type="dxa"/>
            <w:vAlign w:val="bottom"/>
          </w:tcPr>
          <w:p>
            <w:pPr>
              <w:jc w:val="right"/>
              <w:ind w:right="60"/>
              <w:spacing w:after="0"/>
              <w:rPr>
                <w:sz w:val="20"/>
                <w:szCs w:val="20"/>
                <w:color w:val="auto"/>
              </w:rPr>
            </w:pPr>
            <w:r>
              <w:rPr>
                <w:rFonts w:ascii="Arial" w:cs="Arial" w:eastAsia="Arial" w:hAnsi="Arial"/>
                <w:sz w:val="16"/>
                <w:szCs w:val="16"/>
                <w:color w:val="auto"/>
              </w:rPr>
              <w:t>2,004</w:t>
            </w:r>
          </w:p>
        </w:tc>
        <w:tc>
          <w:tcPr>
            <w:tcW w:w="260" w:type="dxa"/>
            <w:vAlign w:val="bottom"/>
          </w:tcPr>
          <w:p>
            <w:pPr>
              <w:spacing w:after="0"/>
              <w:rPr>
                <w:sz w:val="23"/>
                <w:szCs w:val="23"/>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b w:val="1"/>
                <w:bCs w:val="1"/>
                <w:color w:val="auto"/>
              </w:rPr>
              <w:t>(14,607)</w:t>
            </w:r>
          </w:p>
        </w:tc>
        <w:tc>
          <w:tcPr>
            <w:tcW w:w="240" w:type="dxa"/>
            <w:vAlign w:val="bottom"/>
          </w:tcPr>
          <w:p>
            <w:pPr>
              <w:spacing w:after="0"/>
              <w:rPr>
                <w:sz w:val="23"/>
                <w:szCs w:val="23"/>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4,321</w:t>
            </w:r>
          </w:p>
        </w:tc>
        <w:tc>
          <w:tcPr>
            <w:tcW w:w="2500" w:type="dxa"/>
            <w:vAlign w:val="bottom"/>
          </w:tcPr>
          <w:p>
            <w:pPr>
              <w:ind w:left="14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74"/>
        </w:trPr>
        <w:tc>
          <w:tcPr>
            <w:tcW w:w="4920" w:type="dxa"/>
            <w:vAlign w:val="bottom"/>
          </w:tcPr>
          <w:p>
            <w:pPr>
              <w:ind w:left="180"/>
              <w:spacing w:after="0"/>
              <w:rPr>
                <w:sz w:val="20"/>
                <w:szCs w:val="20"/>
                <w:color w:val="auto"/>
              </w:rPr>
            </w:pPr>
            <w:r>
              <w:rPr>
                <w:rFonts w:ascii="Arial" w:cs="Arial" w:eastAsia="Arial" w:hAnsi="Arial"/>
                <w:sz w:val="16"/>
                <w:szCs w:val="16"/>
                <w:color w:val="auto"/>
              </w:rPr>
              <w:t>Settlement gain</w:t>
            </w:r>
          </w:p>
        </w:tc>
        <w:tc>
          <w:tcPr>
            <w:tcW w:w="2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(3,471)</w:t>
            </w:r>
          </w:p>
        </w:tc>
        <w:tc>
          <w:tcPr>
            <w:tcW w:w="2500" w:type="dxa"/>
            <w:vAlign w:val="bottom"/>
          </w:tcPr>
          <w:p>
            <w:pPr>
              <w:ind w:left="14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60"/>
        </w:trPr>
        <w:tc>
          <w:tcPr>
            <w:tcW w:w="4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b w:val="1"/>
                <w:bCs w:val="1"/>
                <w:color w:val="auto"/>
              </w:rPr>
              <w:t>(7,527)</w:t>
            </w:r>
          </w:p>
        </w:tc>
        <w:tc>
          <w:tcPr>
            <w:tcW w:w="240" w:type="dxa"/>
            <w:vAlign w:val="bottom"/>
          </w:tcPr>
          <w:p>
            <w:pPr>
              <w:spacing w:after="0"/>
              <w:rPr>
                <w:sz w:val="22"/>
                <w:szCs w:val="22"/>
                <w:color w:val="auto"/>
              </w:rPr>
            </w:pPr>
          </w:p>
        </w:tc>
        <w:tc>
          <w:tcPr>
            <w:tcW w:w="660" w:type="dxa"/>
            <w:vAlign w:val="bottom"/>
          </w:tcPr>
          <w:p>
            <w:pPr>
              <w:jc w:val="right"/>
              <w:ind w:right="60"/>
              <w:spacing w:after="0"/>
              <w:rPr>
                <w:sz w:val="20"/>
                <w:szCs w:val="20"/>
                <w:color w:val="auto"/>
              </w:rPr>
            </w:pPr>
            <w:r>
              <w:rPr>
                <w:rFonts w:ascii="Arial" w:cs="Arial" w:eastAsia="Arial" w:hAnsi="Arial"/>
                <w:sz w:val="16"/>
                <w:szCs w:val="16"/>
                <w:color w:val="auto"/>
              </w:rPr>
              <w:t>1,620</w:t>
            </w:r>
          </w:p>
        </w:tc>
        <w:tc>
          <w:tcPr>
            <w:tcW w:w="260" w:type="dxa"/>
            <w:vAlign w:val="bottom"/>
          </w:tcPr>
          <w:p>
            <w:pPr>
              <w:spacing w:after="0"/>
              <w:rPr>
                <w:sz w:val="22"/>
                <w:szCs w:val="22"/>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b w:val="1"/>
                <w:bCs w:val="1"/>
                <w:color w:val="auto"/>
              </w:rPr>
              <w:t>(14,811)</w:t>
            </w:r>
          </w:p>
        </w:tc>
        <w:tc>
          <w:tcPr>
            <w:tcW w:w="240" w:type="dxa"/>
            <w:vAlign w:val="bottom"/>
          </w:tcPr>
          <w:p>
            <w:pPr>
              <w:spacing w:after="0"/>
              <w:rPr>
                <w:sz w:val="22"/>
                <w:szCs w:val="22"/>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29</w:t>
            </w:r>
          </w:p>
        </w:tc>
        <w:tc>
          <w:tcPr>
            <w:tcW w:w="2500" w:type="dxa"/>
            <w:vAlign w:val="bottom"/>
          </w:tcPr>
          <w:p>
            <w:pPr>
              <w:ind w:left="140"/>
              <w:spacing w:after="0"/>
              <w:rPr>
                <w:sz w:val="20"/>
                <w:szCs w:val="20"/>
                <w:color w:val="auto"/>
              </w:rPr>
            </w:pPr>
            <w:r>
              <w:rPr>
                <w:rFonts w:ascii="Arial" w:cs="Arial" w:eastAsia="Arial" w:hAnsi="Arial"/>
                <w:sz w:val="14"/>
                <w:szCs w:val="14"/>
                <w:color w:val="auto"/>
              </w:rPr>
              <w:t>Before tax</w:t>
            </w:r>
          </w:p>
        </w:tc>
        <w:tc>
          <w:tcPr>
            <w:tcW w:w="0" w:type="dxa"/>
            <w:vAlign w:val="bottom"/>
          </w:tcPr>
          <w:p>
            <w:pPr>
              <w:spacing w:after="0"/>
              <w:rPr>
                <w:sz w:val="1"/>
                <w:szCs w:val="1"/>
                <w:color w:val="auto"/>
              </w:rPr>
            </w:pPr>
          </w:p>
        </w:tc>
      </w:tr>
      <w:tr>
        <w:trPr>
          <w:trHeight w:val="274"/>
        </w:trPr>
        <w:tc>
          <w:tcPr>
            <w:tcW w:w="49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3,011</w:t>
            </w:r>
          </w:p>
        </w:tc>
        <w:tc>
          <w:tcPr>
            <w:tcW w:w="24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(648)</w:t>
            </w: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5,924</w:t>
            </w:r>
          </w:p>
        </w:tc>
        <w:tc>
          <w:tcPr>
            <w:tcW w:w="24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2500" w:type="dxa"/>
            <w:vAlign w:val="bottom"/>
          </w:tcPr>
          <w:p>
            <w:pPr>
              <w:ind w:left="140"/>
              <w:spacing w:after="0"/>
              <w:rPr>
                <w:sz w:val="20"/>
                <w:szCs w:val="20"/>
                <w:color w:val="auto"/>
              </w:rPr>
            </w:pPr>
            <w:r>
              <w:rPr>
                <w:rFonts w:ascii="Arial" w:cs="Arial" w:eastAsia="Arial" w:hAnsi="Arial"/>
                <w:sz w:val="14"/>
                <w:szCs w:val="14"/>
                <w:color w:val="auto"/>
              </w:rPr>
              <w:t>Provision for Income Taxes</w:t>
            </w:r>
          </w:p>
        </w:tc>
        <w:tc>
          <w:tcPr>
            <w:tcW w:w="0" w:type="dxa"/>
            <w:vAlign w:val="bottom"/>
          </w:tcPr>
          <w:p>
            <w:pPr>
              <w:spacing w:after="0"/>
              <w:rPr>
                <w:sz w:val="1"/>
                <w:szCs w:val="1"/>
                <w:color w:val="auto"/>
              </w:rPr>
            </w:pPr>
          </w:p>
        </w:tc>
      </w:tr>
      <w:tr>
        <w:trPr>
          <w:trHeight w:val="261"/>
        </w:trPr>
        <w:tc>
          <w:tcPr>
            <w:tcW w:w="49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(4,516)</w:t>
            </w:r>
          </w:p>
        </w:tc>
        <w:tc>
          <w:tcPr>
            <w:tcW w:w="2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972</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(8,887)</w:t>
            </w:r>
          </w:p>
        </w:tc>
        <w:tc>
          <w:tcPr>
            <w:tcW w:w="2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17</w:t>
            </w:r>
          </w:p>
        </w:tc>
        <w:tc>
          <w:tcPr>
            <w:tcW w:w="2500" w:type="dxa"/>
            <w:vAlign w:val="bottom"/>
          </w:tcPr>
          <w:p>
            <w:pPr>
              <w:ind w:left="140"/>
              <w:spacing w:after="0"/>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263"/>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Cash Flow Hedge</w:t>
            </w: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jc w:val="right"/>
              <w:ind w:right="81"/>
              <w:spacing w:after="0"/>
              <w:rPr>
                <w:sz w:val="20"/>
                <w:szCs w:val="20"/>
                <w:color w:val="auto"/>
              </w:rPr>
            </w:pPr>
            <w:r>
              <w:rPr>
                <w:rFonts w:ascii="Arial" w:cs="Arial" w:eastAsia="Arial" w:hAnsi="Arial"/>
                <w:sz w:val="16"/>
                <w:szCs w:val="16"/>
                <w:b w:val="1"/>
                <w:bCs w:val="1"/>
                <w:color w:val="auto"/>
              </w:rPr>
              <w:t>216</w:t>
            </w:r>
          </w:p>
        </w:tc>
        <w:tc>
          <w:tcPr>
            <w:tcW w:w="240" w:type="dxa"/>
            <w:vAlign w:val="bottom"/>
          </w:tcPr>
          <w:p>
            <w:pPr>
              <w:spacing w:after="0"/>
              <w:rPr>
                <w:sz w:val="23"/>
                <w:szCs w:val="23"/>
                <w:color w:val="auto"/>
              </w:rPr>
            </w:pPr>
          </w:p>
        </w:tc>
        <w:tc>
          <w:tcPr>
            <w:tcW w:w="660" w:type="dxa"/>
            <w:vAlign w:val="bottom"/>
          </w:tcPr>
          <w:p>
            <w:pPr>
              <w:jc w:val="right"/>
              <w:ind w:right="60"/>
              <w:spacing w:after="0"/>
              <w:rPr>
                <w:sz w:val="20"/>
                <w:szCs w:val="20"/>
                <w:color w:val="auto"/>
              </w:rPr>
            </w:pPr>
            <w:r>
              <w:rPr>
                <w:rFonts w:ascii="Arial" w:cs="Arial" w:eastAsia="Arial" w:hAnsi="Arial"/>
                <w:sz w:val="16"/>
                <w:szCs w:val="16"/>
                <w:color w:val="auto"/>
              </w:rPr>
              <w:t>197</w:t>
            </w:r>
          </w:p>
        </w:tc>
        <w:tc>
          <w:tcPr>
            <w:tcW w:w="260" w:type="dxa"/>
            <w:vAlign w:val="bottom"/>
          </w:tcPr>
          <w:p>
            <w:pPr>
              <w:spacing w:after="0"/>
              <w:rPr>
                <w:sz w:val="23"/>
                <w:szCs w:val="23"/>
                <w:color w:val="auto"/>
              </w:rPr>
            </w:pPr>
          </w:p>
        </w:tc>
        <w:tc>
          <w:tcPr>
            <w:tcW w:w="880" w:type="dxa"/>
            <w:vAlign w:val="bottom"/>
          </w:tcPr>
          <w:p>
            <w:pPr>
              <w:jc w:val="right"/>
              <w:ind w:right="81"/>
              <w:spacing w:after="0"/>
              <w:rPr>
                <w:sz w:val="20"/>
                <w:szCs w:val="20"/>
                <w:color w:val="auto"/>
              </w:rPr>
            </w:pPr>
            <w:r>
              <w:rPr>
                <w:rFonts w:ascii="Arial" w:cs="Arial" w:eastAsia="Arial" w:hAnsi="Arial"/>
                <w:sz w:val="16"/>
                <w:szCs w:val="16"/>
                <w:b w:val="1"/>
                <w:bCs w:val="1"/>
                <w:color w:val="auto"/>
              </w:rPr>
              <w:t>428</w:t>
            </w:r>
          </w:p>
        </w:tc>
        <w:tc>
          <w:tcPr>
            <w:tcW w:w="240" w:type="dxa"/>
            <w:vAlign w:val="bottom"/>
          </w:tcPr>
          <w:p>
            <w:pPr>
              <w:spacing w:after="0"/>
              <w:rPr>
                <w:sz w:val="23"/>
                <w:szCs w:val="23"/>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383</w:t>
            </w:r>
          </w:p>
        </w:tc>
        <w:tc>
          <w:tcPr>
            <w:tcW w:w="2500" w:type="dxa"/>
            <w:vAlign w:val="bottom"/>
          </w:tcPr>
          <w:p>
            <w:pPr>
              <w:ind w:left="140"/>
              <w:spacing w:after="0"/>
              <w:rPr>
                <w:sz w:val="20"/>
                <w:szCs w:val="20"/>
                <w:color w:val="auto"/>
              </w:rPr>
            </w:pPr>
            <w:r>
              <w:rPr>
                <w:rFonts w:ascii="Arial" w:cs="Arial" w:eastAsia="Arial" w:hAnsi="Arial"/>
                <w:sz w:val="14"/>
                <w:szCs w:val="14"/>
                <w:color w:val="auto"/>
              </w:rPr>
              <w:t>Interest expense</w:t>
            </w:r>
          </w:p>
        </w:tc>
        <w:tc>
          <w:tcPr>
            <w:tcW w:w="0" w:type="dxa"/>
            <w:vAlign w:val="bottom"/>
          </w:tcPr>
          <w:p>
            <w:pPr>
              <w:spacing w:after="0"/>
              <w:rPr>
                <w:sz w:val="1"/>
                <w:szCs w:val="1"/>
                <w:color w:val="auto"/>
              </w:rPr>
            </w:pPr>
          </w:p>
        </w:tc>
      </w:tr>
      <w:tr>
        <w:trPr>
          <w:trHeight w:val="274"/>
        </w:trPr>
        <w:tc>
          <w:tcPr>
            <w:tcW w:w="49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(86)</w:t>
            </w:r>
          </w:p>
        </w:tc>
        <w:tc>
          <w:tcPr>
            <w:tcW w:w="24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(79)</w:t>
            </w: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(171)</w:t>
            </w:r>
          </w:p>
        </w:tc>
        <w:tc>
          <w:tcPr>
            <w:tcW w:w="24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w:t>
            </w:r>
          </w:p>
        </w:tc>
        <w:tc>
          <w:tcPr>
            <w:tcW w:w="2500" w:type="dxa"/>
            <w:vAlign w:val="bottom"/>
          </w:tcPr>
          <w:p>
            <w:pPr>
              <w:ind w:left="140"/>
              <w:spacing w:after="0"/>
              <w:rPr>
                <w:sz w:val="20"/>
                <w:szCs w:val="20"/>
                <w:color w:val="auto"/>
              </w:rPr>
            </w:pPr>
            <w:r>
              <w:rPr>
                <w:rFonts w:ascii="Arial" w:cs="Arial" w:eastAsia="Arial" w:hAnsi="Arial"/>
                <w:sz w:val="14"/>
                <w:szCs w:val="14"/>
                <w:color w:val="auto"/>
              </w:rPr>
              <w:t>Provision for Income Taxes</w:t>
            </w:r>
          </w:p>
        </w:tc>
        <w:tc>
          <w:tcPr>
            <w:tcW w:w="0" w:type="dxa"/>
            <w:vAlign w:val="bottom"/>
          </w:tcPr>
          <w:p>
            <w:pPr>
              <w:spacing w:after="0"/>
              <w:rPr>
                <w:sz w:val="1"/>
                <w:szCs w:val="1"/>
                <w:color w:val="auto"/>
              </w:rPr>
            </w:pPr>
          </w:p>
        </w:tc>
      </w:tr>
      <w:tr>
        <w:trPr>
          <w:trHeight w:val="264"/>
        </w:trPr>
        <w:tc>
          <w:tcPr>
            <w:tcW w:w="49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130</w:t>
            </w:r>
          </w:p>
        </w:tc>
        <w:tc>
          <w:tcPr>
            <w:tcW w:w="2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118</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257</w:t>
            </w:r>
          </w:p>
        </w:tc>
        <w:tc>
          <w:tcPr>
            <w:tcW w:w="2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230</w:t>
            </w:r>
          </w:p>
        </w:tc>
        <w:tc>
          <w:tcPr>
            <w:tcW w:w="2500" w:type="dxa"/>
            <w:vAlign w:val="bottom"/>
          </w:tcPr>
          <w:p>
            <w:pPr>
              <w:ind w:left="140"/>
              <w:spacing w:after="0"/>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267"/>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Total reclassification for the period</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(164,021)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890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(167,794)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w:t>
            </w:r>
          </w:p>
        </w:tc>
        <w:tc>
          <w:tcPr>
            <w:tcW w:w="2500" w:type="dxa"/>
            <w:vAlign w:val="bottom"/>
          </w:tcPr>
          <w:p>
            <w:pPr>
              <w:ind w:left="140"/>
              <w:spacing w:after="0"/>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4"/>
                <w:szCs w:val="14"/>
                <w:color w:val="auto"/>
              </w:rPr>
              <w:t>____________</w:t>
            </w: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9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420" w:right="140" w:hanging="412"/>
        <w:spacing w:after="0" w:line="255" w:lineRule="auto"/>
        <w:tabs>
          <w:tab w:leader="none" w:pos="420" w:val="left"/>
        </w:tabs>
        <w:numPr>
          <w:ilvl w:val="0"/>
          <w:numId w:val="6"/>
        </w:numPr>
        <w:rPr>
          <w:rFonts w:ascii="Arial" w:cs="Arial" w:eastAsia="Arial" w:hAnsi="Arial"/>
          <w:sz w:val="14"/>
          <w:szCs w:val="14"/>
          <w:color w:val="auto"/>
        </w:rPr>
      </w:pPr>
      <w:r>
        <w:rPr>
          <w:rFonts w:ascii="Arial" w:cs="Arial" w:eastAsia="Arial" w:hAnsi="Arial"/>
          <w:sz w:val="14"/>
          <w:szCs w:val="14"/>
          <w:color w:val="auto"/>
        </w:rPr>
        <w:t>Benefits of $0.9 million and $1.2 million were recorded in Provision for Income Taxes related to the realized loss for the three and six months ended June 30, 2014, respectively. The remaining $107.3 million for the three and six months ended June 30, 2014, relates to the reversal of income taxes previously recorded on the unrealized gain of the Company’s investment in Berkshire Hathaway Inc. marketable equity securities as part of the Berkshire exchange transaction (see Note 4). The amounts for the three and six months ended June 30, 2013 were recorded in Provision for Income Taxes.</w:t>
      </w:r>
    </w:p>
    <w:p>
      <w:pPr>
        <w:spacing w:after="0" w:line="26" w:lineRule="exact"/>
        <w:rPr>
          <w:rFonts w:ascii="Arial" w:cs="Arial" w:eastAsia="Arial" w:hAnsi="Arial"/>
          <w:sz w:val="14"/>
          <w:szCs w:val="14"/>
          <w:color w:val="auto"/>
        </w:rPr>
      </w:pPr>
    </w:p>
    <w:p>
      <w:pPr>
        <w:ind w:left="420" w:hanging="412"/>
        <w:spacing w:after="0"/>
        <w:tabs>
          <w:tab w:leader="none" w:pos="42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These accumulated other comprehensive income components are included in the computation of net periodic pension and postretirement plan cost (see Note 9).</w:t>
      </w:r>
    </w:p>
    <w:p>
      <w:pPr>
        <w:sectPr>
          <w:pgSz w:w="11900" w:h="16838" w:orient="portrait"/>
          <w:cols w:equalWidth="0" w:num="1">
            <w:col w:w="11420"/>
          </w:cols>
          <w:pgMar w:left="240" w:top="746" w:right="239" w:bottom="0" w:gutter="0" w:footer="0" w:header="0"/>
          <w:type w:val="continuous"/>
        </w:sect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20"/>
          </w:cols>
          <w:pgMar w:left="240" w:top="746" w:right="239" w:bottom="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12. CONTINGENCIES</w:t>
      </w:r>
    </w:p>
    <w:p>
      <w:pPr>
        <w:spacing w:after="0" w:line="144" w:lineRule="exact"/>
        <w:rPr>
          <w:sz w:val="20"/>
          <w:szCs w:val="20"/>
          <w:color w:val="auto"/>
        </w:rPr>
      </w:pPr>
    </w:p>
    <w:p>
      <w:pPr>
        <w:ind w:right="60"/>
        <w:spacing w:after="0" w:line="230" w:lineRule="auto"/>
        <w:rPr>
          <w:sz w:val="20"/>
          <w:szCs w:val="20"/>
          <w:color w:val="auto"/>
        </w:rPr>
      </w:pPr>
      <w:r>
        <w:rPr>
          <w:rFonts w:ascii="Arial" w:cs="Arial" w:eastAsia="Arial" w:hAnsi="Arial"/>
          <w:sz w:val="18"/>
          <w:szCs w:val="18"/>
          <w:b w:val="1"/>
          <w:bCs w:val="1"/>
          <w:color w:val="auto"/>
        </w:rPr>
        <w:t xml:space="preserve">Litigation and Legal Matters. </w:t>
      </w:r>
      <w:r>
        <w:rPr>
          <w:rFonts w:ascii="Arial" w:cs="Arial" w:eastAsia="Arial" w:hAnsi="Arial"/>
          <w:sz w:val="18"/>
          <w:szCs w:val="18"/>
          <w:color w:val="auto"/>
        </w:rPr>
        <w:t>The Company and its subsidiaries are involved in various legal proceedings that arise in the ordinary course of</w:t>
      </w:r>
      <w:r>
        <w:rPr>
          <w:rFonts w:ascii="Arial" w:cs="Arial" w:eastAsia="Arial" w:hAnsi="Arial"/>
          <w:sz w:val="18"/>
          <w:szCs w:val="18"/>
          <w:b w:val="1"/>
          <w:bCs w:val="1"/>
          <w:color w:val="auto"/>
        </w:rPr>
        <w:t xml:space="preserve"> </w:t>
      </w:r>
      <w:r>
        <w:rPr>
          <w:rFonts w:ascii="Arial" w:cs="Arial" w:eastAsia="Arial" w:hAnsi="Arial"/>
          <w:sz w:val="18"/>
          <w:szCs w:val="18"/>
          <w:color w:val="auto"/>
        </w:rPr>
        <w:t>its business. Although the outcomes of the legal claims and proceedings against the Company cannot be predicted with certainty, based on currently available information, management believes that there are no existing claims or proceedings that are likely to have a material effect on the Company's business, financial condition, results of operations or cash flows. Also, based on currently available information, management is of the opinion that the exposure to future material losses from existing legal proceedings is not reasonably possible, or that future material losses in excess of the amounts accrued are not reasonably possible.</w:t>
      </w:r>
    </w:p>
    <w:p>
      <w:pPr>
        <w:spacing w:after="0" w:line="106"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b w:val="1"/>
          <w:bCs w:val="1"/>
          <w:color w:val="auto"/>
        </w:rPr>
        <w:t xml:space="preserve">ED Program Reviews. </w:t>
      </w:r>
      <w:r>
        <w:rPr>
          <w:rFonts w:ascii="Arial" w:cs="Arial" w:eastAsia="Arial" w:hAnsi="Arial"/>
          <w:sz w:val="18"/>
          <w:szCs w:val="18"/>
          <w:color w:val="auto"/>
        </w:rPr>
        <w:t>The U.S. Department of Education (ED) undertakes program reviews at Title IV participating institutions. Currently,</w:t>
      </w:r>
      <w:r>
        <w:rPr>
          <w:rFonts w:ascii="Arial" w:cs="Arial" w:eastAsia="Arial" w:hAnsi="Arial"/>
          <w:sz w:val="18"/>
          <w:szCs w:val="18"/>
          <w:b w:val="1"/>
          <w:bCs w:val="1"/>
          <w:color w:val="auto"/>
        </w:rPr>
        <w:t xml:space="preserve"> </w:t>
      </w:r>
      <w:r>
        <w:rPr>
          <w:rFonts w:ascii="Arial" w:cs="Arial" w:eastAsia="Arial" w:hAnsi="Arial"/>
          <w:sz w:val="18"/>
          <w:szCs w:val="18"/>
          <w:color w:val="auto"/>
        </w:rPr>
        <w:t>there are three open program reviews, including Broomall, PA, as the Company is awaiting the ED’s final program review report. The Company does not expect the final program review reports to have a material impact on KHE; however, the results of these open reviews and their impact on Kaplan’s operations are uncertain.</w:t>
      </w:r>
    </w:p>
    <w:p>
      <w:pPr>
        <w:spacing w:after="0" w:line="108" w:lineRule="exact"/>
        <w:rPr>
          <w:sz w:val="20"/>
          <w:szCs w:val="20"/>
          <w:color w:val="auto"/>
        </w:rPr>
      </w:pPr>
    </w:p>
    <w:p>
      <w:pPr>
        <w:spacing w:after="0" w:line="224" w:lineRule="auto"/>
        <w:rPr>
          <w:sz w:val="20"/>
          <w:szCs w:val="20"/>
          <w:color w:val="auto"/>
        </w:rPr>
      </w:pPr>
      <w:r>
        <w:rPr>
          <w:rFonts w:ascii="Arial" w:cs="Arial" w:eastAsia="Arial" w:hAnsi="Arial"/>
          <w:sz w:val="18"/>
          <w:szCs w:val="18"/>
          <w:b w:val="1"/>
          <w:bCs w:val="1"/>
          <w:color w:val="auto"/>
        </w:rPr>
        <w:t>The 90/10 Rule</w:t>
      </w:r>
      <w:r>
        <w:rPr>
          <w:rFonts w:ascii="Arial" w:cs="Arial" w:eastAsia="Arial" w:hAnsi="Arial"/>
          <w:sz w:val="18"/>
          <w:szCs w:val="18"/>
          <w:color w:val="auto"/>
        </w:rPr>
        <w:t>. Under regulations referred to as the 90/10 rule, a KHE school would lose its eligibility to participate in Title IV programs for a</w:t>
      </w:r>
      <w:r>
        <w:rPr>
          <w:rFonts w:ascii="Arial" w:cs="Arial" w:eastAsia="Arial" w:hAnsi="Arial"/>
          <w:sz w:val="18"/>
          <w:szCs w:val="18"/>
          <w:b w:val="1"/>
          <w:bCs w:val="1"/>
          <w:color w:val="auto"/>
        </w:rPr>
        <w:t xml:space="preserve"> </w:t>
      </w:r>
      <w:r>
        <w:rPr>
          <w:rFonts w:ascii="Arial" w:cs="Arial" w:eastAsia="Arial" w:hAnsi="Arial"/>
          <w:sz w:val="18"/>
          <w:szCs w:val="18"/>
          <w:color w:val="auto"/>
        </w:rPr>
        <w:t>period of at least two fiscal years if the institution derives more than 90% of its receipts from Title IV programs, as calculated on a cash basis in accordance with the Higher Education Act and applicable ED regulations, in each of two consecutive fiscal years. An institution with Title IV receipts exceeding 90% for a single fiscal year would be placed on provisional certification and may be subject to other enforcement measures. The 90/10 rule calculations are performed for each OPEID unit. KHE is taking various measures to reduce the percentage of its receipts attributable to Title IV funds, including modifying student payment options; emphasizing direct-pay and employer-paid education programs; encouraging students to carefully evaluate the amount of their Title IV borrowing; eliminating some programs; cash-matching; and developing and offering additional non-Title IV-eligible certificate preparation, professional development and continuing education programs. Absent the adoption of the changes mentioned above, and if current trends continue, management estimates that in 2014, three of the KHE Campuses’ OPEID units, representing approximately 1.7% of KHE’s 2013 revenues, could have a 90/10 ratio over 90%. As noted above, Kaplan is taking steps to address compliance with the 90/10 rule; however, there can be no guarantee that these measures will be adequate to prevent the 90/10 ratio at some of the schools from exceeding 90% in the future.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BUSINESS SEGMENTS</w:t>
      </w:r>
    </w:p>
    <w:p>
      <w:pPr>
        <w:spacing w:after="0" w:line="146" w:lineRule="exact"/>
        <w:rPr>
          <w:sz w:val="20"/>
          <w:szCs w:val="20"/>
          <w:color w:val="auto"/>
        </w:rPr>
      </w:pPr>
    </w:p>
    <w:p>
      <w:pPr>
        <w:ind w:right="760"/>
        <w:spacing w:after="0" w:line="260" w:lineRule="auto"/>
        <w:rPr>
          <w:sz w:val="20"/>
          <w:szCs w:val="20"/>
          <w:color w:val="auto"/>
        </w:rPr>
      </w:pPr>
      <w:r>
        <w:rPr>
          <w:rFonts w:ascii="Arial" w:cs="Arial" w:eastAsia="Arial" w:hAnsi="Arial"/>
          <w:sz w:val="18"/>
          <w:szCs w:val="18"/>
          <w:color w:val="auto"/>
        </w:rPr>
        <w:t>The Company has six reportable segments: Kaplan Higher Education, Kaplan Test Preparation, Kaplan International, cable, television broadcasting and other businesses.</w:t>
      </w:r>
    </w:p>
    <w:p>
      <w:pPr>
        <w:spacing w:after="0" w:line="90" w:lineRule="exact"/>
        <w:rPr>
          <w:sz w:val="20"/>
          <w:szCs w:val="20"/>
          <w:color w:val="auto"/>
        </w:rPr>
      </w:pPr>
    </w:p>
    <w:p>
      <w:pPr>
        <w:jc w:val="both"/>
        <w:ind w:right="400"/>
        <w:spacing w:after="0" w:line="241" w:lineRule="auto"/>
        <w:rPr>
          <w:sz w:val="20"/>
          <w:szCs w:val="20"/>
          <w:color w:val="auto"/>
        </w:rPr>
      </w:pPr>
      <w:r>
        <w:rPr>
          <w:rFonts w:ascii="Arial" w:cs="Arial" w:eastAsia="Arial" w:hAnsi="Arial"/>
          <w:sz w:val="18"/>
          <w:szCs w:val="18"/>
          <w:b w:val="1"/>
          <w:bCs w:val="1"/>
          <w:color w:val="auto"/>
        </w:rPr>
        <w:t xml:space="preserve">Television Broadcasting. </w:t>
      </w:r>
      <w:r>
        <w:rPr>
          <w:rFonts w:ascii="Arial" w:cs="Arial" w:eastAsia="Arial" w:hAnsi="Arial"/>
          <w:sz w:val="18"/>
          <w:szCs w:val="18"/>
          <w:color w:val="auto"/>
        </w:rPr>
        <w:t>In June 2014, the Company completed the sale of WPLG, a television station serving the Miami market. WPLG</w:t>
      </w:r>
      <w:r>
        <w:rPr>
          <w:rFonts w:ascii="Arial" w:cs="Arial" w:eastAsia="Arial" w:hAnsi="Arial"/>
          <w:sz w:val="18"/>
          <w:szCs w:val="18"/>
          <w:b w:val="1"/>
          <w:bCs w:val="1"/>
          <w:color w:val="auto"/>
        </w:rPr>
        <w:t xml:space="preserve"> </w:t>
      </w:r>
      <w:r>
        <w:rPr>
          <w:rFonts w:ascii="Arial" w:cs="Arial" w:eastAsia="Arial" w:hAnsi="Arial"/>
          <w:sz w:val="18"/>
          <w:szCs w:val="18"/>
          <w:color w:val="auto"/>
        </w:rPr>
        <w:t>results are included in discontinued operations, net of tax, for all periods presented. The television broadcasting segment operating results have been restated to reflect this change.</w:t>
      </w: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560"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The following table summarizes financial information related to each of the Company’s business segments: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0" w:type="dxa"/>
            <w:vAlign w:val="bottom"/>
            <w:gridSpan w:val="3"/>
          </w:tcPr>
          <w:p>
            <w:pPr>
              <w:jc w:val="right"/>
              <w:ind w:right="439"/>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7"/>
                <w:szCs w:val="17"/>
                <w:color w:val="auto"/>
              </w:rPr>
            </w:pPr>
          </w:p>
        </w:tc>
        <w:tc>
          <w:tcPr>
            <w:tcW w:w="2160" w:type="dxa"/>
            <w:vAlign w:val="bottom"/>
            <w:gridSpan w:val="3"/>
          </w:tcPr>
          <w:p>
            <w:pPr>
              <w:jc w:val="right"/>
              <w:ind w:right="479"/>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71"/>
        </w:trPr>
        <w:tc>
          <w:tcPr>
            <w:tcW w:w="65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color w:val="auto"/>
              </w:rPr>
              <w:t>2013</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257"/>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547,181</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548,230</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1,073,355</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1,076,045</w:t>
            </w:r>
          </w:p>
        </w:tc>
        <w:tc>
          <w:tcPr>
            <w:tcW w:w="0" w:type="dxa"/>
            <w:vAlign w:val="bottom"/>
          </w:tcPr>
          <w:p>
            <w:pPr>
              <w:spacing w:after="0"/>
              <w:rPr>
                <w:sz w:val="1"/>
                <w:szCs w:val="1"/>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Cable</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200,829</w:t>
            </w:r>
          </w:p>
        </w:tc>
        <w:tc>
          <w:tcPr>
            <w:tcW w:w="38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204,550</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404,750</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404,688</w:t>
            </w:r>
          </w:p>
        </w:tc>
        <w:tc>
          <w:tcPr>
            <w:tcW w:w="0" w:type="dxa"/>
            <w:vAlign w:val="bottom"/>
          </w:tcPr>
          <w:p>
            <w:pPr>
              <w:spacing w:after="0"/>
              <w:rPr>
                <w:sz w:val="1"/>
                <w:szCs w:val="1"/>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88,297</w:t>
            </w:r>
          </w:p>
        </w:tc>
        <w:tc>
          <w:tcPr>
            <w:tcW w:w="38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80,228</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173,948</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149,130</w:t>
            </w:r>
          </w:p>
        </w:tc>
        <w:tc>
          <w:tcPr>
            <w:tcW w:w="0" w:type="dxa"/>
            <w:vAlign w:val="bottom"/>
          </w:tcPr>
          <w:p>
            <w:pPr>
              <w:spacing w:after="0"/>
              <w:rPr>
                <w:sz w:val="1"/>
                <w:szCs w:val="1"/>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42,351</w:t>
            </w:r>
          </w:p>
        </w:tc>
        <w:tc>
          <w:tcPr>
            <w:tcW w:w="38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37,572</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67,264</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61,386</w:t>
            </w:r>
          </w:p>
        </w:tc>
        <w:tc>
          <w:tcPr>
            <w:tcW w:w="0" w:type="dxa"/>
            <w:vAlign w:val="bottom"/>
          </w:tcPr>
          <w:p>
            <w:pPr>
              <w:spacing w:after="0"/>
              <w:rPr>
                <w:sz w:val="1"/>
                <w:szCs w:val="1"/>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4"/>
        </w:trPr>
        <w:tc>
          <w:tcPr>
            <w:tcW w:w="652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(30)</w:t>
            </w:r>
          </w:p>
        </w:tc>
        <w:tc>
          <w:tcPr>
            <w:tcW w:w="3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(76)</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(128)</w:t>
            </w:r>
          </w:p>
        </w:tc>
        <w:tc>
          <w:tcPr>
            <w:tcW w:w="3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261"/>
        </w:trPr>
        <w:tc>
          <w:tcPr>
            <w:tcW w:w="6520" w:type="dxa"/>
            <w:vAlign w:val="bottom"/>
          </w:tcPr>
          <w:p>
            <w:pPr>
              <w:spacing w:after="0"/>
              <w:rPr>
                <w:sz w:val="22"/>
                <w:szCs w:val="22"/>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878,628</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870,504</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1,719,189</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1,691,096</w:t>
            </w:r>
          </w:p>
        </w:tc>
        <w:tc>
          <w:tcPr>
            <w:tcW w:w="0" w:type="dxa"/>
            <w:vAlign w:val="bottom"/>
          </w:tcPr>
          <w:p>
            <w:pPr>
              <w:spacing w:after="0"/>
              <w:rPr>
                <w:sz w:val="1"/>
                <w:szCs w:val="1"/>
                <w:color w:val="auto"/>
              </w:rPr>
            </w:pPr>
          </w:p>
        </w:tc>
      </w:tr>
      <w:tr>
        <w:trPr>
          <w:trHeight w:val="263"/>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Income (Loss) From Operations</w:t>
            </w: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10,561</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23,726</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13,083</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19,670</w:t>
            </w:r>
          </w:p>
        </w:tc>
        <w:tc>
          <w:tcPr>
            <w:tcW w:w="0" w:type="dxa"/>
            <w:vAlign w:val="bottom"/>
          </w:tcPr>
          <w:p>
            <w:pPr>
              <w:spacing w:after="0"/>
              <w:rPr>
                <w:sz w:val="1"/>
                <w:szCs w:val="1"/>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Cable</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46,780</w:t>
            </w:r>
          </w:p>
        </w:tc>
        <w:tc>
          <w:tcPr>
            <w:tcW w:w="38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44,710</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87,942</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81,323</w:t>
            </w:r>
          </w:p>
        </w:tc>
        <w:tc>
          <w:tcPr>
            <w:tcW w:w="0" w:type="dxa"/>
            <w:vAlign w:val="bottom"/>
          </w:tcPr>
          <w:p>
            <w:pPr>
              <w:spacing w:after="0"/>
              <w:rPr>
                <w:sz w:val="1"/>
                <w:szCs w:val="1"/>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44,088</w:t>
            </w:r>
          </w:p>
        </w:tc>
        <w:tc>
          <w:tcPr>
            <w:tcW w:w="38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39,235</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88,474</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68,346</w:t>
            </w:r>
          </w:p>
        </w:tc>
        <w:tc>
          <w:tcPr>
            <w:tcW w:w="0" w:type="dxa"/>
            <w:vAlign w:val="bottom"/>
          </w:tcPr>
          <w:p>
            <w:pPr>
              <w:spacing w:after="0"/>
              <w:rPr>
                <w:sz w:val="1"/>
                <w:szCs w:val="1"/>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(6,995)</w:t>
            </w:r>
          </w:p>
        </w:tc>
        <w:tc>
          <w:tcPr>
            <w:tcW w:w="38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(5,968)</w:t>
            </w:r>
          </w:p>
        </w:tc>
        <w:tc>
          <w:tcPr>
            <w:tcW w:w="28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(17,742)</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(14,510)</w:t>
            </w:r>
          </w:p>
        </w:tc>
        <w:tc>
          <w:tcPr>
            <w:tcW w:w="0" w:type="dxa"/>
            <w:vAlign w:val="bottom"/>
          </w:tcPr>
          <w:p>
            <w:pPr>
              <w:spacing w:after="0"/>
              <w:rPr>
                <w:sz w:val="1"/>
                <w:szCs w:val="1"/>
                <w:color w:val="auto"/>
              </w:rPr>
            </w:pPr>
          </w:p>
        </w:tc>
      </w:tr>
      <w:tr>
        <w:trPr>
          <w:trHeight w:val="274"/>
        </w:trPr>
        <w:tc>
          <w:tcPr>
            <w:tcW w:w="652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50</w:t>
            </w:r>
          </w:p>
        </w:tc>
        <w:tc>
          <w:tcPr>
            <w:tcW w:w="3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(5,402)</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2,256</w:t>
            </w:r>
          </w:p>
        </w:tc>
        <w:tc>
          <w:tcPr>
            <w:tcW w:w="3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(11,381)</w:t>
            </w:r>
          </w:p>
        </w:tc>
        <w:tc>
          <w:tcPr>
            <w:tcW w:w="0" w:type="dxa"/>
            <w:vAlign w:val="bottom"/>
          </w:tcPr>
          <w:p>
            <w:pPr>
              <w:spacing w:after="0"/>
              <w:rPr>
                <w:sz w:val="1"/>
                <w:szCs w:val="1"/>
                <w:color w:val="auto"/>
              </w:rPr>
            </w:pPr>
          </w:p>
        </w:tc>
      </w:tr>
      <w:tr>
        <w:trPr>
          <w:trHeight w:val="264"/>
        </w:trPr>
        <w:tc>
          <w:tcPr>
            <w:tcW w:w="6520" w:type="dxa"/>
            <w:vAlign w:val="bottom"/>
          </w:tcPr>
          <w:p>
            <w:pPr>
              <w:spacing w:after="0"/>
              <w:rPr>
                <w:sz w:val="22"/>
                <w:szCs w:val="22"/>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94,484</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96,301</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174,013</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143,448</w:t>
            </w:r>
          </w:p>
        </w:tc>
        <w:tc>
          <w:tcPr>
            <w:tcW w:w="0" w:type="dxa"/>
            <w:vAlign w:val="bottom"/>
          </w:tcPr>
          <w:p>
            <w:pPr>
              <w:spacing w:after="0"/>
              <w:rPr>
                <w:sz w:val="1"/>
                <w:szCs w:val="1"/>
                <w:color w:val="auto"/>
              </w:rPr>
            </w:pPr>
          </w:p>
        </w:tc>
      </w:tr>
      <w:tr>
        <w:trPr>
          <w:trHeight w:val="260"/>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Equity in Earnings of Affiliates, Net</w:t>
            </w:r>
          </w:p>
        </w:tc>
        <w:tc>
          <w:tcPr>
            <w:tcW w:w="260" w:type="dxa"/>
            <w:vAlign w:val="bottom"/>
          </w:tcPr>
          <w:p>
            <w:pPr>
              <w:spacing w:after="0"/>
              <w:rPr>
                <w:sz w:val="22"/>
                <w:szCs w:val="22"/>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91,503</w:t>
            </w:r>
          </w:p>
        </w:tc>
        <w:tc>
          <w:tcPr>
            <w:tcW w:w="38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3,868</w:t>
            </w:r>
          </w:p>
        </w:tc>
        <w:tc>
          <w:tcPr>
            <w:tcW w:w="280" w:type="dxa"/>
            <w:vAlign w:val="bottom"/>
          </w:tcPr>
          <w:p>
            <w:pPr>
              <w:spacing w:after="0"/>
              <w:rPr>
                <w:sz w:val="22"/>
                <w:szCs w:val="22"/>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95,555</w:t>
            </w:r>
          </w:p>
        </w:tc>
        <w:tc>
          <w:tcPr>
            <w:tcW w:w="340" w:type="dxa"/>
            <w:vAlign w:val="bottom"/>
          </w:tcPr>
          <w:p>
            <w:pPr>
              <w:spacing w:after="0"/>
              <w:rPr>
                <w:sz w:val="22"/>
                <w:szCs w:val="22"/>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7,286</w:t>
            </w:r>
          </w:p>
        </w:tc>
        <w:tc>
          <w:tcPr>
            <w:tcW w:w="0" w:type="dxa"/>
            <w:vAlign w:val="bottom"/>
          </w:tcPr>
          <w:p>
            <w:pPr>
              <w:spacing w:after="0"/>
              <w:rPr>
                <w:sz w:val="1"/>
                <w:szCs w:val="1"/>
                <w:color w:val="auto"/>
              </w:rPr>
            </w:pPr>
          </w:p>
        </w:tc>
      </w:tr>
      <w:tr>
        <w:trPr>
          <w:trHeight w:val="270"/>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Interest Expense, Net</w:t>
            </w:r>
          </w:p>
        </w:tc>
        <w:tc>
          <w:tcPr>
            <w:tcW w:w="2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(7,916)</w:t>
            </w:r>
          </w:p>
        </w:tc>
        <w:tc>
          <w:tcPr>
            <w:tcW w:w="38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(8,526)</w:t>
            </w:r>
          </w:p>
        </w:tc>
        <w:tc>
          <w:tcPr>
            <w:tcW w:w="28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(16,137)</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(16,976)</w:t>
            </w:r>
          </w:p>
        </w:tc>
        <w:tc>
          <w:tcPr>
            <w:tcW w:w="0" w:type="dxa"/>
            <w:vAlign w:val="bottom"/>
          </w:tcPr>
          <w:p>
            <w:pPr>
              <w:spacing w:after="0"/>
              <w:rPr>
                <w:sz w:val="1"/>
                <w:szCs w:val="1"/>
                <w:color w:val="auto"/>
              </w:rPr>
            </w:pPr>
          </w:p>
        </w:tc>
      </w:tr>
      <w:tr>
        <w:trPr>
          <w:trHeight w:val="274"/>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Other Income (Expense), Net</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268,114</w:t>
            </w:r>
          </w:p>
        </w:tc>
        <w:tc>
          <w:tcPr>
            <w:tcW w:w="3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(12,858)</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401,387</w:t>
            </w:r>
          </w:p>
        </w:tc>
        <w:tc>
          <w:tcPr>
            <w:tcW w:w="3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(16,941)</w:t>
            </w:r>
          </w:p>
        </w:tc>
        <w:tc>
          <w:tcPr>
            <w:tcW w:w="0" w:type="dxa"/>
            <w:vAlign w:val="bottom"/>
          </w:tcPr>
          <w:p>
            <w:pPr>
              <w:spacing w:after="0"/>
              <w:rPr>
                <w:sz w:val="1"/>
                <w:szCs w:val="1"/>
                <w:color w:val="auto"/>
              </w:rPr>
            </w:pPr>
          </w:p>
        </w:tc>
      </w:tr>
      <w:tr>
        <w:trPr>
          <w:trHeight w:val="267"/>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Income from Continuing Operations Before Income Taxes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446,185</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78,785</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654,818</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116,817</w:t>
            </w:r>
          </w:p>
        </w:tc>
        <w:tc>
          <w:tcPr>
            <w:tcW w:w="0" w:type="dxa"/>
            <w:vAlign w:val="bottom"/>
          </w:tcPr>
          <w:p>
            <w:pPr>
              <w:spacing w:after="0"/>
              <w:rPr>
                <w:sz w:val="1"/>
                <w:szCs w:val="1"/>
                <w:color w:val="auto"/>
              </w:rPr>
            </w:pPr>
          </w:p>
        </w:tc>
      </w:tr>
      <w:tr>
        <w:trPr>
          <w:trHeight w:val="20"/>
        </w:trPr>
        <w:tc>
          <w:tcPr>
            <w:tcW w:w="65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Depreciation of Property, Plant and Equipment</w:t>
            </w: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52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15,400</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20,064</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31,844</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42,652</w:t>
            </w:r>
          </w:p>
        </w:tc>
        <w:tc>
          <w:tcPr>
            <w:tcW w:w="0" w:type="dxa"/>
            <w:vAlign w:val="bottom"/>
          </w:tcPr>
          <w:p>
            <w:pPr>
              <w:spacing w:after="0"/>
              <w:rPr>
                <w:sz w:val="1"/>
                <w:szCs w:val="1"/>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Cable</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33,788</w:t>
            </w:r>
          </w:p>
        </w:tc>
        <w:tc>
          <w:tcPr>
            <w:tcW w:w="38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33,964</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67,575</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67,697</w:t>
            </w:r>
          </w:p>
        </w:tc>
        <w:tc>
          <w:tcPr>
            <w:tcW w:w="0" w:type="dxa"/>
            <w:vAlign w:val="bottom"/>
          </w:tcPr>
          <w:p>
            <w:pPr>
              <w:spacing w:after="0"/>
              <w:rPr>
                <w:sz w:val="1"/>
                <w:szCs w:val="1"/>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2,039</w:t>
            </w:r>
          </w:p>
        </w:tc>
        <w:tc>
          <w:tcPr>
            <w:tcW w:w="38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2,214</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4,033</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4,423</w:t>
            </w:r>
          </w:p>
        </w:tc>
        <w:tc>
          <w:tcPr>
            <w:tcW w:w="0" w:type="dxa"/>
            <w:vAlign w:val="bottom"/>
          </w:tcPr>
          <w:p>
            <w:pPr>
              <w:spacing w:after="0"/>
              <w:rPr>
                <w:sz w:val="1"/>
                <w:szCs w:val="1"/>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780</w:t>
            </w:r>
          </w:p>
        </w:tc>
        <w:tc>
          <w:tcPr>
            <w:tcW w:w="38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577</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1,300</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1,006</w:t>
            </w:r>
          </w:p>
        </w:tc>
        <w:tc>
          <w:tcPr>
            <w:tcW w:w="0" w:type="dxa"/>
            <w:vAlign w:val="bottom"/>
          </w:tcPr>
          <w:p>
            <w:pPr>
              <w:spacing w:after="0"/>
              <w:rPr>
                <w:sz w:val="1"/>
                <w:szCs w:val="1"/>
                <w:color w:val="auto"/>
              </w:rPr>
            </w:pPr>
          </w:p>
        </w:tc>
      </w:tr>
      <w:tr>
        <w:trPr>
          <w:trHeight w:val="274"/>
        </w:trPr>
        <w:tc>
          <w:tcPr>
            <w:tcW w:w="652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10</w:t>
            </w:r>
          </w:p>
        </w:tc>
        <w:tc>
          <w:tcPr>
            <w:tcW w:w="3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60</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510</w:t>
            </w:r>
          </w:p>
        </w:tc>
        <w:tc>
          <w:tcPr>
            <w:tcW w:w="3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61"/>
        </w:trPr>
        <w:tc>
          <w:tcPr>
            <w:tcW w:w="6520" w:type="dxa"/>
            <w:vAlign w:val="bottom"/>
          </w:tcPr>
          <w:p>
            <w:pPr>
              <w:spacing w:after="0"/>
              <w:rPr>
                <w:sz w:val="22"/>
                <w:szCs w:val="22"/>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52,017</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56,879</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105,262</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115,838</w:t>
            </w:r>
          </w:p>
        </w:tc>
        <w:tc>
          <w:tcPr>
            <w:tcW w:w="0" w:type="dxa"/>
            <w:vAlign w:val="bottom"/>
          </w:tcPr>
          <w:p>
            <w:pPr>
              <w:spacing w:after="0"/>
              <w:rPr>
                <w:sz w:val="1"/>
                <w:szCs w:val="1"/>
                <w:color w:val="auto"/>
              </w:rPr>
            </w:pPr>
          </w:p>
        </w:tc>
      </w:tr>
      <w:tr>
        <w:trPr>
          <w:trHeight w:val="263"/>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Amortization and Impairment of Intangible Assets</w:t>
            </w: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9,937</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2,363</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12,225</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4,881</w:t>
            </w:r>
          </w:p>
        </w:tc>
        <w:tc>
          <w:tcPr>
            <w:tcW w:w="0" w:type="dxa"/>
            <w:vAlign w:val="bottom"/>
          </w:tcPr>
          <w:p>
            <w:pPr>
              <w:spacing w:after="0"/>
              <w:rPr>
                <w:sz w:val="1"/>
                <w:szCs w:val="1"/>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Cable</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59</w:t>
            </w:r>
          </w:p>
        </w:tc>
        <w:tc>
          <w:tcPr>
            <w:tcW w:w="38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57</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94</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1,138</w:t>
            </w:r>
          </w:p>
        </w:tc>
        <w:tc>
          <w:tcPr>
            <w:tcW w:w="38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893</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1,896</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2,042</w:t>
            </w:r>
          </w:p>
        </w:tc>
        <w:tc>
          <w:tcPr>
            <w:tcW w:w="0" w:type="dxa"/>
            <w:vAlign w:val="bottom"/>
          </w:tcPr>
          <w:p>
            <w:pPr>
              <w:spacing w:after="0"/>
              <w:rPr>
                <w:sz w:val="1"/>
                <w:szCs w:val="1"/>
                <w:color w:val="auto"/>
              </w:rPr>
            </w:pPr>
          </w:p>
        </w:tc>
      </w:tr>
      <w:tr>
        <w:trPr>
          <w:trHeight w:val="274"/>
        </w:trPr>
        <w:tc>
          <w:tcPr>
            <w:tcW w:w="652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3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1"/>
        </w:trPr>
        <w:tc>
          <w:tcPr>
            <w:tcW w:w="6520" w:type="dxa"/>
            <w:vAlign w:val="bottom"/>
          </w:tcPr>
          <w:p>
            <w:pPr>
              <w:spacing w:after="0"/>
              <w:rPr>
                <w:sz w:val="22"/>
                <w:szCs w:val="22"/>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11,134</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3,313</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14,215</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7,030</w:t>
            </w:r>
          </w:p>
        </w:tc>
        <w:tc>
          <w:tcPr>
            <w:tcW w:w="0" w:type="dxa"/>
            <w:vAlign w:val="bottom"/>
          </w:tcPr>
          <w:p>
            <w:pPr>
              <w:spacing w:after="0"/>
              <w:rPr>
                <w:sz w:val="1"/>
                <w:szCs w:val="1"/>
                <w:color w:val="auto"/>
              </w:rPr>
            </w:pPr>
          </w:p>
        </w:tc>
      </w:tr>
      <w:tr>
        <w:trPr>
          <w:trHeight w:val="263"/>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Net Pension (Credit) Expense</w:t>
            </w: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3,566</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4,231</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7,709</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8,337</w:t>
            </w:r>
          </w:p>
        </w:tc>
        <w:tc>
          <w:tcPr>
            <w:tcW w:w="0" w:type="dxa"/>
            <w:vAlign w:val="bottom"/>
          </w:tcPr>
          <w:p>
            <w:pPr>
              <w:spacing w:after="0"/>
              <w:rPr>
                <w:sz w:val="1"/>
                <w:szCs w:val="1"/>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Cable</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888</w:t>
            </w:r>
          </w:p>
        </w:tc>
        <w:tc>
          <w:tcPr>
            <w:tcW w:w="38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913</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1,752</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1,795</w:t>
            </w:r>
          </w:p>
        </w:tc>
        <w:tc>
          <w:tcPr>
            <w:tcW w:w="0" w:type="dxa"/>
            <w:vAlign w:val="bottom"/>
          </w:tcPr>
          <w:p>
            <w:pPr>
              <w:spacing w:after="0"/>
              <w:rPr>
                <w:sz w:val="1"/>
                <w:szCs w:val="1"/>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358</w:t>
            </w:r>
          </w:p>
        </w:tc>
        <w:tc>
          <w:tcPr>
            <w:tcW w:w="38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1,250</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678</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2,594</w:t>
            </w:r>
          </w:p>
        </w:tc>
        <w:tc>
          <w:tcPr>
            <w:tcW w:w="0" w:type="dxa"/>
            <w:vAlign w:val="bottom"/>
          </w:tcPr>
          <w:p>
            <w:pPr>
              <w:spacing w:after="0"/>
              <w:rPr>
                <w:sz w:val="1"/>
                <w:szCs w:val="1"/>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202</w:t>
            </w:r>
          </w:p>
        </w:tc>
        <w:tc>
          <w:tcPr>
            <w:tcW w:w="38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134</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366</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74"/>
        </w:trPr>
        <w:tc>
          <w:tcPr>
            <w:tcW w:w="652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(22,933)</w:t>
            </w:r>
          </w:p>
        </w:tc>
        <w:tc>
          <w:tcPr>
            <w:tcW w:w="3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(9,129)</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(40,612)</w:t>
            </w:r>
          </w:p>
        </w:tc>
        <w:tc>
          <w:tcPr>
            <w:tcW w:w="3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(18,250)</w:t>
            </w:r>
          </w:p>
        </w:tc>
        <w:tc>
          <w:tcPr>
            <w:tcW w:w="0" w:type="dxa"/>
            <w:vAlign w:val="bottom"/>
          </w:tcPr>
          <w:p>
            <w:pPr>
              <w:spacing w:after="0"/>
              <w:rPr>
                <w:sz w:val="1"/>
                <w:szCs w:val="1"/>
                <w:color w:val="auto"/>
              </w:rPr>
            </w:pPr>
          </w:p>
        </w:tc>
      </w:tr>
      <w:tr>
        <w:trPr>
          <w:trHeight w:val="260"/>
        </w:trPr>
        <w:tc>
          <w:tcPr>
            <w:tcW w:w="652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(17,919)</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(2,601)</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(30,107)</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(5,274)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5080</wp:posOffset>
            </wp:positionV>
            <wp:extent cx="31127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Asset information for the Company’s business segments are as follows:</w:t>
      </w: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80" w:type="dxa"/>
            <w:vAlign w:val="bottom"/>
            <w:tcBorders>
              <w:bottom w:val="single" w:sz="8" w:color="auto"/>
            </w:tcBorders>
          </w:tcPr>
          <w:p>
            <w:pPr>
              <w:spacing w:after="0"/>
              <w:rPr>
                <w:sz w:val="17"/>
                <w:szCs w:val="17"/>
                <w:color w:val="auto"/>
              </w:rPr>
            </w:pPr>
          </w:p>
        </w:tc>
      </w:tr>
      <w:tr>
        <w:trPr>
          <w:trHeight w:val="168"/>
        </w:trPr>
        <w:tc>
          <w:tcPr>
            <w:tcW w:w="8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right"/>
              <w:ind w:right="421"/>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4"/>
                <w:szCs w:val="14"/>
                <w:color w:val="auto"/>
              </w:rPr>
            </w:pPr>
          </w:p>
        </w:tc>
        <w:tc>
          <w:tcPr>
            <w:tcW w:w="1280" w:type="dxa"/>
            <w:vAlign w:val="bottom"/>
          </w:tcPr>
          <w:p>
            <w:pPr>
              <w:jc w:val="right"/>
              <w:ind w:right="221"/>
              <w:spacing w:after="0"/>
              <w:rPr>
                <w:sz w:val="20"/>
                <w:szCs w:val="20"/>
                <w:color w:val="auto"/>
              </w:rPr>
            </w:pPr>
            <w:r>
              <w:rPr>
                <w:rFonts w:ascii="Arial" w:cs="Arial" w:eastAsia="Arial" w:hAnsi="Arial"/>
                <w:sz w:val="14"/>
                <w:szCs w:val="14"/>
                <w:color w:val="auto"/>
              </w:rPr>
              <w:t>December 31,</w:t>
            </w:r>
          </w:p>
        </w:tc>
      </w:tr>
      <w:tr>
        <w:trPr>
          <w:trHeight w:val="203"/>
        </w:trPr>
        <w:tc>
          <w:tcPr>
            <w:tcW w:w="83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color w:val="auto"/>
              </w:rPr>
              <w:t>2013</w:t>
            </w:r>
          </w:p>
        </w:tc>
      </w:tr>
      <w:tr>
        <w:trPr>
          <w:trHeight w:val="230"/>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Identifiable Assets</w:t>
            </w: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97"/>
        </w:trPr>
        <w:tc>
          <w:tcPr>
            <w:tcW w:w="834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ind w:right="41"/>
              <w:spacing w:after="0"/>
              <w:rPr>
                <w:sz w:val="20"/>
                <w:szCs w:val="20"/>
                <w:color w:val="auto"/>
              </w:rPr>
            </w:pPr>
            <w:r>
              <w:rPr>
                <w:rFonts w:ascii="Arial" w:cs="Arial" w:eastAsia="Arial" w:hAnsi="Arial"/>
                <w:sz w:val="16"/>
                <w:szCs w:val="16"/>
                <w:b w:val="1"/>
                <w:bCs w:val="1"/>
                <w:color w:val="auto"/>
              </w:rPr>
              <w:t>1,743,192</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1,921,037</w:t>
            </w: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Cable television</w:t>
            </w:r>
          </w:p>
        </w:tc>
        <w:tc>
          <w:tcPr>
            <w:tcW w:w="280" w:type="dxa"/>
            <w:vAlign w:val="bottom"/>
          </w:tcPr>
          <w:p>
            <w:pPr>
              <w:spacing w:after="0"/>
              <w:rPr>
                <w:sz w:val="23"/>
                <w:szCs w:val="23"/>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b w:val="1"/>
                <w:bCs w:val="1"/>
                <w:color w:val="auto"/>
              </w:rPr>
              <w:t>1,184,320</w:t>
            </w:r>
          </w:p>
        </w:tc>
        <w:tc>
          <w:tcPr>
            <w:tcW w:w="280" w:type="dxa"/>
            <w:vAlign w:val="bottom"/>
          </w:tcPr>
          <w:p>
            <w:pPr>
              <w:spacing w:after="0"/>
              <w:rPr>
                <w:sz w:val="23"/>
                <w:szCs w:val="23"/>
                <w:color w:val="auto"/>
              </w:rPr>
            </w:pP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1,215,320</w:t>
            </w: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80" w:type="dxa"/>
            <w:vAlign w:val="bottom"/>
          </w:tcPr>
          <w:p>
            <w:pPr>
              <w:spacing w:after="0"/>
              <w:rPr>
                <w:sz w:val="23"/>
                <w:szCs w:val="23"/>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b w:val="1"/>
                <w:bCs w:val="1"/>
                <w:color w:val="auto"/>
              </w:rPr>
              <w:t>310,948</w:t>
            </w:r>
          </w:p>
        </w:tc>
        <w:tc>
          <w:tcPr>
            <w:tcW w:w="280" w:type="dxa"/>
            <w:vAlign w:val="bottom"/>
          </w:tcPr>
          <w:p>
            <w:pPr>
              <w:spacing w:after="0"/>
              <w:rPr>
                <w:sz w:val="23"/>
                <w:szCs w:val="23"/>
                <w:color w:val="auto"/>
              </w:rPr>
            </w:pP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383,251</w:t>
            </w: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80" w:type="dxa"/>
            <w:vAlign w:val="bottom"/>
          </w:tcPr>
          <w:p>
            <w:pPr>
              <w:spacing w:after="0"/>
              <w:rPr>
                <w:sz w:val="23"/>
                <w:szCs w:val="23"/>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b w:val="1"/>
                <w:bCs w:val="1"/>
                <w:color w:val="auto"/>
              </w:rPr>
              <w:t>311,147</w:t>
            </w:r>
          </w:p>
        </w:tc>
        <w:tc>
          <w:tcPr>
            <w:tcW w:w="280" w:type="dxa"/>
            <w:vAlign w:val="bottom"/>
          </w:tcPr>
          <w:p>
            <w:pPr>
              <w:spacing w:after="0"/>
              <w:rPr>
                <w:sz w:val="23"/>
                <w:szCs w:val="23"/>
                <w:color w:val="auto"/>
              </w:rPr>
            </w:pP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171,539</w:t>
            </w:r>
          </w:p>
        </w:tc>
      </w:tr>
      <w:tr>
        <w:trPr>
          <w:trHeight w:val="274"/>
        </w:trPr>
        <w:tc>
          <w:tcPr>
            <w:tcW w:w="834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309,973</w:t>
            </w:r>
          </w:p>
        </w:tc>
        <w:tc>
          <w:tcPr>
            <w:tcW w:w="2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371,484</w:t>
            </w:r>
          </w:p>
        </w:tc>
      </w:tr>
      <w:tr>
        <w:trPr>
          <w:trHeight w:val="261"/>
        </w:trPr>
        <w:tc>
          <w:tcPr>
            <w:tcW w:w="8340" w:type="dxa"/>
            <w:vAlign w:val="bottom"/>
          </w:tcPr>
          <w:p>
            <w:pPr>
              <w:spacing w:after="0"/>
              <w:rPr>
                <w:sz w:val="22"/>
                <w:szCs w:val="22"/>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3,859,580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4,062,631</w:t>
            </w:r>
          </w:p>
        </w:tc>
      </w:tr>
      <w:tr>
        <w:trPr>
          <w:trHeight w:val="263"/>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Investments in Marketable Equity Securities</w:t>
            </w:r>
          </w:p>
        </w:tc>
        <w:tc>
          <w:tcPr>
            <w:tcW w:w="280" w:type="dxa"/>
            <w:vAlign w:val="bottom"/>
          </w:tcPr>
          <w:p>
            <w:pPr>
              <w:spacing w:after="0"/>
              <w:rPr>
                <w:sz w:val="22"/>
                <w:szCs w:val="22"/>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b w:val="1"/>
                <w:bCs w:val="1"/>
                <w:color w:val="auto"/>
              </w:rPr>
              <w:t>117,536</w:t>
            </w:r>
          </w:p>
        </w:tc>
        <w:tc>
          <w:tcPr>
            <w:tcW w:w="280" w:type="dxa"/>
            <w:vAlign w:val="bottom"/>
          </w:tcPr>
          <w:p>
            <w:pPr>
              <w:spacing w:after="0"/>
              <w:rPr>
                <w:sz w:val="22"/>
                <w:szCs w:val="22"/>
                <w:color w:val="auto"/>
              </w:rPr>
            </w:pP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487,156</w:t>
            </w:r>
          </w:p>
        </w:tc>
      </w:tr>
      <w:tr>
        <w:trPr>
          <w:trHeight w:val="270"/>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Investments in Affiliates</w:t>
            </w:r>
          </w:p>
        </w:tc>
        <w:tc>
          <w:tcPr>
            <w:tcW w:w="280" w:type="dxa"/>
            <w:vAlign w:val="bottom"/>
          </w:tcPr>
          <w:p>
            <w:pPr>
              <w:spacing w:after="0"/>
              <w:rPr>
                <w:sz w:val="23"/>
                <w:szCs w:val="23"/>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b w:val="1"/>
                <w:bCs w:val="1"/>
                <w:color w:val="auto"/>
              </w:rPr>
              <w:t>21,006</w:t>
            </w:r>
          </w:p>
        </w:tc>
        <w:tc>
          <w:tcPr>
            <w:tcW w:w="280" w:type="dxa"/>
            <w:vAlign w:val="bottom"/>
          </w:tcPr>
          <w:p>
            <w:pPr>
              <w:spacing w:after="0"/>
              <w:rPr>
                <w:sz w:val="23"/>
                <w:szCs w:val="23"/>
                <w:color w:val="auto"/>
              </w:rPr>
            </w:pP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15,754</w:t>
            </w:r>
          </w:p>
        </w:tc>
      </w:tr>
    </w:tbl>
    <w:p>
      <w:pPr>
        <w:sectPr>
          <w:pgSz w:w="11900" w:h="16838" w:orient="portrait"/>
          <w:cols w:equalWidth="0" w:num="1">
            <w:col w:w="11420"/>
          </w:cols>
          <w:pgMar w:left="240" w:top="562" w:right="239" w:bottom="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300" w:type="dxa"/>
            <w:vAlign w:val="bottom"/>
          </w:tcPr>
          <w:p>
            <w:pPr>
              <w:spacing w:after="0"/>
              <w:rPr>
                <w:sz w:val="20"/>
                <w:szCs w:val="20"/>
                <w:color w:val="auto"/>
              </w:rPr>
            </w:pPr>
            <w:r>
              <w:rPr>
                <w:rFonts w:ascii="Arial" w:cs="Arial" w:eastAsia="Arial" w:hAnsi="Arial"/>
                <w:sz w:val="16"/>
                <w:szCs w:val="16"/>
                <w:b w:val="1"/>
                <w:bCs w:val="1"/>
                <w:color w:val="auto"/>
              </w:rPr>
              <w:t>Prepaid Pension Cost</w:t>
            </w:r>
          </w:p>
        </w:tc>
        <w:tc>
          <w:tcPr>
            <w:tcW w:w="40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1,261,294</w:t>
            </w:r>
          </w:p>
        </w:tc>
        <w:tc>
          <w:tcPr>
            <w:tcW w:w="46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1,245,505</w:t>
            </w:r>
          </w:p>
        </w:tc>
      </w:tr>
      <w:tr>
        <w:trPr>
          <w:trHeight w:val="298"/>
        </w:trPr>
        <w:tc>
          <w:tcPr>
            <w:tcW w:w="8300" w:type="dxa"/>
            <w:vAlign w:val="bottom"/>
          </w:tcPr>
          <w:p>
            <w:pPr>
              <w:spacing w:after="0"/>
              <w:rPr>
                <w:sz w:val="20"/>
                <w:szCs w:val="20"/>
                <w:color w:val="auto"/>
              </w:rPr>
            </w:pPr>
            <w:r>
              <w:rPr>
                <w:rFonts w:ascii="Arial" w:cs="Arial" w:eastAsia="Arial" w:hAnsi="Arial"/>
                <w:sz w:val="16"/>
                <w:szCs w:val="16"/>
                <w:b w:val="1"/>
                <w:bCs w:val="1"/>
                <w:color w:val="auto"/>
              </w:rPr>
              <w:t>Assets Held for Sale</w:t>
            </w:r>
          </w:p>
        </w:tc>
        <w:tc>
          <w:tcPr>
            <w:tcW w:w="4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30,290</w:t>
            </w:r>
          </w:p>
        </w:tc>
        <w:tc>
          <w:tcPr>
            <w:tcW w:w="4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66"/>
        </w:trPr>
        <w:tc>
          <w:tcPr>
            <w:tcW w:w="8300" w:type="dxa"/>
            <w:vAlign w:val="bottom"/>
          </w:tcPr>
          <w:p>
            <w:pPr>
              <w:spacing w:after="0"/>
              <w:rPr>
                <w:sz w:val="20"/>
                <w:szCs w:val="20"/>
                <w:color w:val="auto"/>
              </w:rPr>
            </w:pPr>
            <w:r>
              <w:rPr>
                <w:rFonts w:ascii="Arial" w:cs="Arial" w:eastAsia="Arial" w:hAnsi="Arial"/>
                <w:sz w:val="16"/>
                <w:szCs w:val="16"/>
                <w:b w:val="1"/>
                <w:bCs w:val="1"/>
                <w:color w:val="auto"/>
              </w:rPr>
              <w:t>Total Assets</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5,289,706</w:t>
            </w:r>
          </w:p>
        </w:tc>
        <w:tc>
          <w:tcPr>
            <w:tcW w:w="4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5,811,046</w:t>
            </w:r>
          </w:p>
        </w:tc>
      </w:tr>
      <w:tr>
        <w:trPr>
          <w:trHeight w:val="20"/>
        </w:trPr>
        <w:tc>
          <w:tcPr>
            <w:tcW w:w="8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80" w:top="119"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The Company’s education division comprises the following operating segments: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0" w:type="dxa"/>
            <w:vAlign w:val="bottom"/>
            <w:gridSpan w:val="3"/>
          </w:tcPr>
          <w:p>
            <w:pPr>
              <w:jc w:val="right"/>
              <w:ind w:right="439"/>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7"/>
                <w:szCs w:val="17"/>
                <w:color w:val="auto"/>
              </w:rPr>
            </w:pPr>
          </w:p>
        </w:tc>
        <w:tc>
          <w:tcPr>
            <w:tcW w:w="2160" w:type="dxa"/>
            <w:vAlign w:val="bottom"/>
            <w:gridSpan w:val="3"/>
          </w:tcPr>
          <w:p>
            <w:pPr>
              <w:jc w:val="right"/>
              <w:ind w:right="479"/>
              <w:spacing w:after="0"/>
              <w:rPr>
                <w:sz w:val="20"/>
                <w:szCs w:val="20"/>
                <w:color w:val="auto"/>
              </w:rPr>
            </w:pPr>
            <w:r>
              <w:rPr>
                <w:rFonts w:ascii="Arial" w:cs="Arial" w:eastAsia="Arial" w:hAnsi="Arial"/>
                <w:sz w:val="14"/>
                <w:szCs w:val="14"/>
                <w:b w:val="1"/>
                <w:bCs w:val="1"/>
                <w:color w:val="auto"/>
              </w:rPr>
              <w:t>Six Months Ended</w:t>
            </w:r>
          </w:p>
        </w:tc>
      </w:tr>
      <w:tr>
        <w:trPr>
          <w:trHeight w:val="271"/>
        </w:trPr>
        <w:tc>
          <w:tcPr>
            <w:tcW w:w="65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23"/>
                <w:szCs w:val="23"/>
                <w:color w:val="auto"/>
              </w:rPr>
            </w:pPr>
          </w:p>
        </w:tc>
      </w:tr>
      <w:tr>
        <w:trPr>
          <w:trHeight w:val="264"/>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color w:val="auto"/>
              </w:rPr>
              <w:t>2013</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2013</w:t>
            </w:r>
          </w:p>
        </w:tc>
      </w:tr>
      <w:tr>
        <w:trPr>
          <w:trHeight w:val="257"/>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251,936</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273,092</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505,715</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544,952</w:t>
            </w: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81,098</w:t>
            </w:r>
          </w:p>
        </w:tc>
        <w:tc>
          <w:tcPr>
            <w:tcW w:w="38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85,690</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148,902</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154,633</w:t>
            </w: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213,262</w:t>
            </w:r>
          </w:p>
        </w:tc>
        <w:tc>
          <w:tcPr>
            <w:tcW w:w="38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187,968</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416,129</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372,781</w:t>
            </w: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1,385</w:t>
            </w:r>
          </w:p>
        </w:tc>
        <w:tc>
          <w:tcPr>
            <w:tcW w:w="38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1,669</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3,399</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4,273</w:t>
            </w:r>
          </w:p>
        </w:tc>
      </w:tr>
      <w:tr>
        <w:trPr>
          <w:trHeight w:val="274"/>
        </w:trPr>
        <w:tc>
          <w:tcPr>
            <w:tcW w:w="652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(500)</w:t>
            </w:r>
          </w:p>
        </w:tc>
        <w:tc>
          <w:tcPr>
            <w:tcW w:w="3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(189)</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(790)</w:t>
            </w:r>
          </w:p>
        </w:tc>
        <w:tc>
          <w:tcPr>
            <w:tcW w:w="3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(594)</w:t>
            </w:r>
          </w:p>
        </w:tc>
      </w:tr>
      <w:tr>
        <w:trPr>
          <w:trHeight w:val="261"/>
        </w:trPr>
        <w:tc>
          <w:tcPr>
            <w:tcW w:w="6520" w:type="dxa"/>
            <w:vAlign w:val="bottom"/>
          </w:tcPr>
          <w:p>
            <w:pPr>
              <w:spacing w:after="0"/>
              <w:rPr>
                <w:sz w:val="22"/>
                <w:szCs w:val="22"/>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547,181</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548,230</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1,073,355</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1,076,045</w:t>
            </w:r>
          </w:p>
        </w:tc>
      </w:tr>
      <w:tr>
        <w:trPr>
          <w:trHeight w:val="263"/>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Income (Loss) from Operations</w:t>
            </w: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20,952</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22,534</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34,096</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27,635</w:t>
            </w: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(3,904)</w:t>
            </w:r>
          </w:p>
        </w:tc>
        <w:tc>
          <w:tcPr>
            <w:tcW w:w="38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7,831</w:t>
            </w:r>
          </w:p>
        </w:tc>
        <w:tc>
          <w:tcPr>
            <w:tcW w:w="28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(10,532)</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3,486</w:t>
            </w: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17,960</w:t>
            </w:r>
          </w:p>
        </w:tc>
        <w:tc>
          <w:tcPr>
            <w:tcW w:w="38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6,490</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28,842</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12,887</w:t>
            </w: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(24,539)</w:t>
            </w:r>
          </w:p>
        </w:tc>
        <w:tc>
          <w:tcPr>
            <w:tcW w:w="38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(13,223)</w:t>
            </w:r>
          </w:p>
        </w:tc>
        <w:tc>
          <w:tcPr>
            <w:tcW w:w="28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(39,459)</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(24,563)</w:t>
            </w:r>
          </w:p>
        </w:tc>
      </w:tr>
      <w:tr>
        <w:trPr>
          <w:trHeight w:val="274"/>
        </w:trPr>
        <w:tc>
          <w:tcPr>
            <w:tcW w:w="652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92</w:t>
            </w:r>
          </w:p>
        </w:tc>
        <w:tc>
          <w:tcPr>
            <w:tcW w:w="3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94</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136</w:t>
            </w:r>
          </w:p>
        </w:tc>
        <w:tc>
          <w:tcPr>
            <w:tcW w:w="3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225</w:t>
            </w:r>
          </w:p>
        </w:tc>
      </w:tr>
      <w:tr>
        <w:trPr>
          <w:trHeight w:val="261"/>
        </w:trPr>
        <w:tc>
          <w:tcPr>
            <w:tcW w:w="6520" w:type="dxa"/>
            <w:vAlign w:val="bottom"/>
          </w:tcPr>
          <w:p>
            <w:pPr>
              <w:spacing w:after="0"/>
              <w:rPr>
                <w:sz w:val="22"/>
                <w:szCs w:val="22"/>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10,561</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23,726</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13,083</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19,670</w:t>
            </w:r>
          </w:p>
        </w:tc>
      </w:tr>
      <w:tr>
        <w:trPr>
          <w:trHeight w:val="263"/>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Depreciation of Property, Plant and Equipment</w:t>
            </w: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7,080</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10,741</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14,820</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24,180</w:t>
            </w: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3,072</w:t>
            </w:r>
          </w:p>
        </w:tc>
        <w:tc>
          <w:tcPr>
            <w:tcW w:w="38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4,866</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6,856</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9,624</w:t>
            </w: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4,944</w:t>
            </w:r>
          </w:p>
        </w:tc>
        <w:tc>
          <w:tcPr>
            <w:tcW w:w="38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4,116</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9,652</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8,112</w:t>
            </w:r>
          </w:p>
        </w:tc>
      </w:tr>
      <w:tr>
        <w:trPr>
          <w:trHeight w:val="274"/>
        </w:trPr>
        <w:tc>
          <w:tcPr>
            <w:tcW w:w="65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304</w:t>
            </w:r>
          </w:p>
        </w:tc>
        <w:tc>
          <w:tcPr>
            <w:tcW w:w="3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341</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516</w:t>
            </w:r>
          </w:p>
        </w:tc>
        <w:tc>
          <w:tcPr>
            <w:tcW w:w="3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736</w:t>
            </w:r>
          </w:p>
        </w:tc>
      </w:tr>
      <w:tr>
        <w:trPr>
          <w:trHeight w:val="264"/>
        </w:trPr>
        <w:tc>
          <w:tcPr>
            <w:tcW w:w="6520" w:type="dxa"/>
            <w:vAlign w:val="bottom"/>
          </w:tcPr>
          <w:p>
            <w:pPr>
              <w:spacing w:after="0"/>
              <w:rPr>
                <w:sz w:val="22"/>
                <w:szCs w:val="22"/>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15,400</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20,064</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31,844</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42,652</w:t>
            </w:r>
          </w:p>
        </w:tc>
      </w:tr>
      <w:tr>
        <w:trPr>
          <w:trHeight w:val="260"/>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Amortization of Intangible Assets</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2,163</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2,363</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4,451</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4,881</w:t>
            </w:r>
          </w:p>
        </w:tc>
      </w:tr>
      <w:tr>
        <w:trPr>
          <w:trHeight w:val="270"/>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Impairment of Intangible Assets</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7,774</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7,774</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Pension Expense</w:t>
            </w: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2,629</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2,807</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5,257</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5,614</w:t>
            </w: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722</w:t>
            </w:r>
          </w:p>
        </w:tc>
        <w:tc>
          <w:tcPr>
            <w:tcW w:w="38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641</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1,444</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1,281</w:t>
            </w: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89</w:t>
            </w:r>
          </w:p>
        </w:tc>
        <w:tc>
          <w:tcPr>
            <w:tcW w:w="38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87</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178</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174</w:t>
            </w:r>
          </w:p>
        </w:tc>
      </w:tr>
      <w:tr>
        <w:trPr>
          <w:trHeight w:val="274"/>
        </w:trPr>
        <w:tc>
          <w:tcPr>
            <w:tcW w:w="65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126</w:t>
            </w:r>
          </w:p>
        </w:tc>
        <w:tc>
          <w:tcPr>
            <w:tcW w:w="3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696</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830</w:t>
            </w:r>
          </w:p>
        </w:tc>
        <w:tc>
          <w:tcPr>
            <w:tcW w:w="3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1,268</w:t>
            </w:r>
          </w:p>
        </w:tc>
      </w:tr>
      <w:tr>
        <w:trPr>
          <w:trHeight w:val="264"/>
        </w:trPr>
        <w:tc>
          <w:tcPr>
            <w:tcW w:w="6520" w:type="dxa"/>
            <w:vAlign w:val="bottom"/>
          </w:tcPr>
          <w:p>
            <w:pPr>
              <w:spacing w:after="0"/>
              <w:rPr>
                <w:sz w:val="22"/>
                <w:szCs w:val="22"/>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3,566</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4,231</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7,709</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8,337</w:t>
            </w:r>
          </w:p>
        </w:tc>
      </w:tr>
    </w:tbl>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Identifiable assets for the Company’s education division consist of the following: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80" w:type="dxa"/>
            <w:vAlign w:val="bottom"/>
            <w:tcBorders>
              <w:bottom w:val="single" w:sz="8" w:color="auto"/>
            </w:tcBorders>
          </w:tcPr>
          <w:p>
            <w:pPr>
              <w:spacing w:after="0"/>
              <w:rPr>
                <w:sz w:val="17"/>
                <w:szCs w:val="17"/>
                <w:color w:val="auto"/>
              </w:rPr>
            </w:pPr>
          </w:p>
        </w:tc>
      </w:tr>
      <w:tr>
        <w:trPr>
          <w:trHeight w:val="168"/>
        </w:trPr>
        <w:tc>
          <w:tcPr>
            <w:tcW w:w="8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right"/>
              <w:ind w:right="422"/>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4"/>
                <w:szCs w:val="14"/>
                <w:color w:val="auto"/>
              </w:rPr>
            </w:pPr>
          </w:p>
        </w:tc>
        <w:tc>
          <w:tcPr>
            <w:tcW w:w="1280" w:type="dxa"/>
            <w:vAlign w:val="bottom"/>
          </w:tcPr>
          <w:p>
            <w:pPr>
              <w:jc w:val="right"/>
              <w:ind w:right="222"/>
              <w:spacing w:after="0"/>
              <w:rPr>
                <w:sz w:val="20"/>
                <w:szCs w:val="20"/>
                <w:color w:val="auto"/>
              </w:rPr>
            </w:pPr>
            <w:r>
              <w:rPr>
                <w:rFonts w:ascii="Arial" w:cs="Arial" w:eastAsia="Arial" w:hAnsi="Arial"/>
                <w:sz w:val="14"/>
                <w:szCs w:val="14"/>
                <w:color w:val="auto"/>
              </w:rPr>
              <w:t>December 31,</w:t>
            </w:r>
          </w:p>
        </w:tc>
      </w:tr>
      <w:tr>
        <w:trPr>
          <w:trHeight w:val="203"/>
        </w:trPr>
        <w:tc>
          <w:tcPr>
            <w:tcW w:w="83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color w:val="auto"/>
              </w:rPr>
              <w:t>2013</w:t>
            </w:r>
          </w:p>
        </w:tc>
      </w:tr>
      <w:tr>
        <w:trPr>
          <w:trHeight w:val="249"/>
        </w:trPr>
        <w:tc>
          <w:tcPr>
            <w:tcW w:w="8340" w:type="dxa"/>
            <w:vAlign w:val="bottom"/>
          </w:tcPr>
          <w:p>
            <w:pPr>
              <w:ind w:left="40"/>
              <w:spacing w:after="0"/>
              <w:rPr>
                <w:sz w:val="20"/>
                <w:szCs w:val="20"/>
                <w:color w:val="auto"/>
              </w:rPr>
            </w:pPr>
            <w:r>
              <w:rPr>
                <w:rFonts w:ascii="Arial" w:cs="Arial" w:eastAsia="Arial" w:hAnsi="Arial"/>
                <w:sz w:val="16"/>
                <w:szCs w:val="16"/>
                <w:color w:val="auto"/>
              </w:rPr>
              <w:t>Identifiable assets</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8"/>
        </w:trPr>
        <w:tc>
          <w:tcPr>
            <w:tcW w:w="8340" w:type="dxa"/>
            <w:vAlign w:val="bottom"/>
          </w:tcPr>
          <w:p>
            <w:pPr>
              <w:ind w:left="380"/>
              <w:spacing w:after="0"/>
              <w:rPr>
                <w:sz w:val="20"/>
                <w:szCs w:val="20"/>
                <w:color w:val="auto"/>
              </w:rPr>
            </w:pPr>
            <w:r>
              <w:rPr>
                <w:rFonts w:ascii="Arial" w:cs="Arial" w:eastAsia="Arial" w:hAnsi="Arial"/>
                <w:sz w:val="16"/>
                <w:szCs w:val="16"/>
                <w:color w:val="auto"/>
              </w:rPr>
              <w:t>Higher education</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ind w:right="42"/>
              <w:spacing w:after="0"/>
              <w:rPr>
                <w:sz w:val="20"/>
                <w:szCs w:val="20"/>
                <w:color w:val="auto"/>
              </w:rPr>
            </w:pPr>
            <w:r>
              <w:rPr>
                <w:rFonts w:ascii="Arial" w:cs="Arial" w:eastAsia="Arial" w:hAnsi="Arial"/>
                <w:sz w:val="16"/>
                <w:szCs w:val="16"/>
                <w:b w:val="1"/>
                <w:bCs w:val="1"/>
                <w:color w:val="auto"/>
              </w:rPr>
              <w:t>633,040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859,208</w:t>
            </w:r>
          </w:p>
        </w:tc>
      </w:tr>
      <w:tr>
        <w:trPr>
          <w:trHeight w:val="270"/>
        </w:trPr>
        <w:tc>
          <w:tcPr>
            <w:tcW w:w="8340" w:type="dxa"/>
            <w:vAlign w:val="bottom"/>
          </w:tcPr>
          <w:p>
            <w:pPr>
              <w:ind w:left="380"/>
              <w:spacing w:after="0"/>
              <w:rPr>
                <w:sz w:val="20"/>
                <w:szCs w:val="20"/>
                <w:color w:val="auto"/>
              </w:rPr>
            </w:pPr>
            <w:r>
              <w:rPr>
                <w:rFonts w:ascii="Arial" w:cs="Arial" w:eastAsia="Arial" w:hAnsi="Arial"/>
                <w:sz w:val="16"/>
                <w:szCs w:val="16"/>
                <w:color w:val="auto"/>
              </w:rPr>
              <w:t>Test preparation</w:t>
            </w:r>
          </w:p>
        </w:tc>
        <w:tc>
          <w:tcPr>
            <w:tcW w:w="280" w:type="dxa"/>
            <w:vAlign w:val="bottom"/>
          </w:tcPr>
          <w:p>
            <w:pPr>
              <w:spacing w:after="0"/>
              <w:rPr>
                <w:sz w:val="23"/>
                <w:szCs w:val="23"/>
                <w:color w:val="auto"/>
              </w:rPr>
            </w:pPr>
          </w:p>
        </w:tc>
        <w:tc>
          <w:tcPr>
            <w:tcW w:w="1240" w:type="dxa"/>
            <w:vAlign w:val="bottom"/>
          </w:tcPr>
          <w:p>
            <w:pPr>
              <w:jc w:val="right"/>
              <w:ind w:right="42"/>
              <w:spacing w:after="0"/>
              <w:rPr>
                <w:sz w:val="20"/>
                <w:szCs w:val="20"/>
                <w:color w:val="auto"/>
              </w:rPr>
            </w:pPr>
            <w:r>
              <w:rPr>
                <w:rFonts w:ascii="Arial" w:cs="Arial" w:eastAsia="Arial" w:hAnsi="Arial"/>
                <w:sz w:val="16"/>
                <w:szCs w:val="16"/>
                <w:b w:val="1"/>
                <w:bCs w:val="1"/>
                <w:color w:val="auto"/>
              </w:rPr>
              <w:t>178,361</w:t>
            </w:r>
          </w:p>
        </w:tc>
        <w:tc>
          <w:tcPr>
            <w:tcW w:w="280" w:type="dxa"/>
            <w:vAlign w:val="bottom"/>
          </w:tcPr>
          <w:p>
            <w:pPr>
              <w:spacing w:after="0"/>
              <w:rPr>
                <w:sz w:val="23"/>
                <w:szCs w:val="23"/>
                <w:color w:val="auto"/>
              </w:rPr>
            </w:pP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173,435</w:t>
            </w:r>
          </w:p>
        </w:tc>
      </w:tr>
      <w:tr>
        <w:trPr>
          <w:trHeight w:val="270"/>
        </w:trPr>
        <w:tc>
          <w:tcPr>
            <w:tcW w:w="8340" w:type="dxa"/>
            <w:vAlign w:val="bottom"/>
          </w:tcPr>
          <w:p>
            <w:pPr>
              <w:ind w:left="380"/>
              <w:spacing w:after="0"/>
              <w:rPr>
                <w:sz w:val="20"/>
                <w:szCs w:val="20"/>
                <w:color w:val="auto"/>
              </w:rPr>
            </w:pPr>
            <w:r>
              <w:rPr>
                <w:rFonts w:ascii="Arial" w:cs="Arial" w:eastAsia="Arial" w:hAnsi="Arial"/>
                <w:sz w:val="16"/>
                <w:szCs w:val="16"/>
                <w:color w:val="auto"/>
              </w:rPr>
              <w:t>Kaplan international</w:t>
            </w:r>
          </w:p>
        </w:tc>
        <w:tc>
          <w:tcPr>
            <w:tcW w:w="280" w:type="dxa"/>
            <w:vAlign w:val="bottom"/>
          </w:tcPr>
          <w:p>
            <w:pPr>
              <w:spacing w:after="0"/>
              <w:rPr>
                <w:sz w:val="23"/>
                <w:szCs w:val="23"/>
                <w:color w:val="auto"/>
              </w:rPr>
            </w:pPr>
          </w:p>
        </w:tc>
        <w:tc>
          <w:tcPr>
            <w:tcW w:w="1240" w:type="dxa"/>
            <w:vAlign w:val="bottom"/>
          </w:tcPr>
          <w:p>
            <w:pPr>
              <w:jc w:val="right"/>
              <w:ind w:right="42"/>
              <w:spacing w:after="0"/>
              <w:rPr>
                <w:sz w:val="20"/>
                <w:szCs w:val="20"/>
                <w:color w:val="auto"/>
              </w:rPr>
            </w:pPr>
            <w:r>
              <w:rPr>
                <w:rFonts w:ascii="Arial" w:cs="Arial" w:eastAsia="Arial" w:hAnsi="Arial"/>
                <w:sz w:val="16"/>
                <w:szCs w:val="16"/>
                <w:b w:val="1"/>
                <w:bCs w:val="1"/>
                <w:color w:val="auto"/>
              </w:rPr>
              <w:t>888,559</w:t>
            </w:r>
          </w:p>
        </w:tc>
        <w:tc>
          <w:tcPr>
            <w:tcW w:w="280" w:type="dxa"/>
            <w:vAlign w:val="bottom"/>
          </w:tcPr>
          <w:p>
            <w:pPr>
              <w:spacing w:after="0"/>
              <w:rPr>
                <w:sz w:val="23"/>
                <w:szCs w:val="23"/>
                <w:color w:val="auto"/>
              </w:rPr>
            </w:pP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864,507</w:t>
            </w:r>
          </w:p>
        </w:tc>
      </w:tr>
      <w:tr>
        <w:trPr>
          <w:trHeight w:val="274"/>
        </w:trPr>
        <w:tc>
          <w:tcPr>
            <w:tcW w:w="8340" w:type="dxa"/>
            <w:vAlign w:val="bottom"/>
          </w:tcPr>
          <w:p>
            <w:pPr>
              <w:ind w:left="380"/>
              <w:spacing w:after="0"/>
              <w:rPr>
                <w:sz w:val="20"/>
                <w:szCs w:val="20"/>
                <w:color w:val="auto"/>
              </w:rPr>
            </w:pPr>
            <w:r>
              <w:rPr>
                <w:rFonts w:ascii="Arial" w:cs="Arial" w:eastAsia="Arial" w:hAnsi="Arial"/>
                <w:sz w:val="16"/>
                <w:szCs w:val="16"/>
                <w:color w:val="auto"/>
              </w:rPr>
              <w:t>Kaplan corporate and other</w:t>
            </w:r>
          </w:p>
        </w:tc>
        <w:tc>
          <w:tcPr>
            <w:tcW w:w="2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43,232</w:t>
            </w:r>
          </w:p>
        </w:tc>
        <w:tc>
          <w:tcPr>
            <w:tcW w:w="2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23,887</w:t>
            </w:r>
          </w:p>
        </w:tc>
      </w:tr>
      <w:tr>
        <w:trPr>
          <w:trHeight w:val="264"/>
        </w:trPr>
        <w:tc>
          <w:tcPr>
            <w:tcW w:w="8340" w:type="dxa"/>
            <w:vAlign w:val="bottom"/>
          </w:tcPr>
          <w:p>
            <w:pPr>
              <w:spacing w:after="0"/>
              <w:rPr>
                <w:sz w:val="22"/>
                <w:szCs w:val="22"/>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1,743,192</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1,921,037</w:t>
            </w:r>
          </w:p>
        </w:tc>
      </w:tr>
    </w:tbl>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Results of Operations and Financial Condition.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This analysis should be read in conjunction with the condensed consolidated financial statements and the notes thereto.</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44" w:lineRule="exact"/>
        <w:rPr>
          <w:sz w:val="20"/>
          <w:szCs w:val="20"/>
          <w:color w:val="auto"/>
        </w:rPr>
      </w:pPr>
    </w:p>
    <w:p>
      <w:pPr>
        <w:ind w:right="200"/>
        <w:spacing w:after="0" w:line="231" w:lineRule="auto"/>
        <w:rPr>
          <w:sz w:val="20"/>
          <w:szCs w:val="20"/>
          <w:color w:val="auto"/>
        </w:rPr>
      </w:pPr>
      <w:r>
        <w:rPr>
          <w:rFonts w:ascii="Arial" w:cs="Arial" w:eastAsia="Arial" w:hAnsi="Arial"/>
          <w:sz w:val="18"/>
          <w:szCs w:val="18"/>
          <w:color w:val="auto"/>
        </w:rPr>
        <w:t>The Company reported income from continuing operations attributable to common shares of $369.7 million ($49.52 per share) for the second quarter of 2014, compared to $46.6 million ($6.28 per share) for the second quarter of 2013. Net income attributable to common shares was $750.1 million ($100.48 per share) for the second quarter ended June 30, 2014, compared to $44.7 million ($6.02 per share) for the second quarter of last year. Net income includes $380.5 million ($50.96 per share) in income and $2.0 million ($0.26 per share) in losses from discontinued operations for the second quarter of 2014 and 2013, respectively. (Refer to “Discontinued Operations” discussion below.)</w:t>
      </w:r>
    </w:p>
    <w:p>
      <w:pPr>
        <w:spacing w:after="0" w:line="111"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On June 30, 2014, the Company and Berkshire Hathaway Inc. completed a previously announced transaction in which Berkshire acquired a wholly-owned subsidiary of the Company that included, among other things, WPLG, a Miami-based television station, 2,107 Class A Berkshire shares and 1,278 Class B Berkshire shares owned by</w:t>
      </w:r>
    </w:p>
    <w:p>
      <w:pPr>
        <w:sectPr>
          <w:pgSz w:w="11900" w:h="16838" w:orient="portrait"/>
          <w:cols w:equalWidth="0" w:num="1">
            <w:col w:w="11420"/>
          </w:cols>
          <w:pgMar w:left="240" w:top="562" w:right="239" w:bottom="241"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20"/>
          </w:cols>
          <w:pgMar w:left="240" w:top="562" w:right="239" w:bottom="241" w:gutter="0" w:footer="0" w:header="0"/>
          <w:type w:val="continuous"/>
        </w:sectPr>
      </w:pPr>
    </w:p>
    <w:bookmarkStart w:id="21" w:name="page22"/>
    <w:bookmarkEnd w:id="21"/>
    <w:p>
      <w:pPr>
        <w:ind w:right="40"/>
        <w:spacing w:after="0" w:line="231" w:lineRule="auto"/>
        <w:rPr>
          <w:sz w:val="20"/>
          <w:szCs w:val="20"/>
          <w:color w:val="auto"/>
        </w:rPr>
      </w:pPr>
      <w:r>
        <w:rPr>
          <w:rFonts w:ascii="Arial" w:cs="Arial" w:eastAsia="Arial" w:hAnsi="Arial"/>
          <w:sz w:val="18"/>
          <w:szCs w:val="18"/>
          <w:color w:val="auto"/>
        </w:rPr>
        <w:t>Graham Holdings and $327.7 million in cash, in exchange for 1,620,190 shares of Graham Holdings Class B common stock owned by Berkshire Hathaway (Berkshire exchange transaction). As a result, income from continuing operations for the second quarter of 2014 includes a $266.7 million gain from the exchange of the Berkshire Hathaway shares, and income from discontinued operations for the second quarter of 2014 includes a $375.0 million gain from the WPLG exchange. Also, income from continuing operations excludes the operating results of WPLG, which have been reclassified to discontinued operations, net of tax, for all periods presented.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income from continuing operations for the second quarter of 2014 are listed below:</w:t>
      </w:r>
    </w:p>
    <w:p>
      <w:pPr>
        <w:spacing w:after="0" w:line="144" w:lineRule="exact"/>
        <w:rPr>
          <w:sz w:val="20"/>
          <w:szCs w:val="20"/>
          <w:color w:val="auto"/>
        </w:rPr>
      </w:pPr>
    </w:p>
    <w:p>
      <w:pPr>
        <w:ind w:left="180" w:right="380" w:hanging="172"/>
        <w:spacing w:after="0" w:line="259" w:lineRule="auto"/>
        <w:tabs>
          <w:tab w:leader="none" w:pos="18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$10.5 million in restructuring charges and software asset write-offs at the education division (after-tax impact of $6.7 million, or $0.90 per share);</w:t>
      </w:r>
    </w:p>
    <w:p>
      <w:pPr>
        <w:spacing w:after="0" w:line="92"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a $7.8 million noncash intangible asset impairment charge at the education division (after-tax impact of $5.0 million, or $0.67 per share);</w:t>
      </w:r>
    </w:p>
    <w:p>
      <w:pPr>
        <w:spacing w:after="0" w:line="143"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$90.9 million gain from the Classified Ventures’ sale of apartments.com (after-tax impact of $58.2 million, or $7.80 per share);</w:t>
      </w:r>
    </w:p>
    <w:p>
      <w:pPr>
        <w:spacing w:after="0" w:line="143"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$266.7 million gain from the Berkshire exchange transaction (after-tax impact of $266.7 million, or $35.73 per share); and</w:t>
      </w:r>
    </w:p>
    <w:p>
      <w:pPr>
        <w:spacing w:after="0" w:line="143"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$2.9 million in non-operating unrealized foreign currency gains (after-tax impact of $1.9 million, or $0.25 per share).</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income from continuing operations for the second quarter of 2013 are listed below:</w:t>
      </w:r>
    </w:p>
    <w:p>
      <w:pPr>
        <w:spacing w:after="0" w:line="306"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$4.9 million in restructuring charges at the education division (after-tax impact of $3.9 million, or $0.54 per share); and</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$12.6 million in non-operating unrealized foreign currency losses (after-tax impact of $8.1 million, or $1.11 per share).</w:t>
      </w:r>
    </w:p>
    <w:p>
      <w:pPr>
        <w:spacing w:after="0" w:line="143" w:lineRule="exact"/>
        <w:rPr>
          <w:sz w:val="20"/>
          <w:szCs w:val="20"/>
          <w:color w:val="auto"/>
        </w:rPr>
      </w:pPr>
    </w:p>
    <w:p>
      <w:pPr>
        <w:ind w:right="60"/>
        <w:spacing w:after="0" w:line="231" w:lineRule="auto"/>
        <w:rPr>
          <w:sz w:val="20"/>
          <w:szCs w:val="20"/>
          <w:color w:val="auto"/>
        </w:rPr>
      </w:pPr>
      <w:r>
        <w:rPr>
          <w:rFonts w:ascii="Arial" w:cs="Arial" w:eastAsia="Arial" w:hAnsi="Arial"/>
          <w:sz w:val="18"/>
          <w:szCs w:val="18"/>
          <w:color w:val="auto"/>
        </w:rPr>
        <w:t>Revenue for the second quarter of 2014 was $878.6 million, up 1% from $870.5 million in the second quarter of 2013. The Company reported operating income of $94.5 million in the second quarter of 2014, compared to $96.3 million in the second quarter of 2013. Revenues increased at the television broadcasting division and in other businesses, declined at the cable division and were flat at the education division. Operating results were down in the second quarter of 2014 due to declines at the education division and in other businesses, offset by improvements at the television broadcasting and cable divisions.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For the first six months of 2014, the Company reported income from continuing operations attributable to common shares of $500.7 million</w:t>
      </w:r>
    </w:p>
    <w:p>
      <w:pPr>
        <w:spacing w:after="0" w:line="4"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($67.13 per share), compared to $ 68.3 million ($9.21 per share) for the first six months of 2013. Net income attributable to common shares was $882.2 million ($118.26 per share) for the first six months of 2013, compared to $49.4 million ($6.66 per share) for the same period of 2013. Net income includes $381.5 million ($51.13 per share) in income and $18.9 million ($2.55 per share) in losses from discontinued operations for the first six months of 2014 and 2013, respectively. (Refer to “Discontinued Operations” discussion below.)</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income from continuing operations for the first six months of 2014 are listed below:</w:t>
      </w:r>
    </w:p>
    <w:p>
      <w:pPr>
        <w:spacing w:after="0" w:line="144" w:lineRule="exact"/>
        <w:rPr>
          <w:sz w:val="20"/>
          <w:szCs w:val="20"/>
          <w:color w:val="auto"/>
        </w:rPr>
      </w:pPr>
    </w:p>
    <w:p>
      <w:pPr>
        <w:ind w:left="180" w:right="520" w:hanging="172"/>
        <w:spacing w:after="0" w:line="259" w:lineRule="auto"/>
        <w:tabs>
          <w:tab w:leader="none" w:pos="18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$15.0 million in early retirement program expense, restructuring charges and software asset write-offs at the education division and the corporate office (after-tax impact of $9.6 million, or $1.29 per share);</w:t>
      </w:r>
    </w:p>
    <w:p>
      <w:pPr>
        <w:spacing w:after="0" w:line="92"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$7.8 million noncash intangible asset impairment charge at the education division (after-tax impact of $5.0 million, or $0.67 per share);</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$90.9 million gain from the Classified Ventures’ sale of apartments.com (after-tax impact of $58.2 million, or $7.80 per share);</w:t>
      </w:r>
    </w:p>
    <w:p>
      <w:pPr>
        <w:spacing w:after="0" w:line="143"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$266.7 million gain from the Berkshire exchange transaction (after-tax impact of $266.7 million, or $35.73 per share);</w:t>
      </w:r>
    </w:p>
    <w:p>
      <w:pPr>
        <w:spacing w:after="0" w:line="143"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$127.7 million gain on the sale of the corporate headquarters building (after-tax impact of $81.8 million, or $11.13 per share); and</w:t>
      </w:r>
    </w:p>
    <w:p>
      <w:pPr>
        <w:spacing w:after="0" w:line="143"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$7.9 million in non-operating unrealized foreign currency gains (after-tax impact of $5.1 million, or $0.69 per share).</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562"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Items included in the Company’s income from continuing operations for the first six months of 2013 are listed below:</w:t>
      </w:r>
    </w:p>
    <w:p>
      <w:pPr>
        <w:spacing w:after="0" w:line="144" w:lineRule="exact"/>
        <w:rPr>
          <w:sz w:val="20"/>
          <w:szCs w:val="20"/>
          <w:color w:val="auto"/>
        </w:rPr>
      </w:pPr>
    </w:p>
    <w:p>
      <w:pPr>
        <w:ind w:left="180" w:hanging="172"/>
        <w:spacing w:after="0"/>
        <w:tabs>
          <w:tab w:leader="none" w:pos="18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$14.3 million in restructuring charges at the education division (after-tax impact of $10.1 million, or $1.39 per share); and</w:t>
      </w:r>
    </w:p>
    <w:p>
      <w:pPr>
        <w:spacing w:after="0" w:line="143"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$17.2 million in non-operating unrealized foreign currency losses (after-tax impact of $11.0 million, or $1.52 per share).</w:t>
      </w:r>
    </w:p>
    <w:p>
      <w:pPr>
        <w:spacing w:after="0" w:line="143" w:lineRule="exact"/>
        <w:rPr>
          <w:sz w:val="20"/>
          <w:szCs w:val="20"/>
          <w:color w:val="auto"/>
        </w:rPr>
      </w:pPr>
    </w:p>
    <w:p>
      <w:pPr>
        <w:ind w:right="80"/>
        <w:spacing w:after="0" w:line="231" w:lineRule="auto"/>
        <w:rPr>
          <w:sz w:val="20"/>
          <w:szCs w:val="20"/>
          <w:color w:val="auto"/>
        </w:rPr>
      </w:pPr>
      <w:r>
        <w:rPr>
          <w:rFonts w:ascii="Arial" w:cs="Arial" w:eastAsia="Arial" w:hAnsi="Arial"/>
          <w:sz w:val="18"/>
          <w:szCs w:val="18"/>
          <w:color w:val="auto"/>
        </w:rPr>
        <w:t>Revenue for the first six months of 2014 was $1,719.2 million, up 2% from $1,691.1 million in the first six months of 2013. Revenues increased at the television broadcasting division and in other businesses, while revenues at the education and cable divisions were flat. The Company reported operating income of $174.0 million for the first six months of 2014, compared to $143.4 million for the first six months of 2013. Operating results improved at the television broadcasting and cable divisions, offset by a decline at the education division and in other businesses.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Division Results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144" w:lineRule="exact"/>
        <w:rPr>
          <w:sz w:val="20"/>
          <w:szCs w:val="20"/>
          <w:color w:val="auto"/>
        </w:rPr>
      </w:pPr>
    </w:p>
    <w:p>
      <w:pPr>
        <w:ind w:right="200"/>
        <w:spacing w:after="0" w:line="231" w:lineRule="auto"/>
        <w:rPr>
          <w:sz w:val="20"/>
          <w:szCs w:val="20"/>
          <w:color w:val="auto"/>
        </w:rPr>
      </w:pPr>
      <w:r>
        <w:rPr>
          <w:rFonts w:ascii="Arial" w:cs="Arial" w:eastAsia="Arial" w:hAnsi="Arial"/>
          <w:sz w:val="18"/>
          <w:szCs w:val="18"/>
          <w:color w:val="auto"/>
        </w:rPr>
        <w:t>Education division revenue totaled $547.2 million for the second quarter of 2014, essentially flat compared with revenue of $548.2 million for the second quarter of 2013. Kaplan reported second quarter 2014 operating income of $10.6 million, compared to $23.7 million in the second quarter of 2013. Restructuring costs and software asset write-offs totaled $10.5 million and $4.9 million for the second quarter of 2014 and 2013, respectively. Operating results for the second quarter of 2014 also include a $7.8 million intangible asset impairment charge related to the Kaplan China operations.</w:t>
      </w:r>
    </w:p>
    <w:p>
      <w:pPr>
        <w:spacing w:after="0" w:line="111" w:lineRule="exact"/>
        <w:rPr>
          <w:sz w:val="20"/>
          <w:szCs w:val="20"/>
          <w:color w:val="auto"/>
        </w:rPr>
      </w:pPr>
    </w:p>
    <w:p>
      <w:pPr>
        <w:ind w:right="140"/>
        <w:spacing w:after="0" w:line="231" w:lineRule="auto"/>
        <w:rPr>
          <w:sz w:val="20"/>
          <w:szCs w:val="20"/>
          <w:color w:val="auto"/>
        </w:rPr>
      </w:pPr>
      <w:r>
        <w:rPr>
          <w:rFonts w:ascii="Arial" w:cs="Arial" w:eastAsia="Arial" w:hAnsi="Arial"/>
          <w:sz w:val="18"/>
          <w:szCs w:val="18"/>
          <w:color w:val="auto"/>
        </w:rPr>
        <w:t>For the first six months of 2014, education division revenue totaled $1,073.4 million, essentially flat compared with revenue of $1,076.0 million for the same period of 2013. Kaplan reported operating income of $13.1 million for the first six months of 2014, compared to operating income of $ 19.7 million for the first six months of 2013. Restructuring costs and software asset write-offs totaled $10.5 million and $14.3 million for the first six months of 2014 and 2013, respectively. Operating results for the first six months of 2014 also include a $7.8 million intangible asset impairment charge related to the Kaplan China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A summary of Kaplan’s operating results for the second quarter and first six months of 2014 compared to 2013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58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Three Months Ended</w:t>
            </w: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4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Six Months Ended</w:t>
            </w: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9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23"/>
                <w:szCs w:val="23"/>
                <w:color w:val="auto"/>
              </w:rPr>
            </w:pPr>
          </w:p>
        </w:tc>
        <w:tc>
          <w:tcPr>
            <w:tcW w:w="14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color w:val="auto"/>
              </w:rPr>
              <w:t>2013</w:t>
            </w:r>
          </w:p>
        </w:tc>
        <w:tc>
          <w:tcPr>
            <w:tcW w:w="14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 Change</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2013</w:t>
            </w:r>
          </w:p>
        </w:tc>
        <w:tc>
          <w:tcPr>
            <w:tcW w:w="140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57"/>
        </w:trPr>
        <w:tc>
          <w:tcPr>
            <w:tcW w:w="2960" w:type="dxa"/>
            <w:vAlign w:val="bottom"/>
          </w:tcPr>
          <w:p>
            <w:pPr>
              <w:ind w:left="40"/>
              <w:spacing w:after="0"/>
              <w:rPr>
                <w:sz w:val="20"/>
                <w:szCs w:val="20"/>
                <w:color w:val="auto"/>
              </w:rPr>
            </w:pPr>
            <w:r>
              <w:rPr>
                <w:rFonts w:ascii="Arial" w:cs="Arial" w:eastAsia="Arial" w:hAnsi="Arial"/>
                <w:sz w:val="16"/>
                <w:szCs w:val="16"/>
                <w:b w:val="1"/>
                <w:bCs w:val="1"/>
                <w:color w:val="auto"/>
              </w:rPr>
              <w:t>Revenue</w:t>
            </w: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96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340" w:type="dxa"/>
            <w:vAlign w:val="bottom"/>
          </w:tcPr>
          <w:p>
            <w:pPr>
              <w:jc w:val="right"/>
              <w:ind w:right="139"/>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81"/>
              <w:spacing w:after="0"/>
              <w:rPr>
                <w:sz w:val="20"/>
                <w:szCs w:val="20"/>
                <w:color w:val="auto"/>
              </w:rPr>
            </w:pPr>
            <w:r>
              <w:rPr>
                <w:rFonts w:ascii="Arial" w:cs="Arial" w:eastAsia="Arial" w:hAnsi="Arial"/>
                <w:sz w:val="16"/>
                <w:szCs w:val="16"/>
                <w:b w:val="1"/>
                <w:bCs w:val="1"/>
                <w:color w:val="auto"/>
              </w:rPr>
              <w:t>251,936</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273,092</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(8)</w:t>
            </w: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81"/>
              <w:spacing w:after="0"/>
              <w:rPr>
                <w:sz w:val="20"/>
                <w:szCs w:val="20"/>
                <w:color w:val="auto"/>
              </w:rPr>
            </w:pPr>
            <w:r>
              <w:rPr>
                <w:rFonts w:ascii="Arial" w:cs="Arial" w:eastAsia="Arial" w:hAnsi="Arial"/>
                <w:sz w:val="16"/>
                <w:szCs w:val="16"/>
                <w:b w:val="1"/>
                <w:bCs w:val="1"/>
                <w:color w:val="auto"/>
              </w:rPr>
              <w:t>505,715</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544,952</w:t>
            </w:r>
          </w:p>
        </w:tc>
        <w:tc>
          <w:tcPr>
            <w:tcW w:w="1400" w:type="dxa"/>
            <w:vAlign w:val="bottom"/>
          </w:tcPr>
          <w:p>
            <w:pPr>
              <w:jc w:val="right"/>
              <w:ind w:right="30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70"/>
        </w:trPr>
        <w:tc>
          <w:tcPr>
            <w:tcW w:w="296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340" w:type="dxa"/>
            <w:vAlign w:val="bottom"/>
          </w:tcPr>
          <w:p>
            <w:pPr>
              <w:spacing w:after="0"/>
              <w:rPr>
                <w:sz w:val="23"/>
                <w:szCs w:val="23"/>
                <w:color w:val="auto"/>
              </w:rPr>
            </w:pPr>
          </w:p>
        </w:tc>
        <w:tc>
          <w:tcPr>
            <w:tcW w:w="1120" w:type="dxa"/>
            <w:vAlign w:val="bottom"/>
          </w:tcPr>
          <w:p>
            <w:pPr>
              <w:jc w:val="right"/>
              <w:ind w:right="81"/>
              <w:spacing w:after="0"/>
              <w:rPr>
                <w:sz w:val="20"/>
                <w:szCs w:val="20"/>
                <w:color w:val="auto"/>
              </w:rPr>
            </w:pPr>
            <w:r>
              <w:rPr>
                <w:rFonts w:ascii="Arial" w:cs="Arial" w:eastAsia="Arial" w:hAnsi="Arial"/>
                <w:sz w:val="16"/>
                <w:szCs w:val="16"/>
                <w:b w:val="1"/>
                <w:bCs w:val="1"/>
                <w:color w:val="auto"/>
              </w:rPr>
              <w:t>81,098</w:t>
            </w:r>
          </w:p>
        </w:tc>
        <w:tc>
          <w:tcPr>
            <w:tcW w:w="440" w:type="dxa"/>
            <w:vAlign w:val="bottom"/>
          </w:tcPr>
          <w:p>
            <w:pPr>
              <w:spacing w:after="0"/>
              <w:rPr>
                <w:sz w:val="23"/>
                <w:szCs w:val="23"/>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85,690</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(5)</w:t>
            </w:r>
          </w:p>
        </w:tc>
        <w:tc>
          <w:tcPr>
            <w:tcW w:w="320" w:type="dxa"/>
            <w:vAlign w:val="bottom"/>
          </w:tcPr>
          <w:p>
            <w:pPr>
              <w:spacing w:after="0"/>
              <w:rPr>
                <w:sz w:val="23"/>
                <w:szCs w:val="23"/>
                <w:color w:val="auto"/>
              </w:rPr>
            </w:pPr>
          </w:p>
        </w:tc>
        <w:tc>
          <w:tcPr>
            <w:tcW w:w="1060" w:type="dxa"/>
            <w:vAlign w:val="bottom"/>
          </w:tcPr>
          <w:p>
            <w:pPr>
              <w:jc w:val="right"/>
              <w:ind w:right="81"/>
              <w:spacing w:after="0"/>
              <w:rPr>
                <w:sz w:val="20"/>
                <w:szCs w:val="20"/>
                <w:color w:val="auto"/>
              </w:rPr>
            </w:pPr>
            <w:r>
              <w:rPr>
                <w:rFonts w:ascii="Arial" w:cs="Arial" w:eastAsia="Arial" w:hAnsi="Arial"/>
                <w:sz w:val="16"/>
                <w:szCs w:val="16"/>
                <w:b w:val="1"/>
                <w:bCs w:val="1"/>
                <w:color w:val="auto"/>
              </w:rPr>
              <w:t>148,902</w:t>
            </w:r>
          </w:p>
        </w:tc>
        <w:tc>
          <w:tcPr>
            <w:tcW w:w="36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154,633</w:t>
            </w:r>
          </w:p>
        </w:tc>
        <w:tc>
          <w:tcPr>
            <w:tcW w:w="1400" w:type="dxa"/>
            <w:vAlign w:val="bottom"/>
          </w:tcPr>
          <w:p>
            <w:pPr>
              <w:jc w:val="right"/>
              <w:ind w:right="30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70"/>
        </w:trPr>
        <w:tc>
          <w:tcPr>
            <w:tcW w:w="296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340" w:type="dxa"/>
            <w:vAlign w:val="bottom"/>
          </w:tcPr>
          <w:p>
            <w:pPr>
              <w:spacing w:after="0"/>
              <w:rPr>
                <w:sz w:val="23"/>
                <w:szCs w:val="23"/>
                <w:color w:val="auto"/>
              </w:rPr>
            </w:pPr>
          </w:p>
        </w:tc>
        <w:tc>
          <w:tcPr>
            <w:tcW w:w="1120" w:type="dxa"/>
            <w:vAlign w:val="bottom"/>
          </w:tcPr>
          <w:p>
            <w:pPr>
              <w:jc w:val="right"/>
              <w:ind w:right="81"/>
              <w:spacing w:after="0"/>
              <w:rPr>
                <w:sz w:val="20"/>
                <w:szCs w:val="20"/>
                <w:color w:val="auto"/>
              </w:rPr>
            </w:pPr>
            <w:r>
              <w:rPr>
                <w:rFonts w:ascii="Arial" w:cs="Arial" w:eastAsia="Arial" w:hAnsi="Arial"/>
                <w:sz w:val="16"/>
                <w:szCs w:val="16"/>
                <w:b w:val="1"/>
                <w:bCs w:val="1"/>
                <w:color w:val="auto"/>
              </w:rPr>
              <w:t>213,262</w:t>
            </w:r>
          </w:p>
        </w:tc>
        <w:tc>
          <w:tcPr>
            <w:tcW w:w="440" w:type="dxa"/>
            <w:vAlign w:val="bottom"/>
          </w:tcPr>
          <w:p>
            <w:pPr>
              <w:spacing w:after="0"/>
              <w:rPr>
                <w:sz w:val="23"/>
                <w:szCs w:val="23"/>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187,968</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13</w:t>
            </w:r>
          </w:p>
        </w:tc>
        <w:tc>
          <w:tcPr>
            <w:tcW w:w="320" w:type="dxa"/>
            <w:vAlign w:val="bottom"/>
          </w:tcPr>
          <w:p>
            <w:pPr>
              <w:spacing w:after="0"/>
              <w:rPr>
                <w:sz w:val="23"/>
                <w:szCs w:val="23"/>
                <w:color w:val="auto"/>
              </w:rPr>
            </w:pPr>
          </w:p>
        </w:tc>
        <w:tc>
          <w:tcPr>
            <w:tcW w:w="1060" w:type="dxa"/>
            <w:vAlign w:val="bottom"/>
          </w:tcPr>
          <w:p>
            <w:pPr>
              <w:jc w:val="right"/>
              <w:ind w:right="81"/>
              <w:spacing w:after="0"/>
              <w:rPr>
                <w:sz w:val="20"/>
                <w:szCs w:val="20"/>
                <w:color w:val="auto"/>
              </w:rPr>
            </w:pPr>
            <w:r>
              <w:rPr>
                <w:rFonts w:ascii="Arial" w:cs="Arial" w:eastAsia="Arial" w:hAnsi="Arial"/>
                <w:sz w:val="16"/>
                <w:szCs w:val="16"/>
                <w:b w:val="1"/>
                <w:bCs w:val="1"/>
                <w:color w:val="auto"/>
              </w:rPr>
              <w:t>416,129</w:t>
            </w:r>
          </w:p>
        </w:tc>
        <w:tc>
          <w:tcPr>
            <w:tcW w:w="36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372,781</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70"/>
        </w:trPr>
        <w:tc>
          <w:tcPr>
            <w:tcW w:w="296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340" w:type="dxa"/>
            <w:vAlign w:val="bottom"/>
          </w:tcPr>
          <w:p>
            <w:pPr>
              <w:spacing w:after="0"/>
              <w:rPr>
                <w:sz w:val="23"/>
                <w:szCs w:val="23"/>
                <w:color w:val="auto"/>
              </w:rPr>
            </w:pPr>
          </w:p>
        </w:tc>
        <w:tc>
          <w:tcPr>
            <w:tcW w:w="1120" w:type="dxa"/>
            <w:vAlign w:val="bottom"/>
          </w:tcPr>
          <w:p>
            <w:pPr>
              <w:jc w:val="right"/>
              <w:ind w:right="81"/>
              <w:spacing w:after="0"/>
              <w:rPr>
                <w:sz w:val="20"/>
                <w:szCs w:val="20"/>
                <w:color w:val="auto"/>
              </w:rPr>
            </w:pPr>
            <w:r>
              <w:rPr>
                <w:rFonts w:ascii="Arial" w:cs="Arial" w:eastAsia="Arial" w:hAnsi="Arial"/>
                <w:sz w:val="16"/>
                <w:szCs w:val="16"/>
                <w:b w:val="1"/>
                <w:bCs w:val="1"/>
                <w:color w:val="auto"/>
              </w:rPr>
              <w:t>1,385</w:t>
            </w:r>
          </w:p>
        </w:tc>
        <w:tc>
          <w:tcPr>
            <w:tcW w:w="440" w:type="dxa"/>
            <w:vAlign w:val="bottom"/>
          </w:tcPr>
          <w:p>
            <w:pPr>
              <w:spacing w:after="0"/>
              <w:rPr>
                <w:sz w:val="23"/>
                <w:szCs w:val="23"/>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1,669</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(17)</w:t>
            </w:r>
          </w:p>
        </w:tc>
        <w:tc>
          <w:tcPr>
            <w:tcW w:w="320" w:type="dxa"/>
            <w:vAlign w:val="bottom"/>
          </w:tcPr>
          <w:p>
            <w:pPr>
              <w:spacing w:after="0"/>
              <w:rPr>
                <w:sz w:val="23"/>
                <w:szCs w:val="23"/>
                <w:color w:val="auto"/>
              </w:rPr>
            </w:pPr>
          </w:p>
        </w:tc>
        <w:tc>
          <w:tcPr>
            <w:tcW w:w="1060" w:type="dxa"/>
            <w:vAlign w:val="bottom"/>
          </w:tcPr>
          <w:p>
            <w:pPr>
              <w:jc w:val="right"/>
              <w:ind w:right="81"/>
              <w:spacing w:after="0"/>
              <w:rPr>
                <w:sz w:val="20"/>
                <w:szCs w:val="20"/>
                <w:color w:val="auto"/>
              </w:rPr>
            </w:pPr>
            <w:r>
              <w:rPr>
                <w:rFonts w:ascii="Arial" w:cs="Arial" w:eastAsia="Arial" w:hAnsi="Arial"/>
                <w:sz w:val="16"/>
                <w:szCs w:val="16"/>
                <w:b w:val="1"/>
                <w:bCs w:val="1"/>
                <w:color w:val="auto"/>
              </w:rPr>
              <w:t>3,399</w:t>
            </w:r>
          </w:p>
        </w:tc>
        <w:tc>
          <w:tcPr>
            <w:tcW w:w="36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4,273</w:t>
            </w:r>
          </w:p>
        </w:tc>
        <w:tc>
          <w:tcPr>
            <w:tcW w:w="1400" w:type="dxa"/>
            <w:vAlign w:val="bottom"/>
          </w:tcPr>
          <w:p>
            <w:pPr>
              <w:jc w:val="right"/>
              <w:ind w:right="30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74"/>
        </w:trPr>
        <w:tc>
          <w:tcPr>
            <w:tcW w:w="296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(500)</w:t>
            </w:r>
          </w:p>
        </w:tc>
        <w:tc>
          <w:tcPr>
            <w:tcW w:w="4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(790)</w:t>
            </w:r>
          </w:p>
        </w:tc>
        <w:tc>
          <w:tcPr>
            <w:tcW w:w="3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(594)</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5"/>
        </w:trPr>
        <w:tc>
          <w:tcPr>
            <w:tcW w:w="2960" w:type="dxa"/>
            <w:vAlign w:val="bottom"/>
          </w:tcPr>
          <w:p>
            <w:pPr>
              <w:spacing w:after="0"/>
              <w:rPr>
                <w:sz w:val="23"/>
                <w:szCs w:val="23"/>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547,181</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548,230</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0</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1,073,355</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1,076,045</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
        </w:trPr>
        <w:tc>
          <w:tcPr>
            <w:tcW w:w="29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96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96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340" w:type="dxa"/>
            <w:vAlign w:val="bottom"/>
          </w:tcPr>
          <w:p>
            <w:pPr>
              <w:jc w:val="right"/>
              <w:ind w:right="139"/>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81"/>
              <w:spacing w:after="0"/>
              <w:rPr>
                <w:sz w:val="20"/>
                <w:szCs w:val="20"/>
                <w:color w:val="auto"/>
              </w:rPr>
            </w:pPr>
            <w:r>
              <w:rPr>
                <w:rFonts w:ascii="Arial" w:cs="Arial" w:eastAsia="Arial" w:hAnsi="Arial"/>
                <w:sz w:val="16"/>
                <w:szCs w:val="16"/>
                <w:b w:val="1"/>
                <w:bCs w:val="1"/>
                <w:color w:val="auto"/>
              </w:rPr>
              <w:t>20,952</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22,534</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(7)</w:t>
            </w: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81"/>
              <w:spacing w:after="0"/>
              <w:rPr>
                <w:sz w:val="20"/>
                <w:szCs w:val="20"/>
                <w:color w:val="auto"/>
              </w:rPr>
            </w:pPr>
            <w:r>
              <w:rPr>
                <w:rFonts w:ascii="Arial" w:cs="Arial" w:eastAsia="Arial" w:hAnsi="Arial"/>
                <w:sz w:val="16"/>
                <w:szCs w:val="16"/>
                <w:b w:val="1"/>
                <w:bCs w:val="1"/>
                <w:color w:val="auto"/>
              </w:rPr>
              <w:t>34,096</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27,635</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70"/>
        </w:trPr>
        <w:tc>
          <w:tcPr>
            <w:tcW w:w="296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340" w:type="dxa"/>
            <w:vAlign w:val="bottom"/>
          </w:tcPr>
          <w:p>
            <w:pPr>
              <w:spacing w:after="0"/>
              <w:rPr>
                <w:sz w:val="23"/>
                <w:szCs w:val="23"/>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b w:val="1"/>
                <w:bCs w:val="1"/>
                <w:color w:val="auto"/>
              </w:rPr>
              <w:t>(3,904)</w:t>
            </w:r>
          </w:p>
        </w:tc>
        <w:tc>
          <w:tcPr>
            <w:tcW w:w="440" w:type="dxa"/>
            <w:vAlign w:val="bottom"/>
          </w:tcPr>
          <w:p>
            <w:pPr>
              <w:spacing w:after="0"/>
              <w:rPr>
                <w:sz w:val="23"/>
                <w:szCs w:val="23"/>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7,831</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b w:val="1"/>
                <w:bCs w:val="1"/>
                <w:color w:val="auto"/>
              </w:rPr>
              <w:t>(10,532)</w:t>
            </w:r>
          </w:p>
        </w:tc>
        <w:tc>
          <w:tcPr>
            <w:tcW w:w="36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3,486</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296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340" w:type="dxa"/>
            <w:vAlign w:val="bottom"/>
          </w:tcPr>
          <w:p>
            <w:pPr>
              <w:spacing w:after="0"/>
              <w:rPr>
                <w:sz w:val="23"/>
                <w:szCs w:val="23"/>
                <w:color w:val="auto"/>
              </w:rPr>
            </w:pPr>
          </w:p>
        </w:tc>
        <w:tc>
          <w:tcPr>
            <w:tcW w:w="1120" w:type="dxa"/>
            <w:vAlign w:val="bottom"/>
          </w:tcPr>
          <w:p>
            <w:pPr>
              <w:jc w:val="right"/>
              <w:ind w:right="81"/>
              <w:spacing w:after="0"/>
              <w:rPr>
                <w:sz w:val="20"/>
                <w:szCs w:val="20"/>
                <w:color w:val="auto"/>
              </w:rPr>
            </w:pPr>
            <w:r>
              <w:rPr>
                <w:rFonts w:ascii="Arial" w:cs="Arial" w:eastAsia="Arial" w:hAnsi="Arial"/>
                <w:sz w:val="16"/>
                <w:szCs w:val="16"/>
                <w:b w:val="1"/>
                <w:bCs w:val="1"/>
                <w:color w:val="auto"/>
              </w:rPr>
              <w:t>17,960</w:t>
            </w:r>
          </w:p>
        </w:tc>
        <w:tc>
          <w:tcPr>
            <w:tcW w:w="440" w:type="dxa"/>
            <w:vAlign w:val="bottom"/>
          </w:tcPr>
          <w:p>
            <w:pPr>
              <w:spacing w:after="0"/>
              <w:rPr>
                <w:sz w:val="23"/>
                <w:szCs w:val="23"/>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6,490</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1060" w:type="dxa"/>
            <w:vAlign w:val="bottom"/>
          </w:tcPr>
          <w:p>
            <w:pPr>
              <w:jc w:val="right"/>
              <w:ind w:right="81"/>
              <w:spacing w:after="0"/>
              <w:rPr>
                <w:sz w:val="20"/>
                <w:szCs w:val="20"/>
                <w:color w:val="auto"/>
              </w:rPr>
            </w:pPr>
            <w:r>
              <w:rPr>
                <w:rFonts w:ascii="Arial" w:cs="Arial" w:eastAsia="Arial" w:hAnsi="Arial"/>
                <w:sz w:val="16"/>
                <w:szCs w:val="16"/>
                <w:b w:val="1"/>
                <w:bCs w:val="1"/>
                <w:color w:val="auto"/>
              </w:rPr>
              <w:t>28,842</w:t>
            </w:r>
          </w:p>
        </w:tc>
        <w:tc>
          <w:tcPr>
            <w:tcW w:w="36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12,887</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296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340" w:type="dxa"/>
            <w:vAlign w:val="bottom"/>
          </w:tcPr>
          <w:p>
            <w:pPr>
              <w:spacing w:after="0"/>
              <w:rPr>
                <w:sz w:val="23"/>
                <w:szCs w:val="23"/>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b w:val="1"/>
                <w:bCs w:val="1"/>
                <w:color w:val="auto"/>
              </w:rPr>
              <w:t>(14,602)</w:t>
            </w: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(10,860)</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(34)</w:t>
            </w:r>
          </w:p>
        </w:tc>
        <w:tc>
          <w:tcPr>
            <w:tcW w:w="320" w:type="dxa"/>
            <w:vAlign w:val="bottom"/>
          </w:tcPr>
          <w:p>
            <w:pPr>
              <w:spacing w:after="0"/>
              <w:rPr>
                <w:sz w:val="23"/>
                <w:szCs w:val="23"/>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b w:val="1"/>
                <w:bCs w:val="1"/>
                <w:color w:val="auto"/>
              </w:rPr>
              <w:t>(27,234)</w:t>
            </w:r>
          </w:p>
        </w:tc>
        <w:tc>
          <w:tcPr>
            <w:tcW w:w="3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(19,682)</w:t>
            </w:r>
          </w:p>
        </w:tc>
        <w:tc>
          <w:tcPr>
            <w:tcW w:w="1400" w:type="dxa"/>
            <w:vAlign w:val="bottom"/>
          </w:tcPr>
          <w:p>
            <w:pPr>
              <w:jc w:val="right"/>
              <w:ind w:right="300"/>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70"/>
        </w:trPr>
        <w:tc>
          <w:tcPr>
            <w:tcW w:w="2960" w:type="dxa"/>
            <w:vAlign w:val="bottom"/>
          </w:tcPr>
          <w:p>
            <w:pPr>
              <w:ind w:left="280"/>
              <w:spacing w:after="0"/>
              <w:rPr>
                <w:sz w:val="20"/>
                <w:szCs w:val="20"/>
                <w:color w:val="auto"/>
              </w:rPr>
            </w:pPr>
            <w:r>
              <w:rPr>
                <w:rFonts w:ascii="Arial" w:cs="Arial" w:eastAsia="Arial" w:hAnsi="Arial"/>
                <w:sz w:val="16"/>
                <w:szCs w:val="16"/>
                <w:color w:val="auto"/>
              </w:rPr>
              <w:t>Amortization of intangible assets</w:t>
            </w:r>
          </w:p>
        </w:tc>
        <w:tc>
          <w:tcPr>
            <w:tcW w:w="340" w:type="dxa"/>
            <w:vAlign w:val="bottom"/>
          </w:tcPr>
          <w:p>
            <w:pPr>
              <w:spacing w:after="0"/>
              <w:rPr>
                <w:sz w:val="23"/>
                <w:szCs w:val="23"/>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b w:val="1"/>
                <w:bCs w:val="1"/>
                <w:color w:val="auto"/>
              </w:rPr>
              <w:t>(2,163)</w:t>
            </w: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(2,363)</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8</w:t>
            </w:r>
          </w:p>
        </w:tc>
        <w:tc>
          <w:tcPr>
            <w:tcW w:w="320" w:type="dxa"/>
            <w:vAlign w:val="bottom"/>
          </w:tcPr>
          <w:p>
            <w:pPr>
              <w:spacing w:after="0"/>
              <w:rPr>
                <w:sz w:val="23"/>
                <w:szCs w:val="23"/>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b w:val="1"/>
                <w:bCs w:val="1"/>
                <w:color w:val="auto"/>
              </w:rPr>
              <w:t>(4,451)</w:t>
            </w:r>
          </w:p>
        </w:tc>
        <w:tc>
          <w:tcPr>
            <w:tcW w:w="3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(4,881)</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70"/>
        </w:trPr>
        <w:tc>
          <w:tcPr>
            <w:tcW w:w="2960" w:type="dxa"/>
            <w:vAlign w:val="bottom"/>
          </w:tcPr>
          <w:p>
            <w:pPr>
              <w:ind w:left="280"/>
              <w:spacing w:after="0"/>
              <w:rPr>
                <w:sz w:val="20"/>
                <w:szCs w:val="20"/>
                <w:color w:val="auto"/>
              </w:rPr>
            </w:pPr>
            <w:r>
              <w:rPr>
                <w:rFonts w:ascii="Arial" w:cs="Arial" w:eastAsia="Arial" w:hAnsi="Arial"/>
                <w:sz w:val="16"/>
                <w:szCs w:val="16"/>
                <w:color w:val="auto"/>
              </w:rPr>
              <w:t>Impairment of intangible assets</w:t>
            </w:r>
          </w:p>
        </w:tc>
        <w:tc>
          <w:tcPr>
            <w:tcW w:w="340" w:type="dxa"/>
            <w:vAlign w:val="bottom"/>
          </w:tcPr>
          <w:p>
            <w:pPr>
              <w:spacing w:after="0"/>
              <w:rPr>
                <w:sz w:val="23"/>
                <w:szCs w:val="23"/>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b w:val="1"/>
                <w:bCs w:val="1"/>
                <w:color w:val="auto"/>
              </w:rPr>
              <w:t>(7,774)</w:t>
            </w:r>
          </w:p>
        </w:tc>
        <w:tc>
          <w:tcPr>
            <w:tcW w:w="440" w:type="dxa"/>
            <w:vAlign w:val="bottom"/>
          </w:tcPr>
          <w:p>
            <w:pPr>
              <w:spacing w:after="0"/>
              <w:rPr>
                <w:sz w:val="23"/>
                <w:szCs w:val="23"/>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b w:val="1"/>
                <w:bCs w:val="1"/>
                <w:color w:val="auto"/>
              </w:rPr>
              <w:t>(7,774)</w:t>
            </w:r>
          </w:p>
        </w:tc>
        <w:tc>
          <w:tcPr>
            <w:tcW w:w="36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4"/>
        </w:trPr>
        <w:tc>
          <w:tcPr>
            <w:tcW w:w="296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92</w:t>
            </w:r>
          </w:p>
        </w:tc>
        <w:tc>
          <w:tcPr>
            <w:tcW w:w="4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94</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136</w:t>
            </w:r>
          </w:p>
        </w:tc>
        <w:tc>
          <w:tcPr>
            <w:tcW w:w="3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225</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6"/>
        </w:trPr>
        <w:tc>
          <w:tcPr>
            <w:tcW w:w="2960" w:type="dxa"/>
            <w:vAlign w:val="bottom"/>
          </w:tcPr>
          <w:p>
            <w:pPr>
              <w:spacing w:after="0"/>
              <w:rPr>
                <w:sz w:val="23"/>
                <w:szCs w:val="23"/>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10,561</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23,726</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(55)</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13,083</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19,670</w:t>
            </w:r>
          </w:p>
        </w:tc>
        <w:tc>
          <w:tcPr>
            <w:tcW w:w="1400" w:type="dxa"/>
            <w:vAlign w:val="bottom"/>
          </w:tcPr>
          <w:p>
            <w:pPr>
              <w:jc w:val="right"/>
              <w:ind w:right="300"/>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Kaplan Higher Education (KHE) includes Kaplan’s domestic postsecondary education businesses, made up of fixed-facility colleges and online postsecondary and career programs. KHE also includes the domestic professional training and other continuing education businesses.</w:t>
      </w:r>
    </w:p>
    <w:p>
      <w:pPr>
        <w:spacing w:after="0" w:line="92" w:lineRule="exact"/>
        <w:rPr>
          <w:sz w:val="20"/>
          <w:szCs w:val="20"/>
          <w:color w:val="auto"/>
        </w:rPr>
      </w:pPr>
    </w:p>
    <w:p>
      <w:pPr>
        <w:ind w:right="60"/>
        <w:spacing w:after="0" w:line="229" w:lineRule="auto"/>
        <w:rPr>
          <w:sz w:val="20"/>
          <w:szCs w:val="20"/>
          <w:color w:val="auto"/>
        </w:rPr>
      </w:pPr>
      <w:r>
        <w:rPr>
          <w:rFonts w:ascii="Arial" w:cs="Arial" w:eastAsia="Arial" w:hAnsi="Arial"/>
          <w:sz w:val="18"/>
          <w:szCs w:val="18"/>
          <w:color w:val="auto"/>
        </w:rPr>
        <w:t>In 2012, KHE began implementing plans to close or merge 13 ground campuses, consolidate other facilities and reduce its workforce. The last two of these campus closures were completed in the second quarter of 2014. In April 2014, KHE announced plans to close two additional ground campuses, and in July 2014, KHE announced plans to close an additional three campuses; KHE will teach out the current students and the campus closures will be completed by the end of 2015. In July 2014, KHE also announced plans to further reduce its workforce. In connection with these and other plans, KHE incurred $2.5 million in restructuring costs for the second quarter and first six months of 2014 and $2.6 million and $11.6 million in restructuring costs in the second quarter and first six</w:t>
      </w:r>
    </w:p>
    <w:p>
      <w:pPr>
        <w:sectPr>
          <w:pgSz w:w="11900" w:h="16838" w:orient="portrait"/>
          <w:cols w:equalWidth="0" w:num="1">
            <w:col w:w="11420"/>
          </w:cols>
          <w:pgMar w:left="240" w:top="562" w:right="239" w:bottom="1440" w:gutter="0" w:footer="0" w:header="0"/>
        </w:sect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20"/>
          </w:cols>
          <w:pgMar w:left="240" w:top="562" w:right="239" w:bottom="1440" w:gutter="0" w:footer="0" w:header="0"/>
          <w:type w:val="continuous"/>
        </w:sectPr>
      </w:pPr>
    </w:p>
    <w:bookmarkStart w:id="23" w:name="page24"/>
    <w:bookmarkEnd w:id="23"/>
    <w:p>
      <w:pPr>
        <w:ind w:right="200"/>
        <w:spacing w:after="0" w:line="234" w:lineRule="auto"/>
        <w:rPr>
          <w:sz w:val="20"/>
          <w:szCs w:val="20"/>
          <w:color w:val="auto"/>
        </w:rPr>
      </w:pPr>
      <w:r>
        <w:rPr>
          <w:rFonts w:ascii="Arial" w:cs="Arial" w:eastAsia="Arial" w:hAnsi="Arial"/>
          <w:sz w:val="18"/>
          <w:szCs w:val="18"/>
          <w:color w:val="auto"/>
        </w:rPr>
        <w:t>months of 2013, respectively. For the second quarter of 2014, these costs included severance ($2.0 million), accelerated depreciation ($0.3 million), lease obligation losses ($0.1 million) and other items ($0.1 million). For the second quarter of 2013, these costs included accelerated depreciation ($1.4 million), severance ($0.6 million) and lease obligation losses ($0.6 million). For the first six months of 2013, these costs included accelerated depreciation ($5.0 million), severance ($1.4 million), lease obligation losses ($4.3 million) and other items ($0.9 million).</w:t>
      </w:r>
    </w:p>
    <w:p>
      <w:pPr>
        <w:spacing w:after="0" w:line="111"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In the second quarter and first six months of 2014, KHE revenue declined 8% and 7%, respectively, due largely to declines in average enrollments that reflect weaker market demand over the past year, lower average tuition and the impact of closed campuses. KHE operating income declined in the second quarter due largely to revenue declines, partially offset by expense reductions associated with lower enrollments and recent restructuring efforts. KHE operating income increased in the first six months of 2014 due largely to expense reductions associated with lower enrollments and recent restructuring efforts, as well as higher restructuring costs recorded in 2013.</w:t>
      </w:r>
    </w:p>
    <w:p>
      <w:pPr>
        <w:spacing w:after="0" w:line="111" w:lineRule="exact"/>
        <w:rPr>
          <w:sz w:val="20"/>
          <w:szCs w:val="20"/>
          <w:color w:val="auto"/>
        </w:rPr>
      </w:pPr>
    </w:p>
    <w:p>
      <w:pPr>
        <w:ind w:right="460"/>
        <w:spacing w:after="0"/>
        <w:rPr>
          <w:sz w:val="20"/>
          <w:szCs w:val="20"/>
          <w:color w:val="auto"/>
        </w:rPr>
      </w:pPr>
      <w:r>
        <w:rPr>
          <w:rFonts w:ascii="Arial" w:cs="Arial" w:eastAsia="Arial" w:hAnsi="Arial"/>
          <w:sz w:val="18"/>
          <w:szCs w:val="18"/>
          <w:color w:val="auto"/>
        </w:rPr>
        <w:t>New student enrollments at KHE declined 9% in the second quarter of 2014 due to lower demand across KHE and the impact of closed campuses. New student enrollments increased 5% for the first six months of 2014 due to growth at Kaplan University in the first quarter of 2014, offset in part by declines at KHE campuses.</w:t>
      </w:r>
    </w:p>
    <w:p>
      <w:pPr>
        <w:spacing w:after="0" w:line="108"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Total students at June 30, 2014, were down 2% compared to June 30, 2013, and declined 7% compared to March 31, 2014. Excluding campuses closed or planned for closure, total students at June 30, 2014, were down 1% compared to June 30, 2013 and down 7% compared to March 31, 2014. A summary of student enrollments is as follows:</w:t>
      </w:r>
    </w:p>
    <w:p>
      <w:pPr>
        <w:sectPr>
          <w:pgSz w:w="11900" w:h="16838" w:orient="portrait"/>
          <w:cols w:equalWidth="0" w:num="1">
            <w:col w:w="11420"/>
          </w:cols>
          <w:pgMar w:left="240" w:top="562" w:right="239" w:bottom="1440" w:gutter="0" w:footer="0" w:header="0"/>
        </w:sectPr>
      </w:pPr>
    </w:p>
    <w:p>
      <w:pPr>
        <w:spacing w:after="0" w:line="200" w:lineRule="exact"/>
        <w:rPr>
          <w:sz w:val="20"/>
          <w:szCs w:val="20"/>
          <w:color w:val="auto"/>
        </w:rPr>
      </w:pPr>
    </w:p>
    <w:p>
      <w:pPr>
        <w:spacing w:after="0" w:line="254" w:lineRule="exact"/>
        <w:rPr>
          <w:sz w:val="20"/>
          <w:szCs w:val="20"/>
          <w:color w:val="auto"/>
        </w:rPr>
      </w:pPr>
    </w:p>
    <w:p>
      <w:pPr>
        <w:jc w:val="center"/>
        <w:ind w:left="2880"/>
        <w:spacing w:after="0"/>
        <w:rPr>
          <w:sz w:val="20"/>
          <w:szCs w:val="20"/>
          <w:color w:val="auto"/>
        </w:rPr>
      </w:pPr>
      <w:r>
        <w:rPr>
          <w:rFonts w:ascii="Arial" w:cs="Arial" w:eastAsia="Arial" w:hAnsi="Arial"/>
          <w:sz w:val="14"/>
          <w:szCs w:val="14"/>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27305</wp:posOffset>
            </wp:positionV>
            <wp:extent cx="27787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130" w:lineRule="exact"/>
        <w:rPr>
          <w:sz w:val="20"/>
          <w:szCs w:val="20"/>
          <w:color w:val="auto"/>
        </w:rPr>
      </w:pPr>
    </w:p>
    <w:p>
      <w:pPr>
        <w:ind w:left="3020"/>
        <w:spacing w:after="0"/>
        <w:tabs>
          <w:tab w:leader="none" w:pos="4460" w:val="left"/>
          <w:tab w:leader="none" w:pos="6020" w:val="left"/>
        </w:tabs>
        <w:rPr>
          <w:sz w:val="20"/>
          <w:szCs w:val="20"/>
          <w:color w:val="auto"/>
        </w:rPr>
      </w:pPr>
      <w:r>
        <w:rPr>
          <w:rFonts w:ascii="Arial" w:cs="Arial" w:eastAsia="Arial" w:hAnsi="Arial"/>
          <w:sz w:val="14"/>
          <w:szCs w:val="14"/>
          <w:b w:val="1"/>
          <w:bCs w:val="1"/>
          <w:color w:val="auto"/>
        </w:rPr>
        <w:t>June 30,</w:t>
      </w:r>
      <w:r>
        <w:rPr>
          <w:sz w:val="20"/>
          <w:szCs w:val="20"/>
          <w:color w:val="auto"/>
        </w:rPr>
        <w:tab/>
      </w:r>
      <w:r>
        <w:rPr>
          <w:rFonts w:ascii="Arial" w:cs="Arial" w:eastAsia="Arial" w:hAnsi="Arial"/>
          <w:sz w:val="14"/>
          <w:szCs w:val="14"/>
          <w:color w:val="auto"/>
        </w:rPr>
        <w:t>March 31,</w:t>
      </w:r>
      <w:r>
        <w:rPr>
          <w:sz w:val="20"/>
          <w:szCs w:val="20"/>
          <w:color w:val="auto"/>
        </w:rPr>
        <w:tab/>
      </w:r>
      <w:r>
        <w:rPr>
          <w:rFonts w:ascii="Arial" w:cs="Arial" w:eastAsia="Arial" w:hAnsi="Arial"/>
          <w:sz w:val="14"/>
          <w:szCs w:val="14"/>
          <w:color w:val="auto"/>
        </w:rPr>
        <w:t>June 30,</w:t>
      </w:r>
    </w:p>
    <w:p>
      <w:pPr>
        <w:spacing w:after="0" w:line="21" w:lineRule="exact"/>
        <w:rPr>
          <w:sz w:val="20"/>
          <w:szCs w:val="20"/>
          <w:color w:val="auto"/>
        </w:rPr>
      </w:pPr>
    </w:p>
    <w:p>
      <w:pPr>
        <w:ind w:left="3180"/>
        <w:spacing w:after="0"/>
        <w:tabs>
          <w:tab w:leader="none" w:pos="4640" w:val="left"/>
          <w:tab w:leader="none" w:pos="6140" w:val="left"/>
        </w:tabs>
        <w:rPr>
          <w:sz w:val="20"/>
          <w:szCs w:val="20"/>
          <w:color w:val="auto"/>
        </w:rPr>
      </w:pPr>
      <w:r>
        <w:rPr>
          <w:rFonts w:ascii="Arial" w:cs="Arial" w:eastAsia="Arial" w:hAnsi="Arial"/>
          <w:sz w:val="14"/>
          <w:szCs w:val="14"/>
          <w:b w:val="1"/>
          <w:bCs w:val="1"/>
          <w:color w:val="auto"/>
        </w:rPr>
        <w:t>2014</w:t>
      </w:r>
      <w:r>
        <w:rPr>
          <w:sz w:val="20"/>
          <w:szCs w:val="20"/>
          <w:color w:val="auto"/>
        </w:rPr>
        <w:tab/>
      </w:r>
      <w:r>
        <w:rPr>
          <w:rFonts w:ascii="Arial" w:cs="Arial" w:eastAsia="Arial" w:hAnsi="Arial"/>
          <w:sz w:val="14"/>
          <w:szCs w:val="14"/>
          <w:color w:val="auto"/>
        </w:rPr>
        <w:t>2014</w:t>
      </w:r>
      <w:r>
        <w:rPr>
          <w:sz w:val="20"/>
          <w:szCs w:val="20"/>
          <w:color w:val="auto"/>
        </w:rPr>
        <w:tab/>
      </w:r>
      <w:r>
        <w:rPr>
          <w:rFonts w:ascii="Arial" w:cs="Arial" w:eastAsia="Arial" w:hAnsi="Arial"/>
          <w:sz w:val="14"/>
          <w:szCs w:val="14"/>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jc w:val="center"/>
        <w:ind w:right="360"/>
        <w:spacing w:after="0"/>
        <w:rPr>
          <w:sz w:val="20"/>
          <w:szCs w:val="20"/>
          <w:color w:val="auto"/>
        </w:rPr>
      </w:pPr>
      <w:r>
        <w:rPr>
          <w:rFonts w:ascii="Arial" w:cs="Arial" w:eastAsia="Arial" w:hAnsi="Arial"/>
          <w:sz w:val="14"/>
          <w:szCs w:val="14"/>
          <w:b w:val="1"/>
          <w:bCs w:val="1"/>
          <w:color w:val="auto"/>
        </w:rPr>
        <w:t>Excluding Campuses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-241300</wp:posOffset>
            </wp:positionH>
            <wp:positionV relativeFrom="paragraph">
              <wp:posOffset>27305</wp:posOffset>
            </wp:positionV>
            <wp:extent cx="27184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89" w:lineRule="exact"/>
        <w:rPr>
          <w:sz w:val="20"/>
          <w:szCs w:val="20"/>
          <w:color w:val="auto"/>
        </w:rPr>
      </w:pPr>
    </w:p>
    <w:p>
      <w:pPr>
        <w:jc w:val="center"/>
        <w:ind w:right="360"/>
        <w:spacing w:after="0"/>
        <w:rPr>
          <w:sz w:val="20"/>
          <w:szCs w:val="20"/>
          <w:color w:val="auto"/>
        </w:rPr>
      </w:pPr>
      <w:r>
        <w:rPr>
          <w:rFonts w:ascii="Arial" w:cs="Arial" w:eastAsia="Arial" w:hAnsi="Arial"/>
          <w:sz w:val="14"/>
          <w:szCs w:val="14"/>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-241300</wp:posOffset>
            </wp:positionH>
            <wp:positionV relativeFrom="paragraph">
              <wp:posOffset>27305</wp:posOffset>
            </wp:positionV>
            <wp:extent cx="27184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30" w:lineRule="exact"/>
        <w:rPr>
          <w:sz w:val="20"/>
          <w:szCs w:val="20"/>
          <w:color w:val="auto"/>
        </w:rPr>
      </w:pPr>
    </w:p>
    <w:p>
      <w:pPr>
        <w:spacing w:after="0"/>
        <w:tabs>
          <w:tab w:leader="none" w:pos="1400" w:val="left"/>
          <w:tab w:leader="none" w:pos="2900" w:val="left"/>
        </w:tabs>
        <w:rPr>
          <w:sz w:val="20"/>
          <w:szCs w:val="20"/>
          <w:color w:val="auto"/>
        </w:rPr>
      </w:pPr>
      <w:r>
        <w:rPr>
          <w:rFonts w:ascii="Arial" w:cs="Arial" w:eastAsia="Arial" w:hAnsi="Arial"/>
          <w:sz w:val="14"/>
          <w:szCs w:val="14"/>
          <w:b w:val="1"/>
          <w:bCs w:val="1"/>
          <w:color w:val="auto"/>
        </w:rPr>
        <w:t>June 30,</w:t>
      </w:r>
      <w:r>
        <w:rPr>
          <w:sz w:val="20"/>
          <w:szCs w:val="20"/>
          <w:color w:val="auto"/>
        </w:rPr>
        <w:tab/>
      </w:r>
      <w:r>
        <w:rPr>
          <w:rFonts w:ascii="Arial" w:cs="Arial" w:eastAsia="Arial" w:hAnsi="Arial"/>
          <w:sz w:val="14"/>
          <w:szCs w:val="14"/>
          <w:color w:val="auto"/>
        </w:rPr>
        <w:t>March 31,</w:t>
      </w:r>
      <w:r>
        <w:rPr>
          <w:sz w:val="20"/>
          <w:szCs w:val="20"/>
          <w:color w:val="auto"/>
        </w:rPr>
        <w:tab/>
      </w:r>
      <w:r>
        <w:rPr>
          <w:rFonts w:ascii="Arial" w:cs="Arial" w:eastAsia="Arial" w:hAnsi="Arial"/>
          <w:sz w:val="14"/>
          <w:szCs w:val="14"/>
          <w:color w:val="auto"/>
        </w:rPr>
        <w:t>June 30,</w:t>
      </w:r>
    </w:p>
    <w:p>
      <w:pPr>
        <w:spacing w:after="0" w:line="21" w:lineRule="exact"/>
        <w:rPr>
          <w:sz w:val="20"/>
          <w:szCs w:val="20"/>
          <w:color w:val="auto"/>
        </w:rPr>
      </w:pPr>
    </w:p>
    <w:p>
      <w:pPr>
        <w:ind w:left="140"/>
        <w:spacing w:after="0"/>
        <w:tabs>
          <w:tab w:leader="none" w:pos="1580" w:val="left"/>
          <w:tab w:leader="none" w:pos="3040" w:val="left"/>
        </w:tabs>
        <w:rPr>
          <w:sz w:val="20"/>
          <w:szCs w:val="20"/>
          <w:color w:val="auto"/>
        </w:rPr>
      </w:pPr>
      <w:r>
        <w:rPr>
          <w:rFonts w:ascii="Arial" w:cs="Arial" w:eastAsia="Arial" w:hAnsi="Arial"/>
          <w:sz w:val="14"/>
          <w:szCs w:val="14"/>
          <w:b w:val="1"/>
          <w:bCs w:val="1"/>
          <w:color w:val="auto"/>
        </w:rPr>
        <w:t>2014</w:t>
      </w:r>
      <w:r>
        <w:rPr>
          <w:sz w:val="20"/>
          <w:szCs w:val="20"/>
          <w:color w:val="auto"/>
        </w:rPr>
        <w:tab/>
      </w:r>
      <w:r>
        <w:rPr>
          <w:rFonts w:ascii="Arial" w:cs="Arial" w:eastAsia="Arial" w:hAnsi="Arial"/>
          <w:sz w:val="14"/>
          <w:szCs w:val="14"/>
          <w:color w:val="auto"/>
        </w:rPr>
        <w:t>2014</w:t>
      </w:r>
      <w:r>
        <w:rPr>
          <w:sz w:val="20"/>
          <w:szCs w:val="20"/>
          <w:color w:val="auto"/>
        </w:rPr>
        <w:tab/>
      </w:r>
      <w:r>
        <w:rPr>
          <w:rFonts w:ascii="Arial" w:cs="Arial" w:eastAsia="Arial" w:hAnsi="Arial"/>
          <w:sz w:val="14"/>
          <w:szCs w:val="14"/>
          <w:color w:val="auto"/>
        </w:rPr>
        <w:t>2013</w:t>
      </w:r>
    </w:p>
    <w:p>
      <w:pPr>
        <w:spacing w:after="0" w:line="71" w:lineRule="exact"/>
        <w:rPr>
          <w:sz w:val="20"/>
          <w:szCs w:val="20"/>
          <w:color w:val="auto"/>
        </w:rPr>
      </w:pPr>
    </w:p>
    <w:p>
      <w:pPr>
        <w:sectPr>
          <w:pgSz w:w="11900" w:h="16838" w:orient="portrait"/>
          <w:cols w:equalWidth="0" w:num="2">
            <w:col w:w="6800" w:space="720"/>
            <w:col w:w="3900"/>
          </w:cols>
          <w:pgMar w:left="240" w:top="562" w:right="239" w:bottom="1440" w:gutter="0" w:footer="0" w:header="0"/>
          <w:type w:val="continuous"/>
        </w:sectPr>
      </w:pPr>
    </w:p>
    <w:tbl>
      <w:tblPr>
        <w:tblLayout w:type="fixed"/>
        <w:tblInd w:w="40" w:type="dxa"/>
        <w:tblCellMar>
          <w:top w:w="0" w:type="dxa"/>
          <w:left w:w="0" w:type="dxa"/>
          <w:bottom w:w="0" w:type="dxa"/>
          <w:right w:w="0" w:type="dxa"/>
        </w:tblCellMar>
      </w:tblPr>
      <w:tr>
        <w:trPr>
          <w:trHeight w:val="229"/>
        </w:trPr>
        <w:tc>
          <w:tcPr>
            <w:tcW w:w="2600" w:type="dxa"/>
            <w:vAlign w:val="bottom"/>
          </w:tcPr>
          <w:p>
            <w:pPr>
              <w:spacing w:after="0"/>
              <w:rPr>
                <w:sz w:val="20"/>
                <w:szCs w:val="20"/>
                <w:color w:val="auto"/>
              </w:rPr>
            </w:pPr>
            <w:r>
              <w:rPr>
                <w:rFonts w:ascii="Arial" w:cs="Arial" w:eastAsia="Arial" w:hAnsi="Arial"/>
                <w:sz w:val="16"/>
                <w:szCs w:val="16"/>
                <w:color w:val="auto"/>
              </w:rPr>
              <w:t>Kaplan University</w:t>
            </w:r>
          </w:p>
        </w:tc>
        <w:tc>
          <w:tcPr>
            <w:tcW w:w="1760" w:type="dxa"/>
            <w:vAlign w:val="bottom"/>
          </w:tcPr>
          <w:p>
            <w:pPr>
              <w:jc w:val="right"/>
              <w:ind w:right="419"/>
              <w:spacing w:after="0"/>
              <w:rPr>
                <w:sz w:val="20"/>
                <w:szCs w:val="20"/>
                <w:color w:val="auto"/>
              </w:rPr>
            </w:pPr>
            <w:r>
              <w:rPr>
                <w:rFonts w:ascii="Arial" w:cs="Arial" w:eastAsia="Arial" w:hAnsi="Arial"/>
                <w:sz w:val="16"/>
                <w:szCs w:val="16"/>
                <w:b w:val="1"/>
                <w:bCs w:val="1"/>
                <w:color w:val="auto"/>
              </w:rPr>
              <w:t>44,515</w:t>
            </w:r>
          </w:p>
        </w:tc>
        <w:tc>
          <w:tcPr>
            <w:tcW w:w="1500" w:type="dxa"/>
            <w:vAlign w:val="bottom"/>
          </w:tcPr>
          <w:p>
            <w:pPr>
              <w:jc w:val="right"/>
              <w:ind w:right="419"/>
              <w:spacing w:after="0"/>
              <w:rPr>
                <w:sz w:val="20"/>
                <w:szCs w:val="20"/>
                <w:color w:val="auto"/>
              </w:rPr>
            </w:pPr>
            <w:r>
              <w:rPr>
                <w:rFonts w:ascii="Arial" w:cs="Arial" w:eastAsia="Arial" w:hAnsi="Arial"/>
                <w:sz w:val="16"/>
                <w:szCs w:val="16"/>
                <w:color w:val="auto"/>
              </w:rPr>
              <w:t>47,109</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43,601</w:t>
            </w:r>
          </w:p>
        </w:tc>
        <w:tc>
          <w:tcPr>
            <w:tcW w:w="120" w:type="dxa"/>
            <w:vAlign w:val="bottom"/>
          </w:tcPr>
          <w:p>
            <w:pPr>
              <w:spacing w:after="0"/>
              <w:rPr>
                <w:sz w:val="19"/>
                <w:szCs w:val="19"/>
                <w:color w:val="auto"/>
              </w:rPr>
            </w:pPr>
          </w:p>
        </w:tc>
        <w:tc>
          <w:tcPr>
            <w:tcW w:w="1740" w:type="dxa"/>
            <w:vAlign w:val="bottom"/>
          </w:tcPr>
          <w:p>
            <w:pPr>
              <w:jc w:val="right"/>
              <w:ind w:right="399"/>
              <w:spacing w:after="0"/>
              <w:rPr>
                <w:sz w:val="20"/>
                <w:szCs w:val="20"/>
                <w:color w:val="auto"/>
              </w:rPr>
            </w:pPr>
            <w:r>
              <w:rPr>
                <w:rFonts w:ascii="Arial" w:cs="Arial" w:eastAsia="Arial" w:hAnsi="Arial"/>
                <w:sz w:val="16"/>
                <w:szCs w:val="16"/>
                <w:b w:val="1"/>
                <w:bCs w:val="1"/>
                <w:color w:val="auto"/>
              </w:rPr>
              <w:t>44,515</w:t>
            </w:r>
          </w:p>
        </w:tc>
        <w:tc>
          <w:tcPr>
            <w:tcW w:w="1460" w:type="dxa"/>
            <w:vAlign w:val="bottom"/>
          </w:tcPr>
          <w:p>
            <w:pPr>
              <w:jc w:val="right"/>
              <w:ind w:right="399"/>
              <w:spacing w:after="0"/>
              <w:rPr>
                <w:sz w:val="20"/>
                <w:szCs w:val="20"/>
                <w:color w:val="auto"/>
              </w:rPr>
            </w:pPr>
            <w:r>
              <w:rPr>
                <w:rFonts w:ascii="Arial" w:cs="Arial" w:eastAsia="Arial" w:hAnsi="Arial"/>
                <w:sz w:val="16"/>
                <w:szCs w:val="16"/>
                <w:color w:val="auto"/>
              </w:rPr>
              <w:t>47,109</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43,601</w:t>
            </w:r>
          </w:p>
        </w:tc>
      </w:tr>
      <w:tr>
        <w:trPr>
          <w:trHeight w:val="274"/>
        </w:trPr>
        <w:tc>
          <w:tcPr>
            <w:tcW w:w="2600" w:type="dxa"/>
            <w:vAlign w:val="bottom"/>
          </w:tcPr>
          <w:p>
            <w:pPr>
              <w:spacing w:after="0"/>
              <w:rPr>
                <w:sz w:val="20"/>
                <w:szCs w:val="20"/>
                <w:color w:val="auto"/>
              </w:rPr>
            </w:pPr>
            <w:r>
              <w:rPr>
                <w:rFonts w:ascii="Arial" w:cs="Arial" w:eastAsia="Arial" w:hAnsi="Arial"/>
                <w:sz w:val="16"/>
                <w:szCs w:val="16"/>
                <w:color w:val="auto"/>
              </w:rPr>
              <w:t>Other Campuses</w:t>
            </w:r>
          </w:p>
        </w:tc>
        <w:tc>
          <w:tcPr>
            <w:tcW w:w="17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16,508</w:t>
            </w:r>
          </w:p>
        </w:tc>
        <w:tc>
          <w:tcPr>
            <w:tcW w:w="15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18,842</w:t>
            </w: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18,591</w:t>
            </w:r>
          </w:p>
        </w:tc>
        <w:tc>
          <w:tcPr>
            <w:tcW w:w="120" w:type="dxa"/>
            <w:vAlign w:val="bottom"/>
          </w:tcPr>
          <w:p>
            <w:pPr>
              <w:spacing w:after="0"/>
              <w:rPr>
                <w:sz w:val="23"/>
                <w:szCs w:val="23"/>
                <w:color w:val="auto"/>
              </w:rPr>
            </w:pPr>
          </w:p>
        </w:tc>
        <w:tc>
          <w:tcPr>
            <w:tcW w:w="17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15,221</w:t>
            </w:r>
          </w:p>
        </w:tc>
        <w:tc>
          <w:tcPr>
            <w:tcW w:w="14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16,997</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16,623</w:t>
            </w:r>
          </w:p>
        </w:tc>
      </w:tr>
      <w:tr>
        <w:trPr>
          <w:trHeight w:val="264"/>
        </w:trPr>
        <w:tc>
          <w:tcPr>
            <w:tcW w:w="2600" w:type="dxa"/>
            <w:vAlign w:val="bottom"/>
          </w:tcPr>
          <w:p>
            <w:pPr>
              <w:spacing w:after="0"/>
              <w:rPr>
                <w:sz w:val="22"/>
                <w:szCs w:val="22"/>
                <w:color w:val="auto"/>
              </w:rPr>
            </w:pPr>
          </w:p>
        </w:tc>
        <w:tc>
          <w:tcPr>
            <w:tcW w:w="17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61,023</w:t>
            </w:r>
          </w:p>
        </w:tc>
        <w:tc>
          <w:tcPr>
            <w:tcW w:w="15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65,951</w:t>
            </w: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62,192</w:t>
            </w:r>
          </w:p>
        </w:tc>
        <w:tc>
          <w:tcPr>
            <w:tcW w:w="120" w:type="dxa"/>
            <w:vAlign w:val="bottom"/>
          </w:tcPr>
          <w:p>
            <w:pPr>
              <w:spacing w:after="0"/>
              <w:rPr>
                <w:sz w:val="22"/>
                <w:szCs w:val="22"/>
                <w:color w:val="auto"/>
              </w:rPr>
            </w:pPr>
          </w:p>
        </w:tc>
        <w:tc>
          <w:tcPr>
            <w:tcW w:w="17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59,736</w:t>
            </w:r>
          </w:p>
        </w:tc>
        <w:tc>
          <w:tcPr>
            <w:tcW w:w="14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64,106</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60,224</w:t>
            </w:r>
          </w:p>
        </w:tc>
      </w:tr>
      <w:tr>
        <w:trPr>
          <w:trHeight w:val="20"/>
        </w:trPr>
        <w:tc>
          <w:tcPr>
            <w:tcW w:w="26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Kaplan University and Other Campuses enrollments at June 30, 2014 and 2013, by degree and certificate programs,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40" w:type="dxa"/>
            <w:vAlign w:val="bottom"/>
          </w:tcPr>
          <w:p>
            <w:pPr>
              <w:spacing w:after="0"/>
              <w:rPr>
                <w:sz w:val="17"/>
                <w:szCs w:val="17"/>
                <w:color w:val="auto"/>
              </w:rPr>
            </w:pPr>
          </w:p>
        </w:tc>
        <w:tc>
          <w:tcPr>
            <w:tcW w:w="21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As of June 30</w:t>
            </w:r>
          </w:p>
        </w:tc>
        <w:tc>
          <w:tcPr>
            <w:tcW w:w="1020" w:type="dxa"/>
            <w:vAlign w:val="bottom"/>
            <w:tcBorders>
              <w:bottom w:val="single" w:sz="8" w:color="auto"/>
            </w:tcBorders>
          </w:tcPr>
          <w:p>
            <w:pPr>
              <w:spacing w:after="0"/>
              <w:rPr>
                <w:sz w:val="17"/>
                <w:szCs w:val="17"/>
                <w:color w:val="auto"/>
              </w:rPr>
            </w:pPr>
          </w:p>
        </w:tc>
      </w:tr>
      <w:tr>
        <w:trPr>
          <w:trHeight w:val="264"/>
        </w:trPr>
        <w:tc>
          <w:tcPr>
            <w:tcW w:w="8240" w:type="dxa"/>
            <w:vAlign w:val="bottom"/>
            <w:tcBorders>
              <w:bottom w:val="single" w:sz="8" w:color="auto"/>
            </w:tcBorders>
          </w:tcPr>
          <w:p>
            <w:pPr>
              <w:spacing w:after="0"/>
              <w:rPr>
                <w:sz w:val="22"/>
                <w:szCs w:val="22"/>
                <w:color w:val="auto"/>
              </w:rPr>
            </w:pPr>
          </w:p>
        </w:tc>
        <w:tc>
          <w:tcPr>
            <w:tcW w:w="2160" w:type="dxa"/>
            <w:vAlign w:val="bottom"/>
            <w:tcBorders>
              <w:bottom w:val="single" w:sz="8" w:color="auto"/>
            </w:tcBorders>
          </w:tcPr>
          <w:p>
            <w:pPr>
              <w:jc w:val="right"/>
              <w:ind w:right="1162"/>
              <w:spacing w:after="0"/>
              <w:rPr>
                <w:sz w:val="20"/>
                <w:szCs w:val="20"/>
                <w:color w:val="auto"/>
              </w:rPr>
            </w:pPr>
            <w:r>
              <w:rPr>
                <w:rFonts w:ascii="Arial" w:cs="Arial" w:eastAsia="Arial" w:hAnsi="Arial"/>
                <w:sz w:val="14"/>
                <w:szCs w:val="14"/>
                <w:b w:val="1"/>
                <w:bCs w:val="1"/>
                <w:color w:val="auto"/>
              </w:rPr>
              <w:t>2014</w:t>
            </w:r>
          </w:p>
        </w:tc>
        <w:tc>
          <w:tcPr>
            <w:tcW w:w="102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color w:val="auto"/>
              </w:rPr>
              <w:t>2013</w:t>
            </w:r>
          </w:p>
        </w:tc>
      </w:tr>
      <w:tr>
        <w:trPr>
          <w:trHeight w:val="257"/>
        </w:trPr>
        <w:tc>
          <w:tcPr>
            <w:tcW w:w="8240" w:type="dxa"/>
            <w:vAlign w:val="bottom"/>
          </w:tcPr>
          <w:p>
            <w:pPr>
              <w:ind w:left="40"/>
              <w:spacing w:after="0"/>
              <w:rPr>
                <w:sz w:val="20"/>
                <w:szCs w:val="20"/>
                <w:color w:val="auto"/>
              </w:rPr>
            </w:pPr>
            <w:r>
              <w:rPr>
                <w:rFonts w:ascii="Arial" w:cs="Arial" w:eastAsia="Arial" w:hAnsi="Arial"/>
                <w:sz w:val="16"/>
                <w:szCs w:val="16"/>
                <w:color w:val="auto"/>
              </w:rPr>
              <w:t>Certificate</w:t>
            </w:r>
          </w:p>
        </w:tc>
        <w:tc>
          <w:tcPr>
            <w:tcW w:w="2160" w:type="dxa"/>
            <w:vAlign w:val="bottom"/>
          </w:tcPr>
          <w:p>
            <w:pPr>
              <w:jc w:val="right"/>
              <w:ind w:right="582"/>
              <w:spacing w:after="0"/>
              <w:rPr>
                <w:sz w:val="20"/>
                <w:szCs w:val="20"/>
                <w:color w:val="auto"/>
              </w:rPr>
            </w:pPr>
            <w:r>
              <w:rPr>
                <w:rFonts w:ascii="Arial" w:cs="Arial" w:eastAsia="Arial" w:hAnsi="Arial"/>
                <w:sz w:val="16"/>
                <w:szCs w:val="16"/>
                <w:b w:val="1"/>
                <w:bCs w:val="1"/>
                <w:color w:val="auto"/>
              </w:rPr>
              <w:t>21.1%</w:t>
            </w:r>
          </w:p>
        </w:tc>
        <w:tc>
          <w:tcPr>
            <w:tcW w:w="1020" w:type="dxa"/>
            <w:vAlign w:val="bottom"/>
          </w:tcPr>
          <w:p>
            <w:pPr>
              <w:jc w:val="right"/>
              <w:spacing w:after="0"/>
              <w:rPr>
                <w:sz w:val="20"/>
                <w:szCs w:val="20"/>
                <w:color w:val="auto"/>
              </w:rPr>
            </w:pPr>
            <w:r>
              <w:rPr>
                <w:rFonts w:ascii="Arial" w:cs="Arial" w:eastAsia="Arial" w:hAnsi="Arial"/>
                <w:sz w:val="16"/>
                <w:szCs w:val="16"/>
                <w:color w:val="auto"/>
              </w:rPr>
              <w:t>21.7%</w:t>
            </w:r>
          </w:p>
        </w:tc>
      </w:tr>
      <w:tr>
        <w:trPr>
          <w:trHeight w:val="270"/>
        </w:trPr>
        <w:tc>
          <w:tcPr>
            <w:tcW w:w="8240" w:type="dxa"/>
            <w:vAlign w:val="bottom"/>
          </w:tcPr>
          <w:p>
            <w:pPr>
              <w:ind w:left="40"/>
              <w:spacing w:after="0"/>
              <w:rPr>
                <w:sz w:val="20"/>
                <w:szCs w:val="20"/>
                <w:color w:val="auto"/>
              </w:rPr>
            </w:pPr>
            <w:r>
              <w:rPr>
                <w:rFonts w:ascii="Arial" w:cs="Arial" w:eastAsia="Arial" w:hAnsi="Arial"/>
                <w:sz w:val="16"/>
                <w:szCs w:val="16"/>
                <w:color w:val="auto"/>
              </w:rPr>
              <w:t>Associate’s</w:t>
            </w:r>
          </w:p>
        </w:tc>
        <w:tc>
          <w:tcPr>
            <w:tcW w:w="2160" w:type="dxa"/>
            <w:vAlign w:val="bottom"/>
          </w:tcPr>
          <w:p>
            <w:pPr>
              <w:jc w:val="right"/>
              <w:ind w:right="582"/>
              <w:spacing w:after="0"/>
              <w:rPr>
                <w:sz w:val="20"/>
                <w:szCs w:val="20"/>
                <w:color w:val="auto"/>
              </w:rPr>
            </w:pPr>
            <w:r>
              <w:rPr>
                <w:rFonts w:ascii="Arial" w:cs="Arial" w:eastAsia="Arial" w:hAnsi="Arial"/>
                <w:sz w:val="16"/>
                <w:szCs w:val="16"/>
                <w:b w:val="1"/>
                <w:bCs w:val="1"/>
                <w:color w:val="auto"/>
              </w:rPr>
              <w:t>30.2%</w:t>
            </w:r>
          </w:p>
        </w:tc>
        <w:tc>
          <w:tcPr>
            <w:tcW w:w="1020" w:type="dxa"/>
            <w:vAlign w:val="bottom"/>
          </w:tcPr>
          <w:p>
            <w:pPr>
              <w:jc w:val="right"/>
              <w:spacing w:after="0"/>
              <w:rPr>
                <w:sz w:val="20"/>
                <w:szCs w:val="20"/>
                <w:color w:val="auto"/>
              </w:rPr>
            </w:pPr>
            <w:r>
              <w:rPr>
                <w:rFonts w:ascii="Arial" w:cs="Arial" w:eastAsia="Arial" w:hAnsi="Arial"/>
                <w:sz w:val="16"/>
                <w:szCs w:val="16"/>
                <w:color w:val="auto"/>
              </w:rPr>
              <w:t>30.5%</w:t>
            </w:r>
          </w:p>
        </w:tc>
      </w:tr>
      <w:tr>
        <w:trPr>
          <w:trHeight w:val="270"/>
        </w:trPr>
        <w:tc>
          <w:tcPr>
            <w:tcW w:w="8240" w:type="dxa"/>
            <w:vAlign w:val="bottom"/>
          </w:tcPr>
          <w:p>
            <w:pPr>
              <w:ind w:left="40"/>
              <w:spacing w:after="0"/>
              <w:rPr>
                <w:sz w:val="20"/>
                <w:szCs w:val="20"/>
                <w:color w:val="auto"/>
              </w:rPr>
            </w:pPr>
            <w:r>
              <w:rPr>
                <w:rFonts w:ascii="Arial" w:cs="Arial" w:eastAsia="Arial" w:hAnsi="Arial"/>
                <w:sz w:val="16"/>
                <w:szCs w:val="16"/>
                <w:color w:val="auto"/>
              </w:rPr>
              <w:t>Bachelor’s</w:t>
            </w:r>
          </w:p>
        </w:tc>
        <w:tc>
          <w:tcPr>
            <w:tcW w:w="2160" w:type="dxa"/>
            <w:vAlign w:val="bottom"/>
          </w:tcPr>
          <w:p>
            <w:pPr>
              <w:jc w:val="right"/>
              <w:ind w:right="582"/>
              <w:spacing w:after="0"/>
              <w:rPr>
                <w:sz w:val="20"/>
                <w:szCs w:val="20"/>
                <w:color w:val="auto"/>
              </w:rPr>
            </w:pPr>
            <w:r>
              <w:rPr>
                <w:rFonts w:ascii="Arial" w:cs="Arial" w:eastAsia="Arial" w:hAnsi="Arial"/>
                <w:sz w:val="16"/>
                <w:szCs w:val="16"/>
                <w:b w:val="1"/>
                <w:bCs w:val="1"/>
                <w:color w:val="auto"/>
              </w:rPr>
              <w:t>32.2%</w:t>
            </w:r>
          </w:p>
        </w:tc>
        <w:tc>
          <w:tcPr>
            <w:tcW w:w="1020" w:type="dxa"/>
            <w:vAlign w:val="bottom"/>
          </w:tcPr>
          <w:p>
            <w:pPr>
              <w:jc w:val="right"/>
              <w:spacing w:after="0"/>
              <w:rPr>
                <w:sz w:val="20"/>
                <w:szCs w:val="20"/>
                <w:color w:val="auto"/>
              </w:rPr>
            </w:pPr>
            <w:r>
              <w:rPr>
                <w:rFonts w:ascii="Arial" w:cs="Arial" w:eastAsia="Arial" w:hAnsi="Arial"/>
                <w:sz w:val="16"/>
                <w:szCs w:val="16"/>
                <w:color w:val="auto"/>
              </w:rPr>
              <w:t>33.1%</w:t>
            </w:r>
          </w:p>
        </w:tc>
      </w:tr>
      <w:tr>
        <w:trPr>
          <w:trHeight w:val="274"/>
        </w:trPr>
        <w:tc>
          <w:tcPr>
            <w:tcW w:w="8240" w:type="dxa"/>
            <w:vAlign w:val="bottom"/>
          </w:tcPr>
          <w:p>
            <w:pPr>
              <w:ind w:left="40"/>
              <w:spacing w:after="0"/>
              <w:rPr>
                <w:sz w:val="20"/>
                <w:szCs w:val="20"/>
                <w:color w:val="auto"/>
              </w:rPr>
            </w:pPr>
            <w:r>
              <w:rPr>
                <w:rFonts w:ascii="Arial" w:cs="Arial" w:eastAsia="Arial" w:hAnsi="Arial"/>
                <w:sz w:val="16"/>
                <w:szCs w:val="16"/>
                <w:color w:val="auto"/>
              </w:rPr>
              <w:t>Master’s</w:t>
            </w:r>
          </w:p>
        </w:tc>
        <w:tc>
          <w:tcPr>
            <w:tcW w:w="2160" w:type="dxa"/>
            <w:vAlign w:val="bottom"/>
            <w:tcBorders>
              <w:bottom w:val="single" w:sz="8" w:color="auto"/>
            </w:tcBorders>
          </w:tcPr>
          <w:p>
            <w:pPr>
              <w:jc w:val="right"/>
              <w:ind w:right="582"/>
              <w:spacing w:after="0"/>
              <w:rPr>
                <w:sz w:val="20"/>
                <w:szCs w:val="20"/>
                <w:color w:val="auto"/>
              </w:rPr>
            </w:pPr>
            <w:r>
              <w:rPr>
                <w:rFonts w:ascii="Arial" w:cs="Arial" w:eastAsia="Arial" w:hAnsi="Arial"/>
                <w:sz w:val="16"/>
                <w:szCs w:val="16"/>
                <w:b w:val="1"/>
                <w:bCs w:val="1"/>
                <w:color w:val="auto"/>
              </w:rPr>
              <w:t>16.5%</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w:t>
            </w:r>
          </w:p>
        </w:tc>
      </w:tr>
      <w:tr>
        <w:trPr>
          <w:trHeight w:val="264"/>
        </w:trPr>
        <w:tc>
          <w:tcPr>
            <w:tcW w:w="8240" w:type="dxa"/>
            <w:vAlign w:val="bottom"/>
          </w:tcPr>
          <w:p>
            <w:pPr>
              <w:spacing w:after="0"/>
              <w:rPr>
                <w:sz w:val="22"/>
                <w:szCs w:val="22"/>
                <w:color w:val="auto"/>
              </w:rPr>
            </w:pPr>
          </w:p>
        </w:tc>
        <w:tc>
          <w:tcPr>
            <w:tcW w:w="2160" w:type="dxa"/>
            <w:vAlign w:val="bottom"/>
            <w:tcBorders>
              <w:bottom w:val="single" w:sz="8" w:color="auto"/>
            </w:tcBorders>
          </w:tcPr>
          <w:p>
            <w:pPr>
              <w:jc w:val="right"/>
              <w:ind w:right="582"/>
              <w:spacing w:after="0"/>
              <w:rPr>
                <w:sz w:val="20"/>
                <w:szCs w:val="20"/>
                <w:color w:val="auto"/>
              </w:rPr>
            </w:pPr>
            <w:r>
              <w:rPr>
                <w:rFonts w:ascii="Arial" w:cs="Arial" w:eastAsia="Arial" w:hAnsi="Arial"/>
                <w:sz w:val="16"/>
                <w:szCs w:val="16"/>
                <w:b w:val="1"/>
                <w:bCs w:val="1"/>
                <w:color w:val="auto"/>
              </w:rPr>
              <w:t>100.0%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20"/>
        </w:trPr>
        <w:tc>
          <w:tcPr>
            <w:tcW w:w="824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right="200"/>
        <w:spacing w:after="0" w:line="229" w:lineRule="auto"/>
        <w:rPr>
          <w:sz w:val="20"/>
          <w:szCs w:val="20"/>
          <w:color w:val="auto"/>
        </w:rPr>
      </w:pPr>
      <w:r>
        <w:rPr>
          <w:rFonts w:ascii="Arial" w:cs="Arial" w:eastAsia="Arial" w:hAnsi="Arial"/>
          <w:sz w:val="18"/>
          <w:szCs w:val="18"/>
          <w:color w:val="auto"/>
        </w:rPr>
        <w:t>Kaplan Test Preparation (KTP) includes Kaplan’s standardized test preparation programs. KTP revenue declined 5% and 4% for the second quarter and first six months of 2014, respectively. Enrollment increased 3% and 2% for the second quarter and first six months of 2014, respectively, due to growth in health and bar review programs, offset by declines in graduate and pre-college programs. KTP recorded a $7.7 million software asset write-off in the second quarter of 2014 as a decision was made to consolidate certain learning management systems. KTP operating results declined in the first six months of 2014 due to this software asset write-off and an increase in program length for MCAT courses that extends revenue recognition periods.</w:t>
      </w:r>
    </w:p>
    <w:p>
      <w:pPr>
        <w:spacing w:after="0" w:line="112"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Kaplan International includes English-language programs and postsecondary education and professional training businesses largely outside the United States. Kaplan International revenue increased 13% and 12% in the second quarter and first six months of 2014, respectively, due to enrollment growth in the pathways programs, English-language and Singapore higher education programs. Kaplan International operating income improved in the second quarter and first six months of 2014 due to improved earnings in the pathways and English-language programs, as well as improved results from operations in Australia. In the second quarter and first six months of 2013, restructuring costs in Australia totaled $2.3 million and $2.6 million, respectively, largely made up of severance costs.</w:t>
      </w:r>
    </w:p>
    <w:p>
      <w:pPr>
        <w:spacing w:after="0" w:line="112" w:lineRule="exact"/>
        <w:rPr>
          <w:sz w:val="20"/>
          <w:szCs w:val="20"/>
          <w:color w:val="auto"/>
        </w:rPr>
      </w:pPr>
    </w:p>
    <w:p>
      <w:pPr>
        <w:jc w:val="both"/>
        <w:ind w:right="420"/>
        <w:spacing w:after="0"/>
        <w:rPr>
          <w:sz w:val="20"/>
          <w:szCs w:val="20"/>
          <w:color w:val="auto"/>
        </w:rPr>
      </w:pPr>
      <w:r>
        <w:rPr>
          <w:rFonts w:ascii="Arial" w:cs="Arial" w:eastAsia="Arial" w:hAnsi="Arial"/>
          <w:sz w:val="18"/>
          <w:szCs w:val="18"/>
          <w:color w:val="auto"/>
        </w:rPr>
        <w:t>Kaplan corporate represents unallocated expenses of Kaplan, Inc.’s corporate office, other minor businesses and certain shared activities. Corporate expense increased in the first six months of 2014 due to higher compensation expense and costs associated with new business development activities.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Kaplan continues to evaluate its cost structure and will likely develop additional restructuring plans in 2014 and incur additional costs.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62" w:right="2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Cable</w:t>
      </w:r>
    </w:p>
    <w:p>
      <w:pPr>
        <w:spacing w:after="0" w:line="144" w:lineRule="exact"/>
        <w:rPr>
          <w:sz w:val="20"/>
          <w:szCs w:val="20"/>
          <w:color w:val="auto"/>
        </w:rPr>
      </w:pPr>
    </w:p>
    <w:p>
      <w:pPr>
        <w:ind w:right="120"/>
        <w:spacing w:after="0" w:line="229" w:lineRule="auto"/>
        <w:rPr>
          <w:sz w:val="20"/>
          <w:szCs w:val="20"/>
          <w:color w:val="auto"/>
        </w:rPr>
      </w:pPr>
      <w:r>
        <w:rPr>
          <w:rFonts w:ascii="Arial" w:cs="Arial" w:eastAsia="Arial" w:hAnsi="Arial"/>
          <w:sz w:val="18"/>
          <w:szCs w:val="18"/>
          <w:color w:val="auto"/>
        </w:rPr>
        <w:t>Cable division revenue declined 2% in the second quarter of 2014 to $ 200.8 million, from $204.6 million for the second quarter of 2013, due to 4% fewer customers and 7% fewer Primary Service Units (PSUs). For the first six months of 2014, revenue of $404.8 million was flat with the prior year. Operating expenses in the second quarter declined 4%, from $159.8 million to $154.0 million due to fewer customers and significantly reduced programming costs. Operating expenses declined 2% in the first six months of 2014 to $316.8 million. Cable division operating income grew 5% in the second quarter of 2014 to $46.8 million, from $44.7 million in the second quarter of 2013; for the first six months of 2014, operating income increased 8% to $87.9 million, from $81.3 million in the first six months of 2013.</w:t>
      </w:r>
    </w:p>
    <w:p>
      <w:pPr>
        <w:spacing w:after="0" w:line="112" w:lineRule="exact"/>
        <w:rPr>
          <w:sz w:val="20"/>
          <w:szCs w:val="20"/>
          <w:color w:val="auto"/>
        </w:rPr>
      </w:pPr>
    </w:p>
    <w:p>
      <w:pPr>
        <w:ind w:right="60"/>
        <w:spacing w:after="0" w:line="231" w:lineRule="auto"/>
        <w:rPr>
          <w:sz w:val="20"/>
          <w:szCs w:val="20"/>
          <w:color w:val="auto"/>
        </w:rPr>
      </w:pPr>
      <w:r>
        <w:rPr>
          <w:rFonts w:ascii="Arial" w:cs="Arial" w:eastAsia="Arial" w:hAnsi="Arial"/>
          <w:sz w:val="18"/>
          <w:szCs w:val="18"/>
          <w:color w:val="auto"/>
        </w:rPr>
        <w:t>The cable division continues its focus on higher value and higher margin lines of business and customers, in particular high-speed data (subscribers up 4% over the second quarter of last year). Also, business sales comprised 8.9% of total revenue for the first six months of 2014, compared with 7.5% of total revenue for the first six months of 2013. Due to rapidly rising programming costs and shrinking margins, video sales now have less value and emphasis (subscribers down 15% over the second quarter of last year) and programming costs have been reduced significantly. Effective April 1, 2014, the cable division elected not to renew its contract for 15 Viacom networks for a six-year term.</w:t>
      </w:r>
    </w:p>
    <w:p>
      <w:pPr>
        <w:spacing w:after="0" w:line="125" w:lineRule="exact"/>
        <w:rPr>
          <w:sz w:val="20"/>
          <w:szCs w:val="20"/>
          <w:color w:val="auto"/>
        </w:rPr>
      </w:pPr>
    </w:p>
    <w:p>
      <w:pPr>
        <w:ind w:right="200"/>
        <w:spacing w:after="0" w:line="292" w:lineRule="auto"/>
        <w:rPr>
          <w:sz w:val="20"/>
          <w:szCs w:val="20"/>
          <w:color w:val="auto"/>
        </w:rPr>
      </w:pPr>
      <w:r>
        <w:rPr>
          <w:rFonts w:ascii="Arial" w:cs="Arial" w:eastAsia="Arial" w:hAnsi="Arial"/>
          <w:sz w:val="18"/>
          <w:szCs w:val="18"/>
          <w:color w:val="auto"/>
        </w:rPr>
        <w:t>PSUs include about 6,000 subscribers who receive free basic cable service, primarily local governments, schools, and other organizations as required by various franchise agreements. A summary of PSUs and total customers is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460" w:type="dxa"/>
            <w:vAlign w:val="bottom"/>
          </w:tcPr>
          <w:p>
            <w:pPr>
              <w:spacing w:after="0"/>
              <w:rPr>
                <w:sz w:val="17"/>
                <w:szCs w:val="17"/>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 of June 30</w:t>
            </w:r>
          </w:p>
        </w:tc>
        <w:tc>
          <w:tcPr>
            <w:tcW w:w="940" w:type="dxa"/>
            <w:vAlign w:val="bottom"/>
            <w:tcBorders>
              <w:bottom w:val="single" w:sz="8" w:color="auto"/>
            </w:tcBorders>
          </w:tcPr>
          <w:p>
            <w:pPr>
              <w:spacing w:after="0"/>
              <w:rPr>
                <w:sz w:val="17"/>
                <w:szCs w:val="17"/>
                <w:color w:val="auto"/>
              </w:rPr>
            </w:pPr>
          </w:p>
        </w:tc>
      </w:tr>
      <w:tr>
        <w:trPr>
          <w:trHeight w:val="264"/>
        </w:trPr>
        <w:tc>
          <w:tcPr>
            <w:tcW w:w="846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tcPr>
          <w:p>
            <w:pPr>
              <w:jc w:val="right"/>
              <w:ind w:right="1082"/>
              <w:spacing w:after="0"/>
              <w:rPr>
                <w:sz w:val="20"/>
                <w:szCs w:val="20"/>
                <w:color w:val="auto"/>
              </w:rPr>
            </w:pPr>
            <w:r>
              <w:rPr>
                <w:rFonts w:ascii="Arial" w:cs="Arial" w:eastAsia="Arial" w:hAnsi="Arial"/>
                <w:sz w:val="14"/>
                <w:szCs w:val="14"/>
                <w:b w:val="1"/>
                <w:bCs w:val="1"/>
                <w:color w:val="auto"/>
              </w:rPr>
              <w:t>2014</w:t>
            </w:r>
          </w:p>
        </w:tc>
        <w:tc>
          <w:tcPr>
            <w:tcW w:w="9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color w:val="auto"/>
              </w:rPr>
              <w:t>2013</w:t>
            </w:r>
          </w:p>
        </w:tc>
      </w:tr>
      <w:tr>
        <w:trPr>
          <w:trHeight w:val="257"/>
        </w:trPr>
        <w:tc>
          <w:tcPr>
            <w:tcW w:w="8460" w:type="dxa"/>
            <w:vAlign w:val="bottom"/>
          </w:tcPr>
          <w:p>
            <w:pPr>
              <w:ind w:left="40"/>
              <w:spacing w:after="0"/>
              <w:rPr>
                <w:sz w:val="20"/>
                <w:szCs w:val="20"/>
                <w:color w:val="auto"/>
              </w:rPr>
            </w:pPr>
            <w:r>
              <w:rPr>
                <w:rFonts w:ascii="Arial" w:cs="Arial" w:eastAsia="Arial" w:hAnsi="Arial"/>
                <w:sz w:val="16"/>
                <w:szCs w:val="16"/>
                <w:color w:val="auto"/>
              </w:rPr>
              <w:t>Video</w:t>
            </w:r>
          </w:p>
        </w:tc>
        <w:tc>
          <w:tcPr>
            <w:tcW w:w="2020" w:type="dxa"/>
            <w:vAlign w:val="bottom"/>
          </w:tcPr>
          <w:p>
            <w:pPr>
              <w:jc w:val="right"/>
              <w:ind w:right="682"/>
              <w:spacing w:after="0"/>
              <w:rPr>
                <w:sz w:val="20"/>
                <w:szCs w:val="20"/>
                <w:color w:val="auto"/>
              </w:rPr>
            </w:pPr>
            <w:r>
              <w:rPr>
                <w:rFonts w:ascii="Arial" w:cs="Arial" w:eastAsia="Arial" w:hAnsi="Arial"/>
                <w:sz w:val="16"/>
                <w:szCs w:val="16"/>
                <w:b w:val="1"/>
                <w:bCs w:val="1"/>
                <w:color w:val="auto"/>
              </w:rPr>
              <w:t>490,309</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575,762</w:t>
            </w:r>
          </w:p>
        </w:tc>
      </w:tr>
      <w:tr>
        <w:trPr>
          <w:trHeight w:val="270"/>
        </w:trPr>
        <w:tc>
          <w:tcPr>
            <w:tcW w:w="8460" w:type="dxa"/>
            <w:vAlign w:val="bottom"/>
          </w:tcPr>
          <w:p>
            <w:pPr>
              <w:ind w:left="40"/>
              <w:spacing w:after="0"/>
              <w:rPr>
                <w:sz w:val="20"/>
                <w:szCs w:val="20"/>
                <w:color w:val="auto"/>
              </w:rPr>
            </w:pPr>
            <w:r>
              <w:rPr>
                <w:rFonts w:ascii="Arial" w:cs="Arial" w:eastAsia="Arial" w:hAnsi="Arial"/>
                <w:sz w:val="16"/>
                <w:szCs w:val="16"/>
                <w:color w:val="auto"/>
              </w:rPr>
              <w:t>High-speed data</w:t>
            </w:r>
          </w:p>
        </w:tc>
        <w:tc>
          <w:tcPr>
            <w:tcW w:w="2020" w:type="dxa"/>
            <w:vAlign w:val="bottom"/>
          </w:tcPr>
          <w:p>
            <w:pPr>
              <w:jc w:val="right"/>
              <w:ind w:right="682"/>
              <w:spacing w:after="0"/>
              <w:rPr>
                <w:sz w:val="20"/>
                <w:szCs w:val="20"/>
                <w:color w:val="auto"/>
              </w:rPr>
            </w:pPr>
            <w:r>
              <w:rPr>
                <w:rFonts w:ascii="Arial" w:cs="Arial" w:eastAsia="Arial" w:hAnsi="Arial"/>
                <w:sz w:val="16"/>
                <w:szCs w:val="16"/>
                <w:b w:val="1"/>
                <w:bCs w:val="1"/>
                <w:color w:val="auto"/>
              </w:rPr>
              <w:t>482,725</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464,292</w:t>
            </w:r>
          </w:p>
        </w:tc>
      </w:tr>
      <w:tr>
        <w:trPr>
          <w:trHeight w:val="274"/>
        </w:trPr>
        <w:tc>
          <w:tcPr>
            <w:tcW w:w="8460" w:type="dxa"/>
            <w:vAlign w:val="bottom"/>
          </w:tcPr>
          <w:p>
            <w:pPr>
              <w:ind w:left="40"/>
              <w:spacing w:after="0"/>
              <w:rPr>
                <w:sz w:val="20"/>
                <w:szCs w:val="20"/>
                <w:color w:val="auto"/>
              </w:rPr>
            </w:pPr>
            <w:r>
              <w:rPr>
                <w:rFonts w:ascii="Arial" w:cs="Arial" w:eastAsia="Arial" w:hAnsi="Arial"/>
                <w:sz w:val="16"/>
                <w:szCs w:val="16"/>
                <w:color w:val="auto"/>
              </w:rPr>
              <w:t>Telephony</w:t>
            </w:r>
          </w:p>
        </w:tc>
        <w:tc>
          <w:tcPr>
            <w:tcW w:w="2020" w:type="dxa"/>
            <w:vAlign w:val="bottom"/>
            <w:tcBorders>
              <w:bottom w:val="single" w:sz="8" w:color="auto"/>
            </w:tcBorders>
          </w:tcPr>
          <w:p>
            <w:pPr>
              <w:jc w:val="right"/>
              <w:ind w:right="682"/>
              <w:spacing w:after="0"/>
              <w:rPr>
                <w:sz w:val="20"/>
                <w:szCs w:val="20"/>
                <w:color w:val="auto"/>
              </w:rPr>
            </w:pPr>
            <w:r>
              <w:rPr>
                <w:rFonts w:ascii="Arial" w:cs="Arial" w:eastAsia="Arial" w:hAnsi="Arial"/>
                <w:sz w:val="16"/>
                <w:szCs w:val="16"/>
                <w:b w:val="1"/>
                <w:bCs w:val="1"/>
                <w:color w:val="auto"/>
              </w:rPr>
              <w:t>168,695</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185,380</w:t>
            </w:r>
          </w:p>
        </w:tc>
      </w:tr>
      <w:tr>
        <w:trPr>
          <w:trHeight w:val="267"/>
        </w:trPr>
        <w:tc>
          <w:tcPr>
            <w:tcW w:w="8460" w:type="dxa"/>
            <w:vAlign w:val="bottom"/>
          </w:tcPr>
          <w:p>
            <w:pPr>
              <w:ind w:left="40"/>
              <w:spacing w:after="0"/>
              <w:rPr>
                <w:sz w:val="20"/>
                <w:szCs w:val="20"/>
                <w:color w:val="auto"/>
              </w:rPr>
            </w:pPr>
            <w:r>
              <w:rPr>
                <w:rFonts w:ascii="Arial" w:cs="Arial" w:eastAsia="Arial" w:hAnsi="Arial"/>
                <w:sz w:val="16"/>
                <w:szCs w:val="16"/>
                <w:b w:val="1"/>
                <w:bCs w:val="1"/>
                <w:color w:val="auto"/>
              </w:rPr>
              <w:t>Total Primary Service Units (PSUs)</w:t>
            </w:r>
          </w:p>
        </w:tc>
        <w:tc>
          <w:tcPr>
            <w:tcW w:w="2020" w:type="dxa"/>
            <w:vAlign w:val="bottom"/>
            <w:tcBorders>
              <w:bottom w:val="single" w:sz="8" w:color="auto"/>
            </w:tcBorders>
          </w:tcPr>
          <w:p>
            <w:pPr>
              <w:jc w:val="right"/>
              <w:ind w:right="682"/>
              <w:spacing w:after="0"/>
              <w:rPr>
                <w:sz w:val="20"/>
                <w:szCs w:val="20"/>
                <w:color w:val="auto"/>
              </w:rPr>
            </w:pPr>
            <w:r>
              <w:rPr>
                <w:rFonts w:ascii="Arial" w:cs="Arial" w:eastAsia="Arial" w:hAnsi="Arial"/>
                <w:sz w:val="16"/>
                <w:szCs w:val="16"/>
                <w:b w:val="1"/>
                <w:bCs w:val="1"/>
                <w:color w:val="auto"/>
              </w:rPr>
              <w:t>1,141,729</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1,225,434</w:t>
            </w:r>
          </w:p>
        </w:tc>
      </w:tr>
      <w:tr>
        <w:trPr>
          <w:trHeight w:val="20"/>
        </w:trPr>
        <w:tc>
          <w:tcPr>
            <w:tcW w:w="846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51"/>
        </w:trPr>
        <w:tc>
          <w:tcPr>
            <w:tcW w:w="8460" w:type="dxa"/>
            <w:vAlign w:val="bottom"/>
          </w:tcPr>
          <w:p>
            <w:pPr>
              <w:ind w:left="40"/>
              <w:spacing w:after="0"/>
              <w:rPr>
                <w:sz w:val="20"/>
                <w:szCs w:val="20"/>
                <w:color w:val="auto"/>
              </w:rPr>
            </w:pPr>
            <w:r>
              <w:rPr>
                <w:rFonts w:ascii="Arial" w:cs="Arial" w:eastAsia="Arial" w:hAnsi="Arial"/>
                <w:sz w:val="16"/>
                <w:szCs w:val="16"/>
                <w:b w:val="1"/>
                <w:bCs w:val="1"/>
                <w:color w:val="auto"/>
              </w:rPr>
              <w:t>Total Customers</w:t>
            </w:r>
          </w:p>
        </w:tc>
        <w:tc>
          <w:tcPr>
            <w:tcW w:w="2020" w:type="dxa"/>
            <w:vAlign w:val="bottom"/>
            <w:tcBorders>
              <w:bottom w:val="single" w:sz="8" w:color="auto"/>
            </w:tcBorders>
          </w:tcPr>
          <w:p>
            <w:pPr>
              <w:jc w:val="right"/>
              <w:ind w:right="682"/>
              <w:spacing w:after="0"/>
              <w:rPr>
                <w:sz w:val="20"/>
                <w:szCs w:val="20"/>
                <w:color w:val="auto"/>
              </w:rPr>
            </w:pPr>
            <w:r>
              <w:rPr>
                <w:rFonts w:ascii="Arial" w:cs="Arial" w:eastAsia="Arial" w:hAnsi="Arial"/>
                <w:sz w:val="16"/>
                <w:szCs w:val="16"/>
                <w:b w:val="1"/>
                <w:bCs w:val="1"/>
                <w:color w:val="auto"/>
              </w:rPr>
              <w:t>698,699</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725,525</w:t>
            </w:r>
          </w:p>
        </w:tc>
      </w:tr>
      <w:tr>
        <w:trPr>
          <w:trHeight w:val="20"/>
        </w:trPr>
        <w:tc>
          <w:tcPr>
            <w:tcW w:w="846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right="260"/>
        <w:spacing w:after="0" w:line="260" w:lineRule="auto"/>
        <w:rPr>
          <w:sz w:val="20"/>
          <w:szCs w:val="20"/>
          <w:color w:val="auto"/>
        </w:rPr>
      </w:pPr>
      <w:r>
        <w:rPr>
          <w:rFonts w:ascii="Arial" w:cs="Arial" w:eastAsia="Arial" w:hAnsi="Arial"/>
          <w:sz w:val="18"/>
          <w:szCs w:val="18"/>
          <w:color w:val="auto"/>
        </w:rPr>
        <w:t>In July 2014, the cable division sold wireless spectrum licenses for approximately $99 million; an estimated pre-tax gain of $75 million will be reported in the third quarter of 2014 in connection with these sales. The licenses had been purchased in the 2006 AWS Auction.</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Television Broadcasting</w:t>
      </w:r>
    </w:p>
    <w:p>
      <w:pPr>
        <w:spacing w:after="0" w:line="144" w:lineRule="exact"/>
        <w:rPr>
          <w:sz w:val="20"/>
          <w:szCs w:val="20"/>
          <w:color w:val="auto"/>
        </w:rPr>
      </w:pPr>
    </w:p>
    <w:p>
      <w:pPr>
        <w:jc w:val="both"/>
        <w:ind w:right="260"/>
        <w:spacing w:after="0" w:line="234" w:lineRule="auto"/>
        <w:rPr>
          <w:sz w:val="20"/>
          <w:szCs w:val="20"/>
          <w:color w:val="auto"/>
        </w:rPr>
      </w:pPr>
      <w:r>
        <w:rPr>
          <w:rFonts w:ascii="Arial" w:cs="Arial" w:eastAsia="Arial" w:hAnsi="Arial"/>
          <w:sz w:val="18"/>
          <w:szCs w:val="18"/>
          <w:color w:val="auto"/>
        </w:rPr>
        <w:t>Revenue at the television broadcasting division increased 10% to $88.3 million in the second quarter of 2014, from $80.2 million in the same period of 2013; operating income for the second quarter of 2014 was up 12% to $44.1 million, from $ 39.2 million in the same period of 2013. The increase in revenue and operating income in the second quarter of 2014 is due to a $3.8 million increase in political advertising revenue and $4.6 million in increased retransmission revenues.</w:t>
      </w:r>
    </w:p>
    <w:p>
      <w:pPr>
        <w:spacing w:after="0" w:line="1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For the first six months of 2014, revenue increased 17% to $173.9 million, from $149.1 million in the same period of 2013; operating income for the first six months of 2014 increased 29% to $88.5 million, from $68.3 million in the same period of 2013. The increase in revenue and operating income is due to a $6.9 million increase in political advertising revenue, $9.5 million in incremental winter Olympics-related advertising revenue at the Company’s NBC affiliates and $9.3 million in increased retransmission revenues.</w:t>
      </w:r>
    </w:p>
    <w:p>
      <w:pPr>
        <w:spacing w:after="0" w:line="102" w:lineRule="exact"/>
        <w:rPr>
          <w:sz w:val="20"/>
          <w:szCs w:val="20"/>
          <w:color w:val="auto"/>
        </w:rPr>
      </w:pPr>
    </w:p>
    <w:p>
      <w:pPr>
        <w:ind w:right="280"/>
        <w:spacing w:after="0" w:line="260" w:lineRule="auto"/>
        <w:rPr>
          <w:sz w:val="20"/>
          <w:szCs w:val="20"/>
          <w:color w:val="auto"/>
        </w:rPr>
      </w:pPr>
      <w:r>
        <w:rPr>
          <w:rFonts w:ascii="Arial" w:cs="Arial" w:eastAsia="Arial" w:hAnsi="Arial"/>
          <w:sz w:val="18"/>
          <w:szCs w:val="18"/>
          <w:color w:val="auto"/>
        </w:rPr>
        <w:t>As discussed above, the television broadcasting operating results exclude WPLG, the Company’s Miami-based television station, which has been reclassified to discontinued operations for all periods presented.</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Businesses</w:t>
      </w:r>
    </w:p>
    <w:p>
      <w:pPr>
        <w:spacing w:after="0" w:line="144" w:lineRule="exact"/>
        <w:rPr>
          <w:sz w:val="20"/>
          <w:szCs w:val="20"/>
          <w:color w:val="auto"/>
        </w:rPr>
      </w:pPr>
    </w:p>
    <w:p>
      <w:pPr>
        <w:ind w:right="220"/>
        <w:spacing w:after="0" w:line="231" w:lineRule="auto"/>
        <w:rPr>
          <w:sz w:val="20"/>
          <w:szCs w:val="20"/>
          <w:color w:val="auto"/>
        </w:rPr>
      </w:pPr>
      <w:r>
        <w:rPr>
          <w:rFonts w:ascii="Arial" w:cs="Arial" w:eastAsia="Arial" w:hAnsi="Arial"/>
          <w:sz w:val="18"/>
          <w:szCs w:val="18"/>
          <w:color w:val="auto"/>
        </w:rPr>
        <w:t>Other businesses includes the operating results of The Slate Group and Foreign Policy Group, which publish online and print magazines and websites; SocialCode, a marketing solutions provider helping companies with marketing on social-media platforms; Celtic Healthcare, a provider of home health and hospice services; Forney, a global supplier of products and systems that control and monitor combustion processes in electric utility and industrial applications, acquired by the Company in August 2013; and Trove, a digital innovation team that builds products and technologies in the news space.</w:t>
      </w:r>
    </w:p>
    <w:p>
      <w:pPr>
        <w:spacing w:after="0" w:line="111" w:lineRule="exact"/>
        <w:rPr>
          <w:sz w:val="20"/>
          <w:szCs w:val="20"/>
          <w:color w:val="auto"/>
        </w:rPr>
      </w:pPr>
    </w:p>
    <w:p>
      <w:pPr>
        <w:jc w:val="both"/>
        <w:ind w:right="280"/>
        <w:spacing w:after="0"/>
        <w:rPr>
          <w:sz w:val="20"/>
          <w:szCs w:val="20"/>
          <w:color w:val="auto"/>
        </w:rPr>
      </w:pPr>
      <w:r>
        <w:rPr>
          <w:rFonts w:ascii="Arial" w:cs="Arial" w:eastAsia="Arial" w:hAnsi="Arial"/>
          <w:sz w:val="18"/>
          <w:szCs w:val="18"/>
          <w:color w:val="auto"/>
        </w:rPr>
        <w:t>In April 2014, Celtic Healthcare acquired the assets of VNA-TIP Healthcare of Bridgeton, MO. This acquisition has expanded Celtic's home health and hospice service areas from Pennsylvania and Maryland to the Missouri and Illinois regions. The operating results of VNA-TIP are included in Other Businesses from the date of acquisition in the second quarter of 2014.</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62" w:right="239" w:bottom="1440" w:gutter="0" w:footer="0" w:header="0"/>
        </w:sectPr>
      </w:pPr>
    </w:p>
    <w:bookmarkStart w:id="25" w:name="page26"/>
    <w:bookmarkEnd w:id="25"/>
    <w:p>
      <w:pPr>
        <w:ind w:right="280"/>
        <w:spacing w:after="0" w:line="260" w:lineRule="auto"/>
        <w:rPr>
          <w:sz w:val="20"/>
          <w:szCs w:val="20"/>
          <w:color w:val="auto"/>
        </w:rPr>
      </w:pPr>
      <w:r>
        <w:rPr>
          <w:rFonts w:ascii="Arial" w:cs="Arial" w:eastAsia="Arial" w:hAnsi="Arial"/>
          <w:sz w:val="18"/>
          <w:szCs w:val="18"/>
          <w:color w:val="auto"/>
        </w:rPr>
        <w:t>On May 30, 2014, the Company acquired Joyce/Dayton Corp., a Dayton, OH-based manufacturer of screw jacks and other linear motion systems. The operating results of Joyce/Dayton are included in Other Businesses from the date of acquisition in the second quarter of 2014.</w:t>
      </w:r>
    </w:p>
    <w:p>
      <w:pPr>
        <w:spacing w:after="0" w:line="92"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On July 3, 2014, the Company acquired a majority interest in Residential Healthcare Group, Inc. (Residential), the parent company of Residential Home Health and Residential Hospice, leading providers of skilled home health care and hospice services in Michigan and Illinois. The operating results of Residential will be included in Other Businesses from the date of acquisition in the third quarter of 2014.</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Office</w:t>
      </w:r>
    </w:p>
    <w:p>
      <w:pPr>
        <w:spacing w:after="0" w:line="144" w:lineRule="exact"/>
        <w:rPr>
          <w:sz w:val="20"/>
          <w:szCs w:val="20"/>
          <w:color w:val="auto"/>
        </w:rPr>
      </w:pPr>
    </w:p>
    <w:p>
      <w:pPr>
        <w:ind w:right="80"/>
        <w:spacing w:after="0" w:line="231" w:lineRule="auto"/>
        <w:rPr>
          <w:sz w:val="20"/>
          <w:szCs w:val="20"/>
          <w:color w:val="auto"/>
        </w:rPr>
      </w:pPr>
      <w:r>
        <w:rPr>
          <w:rFonts w:ascii="Arial" w:cs="Arial" w:eastAsia="Arial" w:hAnsi="Arial"/>
          <w:sz w:val="18"/>
          <w:szCs w:val="18"/>
          <w:color w:val="auto"/>
        </w:rPr>
        <w:t>Corporate office includes the expenses of the Company’s corporate office, the pension credit for the Company’s traditional defined benefit plan and certain continuing obligations related to prior business dispositions. In the first quarter of 2014, the corporate office implemented a Separation Incentive Program that resulted in early retirement program expense of $4.5 million, which will be funded from the assets of the Company’s pension plan. Excluding early retirement program expense, the total pension credit for the Company’s traditional defined benefit plan was $45.4 million and $18.9 million in the first six months of 2014 and 2013, respectively.</w:t>
      </w:r>
    </w:p>
    <w:p>
      <w:pPr>
        <w:spacing w:after="0" w:line="111"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color w:val="auto"/>
        </w:rPr>
        <w:t>Excluding the pension credit, corporate office expenses increased in the first six months of 2014 due primarily to higher compensation costs and expenses related to certain acquisitions.</w:t>
      </w:r>
    </w:p>
    <w:p>
      <w:pPr>
        <w:spacing w:after="0" w:line="92" w:lineRule="exact"/>
        <w:rPr>
          <w:sz w:val="20"/>
          <w:szCs w:val="20"/>
          <w:color w:val="auto"/>
        </w:rPr>
      </w:pPr>
    </w:p>
    <w:p>
      <w:pPr>
        <w:ind w:right="440"/>
        <w:spacing w:after="0" w:line="260" w:lineRule="auto"/>
        <w:rPr>
          <w:sz w:val="20"/>
          <w:szCs w:val="20"/>
          <w:color w:val="auto"/>
        </w:rPr>
      </w:pPr>
      <w:r>
        <w:rPr>
          <w:rFonts w:ascii="Arial" w:cs="Arial" w:eastAsia="Arial" w:hAnsi="Arial"/>
          <w:sz w:val="18"/>
          <w:szCs w:val="18"/>
          <w:color w:val="auto"/>
        </w:rPr>
        <w:t>Near the end of June 2014, the Company offered a Voluntary Retirement Incentive Plan (VRIP) to certain corporate office employees. The VRIP acceptance period ends in August, and the expense of the VRIP will be recognized in the third quarter of 2014.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in Earnings (Losses) of Affiliates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Company holds a 16.5% interest in Classified Ventures, LLC and interests in several other affiliates.</w:t>
      </w:r>
    </w:p>
    <w:p>
      <w:pPr>
        <w:spacing w:after="0" w:line="144" w:lineRule="exact"/>
        <w:rPr>
          <w:sz w:val="20"/>
          <w:szCs w:val="20"/>
          <w:color w:val="auto"/>
        </w:rPr>
      </w:pPr>
    </w:p>
    <w:p>
      <w:pPr>
        <w:ind w:right="240"/>
        <w:spacing w:after="0"/>
        <w:rPr>
          <w:sz w:val="20"/>
          <w:szCs w:val="20"/>
          <w:color w:val="auto"/>
        </w:rPr>
      </w:pPr>
      <w:r>
        <w:rPr>
          <w:rFonts w:ascii="Arial" w:cs="Arial" w:eastAsia="Arial" w:hAnsi="Arial"/>
          <w:sz w:val="18"/>
          <w:szCs w:val="18"/>
          <w:color w:val="auto"/>
        </w:rPr>
        <w:t>The Company’s equity in earnings of affiliates, net, was $91.5 million for the second quarter of 2014, compared to $3.9 million for the second quarter of 2013. For the first six months of 2014, the Company’s equity in earnings of affiliates, net, totaled $95.6 million, compared to $7.3 million for the same period of 2013.</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2014 results include the pre-tax gain of $90.9 million from Classified Ventures’ sale of apartments.com in the second quarter of 2014.</w:t>
      </w:r>
    </w:p>
    <w:p>
      <w:pPr>
        <w:spacing w:after="0" w:line="144" w:lineRule="exact"/>
        <w:rPr>
          <w:sz w:val="20"/>
          <w:szCs w:val="20"/>
          <w:color w:val="auto"/>
        </w:rPr>
      </w:pPr>
    </w:p>
    <w:p>
      <w:pPr>
        <w:ind w:right="80"/>
        <w:spacing w:after="0"/>
        <w:rPr>
          <w:sz w:val="20"/>
          <w:szCs w:val="20"/>
          <w:color w:val="auto"/>
        </w:rPr>
      </w:pPr>
      <w:r>
        <w:rPr>
          <w:rFonts w:ascii="Arial" w:cs="Arial" w:eastAsia="Arial" w:hAnsi="Arial"/>
          <w:sz w:val="18"/>
          <w:szCs w:val="18"/>
          <w:color w:val="auto"/>
        </w:rPr>
        <w:t>On August 4, 2014, the Company and its partners entered into an agreement to sell their stake in Classified Ventures to Gannett Co., Inc. for a price that values Classified Ventures at $2.5 billion. Gannett currently owns a 27% share of Classified Ventures; Graham Holdings owns a 16.5% interest in Classified Ventures. The transaction is expected to close before the end of 2014, subject to regulatory review.</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Non-Operating Income (Expense)</w:t>
      </w:r>
    </w:p>
    <w:p>
      <w:pPr>
        <w:spacing w:after="0" w:line="146" w:lineRule="exact"/>
        <w:rPr>
          <w:sz w:val="20"/>
          <w:szCs w:val="20"/>
          <w:color w:val="auto"/>
        </w:rPr>
      </w:pPr>
    </w:p>
    <w:p>
      <w:pPr>
        <w:ind w:right="120"/>
        <w:spacing w:after="0" w:line="231" w:lineRule="auto"/>
        <w:rPr>
          <w:sz w:val="20"/>
          <w:szCs w:val="20"/>
          <w:color w:val="auto"/>
        </w:rPr>
      </w:pPr>
      <w:r>
        <w:rPr>
          <w:rFonts w:ascii="Arial" w:cs="Arial" w:eastAsia="Arial" w:hAnsi="Arial"/>
          <w:sz w:val="18"/>
          <w:szCs w:val="18"/>
          <w:color w:val="auto"/>
        </w:rPr>
        <w:t>The Company recorded total other non-operating income, net, of $268.1 million for the second quarter of 2014, compared to expense of $12.9 million for the second quarter of 2013. The second quarter 2014 non-operating income, net, included a pre-tax gain of $266.7 million in connection with the Company’s exchange of Berkshire shares. Second quarter 2014 non-operating income, net, also included $ 2.9 million in unrealized foreign currency gains and other items. The second quarter 2013 non-operating expense, net, included $12.6 million in unrealized foreign currency losses and other items.</w:t>
      </w:r>
    </w:p>
    <w:p>
      <w:pPr>
        <w:spacing w:after="0" w:line="111"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The Company recorded non-operating income, net, of $401.4 million for the first six months of 2014, compared to other non-operating expense, net, of $16.9 million for the same period of the prior year. The 2014 amounts included the pre-tax gain of $ 266.7 million in connection with the Company's exchange of Berkshire shares, a pre-tax gain of $127.7 million on the sale of the headquarters building, $7.9 million in unrealized foreign currency gains and other items. The 2013 non-operating income, net, included $17.2 million in unrealized foreign currency losses and other items.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Interest Expense</w:t>
      </w:r>
    </w:p>
    <w:p>
      <w:pPr>
        <w:spacing w:after="0" w:line="146"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The Company incurred net interest expense of $7.9 million and $16.1 million for the second quarter and first six months of 2014, respectively, compared to $ 8.5 million and $17.0 million for the same periods of 2013. At June 30, 2014, the Company had $451.9 million in borrowings outstanding at an average interest rate of 7.0%.</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146" w:lineRule="exact"/>
        <w:rPr>
          <w:sz w:val="20"/>
          <w:szCs w:val="20"/>
          <w:color w:val="auto"/>
        </w:rPr>
      </w:pPr>
    </w:p>
    <w:p>
      <w:pPr>
        <w:ind w:right="460"/>
        <w:spacing w:after="0" w:line="260" w:lineRule="auto"/>
        <w:rPr>
          <w:sz w:val="20"/>
          <w:szCs w:val="20"/>
          <w:color w:val="auto"/>
        </w:rPr>
      </w:pPr>
      <w:r>
        <w:rPr>
          <w:rFonts w:ascii="Arial" w:cs="Arial" w:eastAsia="Arial" w:hAnsi="Arial"/>
          <w:sz w:val="18"/>
          <w:szCs w:val="18"/>
          <w:color w:val="auto"/>
        </w:rPr>
        <w:t>The effective tax rate for income from continuing operations for the first six months of 2014 was 23.5%, compared to 40.7% for the first six months of 2013. The lower effective tax rate in 2014 relates to the Berkshire exchange</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62" w:right="239" w:bottom="1440" w:gutter="0" w:footer="0" w:header="0"/>
        </w:sectPr>
      </w:pPr>
    </w:p>
    <w:bookmarkStart w:id="26" w:name="page27"/>
    <w:bookmarkEnd w:id="26"/>
    <w:p>
      <w:pPr>
        <w:ind w:right="80"/>
        <w:spacing w:after="0"/>
        <w:rPr>
          <w:sz w:val="20"/>
          <w:szCs w:val="20"/>
          <w:color w:val="auto"/>
        </w:rPr>
      </w:pPr>
      <w:r>
        <w:rPr>
          <w:rFonts w:ascii="Arial" w:cs="Arial" w:eastAsia="Arial" w:hAnsi="Arial"/>
          <w:sz w:val="18"/>
          <w:szCs w:val="18"/>
          <w:color w:val="auto"/>
        </w:rPr>
        <w:t>transaction. The pre-tax gain of $ 266.7 million related to the disposition of the Berkshire shares was not subject to income tax as the exchange transaction qualifies as a tax-free distribution. The higher effective tax rate in 2013 resulted mostly from losses in Australia for which no tax benefit was recorded.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Discontinued Operations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On June 30, 2014, the Company and Berkshire Hathaway Inc. completed the Berkshire exchange transaction discussed above. A gain of</w:t>
      </w:r>
    </w:p>
    <w:p>
      <w:pPr>
        <w:spacing w:after="0" w:line="4" w:lineRule="exact"/>
        <w:rPr>
          <w:sz w:val="20"/>
          <w:szCs w:val="20"/>
          <w:color w:val="auto"/>
        </w:rPr>
      </w:pPr>
    </w:p>
    <w:p>
      <w:pPr>
        <w:jc w:val="both"/>
        <w:ind w:right="80"/>
        <w:spacing w:after="0" w:line="231" w:lineRule="auto"/>
        <w:rPr>
          <w:sz w:val="20"/>
          <w:szCs w:val="20"/>
          <w:color w:val="auto"/>
        </w:rPr>
      </w:pPr>
      <w:r>
        <w:rPr>
          <w:rFonts w:ascii="Arial" w:cs="Arial" w:eastAsia="Arial" w:hAnsi="Arial"/>
          <w:sz w:val="18"/>
          <w:szCs w:val="18"/>
          <w:color w:val="auto"/>
        </w:rPr>
        <w:t>$375.0 million was recorded in discontinued operations in connection with the disposition of WPLG, a Miami-based television station. This gain is not subject to income tax. Also as a result of the exchange transaction, income from continuing operations excludes WPLG, which has been reclassified to discontinued operations, net of tax, for all periods presented.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(Loss) Per Share</w:t>
      </w:r>
    </w:p>
    <w:p>
      <w:pPr>
        <w:spacing w:after="0" w:line="146" w:lineRule="exact"/>
        <w:rPr>
          <w:sz w:val="20"/>
          <w:szCs w:val="20"/>
          <w:color w:val="auto"/>
        </w:rPr>
      </w:pPr>
    </w:p>
    <w:p>
      <w:pPr>
        <w:ind w:right="140"/>
        <w:spacing w:after="0" w:line="229" w:lineRule="auto"/>
        <w:rPr>
          <w:sz w:val="20"/>
          <w:szCs w:val="20"/>
          <w:color w:val="auto"/>
        </w:rPr>
      </w:pPr>
      <w:r>
        <w:rPr>
          <w:rFonts w:ascii="Arial" w:cs="Arial" w:eastAsia="Arial" w:hAnsi="Arial"/>
          <w:sz w:val="18"/>
          <w:szCs w:val="18"/>
          <w:color w:val="auto"/>
        </w:rPr>
        <w:t>The calculation of diluted earnings per share for the second quarter and first six months of 2014 was based on 7,363,492 and 7,361,441 weighted average shares outstanding, respectively, compared to 7,283,116 and 7,276,421 for the second quarter and first six months of 2013. At June 30, 2014, there were 5,792,628 shares outstanding after the Company acquired 1,620,190 shares in the Berkshire exchange transaction. The Company had remaining authorization from the Board of Directors to purchase up to 159,219 shares of Class B common stock. The earnings per share computations for the second quarter and first six months of 2014 are largely unaffected by the common shares repurchased as part of the Berkshire exchange transaction, as the transaction closed on June 30, 2014.</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Kaplan Higher Education (KHE) Regulatory Matters</w:t>
      </w:r>
    </w:p>
    <w:p>
      <w:pPr>
        <w:spacing w:after="0" w:line="144"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The Department of Education (ED) convened a negotiated rulemaking committee in September 2013 to consider a new gainful employment rule that is expected to go into effect in July 2015. On March 25, 2014, the ED released a final draft regulation. The new proposed regulation requires that each educational program meet certain debt-to-earnings ratios and a programmatic level loan cohort default rate metric. Programs that fail one of these proposed metrics multiple years in a row would become ineligible for Title IV aid. The proposed rule also includes revised requirements for program approval, public disclosure on certain outcomes (graduation, placement, repayment rates, and other consumer information) and a “certification” requirement that each program is included in the school’s accreditation grant and has programmatic level accreditation if required for licensure in the occupation. A new final regulation published on or before November 1, 2014, generally would have an effective date of July 1, 2015, although the ultimate effective date is unknown at this time. The Company cannot predict the ultimate timing or substance of gainful employment regulations, nor can the Company fully predict the impact on Kaplan programs or institutions. Moreover, some of the data needed to compute program eligibility under the final draft regulation are not readily accessible; graduate incomes would be compiled by the Social Security Administration. In addition, the continuing eligibility of programs for Title IV funding may be affected by factors beyond Kaplan’s control, such as changes in the actual or deemed income level of its graduates, changes in student borrowing levels, increases in interest rates, changes in the U.S. Federal poverty income level relevant for calculating one of the proposed metrics and other factors. As a result, the ultimate outcome of gainful employment regulation and its impact on Kaplan’s operations is uncertain. The proposed regulation could cause Kaplan to eliminate or limit enrollments in certain educational programs at some or all of its schools, could result in the loss of student access to Title IV programs and could have a material adverse impact on KHE revenues, operating income and cash flows.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Condition: Capital Resources and Liquidity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Dispositions and Exchanges</w:t>
      </w:r>
    </w:p>
    <w:p>
      <w:pPr>
        <w:spacing w:after="0" w:line="142" w:lineRule="exact"/>
        <w:rPr>
          <w:sz w:val="20"/>
          <w:szCs w:val="20"/>
          <w:color w:val="auto"/>
        </w:rPr>
      </w:pPr>
    </w:p>
    <w:p>
      <w:pPr>
        <w:spacing w:after="0" w:line="235" w:lineRule="auto"/>
        <w:rPr>
          <w:sz w:val="20"/>
          <w:szCs w:val="20"/>
          <w:color w:val="auto"/>
        </w:rPr>
      </w:pPr>
      <w:r>
        <w:rPr>
          <w:rFonts w:ascii="Arial" w:cs="Arial" w:eastAsia="Arial" w:hAnsi="Arial"/>
          <w:sz w:val="18"/>
          <w:szCs w:val="18"/>
          <w:b w:val="1"/>
          <w:bCs w:val="1"/>
          <w:color w:val="auto"/>
        </w:rPr>
        <w:t xml:space="preserve">Acquisitions. </w:t>
      </w:r>
      <w:r>
        <w:rPr>
          <w:rFonts w:ascii="Arial" w:cs="Arial" w:eastAsia="Arial" w:hAnsi="Arial"/>
          <w:sz w:val="18"/>
          <w:szCs w:val="18"/>
          <w:color w:val="auto"/>
        </w:rPr>
        <w:t>In the first six months of 2014, the Company acquired six businesses included in other businesses and in its education division</w:t>
      </w:r>
      <w:r>
        <w:rPr>
          <w:rFonts w:ascii="Arial" w:cs="Arial" w:eastAsia="Arial" w:hAnsi="Arial"/>
          <w:sz w:val="18"/>
          <w:szCs w:val="18"/>
          <w:b w:val="1"/>
          <w:bCs w:val="1"/>
          <w:color w:val="auto"/>
        </w:rPr>
        <w:t xml:space="preserve"> </w:t>
      </w:r>
      <w:r>
        <w:rPr>
          <w:rFonts w:ascii="Arial" w:cs="Arial" w:eastAsia="Arial" w:hAnsi="Arial"/>
          <w:sz w:val="18"/>
          <w:szCs w:val="18"/>
          <w:color w:val="auto"/>
        </w:rPr>
        <w:t>totaling $133.5 million; the purchase price allocation comprised goodwill, other intangible assets, property, plant and equipment, and other current assets on a preliminary basis. In the first six months of 2013, the Company acquired two small businesses included in other businesses; the purchase price allocation mostly comprised goodwill and other intangible assets.</w:t>
      </w:r>
    </w:p>
    <w:p>
      <w:pPr>
        <w:spacing w:after="0" w:line="110"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On April 1, 2014, Celtic Healthcare acquired VNA-TIP Healthcare, a provider of home health and hospice services in Missouri and Illinois. On May 30, 2014, the Company completed its acquisition of Joyce/Dayton Corp., a Dayton, OH-based manufacturer of screw jacks and other linear motion systems. The operating results of VNA-TIP and Joyce are included in other businesses.</w:t>
      </w:r>
    </w:p>
    <w:p>
      <w:pPr>
        <w:spacing w:after="0" w:line="108" w:lineRule="exact"/>
        <w:rPr>
          <w:sz w:val="20"/>
          <w:szCs w:val="20"/>
          <w:color w:val="auto"/>
        </w:rPr>
      </w:pPr>
    </w:p>
    <w:p>
      <w:pPr>
        <w:ind w:right="620"/>
        <w:spacing w:after="0" w:line="260" w:lineRule="auto"/>
        <w:rPr>
          <w:sz w:val="20"/>
          <w:szCs w:val="20"/>
          <w:color w:val="auto"/>
        </w:rPr>
      </w:pPr>
      <w:r>
        <w:rPr>
          <w:rFonts w:ascii="Arial" w:cs="Arial" w:eastAsia="Arial" w:hAnsi="Arial"/>
          <w:sz w:val="18"/>
          <w:szCs w:val="18"/>
          <w:color w:val="auto"/>
        </w:rPr>
        <w:t>In the second quarter of 2013, Kaplan purchased the remaining 15% noncontrolling interest in Kaplan China; this additional interest was accounted for as an equity transaction.</w:t>
      </w:r>
    </w:p>
    <w:p>
      <w:pPr>
        <w:spacing w:after="0" w:line="92" w:lineRule="exact"/>
        <w:rPr>
          <w:sz w:val="20"/>
          <w:szCs w:val="20"/>
          <w:color w:val="auto"/>
        </w:rPr>
      </w:pPr>
    </w:p>
    <w:p>
      <w:pPr>
        <w:ind w:right="580"/>
        <w:spacing w:after="0" w:line="260" w:lineRule="auto"/>
        <w:rPr>
          <w:sz w:val="20"/>
          <w:szCs w:val="20"/>
          <w:color w:val="auto"/>
        </w:rPr>
      </w:pPr>
      <w:r>
        <w:rPr>
          <w:rFonts w:ascii="Arial" w:cs="Arial" w:eastAsia="Arial" w:hAnsi="Arial"/>
          <w:sz w:val="18"/>
          <w:szCs w:val="18"/>
          <w:color w:val="auto"/>
        </w:rPr>
        <w:t>On July 3, 2014, the Company completed its acquisition of an 80% interest in Residential Healthcare Group, Inc., the parent company of Residential Home Health and Residential Hospice, leading providers of skilled home health</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62" w:right="239" w:bottom="1440" w:gutter="0" w:footer="0" w:header="0"/>
        </w:sectPr>
      </w:pPr>
    </w:p>
    <w:bookmarkStart w:id="27" w:name="page28"/>
    <w:bookmarkEnd w:id="27"/>
    <w:p>
      <w:pPr>
        <w:ind w:right="340"/>
        <w:spacing w:after="0" w:line="260" w:lineRule="auto"/>
        <w:rPr>
          <w:sz w:val="20"/>
          <w:szCs w:val="20"/>
          <w:color w:val="auto"/>
        </w:rPr>
      </w:pPr>
      <w:r>
        <w:rPr>
          <w:rFonts w:ascii="Arial" w:cs="Arial" w:eastAsia="Arial" w:hAnsi="Arial"/>
          <w:sz w:val="18"/>
          <w:szCs w:val="18"/>
          <w:color w:val="auto"/>
        </w:rPr>
        <w:t>care and hospice services in Michigan and Illinois. The operating results of Residential will be included in other businesses beginning in the third quarter of 2014.</w:t>
      </w:r>
    </w:p>
    <w:p>
      <w:pPr>
        <w:spacing w:after="0" w:line="90" w:lineRule="exact"/>
        <w:rPr>
          <w:sz w:val="20"/>
          <w:szCs w:val="20"/>
          <w:color w:val="auto"/>
        </w:rPr>
      </w:pPr>
    </w:p>
    <w:p>
      <w:pPr>
        <w:ind w:right="480"/>
        <w:spacing w:after="0" w:line="241" w:lineRule="auto"/>
        <w:rPr>
          <w:sz w:val="20"/>
          <w:szCs w:val="20"/>
          <w:color w:val="auto"/>
        </w:rPr>
      </w:pPr>
      <w:r>
        <w:rPr>
          <w:rFonts w:ascii="Arial" w:cs="Arial" w:eastAsia="Arial" w:hAnsi="Arial"/>
          <w:sz w:val="18"/>
          <w:szCs w:val="18"/>
          <w:b w:val="1"/>
          <w:bCs w:val="1"/>
          <w:color w:val="auto"/>
        </w:rPr>
        <w:t xml:space="preserve">Dispositions. </w:t>
      </w:r>
      <w:r>
        <w:rPr>
          <w:rFonts w:ascii="Arial" w:cs="Arial" w:eastAsia="Arial" w:hAnsi="Arial"/>
          <w:sz w:val="18"/>
          <w:szCs w:val="18"/>
          <w:color w:val="auto"/>
        </w:rPr>
        <w:t>On October 1, 2013, the Company completed the sale of most of its newspaper publishing businesses. The publishing</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businesses sold include The Washington Post, Express, The Gazette Newspapers, Southern Maryland Newspapers, Greater Washington Publishing, Fairfax County Times and El Tiempo Latino and related websites (Publishing Subsidiaries).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In March 2013, the Company completed the sale of certain assets of The Herald, a daily and Sunday newspaper headquartered in Everett, WA.</w:t>
      </w:r>
    </w:p>
    <w:p>
      <w:pPr>
        <w:spacing w:after="0" w:line="142" w:lineRule="exact"/>
        <w:rPr>
          <w:sz w:val="20"/>
          <w:szCs w:val="20"/>
          <w:color w:val="auto"/>
        </w:rPr>
      </w:pPr>
    </w:p>
    <w:p>
      <w:pPr>
        <w:ind w:right="20"/>
        <w:spacing w:after="0" w:line="230" w:lineRule="auto"/>
        <w:rPr>
          <w:sz w:val="20"/>
          <w:szCs w:val="20"/>
          <w:color w:val="auto"/>
        </w:rPr>
      </w:pPr>
      <w:r>
        <w:rPr>
          <w:rFonts w:ascii="Arial" w:cs="Arial" w:eastAsia="Arial" w:hAnsi="Arial"/>
          <w:sz w:val="18"/>
          <w:szCs w:val="18"/>
          <w:b w:val="1"/>
          <w:bCs w:val="1"/>
          <w:color w:val="auto"/>
        </w:rPr>
        <w:t xml:space="preserve">Exchanges. </w:t>
      </w:r>
      <w:r>
        <w:rPr>
          <w:rFonts w:ascii="Arial" w:cs="Arial" w:eastAsia="Arial" w:hAnsi="Arial"/>
          <w:sz w:val="18"/>
          <w:szCs w:val="18"/>
          <w:color w:val="auto"/>
        </w:rPr>
        <w:t>On June 30, 2014, the Company and Berkshire Hathaway Inc. completed a previously announced transaction in which Berkshire</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a wholly-owned subsidiary of the Company that included, among other things, WPLG, a Miami-based television station, 2,107 Class A Berkshire shares and 1,278 Class B Berkshire shares owned by Graham Holdings and $327.7 million in cash, in exchange for 1,620,190 shares of Graham Holdings Class B common stock owned by Berkshire Hathaway (Berkshire exchange transaction). As a result, income from continuing operations for the second quarter of 2014 includes a $266.7 million gain from the sale of the Berkshire Hathaway shares, and income from discontinued operations for the second quarter of 2014 includes a $375.0 million gain from the WPLG exchange.</w:t>
      </w:r>
    </w:p>
    <w:p>
      <w:pPr>
        <w:spacing w:after="0" w:line="12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Consequently, the Company’s income from continuing operations excludes these sold or exchanged businesses, which have been reclassified to discontinued operations, net of tax.</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22" w:lineRule="exact"/>
        <w:rPr>
          <w:sz w:val="20"/>
          <w:szCs w:val="20"/>
          <w:color w:val="auto"/>
        </w:rPr>
      </w:pPr>
    </w:p>
    <w:p>
      <w:pPr>
        <w:ind w:right="880"/>
        <w:spacing w:after="0" w:line="260" w:lineRule="auto"/>
        <w:rPr>
          <w:sz w:val="20"/>
          <w:szCs w:val="20"/>
          <w:color w:val="auto"/>
        </w:rPr>
      </w:pPr>
      <w:r>
        <w:rPr>
          <w:rFonts w:ascii="Arial" w:cs="Arial" w:eastAsia="Arial" w:hAnsi="Arial"/>
          <w:sz w:val="18"/>
          <w:szCs w:val="18"/>
          <w:color w:val="auto"/>
        </w:rPr>
        <w:t>During the first six months of 2014, the Company’s capital expenditures totaled $92.6 million. The Company estimates that its capital expenditures will be in the range of $225 million to $250 million in 2014.</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44" w:lineRule="exact"/>
        <w:rPr>
          <w:sz w:val="20"/>
          <w:szCs w:val="20"/>
          <w:color w:val="auto"/>
        </w:rPr>
      </w:pPr>
    </w:p>
    <w:p>
      <w:pPr>
        <w:ind w:right="520"/>
        <w:spacing w:after="0"/>
        <w:rPr>
          <w:sz w:val="20"/>
          <w:szCs w:val="20"/>
          <w:color w:val="auto"/>
        </w:rPr>
      </w:pPr>
      <w:r>
        <w:rPr>
          <w:rFonts w:ascii="Arial" w:cs="Arial" w:eastAsia="Arial" w:hAnsi="Arial"/>
          <w:sz w:val="18"/>
          <w:szCs w:val="18"/>
          <w:color w:val="auto"/>
        </w:rPr>
        <w:t>At June 30, 2014, the Company had cash and cash equivalents, restricted cash and investments in marketable securities and other investments totaling $ 610.1 million, compared with $1,175.8 million at December 31, 2013. The decrease is from the Berkshire exchange transaction and other investing and financing activities, offset by asset sales and cash flows from operating activities.</w:t>
      </w:r>
    </w:p>
    <w:p>
      <w:pPr>
        <w:spacing w:after="0" w:line="108" w:lineRule="exact"/>
        <w:rPr>
          <w:sz w:val="20"/>
          <w:szCs w:val="20"/>
          <w:color w:val="auto"/>
        </w:rPr>
      </w:pPr>
    </w:p>
    <w:p>
      <w:pPr>
        <w:jc w:val="both"/>
        <w:ind w:right="280"/>
        <w:spacing w:after="0"/>
        <w:rPr>
          <w:sz w:val="20"/>
          <w:szCs w:val="20"/>
          <w:color w:val="auto"/>
        </w:rPr>
      </w:pPr>
      <w:r>
        <w:rPr>
          <w:rFonts w:ascii="Arial" w:cs="Arial" w:eastAsia="Arial" w:hAnsi="Arial"/>
          <w:sz w:val="18"/>
          <w:szCs w:val="18"/>
          <w:color w:val="auto"/>
        </w:rPr>
        <w:t>The Company’s total debt outstanding of $451.9 million at June 30, 2014 included $398.1 million of 7.25% unsecured notes due February 1, 2019, $47.1 million of AUD 50 million borrowing and $6.8 million in other debt. The $47.1 million of AUD 50 million is classified as a current liability at June 30, 2014.</w:t>
      </w:r>
    </w:p>
    <w:p>
      <w:pPr>
        <w:spacing w:after="0" w:line="108" w:lineRule="exact"/>
        <w:rPr>
          <w:sz w:val="20"/>
          <w:szCs w:val="20"/>
          <w:color w:val="auto"/>
        </w:rPr>
      </w:pPr>
    </w:p>
    <w:p>
      <w:pPr>
        <w:ind w:right="60"/>
        <w:spacing w:after="0" w:line="234" w:lineRule="auto"/>
        <w:rPr>
          <w:sz w:val="20"/>
          <w:szCs w:val="20"/>
          <w:color w:val="auto"/>
        </w:rPr>
      </w:pPr>
      <w:r>
        <w:rPr>
          <w:rFonts w:ascii="Arial" w:cs="Arial" w:eastAsia="Arial" w:hAnsi="Arial"/>
          <w:sz w:val="18"/>
          <w:szCs w:val="18"/>
          <w:color w:val="auto"/>
        </w:rPr>
        <w:t>On June 30, 2014, the Company and Berkshire Hathaway Inc. completed a previously announced transaction in which Berkshire acquired a wholly-owned subsidiary of the Company that included WPLG, a Miami-based television station, 2,107 Class A Berkshire shares and 1,278 Class B Berkshire shares owned by Graham Holdings and $327.7 million in cash, in exchange for 1,620,190 shares of Graham Holdings Class B common stock owned by Berkshire Hathaway (Berkshire exchange transaction).</w:t>
      </w:r>
    </w:p>
    <w:p>
      <w:pPr>
        <w:spacing w:after="0" w:line="111"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On March 27, 2014, the Company completed the sale of its headquarters building for approximately $158.0 million. On April 1, 2014, the Company received a gross cash distribution of $95.0 million from Classified Ventures' sale of apartments.com. In July 2014, the cable division sold its wireless spectrum licenses for approximately $99 million.</w:t>
      </w:r>
    </w:p>
    <w:p>
      <w:pPr>
        <w:spacing w:after="0" w:line="108" w:lineRule="exact"/>
        <w:rPr>
          <w:sz w:val="20"/>
          <w:szCs w:val="20"/>
          <w:color w:val="auto"/>
        </w:rPr>
      </w:pPr>
    </w:p>
    <w:p>
      <w:pPr>
        <w:ind w:right="80"/>
        <w:spacing w:after="0"/>
        <w:rPr>
          <w:sz w:val="20"/>
          <w:szCs w:val="20"/>
          <w:color w:val="auto"/>
        </w:rPr>
      </w:pPr>
      <w:r>
        <w:rPr>
          <w:rFonts w:ascii="Arial" w:cs="Arial" w:eastAsia="Arial" w:hAnsi="Arial"/>
          <w:sz w:val="18"/>
          <w:szCs w:val="18"/>
          <w:color w:val="auto"/>
        </w:rPr>
        <w:t>On August 4, 2014, the Company and its partners entered into an agreement to sell their stake in Classified Ventures to Gannett Co., Inc. for a price that values Classified Ventures at $2.5 billion. Gannett currently owns a 27% share of Classified Ventures; the Company owns a 16.5% interest in Classified Ventures. The transaction is expected to close before the end of 2014, subject to regulatory review.</w:t>
      </w:r>
    </w:p>
    <w:p>
      <w:pPr>
        <w:spacing w:after="0" w:line="108" w:lineRule="exact"/>
        <w:rPr>
          <w:sz w:val="20"/>
          <w:szCs w:val="20"/>
          <w:color w:val="auto"/>
        </w:rPr>
      </w:pPr>
    </w:p>
    <w:p>
      <w:pPr>
        <w:ind w:right="560"/>
        <w:spacing w:after="0"/>
        <w:rPr>
          <w:sz w:val="20"/>
          <w:szCs w:val="20"/>
          <w:color w:val="auto"/>
        </w:rPr>
      </w:pPr>
      <w:r>
        <w:rPr>
          <w:rFonts w:ascii="Arial" w:cs="Arial" w:eastAsia="Arial" w:hAnsi="Arial"/>
          <w:sz w:val="18"/>
          <w:szCs w:val="18"/>
          <w:color w:val="auto"/>
        </w:rPr>
        <w:t>As of June 30, 2014, the Company held investments in commercial paper totaling $99.9 million with original maturities over 90 days. The Company did not have any investments in commercial paper at December 31, 2013. For the six months of 2014, these investments are presented in the Company's Condensed Consolidated Statements of Cash Flows as net cash used in investing activities.</w:t>
      </w:r>
    </w:p>
    <w:p>
      <w:pPr>
        <w:spacing w:after="0" w:line="108" w:lineRule="exact"/>
        <w:rPr>
          <w:sz w:val="20"/>
          <w:szCs w:val="20"/>
          <w:color w:val="auto"/>
        </w:rPr>
      </w:pPr>
    </w:p>
    <w:p>
      <w:pPr>
        <w:ind w:right="80"/>
        <w:spacing w:after="0" w:line="234" w:lineRule="auto"/>
        <w:rPr>
          <w:sz w:val="20"/>
          <w:szCs w:val="20"/>
          <w:color w:val="auto"/>
        </w:rPr>
      </w:pPr>
      <w:r>
        <w:rPr>
          <w:rFonts w:ascii="Arial" w:cs="Arial" w:eastAsia="Arial" w:hAnsi="Arial"/>
          <w:sz w:val="18"/>
          <w:szCs w:val="18"/>
          <w:color w:val="auto"/>
        </w:rPr>
        <w:t>In June 2011, the Company entered into a credit agreement (the Credit Agreement) providing for a U.S. $450 million, AUD 50 million four year revolving credit facility (the Facility), with each of the lenders party thereto, JPMorgan Chase Bank, N.A., as Administrative Agent (JP Morgan), and J.P. Morgan Australia Limited, as Australian Sub-Agent. The Facility will expire on June 17, 2015, unless the Company and the banks agree to extend the term.</w:t>
      </w:r>
    </w:p>
    <w:p>
      <w:pPr>
        <w:spacing w:after="0" w:line="111" w:lineRule="exact"/>
        <w:rPr>
          <w:sz w:val="20"/>
          <w:szCs w:val="20"/>
          <w:color w:val="auto"/>
        </w:rPr>
      </w:pPr>
    </w:p>
    <w:p>
      <w:pPr>
        <w:jc w:val="both"/>
        <w:ind w:right="700"/>
        <w:spacing w:after="0"/>
        <w:rPr>
          <w:sz w:val="20"/>
          <w:szCs w:val="20"/>
          <w:color w:val="auto"/>
        </w:rPr>
      </w:pPr>
      <w:r>
        <w:rPr>
          <w:rFonts w:ascii="Arial" w:cs="Arial" w:eastAsia="Arial" w:hAnsi="Arial"/>
          <w:sz w:val="18"/>
          <w:szCs w:val="18"/>
          <w:color w:val="auto"/>
        </w:rPr>
        <w:t>In September 2013, Standard and Poor’s affirmed the Company's “BBB” long-term corporate debt rating and changed the outlook from Negative to Stable. In addition, S&amp;P upgraded the Company’s short-term corporate debt rating from “A-3” to “A-2”. On March 12, 2014, Moody's placed the Company's senior unsecured rating and its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62" w:right="239" w:bottom="1440" w:gutter="0" w:footer="0" w:header="0"/>
        </w:sectPr>
      </w:pPr>
    </w:p>
    <w:bookmarkStart w:id="28" w:name="page29"/>
    <w:bookmarkEnd w:id="28"/>
    <w:p>
      <w:pPr>
        <w:ind w:right="60"/>
        <w:spacing w:after="0"/>
        <w:rPr>
          <w:sz w:val="20"/>
          <w:szCs w:val="20"/>
          <w:color w:val="auto"/>
        </w:rPr>
      </w:pPr>
      <w:r>
        <w:rPr>
          <w:rFonts w:ascii="Arial" w:cs="Arial" w:eastAsia="Arial" w:hAnsi="Arial"/>
          <w:sz w:val="18"/>
          <w:szCs w:val="18"/>
          <w:color w:val="auto"/>
        </w:rPr>
        <w:t>Prime-2 commercial paper rating on review for downgrade. On June 26, 2014, Moody's downgraded the Company's long -term credit ratings by two levels from Baa1 to Baa3 and the short-term rating by one level from Prime-2 to Prime 3 and changed the outlook to stable. The Company’s current credit ratings are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340" w:type="dxa"/>
            <w:vAlign w:val="bottom"/>
          </w:tcPr>
          <w:p>
            <w:pPr>
              <w:jc w:val="right"/>
              <w:ind w:right="343"/>
              <w:spacing w:after="0"/>
              <w:rPr>
                <w:sz w:val="20"/>
                <w:szCs w:val="20"/>
                <w:color w:val="auto"/>
              </w:rPr>
            </w:pPr>
            <w:r>
              <w:rPr>
                <w:rFonts w:ascii="Arial" w:cs="Arial" w:eastAsia="Arial" w:hAnsi="Arial"/>
                <w:sz w:val="14"/>
                <w:szCs w:val="14"/>
                <w:b w:val="1"/>
                <w:bCs w:val="1"/>
                <w:color w:val="auto"/>
              </w:rPr>
              <w:t>Standard</w:t>
            </w:r>
          </w:p>
        </w:tc>
      </w:tr>
      <w:tr>
        <w:trPr>
          <w:trHeight w:val="203"/>
        </w:trPr>
        <w:tc>
          <w:tcPr>
            <w:tcW w:w="4800" w:type="dxa"/>
            <w:vAlign w:val="bottom"/>
            <w:tcBorders>
              <w:bottom w:val="single" w:sz="8" w:color="auto"/>
            </w:tcBorders>
          </w:tcPr>
          <w:p>
            <w:pPr>
              <w:spacing w:after="0"/>
              <w:rPr>
                <w:sz w:val="17"/>
                <w:szCs w:val="17"/>
                <w:color w:val="auto"/>
              </w:rPr>
            </w:pPr>
          </w:p>
        </w:tc>
        <w:tc>
          <w:tcPr>
            <w:tcW w:w="5280" w:type="dxa"/>
            <w:vAlign w:val="bottom"/>
            <w:tcBorders>
              <w:bottom w:val="single" w:sz="8" w:color="auto"/>
            </w:tcBorders>
          </w:tcPr>
          <w:p>
            <w:pPr>
              <w:jc w:val="right"/>
              <w:ind w:right="622"/>
              <w:spacing w:after="0"/>
              <w:rPr>
                <w:sz w:val="20"/>
                <w:szCs w:val="20"/>
                <w:color w:val="auto"/>
              </w:rPr>
            </w:pPr>
            <w:r>
              <w:rPr>
                <w:rFonts w:ascii="Arial" w:cs="Arial" w:eastAsia="Arial" w:hAnsi="Arial"/>
                <w:sz w:val="14"/>
                <w:szCs w:val="14"/>
                <w:b w:val="1"/>
                <w:bCs w:val="1"/>
                <w:color w:val="auto"/>
              </w:rPr>
              <w:t>Moody’s</w:t>
            </w:r>
          </w:p>
        </w:tc>
        <w:tc>
          <w:tcPr>
            <w:tcW w:w="134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&amp; Poor’s</w:t>
            </w:r>
          </w:p>
        </w:tc>
      </w:tr>
      <w:tr>
        <w:trPr>
          <w:trHeight w:val="249"/>
        </w:trPr>
        <w:tc>
          <w:tcPr>
            <w:tcW w:w="4800" w:type="dxa"/>
            <w:vAlign w:val="bottom"/>
          </w:tcPr>
          <w:p>
            <w:pPr>
              <w:ind w:left="40"/>
              <w:spacing w:after="0"/>
              <w:rPr>
                <w:sz w:val="20"/>
                <w:szCs w:val="20"/>
                <w:color w:val="auto"/>
              </w:rPr>
            </w:pPr>
            <w:r>
              <w:rPr>
                <w:rFonts w:ascii="Arial" w:cs="Arial" w:eastAsia="Arial" w:hAnsi="Arial"/>
                <w:sz w:val="16"/>
                <w:szCs w:val="16"/>
                <w:color w:val="auto"/>
              </w:rPr>
              <w:t>Long-term</w:t>
            </w:r>
          </w:p>
        </w:tc>
        <w:tc>
          <w:tcPr>
            <w:tcW w:w="5280" w:type="dxa"/>
            <w:vAlign w:val="bottom"/>
          </w:tcPr>
          <w:p>
            <w:pPr>
              <w:jc w:val="right"/>
              <w:ind w:right="202"/>
              <w:spacing w:after="0"/>
              <w:rPr>
                <w:sz w:val="20"/>
                <w:szCs w:val="20"/>
                <w:color w:val="auto"/>
              </w:rPr>
            </w:pPr>
            <w:r>
              <w:rPr>
                <w:rFonts w:ascii="Arial" w:cs="Arial" w:eastAsia="Arial" w:hAnsi="Arial"/>
                <w:sz w:val="16"/>
                <w:szCs w:val="16"/>
                <w:color w:val="auto"/>
              </w:rPr>
              <w:t>Baa3</w:t>
            </w:r>
          </w:p>
        </w:tc>
        <w:tc>
          <w:tcPr>
            <w:tcW w:w="1340" w:type="dxa"/>
            <w:vAlign w:val="bottom"/>
          </w:tcPr>
          <w:p>
            <w:pPr>
              <w:jc w:val="right"/>
              <w:spacing w:after="0"/>
              <w:rPr>
                <w:sz w:val="20"/>
                <w:szCs w:val="20"/>
                <w:color w:val="auto"/>
              </w:rPr>
            </w:pPr>
            <w:r>
              <w:rPr>
                <w:rFonts w:ascii="Arial" w:cs="Arial" w:eastAsia="Arial" w:hAnsi="Arial"/>
                <w:sz w:val="16"/>
                <w:szCs w:val="16"/>
                <w:color w:val="auto"/>
              </w:rPr>
              <w:t>BBB</w:t>
            </w:r>
          </w:p>
        </w:tc>
      </w:tr>
      <w:tr>
        <w:trPr>
          <w:trHeight w:val="270"/>
        </w:trPr>
        <w:tc>
          <w:tcPr>
            <w:tcW w:w="4800" w:type="dxa"/>
            <w:vAlign w:val="bottom"/>
          </w:tcPr>
          <w:p>
            <w:pPr>
              <w:ind w:left="40"/>
              <w:spacing w:after="0"/>
              <w:rPr>
                <w:sz w:val="20"/>
                <w:szCs w:val="20"/>
                <w:color w:val="auto"/>
              </w:rPr>
            </w:pPr>
            <w:r>
              <w:rPr>
                <w:rFonts w:ascii="Arial" w:cs="Arial" w:eastAsia="Arial" w:hAnsi="Arial"/>
                <w:sz w:val="16"/>
                <w:szCs w:val="16"/>
                <w:color w:val="auto"/>
              </w:rPr>
              <w:t>Short-term</w:t>
            </w:r>
          </w:p>
        </w:tc>
        <w:tc>
          <w:tcPr>
            <w:tcW w:w="5280" w:type="dxa"/>
            <w:vAlign w:val="bottom"/>
          </w:tcPr>
          <w:p>
            <w:pPr>
              <w:jc w:val="right"/>
              <w:ind w:right="202"/>
              <w:spacing w:after="0"/>
              <w:rPr>
                <w:sz w:val="20"/>
                <w:szCs w:val="20"/>
                <w:color w:val="auto"/>
              </w:rPr>
            </w:pPr>
            <w:r>
              <w:rPr>
                <w:rFonts w:ascii="Arial" w:cs="Arial" w:eastAsia="Arial" w:hAnsi="Arial"/>
                <w:sz w:val="16"/>
                <w:szCs w:val="16"/>
                <w:color w:val="auto"/>
              </w:rPr>
              <w:t>Prime-3</w:t>
            </w:r>
          </w:p>
        </w:tc>
        <w:tc>
          <w:tcPr>
            <w:tcW w:w="1340" w:type="dxa"/>
            <w:vAlign w:val="bottom"/>
          </w:tcPr>
          <w:p>
            <w:pPr>
              <w:jc w:val="right"/>
              <w:spacing w:after="0"/>
              <w:rPr>
                <w:sz w:val="20"/>
                <w:szCs w:val="20"/>
                <w:color w:val="auto"/>
              </w:rPr>
            </w:pPr>
            <w:r>
              <w:rPr>
                <w:rFonts w:ascii="Arial" w:cs="Arial" w:eastAsia="Arial" w:hAnsi="Arial"/>
                <w:sz w:val="16"/>
                <w:szCs w:val="16"/>
                <w:color w:val="auto"/>
              </w:rPr>
              <w:t>A-2</w:t>
            </w:r>
          </w:p>
        </w:tc>
      </w:tr>
    </w:tbl>
    <w:p>
      <w:pPr>
        <w:spacing w:after="0" w:line="141" w:lineRule="exact"/>
        <w:rPr>
          <w:sz w:val="20"/>
          <w:szCs w:val="20"/>
          <w:color w:val="auto"/>
        </w:rPr>
      </w:pPr>
    </w:p>
    <w:p>
      <w:pPr>
        <w:ind w:right="160"/>
        <w:spacing w:after="0" w:line="231" w:lineRule="auto"/>
        <w:rPr>
          <w:sz w:val="20"/>
          <w:szCs w:val="20"/>
          <w:color w:val="auto"/>
        </w:rPr>
      </w:pPr>
      <w:r>
        <w:rPr>
          <w:rFonts w:ascii="Arial" w:cs="Arial" w:eastAsia="Arial" w:hAnsi="Arial"/>
          <w:sz w:val="18"/>
          <w:szCs w:val="18"/>
          <w:color w:val="auto"/>
        </w:rPr>
        <w:t>At June 30, 2014 and December 31, 2013, the Company had working capital of $219.8 million and $768.3 million, respectively. The Company maintains working capital levels consistent with its underlying business requirements and consistently generates cash from operations in excess of required interest or principal payments. The Company expects to fund its estimated capital needs primarily through existing cash balances and internally generated funds and to a lesser extent borrowings supported by the Company's Credit Agreement. In management’s opinion, the Company will have sufficient liquidity to meet its various cash needs throughout 2014.</w:t>
      </w:r>
    </w:p>
    <w:p>
      <w:pPr>
        <w:spacing w:after="0" w:line="111" w:lineRule="exact"/>
        <w:rPr>
          <w:sz w:val="20"/>
          <w:szCs w:val="20"/>
          <w:color w:val="auto"/>
        </w:rPr>
      </w:pPr>
    </w:p>
    <w:p>
      <w:pPr>
        <w:ind w:right="420"/>
        <w:spacing w:after="0" w:line="260" w:lineRule="auto"/>
        <w:rPr>
          <w:sz w:val="20"/>
          <w:szCs w:val="20"/>
          <w:color w:val="auto"/>
        </w:rPr>
      </w:pPr>
      <w:r>
        <w:rPr>
          <w:rFonts w:ascii="Arial" w:cs="Arial" w:eastAsia="Arial" w:hAnsi="Arial"/>
          <w:sz w:val="18"/>
          <w:szCs w:val="18"/>
          <w:color w:val="auto"/>
        </w:rPr>
        <w:t>There were no significant changes to the Company’s contractual obligations or other commercial commitments from those disclosed in the Company’s Annual Report on Form 10-K for the year ended December 31, 2013.</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46" w:lineRule="exact"/>
        <w:rPr>
          <w:sz w:val="20"/>
          <w:szCs w:val="20"/>
          <w:color w:val="auto"/>
        </w:rPr>
      </w:pPr>
    </w:p>
    <w:p>
      <w:pPr>
        <w:ind w:right="280"/>
        <w:spacing w:after="0" w:line="234" w:lineRule="auto"/>
        <w:rPr>
          <w:sz w:val="20"/>
          <w:szCs w:val="20"/>
          <w:color w:val="auto"/>
        </w:rPr>
      </w:pPr>
      <w:r>
        <w:rPr>
          <w:rFonts w:ascii="Arial" w:cs="Arial" w:eastAsia="Arial" w:hAnsi="Arial"/>
          <w:sz w:val="18"/>
          <w:szCs w:val="18"/>
          <w:color w:val="auto"/>
        </w:rPr>
        <w:t>This report contains certain forward-looking statements that are based largely on the Company’s current expectations. Forward-looking statements are subject to certain risks and uncertainties that could cause actual results and achievements to differ materially from those expressed in the forward-looking statements. For more information about these forward-looking statements and related risks, please refer to the section titled “Forward-Looking Statements” in Part I of the Company’s Annual Report on Form 10-K.</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46" w:lineRule="exact"/>
        <w:rPr>
          <w:sz w:val="20"/>
          <w:szCs w:val="20"/>
          <w:color w:val="auto"/>
        </w:rPr>
      </w:pPr>
    </w:p>
    <w:p>
      <w:pPr>
        <w:ind w:right="120"/>
        <w:spacing w:after="0" w:line="234" w:lineRule="auto"/>
        <w:rPr>
          <w:sz w:val="20"/>
          <w:szCs w:val="20"/>
          <w:color w:val="auto"/>
        </w:rPr>
      </w:pPr>
      <w:r>
        <w:rPr>
          <w:rFonts w:ascii="Arial" w:cs="Arial" w:eastAsia="Arial" w:hAnsi="Arial"/>
          <w:sz w:val="18"/>
          <w:szCs w:val="18"/>
          <w:color w:val="auto"/>
        </w:rPr>
        <w:t>The Company is exposed to market risk in the normal course of its business due primarily to its ownership of marketable equity securities, which are subject to equity price risk; to its borrowing and cash-management activities, which are subject to interest rate risk; and to its foreign business operations, which are subject to foreign exchange rate risk. The Company’s market risk disclosures set forth in its 2013 Annual Report filed on Form 10-K have not otherwise changed significantly.</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144" w:lineRule="exact"/>
        <w:rPr>
          <w:sz w:val="20"/>
          <w:szCs w:val="20"/>
          <w:color w:val="auto"/>
        </w:rPr>
      </w:pPr>
    </w:p>
    <w:p>
      <w:pPr>
        <w:ind w:right="80"/>
        <w:spacing w:after="0"/>
        <w:rPr>
          <w:sz w:val="20"/>
          <w:szCs w:val="20"/>
          <w:color w:val="auto"/>
        </w:rPr>
      </w:pPr>
      <w:r>
        <w:rPr>
          <w:rFonts w:ascii="Arial" w:cs="Arial" w:eastAsia="Arial" w:hAnsi="Arial"/>
          <w:sz w:val="17"/>
          <w:szCs w:val="17"/>
          <w:color w:val="auto"/>
        </w:rPr>
        <w:t>An evaluation was performed by the Company’s management, with the participation of the Company’s Chief Executive Officer (the Company’s principal executive officer) and the Company’s Senior Vice President-Finance (the Company’s principal financial officer), of the effectiveness of the Company’s disclosure controls and procedures (as defined in Exchange Act Rules 13a-15(e) and 15d-15(e)), as of June 30, 2014. Based on that evaluation, the Company’s Chief Executive Officer and Senior Vice President-Finance have concluded that the Company’s disclosure controls and procedures, as designed and implemented, are effective in ensuring that information required to be disclosed by the Company in the reports that it files or submits under the Exchange Act is recorded, processed, summarized and reported, within the time periods specified in the Securities and Exchange Commission’s rules and forms and is accumulated and communicated to management, including the Chief Executive Officer and Senior Vice President-Finance, in a manner that allows timely decisions regarding required disclosure.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Changes in Internal Control Over Financial Reporting</w:t>
      </w:r>
    </w:p>
    <w:p>
      <w:pPr>
        <w:spacing w:after="0" w:line="144" w:lineRule="exact"/>
        <w:rPr>
          <w:sz w:val="20"/>
          <w:szCs w:val="20"/>
          <w:color w:val="auto"/>
        </w:rPr>
      </w:pPr>
    </w:p>
    <w:p>
      <w:pPr>
        <w:ind w:right="820"/>
        <w:spacing w:after="0" w:line="260" w:lineRule="auto"/>
        <w:rPr>
          <w:sz w:val="20"/>
          <w:szCs w:val="20"/>
          <w:color w:val="auto"/>
        </w:rPr>
      </w:pPr>
      <w:r>
        <w:rPr>
          <w:rFonts w:ascii="Arial" w:cs="Arial" w:eastAsia="Arial" w:hAnsi="Arial"/>
          <w:sz w:val="18"/>
          <w:szCs w:val="18"/>
          <w:color w:val="auto"/>
        </w:rPr>
        <w:t>There has been no change in the Company’s internal control over financial reporting during the quarter ended June 30, 2014 that has materially affected, or is reasonably likely to materially affect, the Company’s internal control over financial reporting.</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62" w:right="239" w:bottom="1440" w:gutter="0" w:footer="0" w:header="0"/>
        </w:sectPr>
      </w:pPr>
    </w:p>
    <w:bookmarkStart w:id="29" w:name="page30"/>
    <w:bookmarkEnd w:id="29"/>
    <w:p>
      <w:pPr>
        <w:ind w:left="4380"/>
        <w:spacing w:after="0"/>
        <w:rPr>
          <w:sz w:val="20"/>
          <w:szCs w:val="20"/>
          <w:color w:val="auto"/>
        </w:rPr>
      </w:pPr>
      <w:r>
        <w:rPr>
          <w:rFonts w:ascii="Arial" w:cs="Arial" w:eastAsia="Arial" w:hAnsi="Arial"/>
          <w:sz w:val="18"/>
          <w:szCs w:val="18"/>
          <w:b w:val="1"/>
          <w:bCs w:val="1"/>
          <w:color w:val="auto"/>
        </w:rPr>
        <w:t>PART II. OTHER INFORMATION</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Purchases of Equity Securities by the Issuer and Affiliated Purchasers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During the quarter ended June 30, 2014, the Company purchased shares of its Class B Common Stock as set forth in the following table: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2260" w:type="dxa"/>
            <w:vAlign w:val="bottom"/>
          </w:tcPr>
          <w:p>
            <w:pPr>
              <w:jc w:val="center"/>
              <w:ind w:left="364"/>
              <w:spacing w:after="0"/>
              <w:rPr>
                <w:sz w:val="20"/>
                <w:szCs w:val="20"/>
                <w:color w:val="auto"/>
              </w:rPr>
            </w:pPr>
            <w:r>
              <w:rPr>
                <w:rFonts w:ascii="Arial" w:cs="Arial" w:eastAsia="Arial" w:hAnsi="Arial"/>
                <w:sz w:val="14"/>
                <w:szCs w:val="14"/>
                <w:b w:val="1"/>
                <w:bCs w:val="1"/>
                <w:color w:val="auto"/>
              </w:rPr>
              <w:t>Maximum Number of</w:t>
            </w:r>
          </w:p>
        </w:tc>
      </w:tr>
      <w:tr>
        <w:trPr>
          <w:trHeight w:val="162"/>
        </w:trPr>
        <w:tc>
          <w:tcPr>
            <w:tcW w:w="48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Average Price</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Purchased as Part of</w:t>
            </w:r>
          </w:p>
        </w:tc>
        <w:tc>
          <w:tcPr>
            <w:tcW w:w="2260" w:type="dxa"/>
            <w:vAlign w:val="bottom"/>
          </w:tcPr>
          <w:p>
            <w:pPr>
              <w:jc w:val="right"/>
              <w:ind w:right="44"/>
              <w:spacing w:after="0"/>
              <w:rPr>
                <w:sz w:val="20"/>
                <w:szCs w:val="20"/>
                <w:color w:val="auto"/>
              </w:rPr>
            </w:pPr>
            <w:r>
              <w:rPr>
                <w:rFonts w:ascii="Arial" w:cs="Arial" w:eastAsia="Arial" w:hAnsi="Arial"/>
                <w:sz w:val="14"/>
                <w:szCs w:val="14"/>
                <w:b w:val="1"/>
                <w:bCs w:val="1"/>
                <w:color w:val="auto"/>
              </w:rPr>
              <w:t>Shares that May Yet Be</w:t>
            </w:r>
          </w:p>
        </w:tc>
      </w:tr>
      <w:tr>
        <w:trPr>
          <w:trHeight w:val="162"/>
        </w:trPr>
        <w:tc>
          <w:tcPr>
            <w:tcW w:w="4820" w:type="dxa"/>
            <w:vAlign w:val="bottom"/>
          </w:tcPr>
          <w:p>
            <w:pPr>
              <w:spacing w:after="0"/>
              <w:rPr>
                <w:sz w:val="14"/>
                <w:szCs w:val="14"/>
                <w:color w:val="auto"/>
              </w:rPr>
            </w:pPr>
          </w:p>
        </w:tc>
        <w:tc>
          <w:tcPr>
            <w:tcW w:w="1380" w:type="dxa"/>
            <w:vAlign w:val="bottom"/>
          </w:tcPr>
          <w:p>
            <w:pPr>
              <w:jc w:val="right"/>
              <w:ind w:right="62"/>
              <w:spacing w:after="0"/>
              <w:rPr>
                <w:sz w:val="20"/>
                <w:szCs w:val="20"/>
                <w:color w:val="auto"/>
              </w:rPr>
            </w:pPr>
            <w:r>
              <w:rPr>
                <w:rFonts w:ascii="Arial" w:cs="Arial" w:eastAsia="Arial" w:hAnsi="Arial"/>
                <w:sz w:val="14"/>
                <w:szCs w:val="14"/>
                <w:b w:val="1"/>
                <w:bCs w:val="1"/>
                <w:color w:val="auto"/>
              </w:rPr>
              <w:t>Total Number of</w:t>
            </w:r>
          </w:p>
        </w:tc>
        <w:tc>
          <w:tcPr>
            <w:tcW w:w="300" w:type="dxa"/>
            <w:vAlign w:val="bottom"/>
          </w:tcPr>
          <w:p>
            <w:pPr>
              <w:spacing w:after="0"/>
              <w:rPr>
                <w:sz w:val="14"/>
                <w:szCs w:val="14"/>
                <w:color w:val="auto"/>
              </w:rPr>
            </w:pPr>
          </w:p>
        </w:tc>
        <w:tc>
          <w:tcPr>
            <w:tcW w:w="960" w:type="dxa"/>
            <w:vAlign w:val="bottom"/>
          </w:tcPr>
          <w:p>
            <w:pPr>
              <w:jc w:val="right"/>
              <w:ind w:right="262"/>
              <w:spacing w:after="0"/>
              <w:rPr>
                <w:sz w:val="20"/>
                <w:szCs w:val="20"/>
                <w:color w:val="auto"/>
              </w:rPr>
            </w:pPr>
            <w:r>
              <w:rPr>
                <w:rFonts w:ascii="Arial" w:cs="Arial" w:eastAsia="Arial" w:hAnsi="Arial"/>
                <w:sz w:val="14"/>
                <w:szCs w:val="14"/>
                <w:b w:val="1"/>
                <w:bCs w:val="1"/>
                <w:color w:val="auto"/>
              </w:rPr>
              <w:t>Paid per</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Publicly Announced</w:t>
            </w:r>
          </w:p>
        </w:tc>
        <w:tc>
          <w:tcPr>
            <w:tcW w:w="2260" w:type="dxa"/>
            <w:vAlign w:val="bottom"/>
          </w:tcPr>
          <w:p>
            <w:pPr>
              <w:jc w:val="center"/>
              <w:ind w:left="384"/>
              <w:spacing w:after="0"/>
              <w:rPr>
                <w:sz w:val="20"/>
                <w:szCs w:val="20"/>
                <w:color w:val="auto"/>
              </w:rPr>
            </w:pPr>
            <w:r>
              <w:rPr>
                <w:rFonts w:ascii="Arial" w:cs="Arial" w:eastAsia="Arial" w:hAnsi="Arial"/>
                <w:sz w:val="14"/>
                <w:szCs w:val="14"/>
                <w:b w:val="1"/>
                <w:bCs w:val="1"/>
                <w:color w:val="auto"/>
              </w:rPr>
              <w:t>Purchased Under the</w:t>
            </w:r>
          </w:p>
        </w:tc>
      </w:tr>
      <w:tr>
        <w:trPr>
          <w:trHeight w:val="203"/>
        </w:trPr>
        <w:tc>
          <w:tcPr>
            <w:tcW w:w="4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Period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Shares Purchased</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Share</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Plan*</w:t>
            </w:r>
          </w:p>
        </w:tc>
        <w:tc>
          <w:tcPr>
            <w:tcW w:w="2260" w:type="dxa"/>
            <w:vAlign w:val="bottom"/>
            <w:tcBorders>
              <w:bottom w:val="single" w:sz="8" w:color="auto"/>
            </w:tcBorders>
          </w:tcPr>
          <w:p>
            <w:pPr>
              <w:jc w:val="center"/>
              <w:ind w:left="384"/>
              <w:spacing w:after="0"/>
              <w:rPr>
                <w:sz w:val="20"/>
                <w:szCs w:val="20"/>
                <w:color w:val="auto"/>
              </w:rPr>
            </w:pPr>
            <w:r>
              <w:rPr>
                <w:rFonts w:ascii="Arial" w:cs="Arial" w:eastAsia="Arial" w:hAnsi="Arial"/>
                <w:sz w:val="14"/>
                <w:szCs w:val="14"/>
                <w:b w:val="1"/>
                <w:bCs w:val="1"/>
                <w:color w:val="auto"/>
              </w:rPr>
              <w:t>Plan*</w:t>
            </w:r>
          </w:p>
        </w:tc>
      </w:tr>
      <w:tr>
        <w:trPr>
          <w:trHeight w:val="249"/>
        </w:trPr>
        <w:tc>
          <w:tcPr>
            <w:tcW w:w="4820" w:type="dxa"/>
            <w:vAlign w:val="bottom"/>
          </w:tcPr>
          <w:p>
            <w:pPr>
              <w:ind w:left="40"/>
              <w:spacing w:after="0"/>
              <w:rPr>
                <w:sz w:val="20"/>
                <w:szCs w:val="20"/>
                <w:color w:val="auto"/>
              </w:rPr>
            </w:pPr>
            <w:r>
              <w:rPr>
                <w:rFonts w:ascii="Arial" w:cs="Arial" w:eastAsia="Arial" w:hAnsi="Arial"/>
                <w:sz w:val="16"/>
                <w:szCs w:val="16"/>
                <w:color w:val="auto"/>
              </w:rPr>
              <w:t>Apr. 1 - Apr. 30, 2014</w:t>
            </w:r>
          </w:p>
        </w:tc>
        <w:tc>
          <w:tcPr>
            <w:tcW w:w="13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300" w:type="dxa"/>
            <w:vAlign w:val="bottom"/>
          </w:tcPr>
          <w:p>
            <w:pPr>
              <w:ind w:left="14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1700" w:type="dxa"/>
            <w:vAlign w:val="bottom"/>
          </w:tcPr>
          <w:p>
            <w:pPr>
              <w:ind w:left="1440"/>
              <w:spacing w:after="0"/>
              <w:rPr>
                <w:sz w:val="20"/>
                <w:szCs w:val="20"/>
                <w:color w:val="auto"/>
              </w:rPr>
            </w:pPr>
            <w:r>
              <w:rPr>
                <w:rFonts w:ascii="Arial" w:cs="Arial" w:eastAsia="Arial" w:hAnsi="Arial"/>
                <w:sz w:val="16"/>
                <w:szCs w:val="16"/>
                <w:color w:val="auto"/>
              </w:rPr>
              <w:t>—</w:t>
            </w:r>
          </w:p>
        </w:tc>
        <w:tc>
          <w:tcPr>
            <w:tcW w:w="2260" w:type="dxa"/>
            <w:vAlign w:val="bottom"/>
          </w:tcPr>
          <w:p>
            <w:pPr>
              <w:jc w:val="right"/>
              <w:ind w:right="24"/>
              <w:spacing w:after="0"/>
              <w:rPr>
                <w:sz w:val="20"/>
                <w:szCs w:val="20"/>
                <w:color w:val="auto"/>
              </w:rPr>
            </w:pPr>
            <w:r>
              <w:rPr>
                <w:rFonts w:ascii="Arial" w:cs="Arial" w:eastAsia="Arial" w:hAnsi="Arial"/>
                <w:sz w:val="16"/>
                <w:szCs w:val="16"/>
                <w:color w:val="auto"/>
              </w:rPr>
              <w:t>159,219</w:t>
            </w:r>
          </w:p>
        </w:tc>
      </w:tr>
      <w:tr>
        <w:trPr>
          <w:trHeight w:val="270"/>
        </w:trPr>
        <w:tc>
          <w:tcPr>
            <w:tcW w:w="4820" w:type="dxa"/>
            <w:vAlign w:val="bottom"/>
          </w:tcPr>
          <w:p>
            <w:pPr>
              <w:ind w:left="40"/>
              <w:spacing w:after="0"/>
              <w:rPr>
                <w:sz w:val="20"/>
                <w:szCs w:val="20"/>
                <w:color w:val="auto"/>
              </w:rPr>
            </w:pPr>
            <w:r>
              <w:rPr>
                <w:rFonts w:ascii="Arial" w:cs="Arial" w:eastAsia="Arial" w:hAnsi="Arial"/>
                <w:sz w:val="16"/>
                <w:szCs w:val="16"/>
                <w:color w:val="auto"/>
              </w:rPr>
              <w:t>May. 1 - May. 31, 2014</w:t>
            </w:r>
          </w:p>
        </w:tc>
        <w:tc>
          <w:tcPr>
            <w:tcW w:w="13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96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1700" w:type="dxa"/>
            <w:vAlign w:val="bottom"/>
          </w:tcPr>
          <w:p>
            <w:pPr>
              <w:ind w:left="1440"/>
              <w:spacing w:after="0"/>
              <w:rPr>
                <w:sz w:val="20"/>
                <w:szCs w:val="20"/>
                <w:color w:val="auto"/>
              </w:rPr>
            </w:pPr>
            <w:r>
              <w:rPr>
                <w:rFonts w:ascii="Arial" w:cs="Arial" w:eastAsia="Arial" w:hAnsi="Arial"/>
                <w:sz w:val="16"/>
                <w:szCs w:val="16"/>
                <w:color w:val="auto"/>
              </w:rPr>
              <w:t>—</w:t>
            </w:r>
          </w:p>
        </w:tc>
        <w:tc>
          <w:tcPr>
            <w:tcW w:w="2260" w:type="dxa"/>
            <w:vAlign w:val="bottom"/>
          </w:tcPr>
          <w:p>
            <w:pPr>
              <w:jc w:val="right"/>
              <w:ind w:right="24"/>
              <w:spacing w:after="0"/>
              <w:rPr>
                <w:sz w:val="20"/>
                <w:szCs w:val="20"/>
                <w:color w:val="auto"/>
              </w:rPr>
            </w:pPr>
            <w:r>
              <w:rPr>
                <w:rFonts w:ascii="Arial" w:cs="Arial" w:eastAsia="Arial" w:hAnsi="Arial"/>
                <w:sz w:val="16"/>
                <w:szCs w:val="16"/>
                <w:color w:val="auto"/>
              </w:rPr>
              <w:t>159,219</w:t>
            </w:r>
          </w:p>
        </w:tc>
      </w:tr>
      <w:tr>
        <w:trPr>
          <w:trHeight w:val="279"/>
        </w:trPr>
        <w:tc>
          <w:tcPr>
            <w:tcW w:w="4820" w:type="dxa"/>
            <w:vAlign w:val="bottom"/>
          </w:tcPr>
          <w:p>
            <w:pPr>
              <w:ind w:left="40"/>
              <w:spacing w:after="0"/>
              <w:rPr>
                <w:sz w:val="20"/>
                <w:szCs w:val="20"/>
                <w:color w:val="auto"/>
              </w:rPr>
            </w:pPr>
            <w:r>
              <w:rPr>
                <w:rFonts w:ascii="Arial" w:cs="Arial" w:eastAsia="Arial" w:hAnsi="Arial"/>
                <w:sz w:val="16"/>
                <w:szCs w:val="16"/>
                <w:color w:val="auto"/>
              </w:rPr>
              <w:t>Jun. 1 - Jun. 30, 2014</w:t>
            </w:r>
          </w:p>
        </w:tc>
        <w:tc>
          <w:tcPr>
            <w:tcW w:w="13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1,620,190</w:t>
            </w:r>
          </w:p>
        </w:tc>
        <w:tc>
          <w:tcPr>
            <w:tcW w:w="300" w:type="dxa"/>
            <w:vAlign w:val="bottom"/>
          </w:tcPr>
          <w:p>
            <w:pPr>
              <w:spacing w:after="0"/>
              <w:rPr>
                <w:sz w:val="24"/>
                <w:szCs w:val="24"/>
                <w:color w:val="auto"/>
              </w:rPr>
            </w:pPr>
          </w:p>
        </w:tc>
        <w:tc>
          <w:tcPr>
            <w:tcW w:w="960" w:type="dxa"/>
            <w:vAlign w:val="bottom"/>
          </w:tcPr>
          <w:p>
            <w:pPr>
              <w:jc w:val="right"/>
              <w:ind w:right="142"/>
              <w:spacing w:after="0"/>
              <w:rPr>
                <w:sz w:val="20"/>
                <w:szCs w:val="20"/>
                <w:color w:val="auto"/>
              </w:rPr>
            </w:pPr>
            <w:r>
              <w:rPr>
                <w:rFonts w:ascii="Arial" w:cs="Arial" w:eastAsia="Arial" w:hAnsi="Arial"/>
                <w:sz w:val="16"/>
                <w:szCs w:val="16"/>
                <w:color w:val="auto"/>
              </w:rPr>
              <w:t>719.32</w:t>
            </w:r>
          </w:p>
        </w:tc>
        <w:tc>
          <w:tcPr>
            <w:tcW w:w="1700" w:type="dxa"/>
            <w:vAlign w:val="bottom"/>
            <w:tcBorders>
              <w:bottom w:val="single" w:sz="8" w:color="auto"/>
            </w:tcBorders>
          </w:tcPr>
          <w:p>
            <w:pPr>
              <w:ind w:left="1440"/>
              <w:spacing w:after="0"/>
              <w:rPr>
                <w:sz w:val="20"/>
                <w:szCs w:val="20"/>
                <w:color w:val="auto"/>
              </w:rPr>
            </w:pPr>
            <w:r>
              <w:rPr>
                <w:rFonts w:ascii="Arial" w:cs="Arial" w:eastAsia="Arial" w:hAnsi="Arial"/>
                <w:sz w:val="16"/>
                <w:szCs w:val="16"/>
                <w:color w:val="auto"/>
              </w:rPr>
              <w:t>—</w:t>
            </w:r>
          </w:p>
        </w:tc>
        <w:tc>
          <w:tcPr>
            <w:tcW w:w="2260" w:type="dxa"/>
            <w:vAlign w:val="bottom"/>
          </w:tcPr>
          <w:p>
            <w:pPr>
              <w:jc w:val="right"/>
              <w:ind w:right="24"/>
              <w:spacing w:after="0"/>
              <w:rPr>
                <w:sz w:val="20"/>
                <w:szCs w:val="20"/>
                <w:color w:val="auto"/>
              </w:rPr>
            </w:pPr>
            <w:r>
              <w:rPr>
                <w:rFonts w:ascii="Arial" w:cs="Arial" w:eastAsia="Arial" w:hAnsi="Arial"/>
                <w:sz w:val="16"/>
                <w:szCs w:val="16"/>
                <w:color w:val="auto"/>
              </w:rPr>
              <w:t>159,219</w:t>
            </w:r>
          </w:p>
        </w:tc>
      </w:tr>
      <w:tr>
        <w:trPr>
          <w:trHeight w:val="241"/>
        </w:trPr>
        <w:tc>
          <w:tcPr>
            <w:tcW w:w="4820" w:type="dxa"/>
            <w:vAlign w:val="bottom"/>
          </w:tcPr>
          <w:p>
            <w:pPr>
              <w:spacing w:after="0"/>
              <w:rPr>
                <w:sz w:val="20"/>
                <w:szCs w:val="20"/>
                <w:color w:val="auto"/>
              </w:rPr>
            </w:pPr>
          </w:p>
        </w:tc>
        <w:tc>
          <w:tcPr>
            <w:tcW w:w="1380" w:type="dxa"/>
            <w:vAlign w:val="bottom"/>
          </w:tcPr>
          <w:p>
            <w:pPr>
              <w:jc w:val="right"/>
              <w:ind w:right="42"/>
              <w:spacing w:after="0"/>
              <w:rPr>
                <w:sz w:val="20"/>
                <w:szCs w:val="20"/>
                <w:color w:val="auto"/>
              </w:rPr>
            </w:pPr>
            <w:r>
              <w:rPr>
                <w:rFonts w:ascii="Arial" w:cs="Arial" w:eastAsia="Arial" w:hAnsi="Arial"/>
                <w:sz w:val="16"/>
                <w:szCs w:val="16"/>
                <w:color w:val="auto"/>
              </w:rPr>
              <w:t>1,620,190</w:t>
            </w:r>
          </w:p>
        </w:tc>
        <w:tc>
          <w:tcPr>
            <w:tcW w:w="300" w:type="dxa"/>
            <w:vAlign w:val="bottom"/>
          </w:tcPr>
          <w:p>
            <w:pPr>
              <w:ind w:left="14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42"/>
              <w:spacing w:after="0"/>
              <w:rPr>
                <w:sz w:val="20"/>
                <w:szCs w:val="20"/>
                <w:color w:val="auto"/>
              </w:rPr>
            </w:pPr>
            <w:r>
              <w:rPr>
                <w:rFonts w:ascii="Arial" w:cs="Arial" w:eastAsia="Arial" w:hAnsi="Arial"/>
                <w:sz w:val="16"/>
                <w:szCs w:val="16"/>
                <w:color w:val="auto"/>
              </w:rPr>
              <w:t>719.32</w:t>
            </w:r>
          </w:p>
        </w:tc>
        <w:tc>
          <w:tcPr>
            <w:tcW w:w="1700" w:type="dxa"/>
            <w:vAlign w:val="bottom"/>
          </w:tcPr>
          <w:p>
            <w:pPr>
              <w:ind w:left="1440"/>
              <w:spacing w:after="0"/>
              <w:rPr>
                <w:sz w:val="20"/>
                <w:szCs w:val="20"/>
                <w:color w:val="auto"/>
              </w:rPr>
            </w:pPr>
            <w:r>
              <w:rPr>
                <w:rFonts w:ascii="Arial" w:cs="Arial" w:eastAsia="Arial" w:hAnsi="Arial"/>
                <w:sz w:val="16"/>
                <w:szCs w:val="16"/>
                <w:color w:val="auto"/>
              </w:rPr>
              <w:t>—</w:t>
            </w:r>
          </w:p>
        </w:tc>
        <w:tc>
          <w:tcPr>
            <w:tcW w:w="2260" w:type="dxa"/>
            <w:vAlign w:val="bottom"/>
          </w:tcPr>
          <w:p>
            <w:pPr>
              <w:spacing w:after="0"/>
              <w:rPr>
                <w:sz w:val="20"/>
                <w:szCs w:val="20"/>
                <w:color w:val="auto"/>
              </w:rPr>
            </w:pPr>
          </w:p>
        </w:tc>
      </w:tr>
    </w:tbl>
    <w:p>
      <w:pPr>
        <w:spacing w:after="0" w:line="146" w:lineRule="exact"/>
        <w:rPr>
          <w:sz w:val="20"/>
          <w:szCs w:val="20"/>
          <w:color w:val="auto"/>
        </w:rPr>
      </w:pPr>
    </w:p>
    <w:p>
      <w:pPr>
        <w:ind w:right="40" w:firstLine="8"/>
        <w:spacing w:after="0" w:line="251" w:lineRule="auto"/>
        <w:tabs>
          <w:tab w:leader="none" w:pos="108" w:val="left"/>
        </w:tabs>
        <w:numPr>
          <w:ilvl w:val="0"/>
          <w:numId w:val="11"/>
        </w:numPr>
        <w:rPr>
          <w:rFonts w:ascii="Arial" w:cs="Arial" w:eastAsia="Arial" w:hAnsi="Arial"/>
          <w:sz w:val="16"/>
          <w:szCs w:val="16"/>
          <w:color w:val="auto"/>
        </w:rPr>
      </w:pPr>
      <w:r>
        <w:rPr>
          <w:rFonts w:ascii="Arial" w:cs="Arial" w:eastAsia="Arial" w:hAnsi="Arial"/>
          <w:sz w:val="16"/>
          <w:szCs w:val="16"/>
          <w:color w:val="auto"/>
        </w:rPr>
        <w:t>On September 8, 2011, the Company’s Board of Directors authorized the Company to purchase, on the open market or otherwise, up to 750,000 shares of its Class B Common Stock. There is no expiration date for that authorization. All purchases made during the quarter ended June 30, 2014 were acquired as part of the exchange transaction with Berkshire Hathaway, which received separate authorization by the Company's Board of Directors.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60" w:right="23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color w:val="auto"/>
        </w:rPr>
        <w:t>Item 6. Exhibits.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ind w:left="280"/>
              <w:spacing w:after="0"/>
              <w:rPr>
                <w:sz w:val="20"/>
                <w:szCs w:val="20"/>
                <w:color w:val="auto"/>
              </w:rPr>
            </w:pPr>
            <w:r>
              <w:rPr>
                <w:rFonts w:ascii="Arial" w:cs="Arial" w:eastAsia="Arial" w:hAnsi="Arial"/>
                <w:sz w:val="14"/>
                <w:szCs w:val="14"/>
                <w:b w:val="1"/>
                <w:bCs w:val="1"/>
                <w:color w:val="auto"/>
              </w:rPr>
              <w:t>Exhibit</w:t>
            </w:r>
          </w:p>
        </w:tc>
        <w:tc>
          <w:tcPr>
            <w:tcW w:w="10500" w:type="dxa"/>
            <w:vAlign w:val="bottom"/>
            <w:vMerge w:val="restart"/>
          </w:tcPr>
          <w:p>
            <w:pPr>
              <w:ind w:left="484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203"/>
        </w:trPr>
        <w:tc>
          <w:tcPr>
            <w:tcW w:w="9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Number</w:t>
            </w:r>
          </w:p>
        </w:tc>
        <w:tc>
          <w:tcPr>
            <w:tcW w:w="105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6"/>
        </w:trPr>
        <w:tc>
          <w:tcPr>
            <w:tcW w:w="920" w:type="dxa"/>
            <w:vAlign w:val="bottom"/>
          </w:tcPr>
          <w:p>
            <w:pPr>
              <w:ind w:left="180"/>
              <w:spacing w:after="0"/>
              <w:rPr>
                <w:sz w:val="20"/>
                <w:szCs w:val="20"/>
                <w:color w:val="auto"/>
              </w:rPr>
            </w:pPr>
            <w:r>
              <w:rPr>
                <w:rFonts w:ascii="Arial" w:cs="Arial" w:eastAsia="Arial" w:hAnsi="Arial"/>
                <w:sz w:val="16"/>
                <w:szCs w:val="16"/>
                <w:color w:val="auto"/>
              </w:rPr>
              <w:t>3.1</w:t>
            </w:r>
          </w:p>
        </w:tc>
        <w:tc>
          <w:tcPr>
            <w:tcW w:w="10500" w:type="dxa"/>
            <w:vAlign w:val="bottom"/>
          </w:tcPr>
          <w:p>
            <w:pPr>
              <w:ind w:left="160"/>
              <w:spacing w:after="0"/>
              <w:rPr>
                <w:sz w:val="20"/>
                <w:szCs w:val="20"/>
                <w:color w:val="auto"/>
              </w:rPr>
            </w:pPr>
            <w:r>
              <w:rPr>
                <w:rFonts w:ascii="Arial" w:cs="Arial" w:eastAsia="Arial" w:hAnsi="Arial"/>
                <w:sz w:val="16"/>
                <w:szCs w:val="16"/>
                <w:color w:val="auto"/>
              </w:rPr>
              <w:t>Restated Certificate of Incorporation of the Company dated November 13, 2003 (incorporated by reference to Exhibit 3.1 to the Company’s</w:t>
            </w:r>
          </w:p>
        </w:tc>
        <w:tc>
          <w:tcPr>
            <w:tcW w:w="0" w:type="dxa"/>
            <w:vAlign w:val="bottom"/>
          </w:tcPr>
          <w:p>
            <w:pPr>
              <w:spacing w:after="0"/>
              <w:rPr>
                <w:sz w:val="1"/>
                <w:szCs w:val="1"/>
                <w:color w:val="auto"/>
              </w:rPr>
            </w:pPr>
          </w:p>
        </w:tc>
      </w:tr>
      <w:tr>
        <w:trPr>
          <w:trHeight w:val="219"/>
        </w:trPr>
        <w:tc>
          <w:tcPr>
            <w:tcW w:w="920" w:type="dxa"/>
            <w:vAlign w:val="bottom"/>
          </w:tcPr>
          <w:p>
            <w:pPr>
              <w:spacing w:after="0"/>
              <w:rPr>
                <w:sz w:val="19"/>
                <w:szCs w:val="19"/>
                <w:color w:val="auto"/>
              </w:rPr>
            </w:pPr>
          </w:p>
        </w:tc>
        <w:tc>
          <w:tcPr>
            <w:tcW w:w="10500" w:type="dxa"/>
            <w:vAlign w:val="bottom"/>
          </w:tcPr>
          <w:p>
            <w:pPr>
              <w:ind w:left="160"/>
              <w:spacing w:after="0"/>
              <w:rPr>
                <w:sz w:val="20"/>
                <w:szCs w:val="20"/>
                <w:color w:val="auto"/>
              </w:rPr>
            </w:pPr>
            <w:r>
              <w:rPr>
                <w:rFonts w:ascii="Arial" w:cs="Arial" w:eastAsia="Arial" w:hAnsi="Arial"/>
                <w:sz w:val="16"/>
                <w:szCs w:val="16"/>
                <w:color w:val="auto"/>
              </w:rPr>
              <w:t>Annual Report on Form 10-K for the fiscal year ended December 28, 2003).</w:t>
            </w:r>
          </w:p>
        </w:tc>
        <w:tc>
          <w:tcPr>
            <w:tcW w:w="0" w:type="dxa"/>
            <w:vAlign w:val="bottom"/>
          </w:tcPr>
          <w:p>
            <w:pPr>
              <w:spacing w:after="0"/>
              <w:rPr>
                <w:sz w:val="1"/>
                <w:szCs w:val="1"/>
                <w:color w:val="auto"/>
              </w:rPr>
            </w:pPr>
          </w:p>
        </w:tc>
      </w:tr>
      <w:tr>
        <w:trPr>
          <w:trHeight w:val="457"/>
        </w:trPr>
        <w:tc>
          <w:tcPr>
            <w:tcW w:w="920" w:type="dxa"/>
            <w:vAlign w:val="bottom"/>
          </w:tcPr>
          <w:p>
            <w:pPr>
              <w:ind w:left="180"/>
              <w:spacing w:after="0"/>
              <w:rPr>
                <w:sz w:val="20"/>
                <w:szCs w:val="20"/>
                <w:color w:val="auto"/>
              </w:rPr>
            </w:pPr>
            <w:r>
              <w:rPr>
                <w:rFonts w:ascii="Arial" w:cs="Arial" w:eastAsia="Arial" w:hAnsi="Arial"/>
                <w:sz w:val="16"/>
                <w:szCs w:val="16"/>
                <w:color w:val="auto"/>
              </w:rPr>
              <w:t>3.2</w:t>
            </w:r>
          </w:p>
        </w:tc>
        <w:tc>
          <w:tcPr>
            <w:tcW w:w="10500" w:type="dxa"/>
            <w:vAlign w:val="bottom"/>
          </w:tcPr>
          <w:p>
            <w:pPr>
              <w:ind w:left="160"/>
              <w:spacing w:after="0"/>
              <w:rPr>
                <w:sz w:val="20"/>
                <w:szCs w:val="20"/>
                <w:color w:val="auto"/>
              </w:rPr>
            </w:pPr>
            <w:r>
              <w:rPr>
                <w:rFonts w:ascii="Arial" w:cs="Arial" w:eastAsia="Arial" w:hAnsi="Arial"/>
                <w:sz w:val="16"/>
                <w:szCs w:val="16"/>
                <w:color w:val="auto"/>
              </w:rPr>
              <w:t>Certificate of Amendment, effective November 29, 2013, to the Restated Certificate of Incorporation of the Company (incorporated by reference</w:t>
            </w:r>
          </w:p>
        </w:tc>
        <w:tc>
          <w:tcPr>
            <w:tcW w:w="0" w:type="dxa"/>
            <w:vAlign w:val="bottom"/>
          </w:tcPr>
          <w:p>
            <w:pPr>
              <w:spacing w:after="0"/>
              <w:rPr>
                <w:sz w:val="1"/>
                <w:szCs w:val="1"/>
                <w:color w:val="auto"/>
              </w:rPr>
            </w:pPr>
          </w:p>
        </w:tc>
      </w:tr>
      <w:tr>
        <w:trPr>
          <w:trHeight w:val="219"/>
        </w:trPr>
        <w:tc>
          <w:tcPr>
            <w:tcW w:w="920" w:type="dxa"/>
            <w:vAlign w:val="bottom"/>
          </w:tcPr>
          <w:p>
            <w:pPr>
              <w:spacing w:after="0"/>
              <w:rPr>
                <w:sz w:val="19"/>
                <w:szCs w:val="19"/>
                <w:color w:val="auto"/>
              </w:rPr>
            </w:pPr>
          </w:p>
        </w:tc>
        <w:tc>
          <w:tcPr>
            <w:tcW w:w="10500" w:type="dxa"/>
            <w:vAlign w:val="bottom"/>
          </w:tcPr>
          <w:p>
            <w:pPr>
              <w:ind w:left="160"/>
              <w:spacing w:after="0"/>
              <w:rPr>
                <w:sz w:val="20"/>
                <w:szCs w:val="20"/>
                <w:color w:val="auto"/>
              </w:rPr>
            </w:pPr>
            <w:r>
              <w:rPr>
                <w:rFonts w:ascii="Arial" w:cs="Arial" w:eastAsia="Arial" w:hAnsi="Arial"/>
                <w:sz w:val="16"/>
                <w:szCs w:val="16"/>
                <w:color w:val="auto"/>
              </w:rPr>
              <w:t>to Exhibit 3.1 to the Company’s current Report on Form 8-K dated November 29, 2013).</w:t>
            </w:r>
          </w:p>
        </w:tc>
        <w:tc>
          <w:tcPr>
            <w:tcW w:w="0" w:type="dxa"/>
            <w:vAlign w:val="bottom"/>
          </w:tcPr>
          <w:p>
            <w:pPr>
              <w:spacing w:after="0"/>
              <w:rPr>
                <w:sz w:val="1"/>
                <w:szCs w:val="1"/>
                <w:color w:val="auto"/>
              </w:rPr>
            </w:pPr>
          </w:p>
        </w:tc>
      </w:tr>
      <w:tr>
        <w:trPr>
          <w:trHeight w:val="497"/>
        </w:trPr>
        <w:tc>
          <w:tcPr>
            <w:tcW w:w="920" w:type="dxa"/>
            <w:vAlign w:val="bottom"/>
          </w:tcPr>
          <w:p>
            <w:pPr>
              <w:ind w:left="180"/>
              <w:spacing w:after="0"/>
              <w:rPr>
                <w:sz w:val="20"/>
                <w:szCs w:val="20"/>
                <w:color w:val="auto"/>
              </w:rPr>
            </w:pPr>
            <w:r>
              <w:rPr>
                <w:rFonts w:ascii="Arial" w:cs="Arial" w:eastAsia="Arial" w:hAnsi="Arial"/>
                <w:sz w:val="16"/>
                <w:szCs w:val="16"/>
                <w:color w:val="auto"/>
              </w:rPr>
              <w:t>3.3</w:t>
            </w:r>
          </w:p>
        </w:tc>
        <w:tc>
          <w:tcPr>
            <w:tcW w:w="10500" w:type="dxa"/>
            <w:vAlign w:val="bottom"/>
          </w:tcPr>
          <w:p>
            <w:pPr>
              <w:ind w:left="160"/>
              <w:spacing w:after="0"/>
              <w:rPr>
                <w:sz w:val="20"/>
                <w:szCs w:val="20"/>
                <w:color w:val="auto"/>
              </w:rPr>
            </w:pPr>
            <w:r>
              <w:rPr>
                <w:rFonts w:ascii="Arial" w:cs="Arial" w:eastAsia="Arial" w:hAnsi="Arial"/>
                <w:sz w:val="16"/>
                <w:szCs w:val="16"/>
                <w:color w:val="auto"/>
              </w:rPr>
              <w:t>Certificate of Designation for the Company’s Series A Preferred Stock dated September 22, 2003 (incorporated by reference to Exhibit 3.2 to</w:t>
            </w:r>
          </w:p>
        </w:tc>
        <w:tc>
          <w:tcPr>
            <w:tcW w:w="0" w:type="dxa"/>
            <w:vAlign w:val="bottom"/>
          </w:tcPr>
          <w:p>
            <w:pPr>
              <w:spacing w:after="0"/>
              <w:rPr>
                <w:sz w:val="1"/>
                <w:szCs w:val="1"/>
                <w:color w:val="auto"/>
              </w:rPr>
            </w:pPr>
          </w:p>
        </w:tc>
      </w:tr>
      <w:tr>
        <w:trPr>
          <w:trHeight w:val="219"/>
        </w:trPr>
        <w:tc>
          <w:tcPr>
            <w:tcW w:w="920" w:type="dxa"/>
            <w:vAlign w:val="bottom"/>
          </w:tcPr>
          <w:p>
            <w:pPr>
              <w:spacing w:after="0"/>
              <w:rPr>
                <w:sz w:val="19"/>
                <w:szCs w:val="19"/>
                <w:color w:val="auto"/>
              </w:rPr>
            </w:pPr>
          </w:p>
        </w:tc>
        <w:tc>
          <w:tcPr>
            <w:tcW w:w="10500" w:type="dxa"/>
            <w:vAlign w:val="bottom"/>
          </w:tcPr>
          <w:p>
            <w:pPr>
              <w:ind w:left="160"/>
              <w:spacing w:after="0"/>
              <w:rPr>
                <w:sz w:val="20"/>
                <w:szCs w:val="20"/>
                <w:color w:val="auto"/>
              </w:rPr>
            </w:pPr>
            <w:r>
              <w:rPr>
                <w:rFonts w:ascii="Arial" w:cs="Arial" w:eastAsia="Arial" w:hAnsi="Arial"/>
                <w:sz w:val="16"/>
                <w:szCs w:val="16"/>
                <w:color w:val="auto"/>
              </w:rPr>
              <w:t>Amendment No. 1 to the Company’s Current Report on Form 8-K dated September 22, 2003).</w:t>
            </w:r>
          </w:p>
        </w:tc>
        <w:tc>
          <w:tcPr>
            <w:tcW w:w="0" w:type="dxa"/>
            <w:vAlign w:val="bottom"/>
          </w:tcPr>
          <w:p>
            <w:pPr>
              <w:spacing w:after="0"/>
              <w:rPr>
                <w:sz w:val="1"/>
                <w:szCs w:val="1"/>
                <w:color w:val="auto"/>
              </w:rPr>
            </w:pPr>
          </w:p>
        </w:tc>
      </w:tr>
      <w:tr>
        <w:trPr>
          <w:trHeight w:val="457"/>
        </w:trPr>
        <w:tc>
          <w:tcPr>
            <w:tcW w:w="920" w:type="dxa"/>
            <w:vAlign w:val="bottom"/>
          </w:tcPr>
          <w:p>
            <w:pPr>
              <w:ind w:left="180"/>
              <w:spacing w:after="0"/>
              <w:rPr>
                <w:sz w:val="20"/>
                <w:szCs w:val="20"/>
                <w:color w:val="auto"/>
              </w:rPr>
            </w:pPr>
            <w:r>
              <w:rPr>
                <w:rFonts w:ascii="Arial" w:cs="Arial" w:eastAsia="Arial" w:hAnsi="Arial"/>
                <w:sz w:val="16"/>
                <w:szCs w:val="16"/>
                <w:color w:val="auto"/>
              </w:rPr>
              <w:t>3.4</w:t>
            </w:r>
          </w:p>
        </w:tc>
        <w:tc>
          <w:tcPr>
            <w:tcW w:w="10500" w:type="dxa"/>
            <w:vAlign w:val="bottom"/>
          </w:tcPr>
          <w:p>
            <w:pPr>
              <w:ind w:left="160"/>
              <w:spacing w:after="0"/>
              <w:rPr>
                <w:sz w:val="20"/>
                <w:szCs w:val="20"/>
                <w:color w:val="auto"/>
              </w:rPr>
            </w:pPr>
            <w:r>
              <w:rPr>
                <w:rFonts w:ascii="Arial" w:cs="Arial" w:eastAsia="Arial" w:hAnsi="Arial"/>
                <w:sz w:val="16"/>
                <w:szCs w:val="16"/>
                <w:color w:val="auto"/>
              </w:rPr>
              <w:t>By-Laws of the Company as amended and restated through November 29, 2013 (incorporated by reference to Exhibit 3.2 to the Company’s</w:t>
            </w:r>
          </w:p>
        </w:tc>
        <w:tc>
          <w:tcPr>
            <w:tcW w:w="0" w:type="dxa"/>
            <w:vAlign w:val="bottom"/>
          </w:tcPr>
          <w:p>
            <w:pPr>
              <w:spacing w:after="0"/>
              <w:rPr>
                <w:sz w:val="1"/>
                <w:szCs w:val="1"/>
                <w:color w:val="auto"/>
              </w:rPr>
            </w:pPr>
          </w:p>
        </w:tc>
      </w:tr>
      <w:tr>
        <w:trPr>
          <w:trHeight w:val="219"/>
        </w:trPr>
        <w:tc>
          <w:tcPr>
            <w:tcW w:w="920" w:type="dxa"/>
            <w:vAlign w:val="bottom"/>
          </w:tcPr>
          <w:p>
            <w:pPr>
              <w:spacing w:after="0"/>
              <w:rPr>
                <w:sz w:val="19"/>
                <w:szCs w:val="19"/>
                <w:color w:val="auto"/>
              </w:rPr>
            </w:pPr>
          </w:p>
        </w:tc>
        <w:tc>
          <w:tcPr>
            <w:tcW w:w="10500" w:type="dxa"/>
            <w:vAlign w:val="bottom"/>
          </w:tcPr>
          <w:p>
            <w:pPr>
              <w:ind w:left="160"/>
              <w:spacing w:after="0"/>
              <w:rPr>
                <w:sz w:val="20"/>
                <w:szCs w:val="20"/>
                <w:color w:val="auto"/>
              </w:rPr>
            </w:pPr>
            <w:r>
              <w:rPr>
                <w:rFonts w:ascii="Arial" w:cs="Arial" w:eastAsia="Arial" w:hAnsi="Arial"/>
                <w:sz w:val="16"/>
                <w:szCs w:val="16"/>
                <w:color w:val="auto"/>
              </w:rPr>
              <w:t>Current Report on Form 8-K dated November 29, 2013).</w:t>
            </w:r>
          </w:p>
        </w:tc>
        <w:tc>
          <w:tcPr>
            <w:tcW w:w="0" w:type="dxa"/>
            <w:vAlign w:val="bottom"/>
          </w:tcPr>
          <w:p>
            <w:pPr>
              <w:spacing w:after="0"/>
              <w:rPr>
                <w:sz w:val="1"/>
                <w:szCs w:val="1"/>
                <w:color w:val="auto"/>
              </w:rPr>
            </w:pPr>
          </w:p>
        </w:tc>
      </w:tr>
      <w:tr>
        <w:trPr>
          <w:trHeight w:val="457"/>
        </w:trPr>
        <w:tc>
          <w:tcPr>
            <w:tcW w:w="920" w:type="dxa"/>
            <w:vAlign w:val="bottom"/>
          </w:tcPr>
          <w:p>
            <w:pPr>
              <w:ind w:left="180"/>
              <w:spacing w:after="0"/>
              <w:rPr>
                <w:sz w:val="20"/>
                <w:szCs w:val="20"/>
                <w:color w:val="auto"/>
              </w:rPr>
            </w:pPr>
            <w:r>
              <w:rPr>
                <w:rFonts w:ascii="Arial" w:cs="Arial" w:eastAsia="Arial" w:hAnsi="Arial"/>
                <w:sz w:val="16"/>
                <w:szCs w:val="16"/>
                <w:color w:val="auto"/>
              </w:rPr>
              <w:t>4.1</w:t>
            </w:r>
          </w:p>
        </w:tc>
        <w:tc>
          <w:tcPr>
            <w:tcW w:w="10500" w:type="dxa"/>
            <w:vAlign w:val="bottom"/>
          </w:tcPr>
          <w:p>
            <w:pPr>
              <w:ind w:left="160"/>
              <w:spacing w:after="0"/>
              <w:rPr>
                <w:sz w:val="20"/>
                <w:szCs w:val="20"/>
                <w:color w:val="auto"/>
              </w:rPr>
            </w:pPr>
            <w:r>
              <w:rPr>
                <w:rFonts w:ascii="Arial" w:cs="Arial" w:eastAsia="Arial" w:hAnsi="Arial"/>
                <w:sz w:val="16"/>
                <w:szCs w:val="16"/>
                <w:color w:val="auto"/>
              </w:rPr>
              <w:t>Second Supplemental Indenture dated January 30, 2009, between the Company and The Bank of New York Mellon Trust Company, N.A., as</w:t>
            </w:r>
          </w:p>
        </w:tc>
        <w:tc>
          <w:tcPr>
            <w:tcW w:w="0" w:type="dxa"/>
            <w:vAlign w:val="bottom"/>
          </w:tcPr>
          <w:p>
            <w:pPr>
              <w:spacing w:after="0"/>
              <w:rPr>
                <w:sz w:val="1"/>
                <w:szCs w:val="1"/>
                <w:color w:val="auto"/>
              </w:rPr>
            </w:pPr>
          </w:p>
        </w:tc>
      </w:tr>
      <w:tr>
        <w:trPr>
          <w:trHeight w:val="189"/>
        </w:trPr>
        <w:tc>
          <w:tcPr>
            <w:tcW w:w="920" w:type="dxa"/>
            <w:vAlign w:val="bottom"/>
          </w:tcPr>
          <w:p>
            <w:pPr>
              <w:spacing w:after="0"/>
              <w:rPr>
                <w:sz w:val="16"/>
                <w:szCs w:val="16"/>
                <w:color w:val="auto"/>
              </w:rPr>
            </w:pPr>
          </w:p>
        </w:tc>
        <w:tc>
          <w:tcPr>
            <w:tcW w:w="10500" w:type="dxa"/>
            <w:vAlign w:val="bottom"/>
          </w:tcPr>
          <w:p>
            <w:pPr>
              <w:ind w:left="160"/>
              <w:spacing w:after="0"/>
              <w:rPr>
                <w:sz w:val="20"/>
                <w:szCs w:val="20"/>
                <w:color w:val="auto"/>
              </w:rPr>
            </w:pPr>
            <w:r>
              <w:rPr>
                <w:rFonts w:ascii="Arial" w:cs="Arial" w:eastAsia="Arial" w:hAnsi="Arial"/>
                <w:sz w:val="16"/>
                <w:szCs w:val="16"/>
                <w:color w:val="auto"/>
              </w:rPr>
              <w:t>successor to The First National Bank of Chicago, as Trustee (incorporated by reference to Exhibit 10.2 to the Company’s Current Report on</w:t>
            </w:r>
          </w:p>
        </w:tc>
        <w:tc>
          <w:tcPr>
            <w:tcW w:w="0" w:type="dxa"/>
            <w:vAlign w:val="bottom"/>
          </w:tcPr>
          <w:p>
            <w:pPr>
              <w:spacing w:after="0"/>
              <w:rPr>
                <w:sz w:val="1"/>
                <w:szCs w:val="1"/>
                <w:color w:val="auto"/>
              </w:rPr>
            </w:pPr>
          </w:p>
        </w:tc>
      </w:tr>
      <w:tr>
        <w:trPr>
          <w:trHeight w:val="219"/>
        </w:trPr>
        <w:tc>
          <w:tcPr>
            <w:tcW w:w="920" w:type="dxa"/>
            <w:vAlign w:val="bottom"/>
          </w:tcPr>
          <w:p>
            <w:pPr>
              <w:spacing w:after="0"/>
              <w:rPr>
                <w:sz w:val="19"/>
                <w:szCs w:val="19"/>
                <w:color w:val="auto"/>
              </w:rPr>
            </w:pPr>
          </w:p>
        </w:tc>
        <w:tc>
          <w:tcPr>
            <w:tcW w:w="10500" w:type="dxa"/>
            <w:vAlign w:val="bottom"/>
          </w:tcPr>
          <w:p>
            <w:pPr>
              <w:ind w:left="160"/>
              <w:spacing w:after="0"/>
              <w:rPr>
                <w:sz w:val="20"/>
                <w:szCs w:val="20"/>
                <w:color w:val="auto"/>
              </w:rPr>
            </w:pPr>
            <w:r>
              <w:rPr>
                <w:rFonts w:ascii="Arial" w:cs="Arial" w:eastAsia="Arial" w:hAnsi="Arial"/>
                <w:sz w:val="16"/>
                <w:szCs w:val="16"/>
                <w:color w:val="auto"/>
              </w:rPr>
              <w:t>Form 8-K dated January 30, 2009).</w:t>
            </w:r>
          </w:p>
        </w:tc>
        <w:tc>
          <w:tcPr>
            <w:tcW w:w="0" w:type="dxa"/>
            <w:vAlign w:val="bottom"/>
          </w:tcPr>
          <w:p>
            <w:pPr>
              <w:spacing w:after="0"/>
              <w:rPr>
                <w:sz w:val="1"/>
                <w:szCs w:val="1"/>
                <w:color w:val="auto"/>
              </w:rPr>
            </w:pPr>
          </w:p>
        </w:tc>
      </w:tr>
      <w:tr>
        <w:trPr>
          <w:trHeight w:val="457"/>
        </w:trPr>
        <w:tc>
          <w:tcPr>
            <w:tcW w:w="920" w:type="dxa"/>
            <w:vAlign w:val="bottom"/>
          </w:tcPr>
          <w:p>
            <w:pPr>
              <w:ind w:left="180"/>
              <w:spacing w:after="0"/>
              <w:rPr>
                <w:sz w:val="20"/>
                <w:szCs w:val="20"/>
                <w:color w:val="auto"/>
              </w:rPr>
            </w:pPr>
            <w:r>
              <w:rPr>
                <w:rFonts w:ascii="Arial" w:cs="Arial" w:eastAsia="Arial" w:hAnsi="Arial"/>
                <w:sz w:val="16"/>
                <w:szCs w:val="16"/>
                <w:color w:val="auto"/>
              </w:rPr>
              <w:t>4.2</w:t>
            </w:r>
          </w:p>
        </w:tc>
        <w:tc>
          <w:tcPr>
            <w:tcW w:w="10500" w:type="dxa"/>
            <w:vAlign w:val="bottom"/>
          </w:tcPr>
          <w:p>
            <w:pPr>
              <w:ind w:left="160"/>
              <w:spacing w:after="0"/>
              <w:rPr>
                <w:sz w:val="20"/>
                <w:szCs w:val="20"/>
                <w:color w:val="auto"/>
              </w:rPr>
            </w:pPr>
            <w:r>
              <w:rPr>
                <w:rFonts w:ascii="Arial" w:cs="Arial" w:eastAsia="Arial" w:hAnsi="Arial"/>
                <w:sz w:val="16"/>
                <w:szCs w:val="16"/>
                <w:color w:val="auto"/>
              </w:rPr>
              <w:t>Four Year Credit Agreement, dated as of June 17, 2011, among the Company, JPMorgan Chase Bank, N.A., J.P. Morgan Australia Limited,</w:t>
            </w:r>
          </w:p>
        </w:tc>
        <w:tc>
          <w:tcPr>
            <w:tcW w:w="0" w:type="dxa"/>
            <w:vAlign w:val="bottom"/>
          </w:tcPr>
          <w:p>
            <w:pPr>
              <w:spacing w:after="0"/>
              <w:rPr>
                <w:sz w:val="1"/>
                <w:szCs w:val="1"/>
                <w:color w:val="auto"/>
              </w:rPr>
            </w:pPr>
          </w:p>
        </w:tc>
      </w:tr>
      <w:tr>
        <w:trPr>
          <w:trHeight w:val="189"/>
        </w:trPr>
        <w:tc>
          <w:tcPr>
            <w:tcW w:w="920" w:type="dxa"/>
            <w:vAlign w:val="bottom"/>
          </w:tcPr>
          <w:p>
            <w:pPr>
              <w:spacing w:after="0"/>
              <w:rPr>
                <w:sz w:val="16"/>
                <w:szCs w:val="16"/>
                <w:color w:val="auto"/>
              </w:rPr>
            </w:pPr>
          </w:p>
        </w:tc>
        <w:tc>
          <w:tcPr>
            <w:tcW w:w="10500" w:type="dxa"/>
            <w:vAlign w:val="bottom"/>
          </w:tcPr>
          <w:p>
            <w:pPr>
              <w:ind w:left="160"/>
              <w:spacing w:after="0"/>
              <w:rPr>
                <w:sz w:val="20"/>
                <w:szCs w:val="20"/>
                <w:color w:val="auto"/>
              </w:rPr>
            </w:pPr>
            <w:r>
              <w:rPr>
                <w:rFonts w:ascii="Arial" w:cs="Arial" w:eastAsia="Arial" w:hAnsi="Arial"/>
                <w:sz w:val="16"/>
                <w:szCs w:val="16"/>
                <w:color w:val="auto"/>
              </w:rPr>
              <w:t>Wells Fargo Bank, N.A., The Royal Bank of Scotland PLC, HSBC Bank USA, National Association, The Bank of New York Mellon, PNC Bank,</w:t>
            </w:r>
          </w:p>
        </w:tc>
        <w:tc>
          <w:tcPr>
            <w:tcW w:w="0" w:type="dxa"/>
            <w:vAlign w:val="bottom"/>
          </w:tcPr>
          <w:p>
            <w:pPr>
              <w:spacing w:after="0"/>
              <w:rPr>
                <w:sz w:val="1"/>
                <w:szCs w:val="1"/>
                <w:color w:val="auto"/>
              </w:rPr>
            </w:pPr>
          </w:p>
        </w:tc>
      </w:tr>
      <w:tr>
        <w:trPr>
          <w:trHeight w:val="189"/>
        </w:trPr>
        <w:tc>
          <w:tcPr>
            <w:tcW w:w="920" w:type="dxa"/>
            <w:vAlign w:val="bottom"/>
          </w:tcPr>
          <w:p>
            <w:pPr>
              <w:spacing w:after="0"/>
              <w:rPr>
                <w:sz w:val="16"/>
                <w:szCs w:val="16"/>
                <w:color w:val="auto"/>
              </w:rPr>
            </w:pPr>
          </w:p>
        </w:tc>
        <w:tc>
          <w:tcPr>
            <w:tcW w:w="10500" w:type="dxa"/>
            <w:vAlign w:val="bottom"/>
          </w:tcPr>
          <w:p>
            <w:pPr>
              <w:ind w:left="160"/>
              <w:spacing w:after="0"/>
              <w:rPr>
                <w:sz w:val="20"/>
                <w:szCs w:val="20"/>
                <w:color w:val="auto"/>
              </w:rPr>
            </w:pPr>
            <w:r>
              <w:rPr>
                <w:rFonts w:ascii="Arial" w:cs="Arial" w:eastAsia="Arial" w:hAnsi="Arial"/>
                <w:sz w:val="16"/>
                <w:szCs w:val="16"/>
                <w:color w:val="auto"/>
              </w:rPr>
              <w:t>National Association, Bank of America, N.A., Citibank, N.A. and The Northern Trust Company (incorporated by reference to Exhibit 10.1 to the</w:t>
            </w:r>
          </w:p>
        </w:tc>
        <w:tc>
          <w:tcPr>
            <w:tcW w:w="0" w:type="dxa"/>
            <w:vAlign w:val="bottom"/>
          </w:tcPr>
          <w:p>
            <w:pPr>
              <w:spacing w:after="0"/>
              <w:rPr>
                <w:sz w:val="1"/>
                <w:szCs w:val="1"/>
                <w:color w:val="auto"/>
              </w:rPr>
            </w:pPr>
          </w:p>
        </w:tc>
      </w:tr>
      <w:tr>
        <w:trPr>
          <w:trHeight w:val="219"/>
        </w:trPr>
        <w:tc>
          <w:tcPr>
            <w:tcW w:w="920" w:type="dxa"/>
            <w:vAlign w:val="bottom"/>
          </w:tcPr>
          <w:p>
            <w:pPr>
              <w:spacing w:after="0"/>
              <w:rPr>
                <w:sz w:val="19"/>
                <w:szCs w:val="19"/>
                <w:color w:val="auto"/>
              </w:rPr>
            </w:pPr>
          </w:p>
        </w:tc>
        <w:tc>
          <w:tcPr>
            <w:tcW w:w="10500" w:type="dxa"/>
            <w:vAlign w:val="bottom"/>
          </w:tcPr>
          <w:p>
            <w:pPr>
              <w:ind w:left="160"/>
              <w:spacing w:after="0"/>
              <w:rPr>
                <w:sz w:val="20"/>
                <w:szCs w:val="20"/>
                <w:color w:val="auto"/>
              </w:rPr>
            </w:pPr>
            <w:r>
              <w:rPr>
                <w:rFonts w:ascii="Arial" w:cs="Arial" w:eastAsia="Arial" w:hAnsi="Arial"/>
                <w:sz w:val="16"/>
                <w:szCs w:val="16"/>
                <w:color w:val="auto"/>
              </w:rPr>
              <w:t>Company’s Current Report on Form 8-K dated June 17, 2011).</w:t>
            </w:r>
          </w:p>
        </w:tc>
        <w:tc>
          <w:tcPr>
            <w:tcW w:w="0" w:type="dxa"/>
            <w:vAlign w:val="bottom"/>
          </w:tcPr>
          <w:p>
            <w:pPr>
              <w:spacing w:after="0"/>
              <w:rPr>
                <w:sz w:val="1"/>
                <w:szCs w:val="1"/>
                <w:color w:val="auto"/>
              </w:rPr>
            </w:pPr>
          </w:p>
        </w:tc>
      </w:tr>
      <w:tr>
        <w:trPr>
          <w:trHeight w:val="486"/>
        </w:trPr>
        <w:tc>
          <w:tcPr>
            <w:tcW w:w="920" w:type="dxa"/>
            <w:vAlign w:val="bottom"/>
          </w:tcPr>
          <w:p>
            <w:pPr>
              <w:ind w:left="180"/>
              <w:spacing w:after="0"/>
              <w:rPr>
                <w:sz w:val="20"/>
                <w:szCs w:val="20"/>
                <w:color w:val="auto"/>
              </w:rPr>
            </w:pPr>
            <w:r>
              <w:rPr>
                <w:rFonts w:ascii="Arial" w:cs="Arial" w:eastAsia="Arial" w:hAnsi="Arial"/>
                <w:sz w:val="16"/>
                <w:szCs w:val="16"/>
                <w:color w:val="auto"/>
              </w:rPr>
              <w:t>31.1</w:t>
            </w:r>
          </w:p>
        </w:tc>
        <w:tc>
          <w:tcPr>
            <w:tcW w:w="10500" w:type="dxa"/>
            <w:vAlign w:val="bottom"/>
          </w:tcPr>
          <w:p>
            <w:pPr>
              <w:ind w:left="160"/>
              <w:spacing w:after="0"/>
              <w:rPr>
                <w:sz w:val="20"/>
                <w:szCs w:val="20"/>
                <w:color w:val="auto"/>
              </w:rPr>
            </w:pPr>
            <w:r>
              <w:rPr>
                <w:rFonts w:ascii="Arial" w:cs="Arial" w:eastAsia="Arial" w:hAnsi="Arial"/>
                <w:sz w:val="16"/>
                <w:szCs w:val="16"/>
                <w:color w:val="auto"/>
              </w:rPr>
              <w:t>Rule 13a-14(a)/15d-14(a) Certification of the Chief Executive Officer.</w:t>
            </w:r>
          </w:p>
        </w:tc>
        <w:tc>
          <w:tcPr>
            <w:tcW w:w="0" w:type="dxa"/>
            <w:vAlign w:val="bottom"/>
          </w:tcPr>
          <w:p>
            <w:pPr>
              <w:spacing w:after="0"/>
              <w:rPr>
                <w:sz w:val="1"/>
                <w:szCs w:val="1"/>
                <w:color w:val="auto"/>
              </w:rPr>
            </w:pPr>
          </w:p>
        </w:tc>
      </w:tr>
      <w:tr>
        <w:trPr>
          <w:trHeight w:val="486"/>
        </w:trPr>
        <w:tc>
          <w:tcPr>
            <w:tcW w:w="920" w:type="dxa"/>
            <w:vAlign w:val="bottom"/>
          </w:tcPr>
          <w:p>
            <w:pPr>
              <w:ind w:left="180"/>
              <w:spacing w:after="0"/>
              <w:rPr>
                <w:sz w:val="20"/>
                <w:szCs w:val="20"/>
                <w:color w:val="auto"/>
              </w:rPr>
            </w:pPr>
            <w:r>
              <w:rPr>
                <w:rFonts w:ascii="Arial" w:cs="Arial" w:eastAsia="Arial" w:hAnsi="Arial"/>
                <w:sz w:val="16"/>
                <w:szCs w:val="16"/>
                <w:color w:val="auto"/>
              </w:rPr>
              <w:t>31.2</w:t>
            </w:r>
          </w:p>
        </w:tc>
        <w:tc>
          <w:tcPr>
            <w:tcW w:w="10500" w:type="dxa"/>
            <w:vAlign w:val="bottom"/>
          </w:tcPr>
          <w:p>
            <w:pPr>
              <w:ind w:left="160"/>
              <w:spacing w:after="0"/>
              <w:rPr>
                <w:sz w:val="20"/>
                <w:szCs w:val="20"/>
                <w:color w:val="auto"/>
              </w:rPr>
            </w:pPr>
            <w:r>
              <w:rPr>
                <w:rFonts w:ascii="Arial" w:cs="Arial" w:eastAsia="Arial" w:hAnsi="Arial"/>
                <w:sz w:val="16"/>
                <w:szCs w:val="16"/>
                <w:color w:val="auto"/>
              </w:rPr>
              <w:t>Rule 13a-14(a)/15d-14(a) Certification of the Chief Financial Officer.</w:t>
            </w:r>
          </w:p>
        </w:tc>
        <w:tc>
          <w:tcPr>
            <w:tcW w:w="0" w:type="dxa"/>
            <w:vAlign w:val="bottom"/>
          </w:tcPr>
          <w:p>
            <w:pPr>
              <w:spacing w:after="0"/>
              <w:rPr>
                <w:sz w:val="1"/>
                <w:szCs w:val="1"/>
                <w:color w:val="auto"/>
              </w:rPr>
            </w:pPr>
          </w:p>
        </w:tc>
      </w:tr>
      <w:tr>
        <w:trPr>
          <w:trHeight w:val="486"/>
        </w:trPr>
        <w:tc>
          <w:tcPr>
            <w:tcW w:w="920" w:type="dxa"/>
            <w:vAlign w:val="bottom"/>
          </w:tcPr>
          <w:p>
            <w:pPr>
              <w:ind w:left="180"/>
              <w:spacing w:after="0"/>
              <w:rPr>
                <w:sz w:val="20"/>
                <w:szCs w:val="20"/>
                <w:color w:val="auto"/>
              </w:rPr>
            </w:pPr>
            <w:r>
              <w:rPr>
                <w:rFonts w:ascii="Arial" w:cs="Arial" w:eastAsia="Arial" w:hAnsi="Arial"/>
                <w:sz w:val="16"/>
                <w:szCs w:val="16"/>
                <w:color w:val="auto"/>
              </w:rPr>
              <w:t>32</w:t>
            </w:r>
          </w:p>
        </w:tc>
        <w:tc>
          <w:tcPr>
            <w:tcW w:w="10500" w:type="dxa"/>
            <w:vAlign w:val="bottom"/>
          </w:tcPr>
          <w:p>
            <w:pPr>
              <w:ind w:left="160"/>
              <w:spacing w:after="0"/>
              <w:rPr>
                <w:sz w:val="20"/>
                <w:szCs w:val="20"/>
                <w:color w:val="auto"/>
              </w:rPr>
            </w:pPr>
            <w:r>
              <w:rPr>
                <w:rFonts w:ascii="Arial" w:cs="Arial" w:eastAsia="Arial" w:hAnsi="Arial"/>
                <w:sz w:val="16"/>
                <w:szCs w:val="16"/>
                <w:color w:val="auto"/>
              </w:rPr>
              <w:t>Section 1350 Certification of the Chief Executive Officer and the Chief Financial Officer.</w:t>
            </w: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1080" w:right="220" w:hanging="910"/>
        <w:spacing w:after="0" w:line="253" w:lineRule="auto"/>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following financial information from Graham Holdings Company Quarterly Report on Form 10-Q for the period ended June 30, 2014, formatted in Extensible Business Reporting Language (XBRL): (i) Condensed Consolidated Statements of Operations for the Three and Six Months Ended June 30, 2014 and 2013, (ii) Condensed Consolidated Statements of Comprehensive Income for the Three and Six Months Ended June 30, 2014 and 2013, (iii) Condensed Consolidated Balance Sheets as of June 30, 2014 and December 31, 2013, (iv) Condensed Consolidated Statements of Cash Flows for the Six Months Ended June 30, 2014 and 2013, and (v) Notes to Condensed Consolidated Financial Statements. Pursuant to Rule 406T of Regulation S-T, these interactive data files are deemed “furnished” and not “filed” or part of a registration statement or prospectus for purposes of Sections 11 or 12 of the Securities Act of 1933, are deemed “furnished” and not “filed” for purposes of Section 18 of the Securities Exchange Act of 1934, and otherwise are not subject to liability under these sections.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79" w:right="239" w:bottom="1440" w:gutter="0" w:footer="0" w:header="0"/>
        </w:sectPr>
      </w:pPr>
    </w:p>
    <w:bookmarkStart w:id="31" w:name="page32"/>
    <w:bookmarkEnd w:id="31"/>
    <w:p>
      <w:pPr>
        <w:jc w:val="center"/>
        <w:ind w:right="-299"/>
        <w:spacing w:after="0"/>
        <w:rPr>
          <w:sz w:val="20"/>
          <w:szCs w:val="20"/>
          <w:color w:val="auto"/>
        </w:rPr>
      </w:pPr>
      <w:r>
        <w:rPr>
          <w:rFonts w:ascii="Arial" w:cs="Arial" w:eastAsia="Arial" w:hAnsi="Arial"/>
          <w:sz w:val="22"/>
          <w:szCs w:val="22"/>
          <w:b w:val="1"/>
          <w:bCs w:val="1"/>
          <w:color w:val="auto"/>
        </w:rPr>
        <w:t>SIGNATURES</w:t>
      </w:r>
    </w:p>
    <w:p>
      <w:pPr>
        <w:spacing w:after="0" w:line="166"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1120"/>
          </w:cols>
          <w:pgMar w:left="240" w:top="738"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0"/>
        <w:spacing w:after="0"/>
        <w:rPr>
          <w:sz w:val="20"/>
          <w:szCs w:val="20"/>
          <w:color w:val="auto"/>
        </w:rPr>
      </w:pPr>
      <w:r>
        <w:rPr>
          <w:rFonts w:ascii="Arial" w:cs="Arial" w:eastAsia="Arial" w:hAnsi="Arial"/>
          <w:sz w:val="17"/>
          <w:szCs w:val="17"/>
          <w:color w:val="auto"/>
        </w:rPr>
        <w:t>Date: August 5,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0"/>
        <w:spacing w:after="0"/>
        <w:rPr>
          <w:sz w:val="20"/>
          <w:szCs w:val="20"/>
          <w:color w:val="auto"/>
        </w:rPr>
      </w:pPr>
      <w:r>
        <w:rPr>
          <w:rFonts w:ascii="Arial" w:cs="Arial" w:eastAsia="Arial" w:hAnsi="Arial"/>
          <w:sz w:val="17"/>
          <w:szCs w:val="17"/>
          <w:color w:val="auto"/>
        </w:rPr>
        <w:t>Date: August 5, 2014</w:t>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jc w:val="center"/>
        <w:ind w:left="-1459"/>
        <w:spacing w:after="0"/>
        <w:rPr>
          <w:sz w:val="20"/>
          <w:szCs w:val="20"/>
          <w:color w:val="auto"/>
        </w:rPr>
      </w:pPr>
      <w:r>
        <w:rPr>
          <w:rFonts w:ascii="Arial" w:cs="Arial" w:eastAsia="Arial" w:hAnsi="Arial"/>
          <w:sz w:val="17"/>
          <w:szCs w:val="17"/>
          <w:color w:val="auto"/>
        </w:rPr>
        <w:t>GRAHAM HOLDINGS COMPANY</w:t>
      </w:r>
    </w:p>
    <w:p>
      <w:pPr>
        <w:spacing w:after="0" w:line="61" w:lineRule="exact"/>
        <w:rPr>
          <w:sz w:val="20"/>
          <w:szCs w:val="20"/>
          <w:color w:val="auto"/>
        </w:rPr>
      </w:pPr>
    </w:p>
    <w:p>
      <w:pPr>
        <w:jc w:val="center"/>
        <w:ind w:left="-1459"/>
        <w:spacing w:after="0"/>
        <w:rPr>
          <w:sz w:val="20"/>
          <w:szCs w:val="20"/>
          <w:color w:val="auto"/>
        </w:rPr>
      </w:pPr>
      <w:r>
        <w:rPr>
          <w:rFonts w:ascii="Arial" w:cs="Arial" w:eastAsia="Arial" w:hAnsi="Arial"/>
          <w:sz w:val="18"/>
          <w:szCs w:val="18"/>
          <w:color w:val="auto"/>
        </w:rPr>
        <w:t>(Registrant)</w:t>
      </w:r>
    </w:p>
    <w:p>
      <w:pPr>
        <w:spacing w:after="0" w:line="374"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1075690</wp:posOffset>
            </wp:positionH>
            <wp:positionV relativeFrom="paragraph">
              <wp:posOffset>37465</wp:posOffset>
            </wp:positionV>
            <wp:extent cx="260731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64" w:lineRule="exact"/>
        <w:rPr>
          <w:sz w:val="20"/>
          <w:szCs w:val="20"/>
          <w:color w:val="auto"/>
        </w:rPr>
      </w:pPr>
    </w:p>
    <w:p>
      <w:pPr>
        <w:jc w:val="center"/>
        <w:ind w:left="-1459"/>
        <w:spacing w:after="0"/>
        <w:rPr>
          <w:sz w:val="20"/>
          <w:szCs w:val="20"/>
          <w:color w:val="auto"/>
        </w:rPr>
      </w:pPr>
      <w:r>
        <w:rPr>
          <w:rFonts w:ascii="Arial" w:cs="Arial" w:eastAsia="Arial" w:hAnsi="Arial"/>
          <w:sz w:val="14"/>
          <w:szCs w:val="14"/>
          <w:b w:val="1"/>
          <w:bCs w:val="1"/>
          <w:color w:val="auto"/>
        </w:rPr>
        <w:t>Donald E. Graham,</w:t>
      </w:r>
    </w:p>
    <w:p>
      <w:pPr>
        <w:spacing w:after="0" w:line="21" w:lineRule="exact"/>
        <w:rPr>
          <w:sz w:val="20"/>
          <w:szCs w:val="20"/>
          <w:color w:val="auto"/>
        </w:rPr>
      </w:pPr>
    </w:p>
    <w:p>
      <w:pPr>
        <w:jc w:val="center"/>
        <w:ind w:left="-1459"/>
        <w:spacing w:after="0"/>
        <w:rPr>
          <w:sz w:val="20"/>
          <w:szCs w:val="20"/>
          <w:color w:val="auto"/>
        </w:rPr>
      </w:pPr>
      <w:r>
        <w:rPr>
          <w:rFonts w:ascii="Arial" w:cs="Arial" w:eastAsia="Arial" w:hAnsi="Arial"/>
          <w:sz w:val="14"/>
          <w:szCs w:val="14"/>
          <w:b w:val="1"/>
          <w:bCs w:val="1"/>
          <w:color w:val="auto"/>
        </w:rPr>
        <w:t>Chairman &amp; Chief Executive Officer</w:t>
      </w:r>
    </w:p>
    <w:p>
      <w:pPr>
        <w:spacing w:after="0" w:line="1" w:lineRule="exact"/>
        <w:rPr>
          <w:sz w:val="20"/>
          <w:szCs w:val="20"/>
          <w:color w:val="auto"/>
        </w:rPr>
      </w:pPr>
    </w:p>
    <w:p>
      <w:pPr>
        <w:jc w:val="center"/>
        <w:ind w:left="-1459"/>
        <w:spacing w:after="0"/>
        <w:rPr>
          <w:sz w:val="20"/>
          <w:szCs w:val="20"/>
          <w:color w:val="auto"/>
        </w:rPr>
      </w:pPr>
      <w:r>
        <w:rPr>
          <w:rFonts w:ascii="Arial" w:cs="Arial" w:eastAsia="Arial" w:hAnsi="Arial"/>
          <w:sz w:val="14"/>
          <w:szCs w:val="14"/>
          <w:b w:val="1"/>
          <w:bCs w:val="1"/>
          <w:color w:val="auto"/>
        </w:rPr>
        <w:t>(Principal Executive Officer)</w:t>
      </w:r>
    </w:p>
    <w:p>
      <w:pPr>
        <w:spacing w:after="0" w:line="325" w:lineRule="exact"/>
        <w:rPr>
          <w:sz w:val="20"/>
          <w:szCs w:val="20"/>
          <w:color w:val="auto"/>
        </w:rPr>
      </w:pPr>
    </w:p>
    <w:p>
      <w:pPr>
        <w:jc w:val="center"/>
        <w:ind w:left="-1459"/>
        <w:spacing w:after="0"/>
        <w:rPr>
          <w:sz w:val="20"/>
          <w:szCs w:val="20"/>
          <w:color w:val="auto"/>
        </w:rPr>
      </w:pPr>
      <w:r>
        <w:rPr>
          <w:rFonts w:ascii="Arial" w:cs="Arial" w:eastAsia="Arial" w:hAnsi="Arial"/>
          <w:sz w:val="18"/>
          <w:szCs w:val="18"/>
          <w:color w:val="auto"/>
        </w:rPr>
        <w:t>/s/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1075690</wp:posOffset>
            </wp:positionH>
            <wp:positionV relativeFrom="paragraph">
              <wp:posOffset>28575</wp:posOffset>
            </wp:positionV>
            <wp:extent cx="260731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51" w:lineRule="exact"/>
        <w:rPr>
          <w:sz w:val="20"/>
          <w:szCs w:val="20"/>
          <w:color w:val="auto"/>
        </w:rPr>
      </w:pPr>
    </w:p>
    <w:p>
      <w:pPr>
        <w:jc w:val="center"/>
        <w:ind w:left="-1459"/>
        <w:spacing w:after="0"/>
        <w:rPr>
          <w:sz w:val="20"/>
          <w:szCs w:val="20"/>
          <w:color w:val="auto"/>
        </w:rPr>
      </w:pPr>
      <w:r>
        <w:rPr>
          <w:rFonts w:ascii="Arial" w:cs="Arial" w:eastAsia="Arial" w:hAnsi="Arial"/>
          <w:sz w:val="14"/>
          <w:szCs w:val="14"/>
          <w:b w:val="1"/>
          <w:bCs w:val="1"/>
          <w:color w:val="auto"/>
        </w:rPr>
        <w:t>Hal S. Jones,</w:t>
      </w:r>
    </w:p>
    <w:p>
      <w:pPr>
        <w:spacing w:after="0" w:line="21" w:lineRule="exact"/>
        <w:rPr>
          <w:sz w:val="20"/>
          <w:szCs w:val="20"/>
          <w:color w:val="auto"/>
        </w:rPr>
      </w:pPr>
    </w:p>
    <w:p>
      <w:pPr>
        <w:jc w:val="center"/>
        <w:ind w:left="-1459"/>
        <w:spacing w:after="0"/>
        <w:rPr>
          <w:sz w:val="20"/>
          <w:szCs w:val="20"/>
          <w:color w:val="auto"/>
        </w:rPr>
      </w:pPr>
      <w:r>
        <w:rPr>
          <w:rFonts w:ascii="Arial" w:cs="Arial" w:eastAsia="Arial" w:hAnsi="Arial"/>
          <w:sz w:val="14"/>
          <w:szCs w:val="14"/>
          <w:b w:val="1"/>
          <w:bCs w:val="1"/>
          <w:color w:val="auto"/>
        </w:rPr>
        <w:t>Senior Vice President-Finance</w:t>
      </w:r>
    </w:p>
    <w:p>
      <w:pPr>
        <w:spacing w:after="0" w:line="1" w:lineRule="exact"/>
        <w:rPr>
          <w:sz w:val="20"/>
          <w:szCs w:val="20"/>
          <w:color w:val="auto"/>
        </w:rPr>
      </w:pPr>
    </w:p>
    <w:p>
      <w:pPr>
        <w:jc w:val="center"/>
        <w:ind w:left="-1459"/>
        <w:spacing w:after="0"/>
        <w:rPr>
          <w:sz w:val="20"/>
          <w:szCs w:val="20"/>
          <w:color w:val="auto"/>
        </w:rPr>
      </w:pPr>
      <w:r>
        <w:rPr>
          <w:rFonts w:ascii="Arial" w:cs="Arial" w:eastAsia="Arial" w:hAnsi="Arial"/>
          <w:sz w:val="14"/>
          <w:szCs w:val="14"/>
          <w:b w:val="1"/>
          <w:bCs w:val="1"/>
          <w:color w:val="auto"/>
        </w:rPr>
        <w:t>(Principal Financial Officer)</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28</w:t>
      </w:r>
    </w:p>
    <w:p>
      <w:pPr>
        <w:sectPr>
          <w:pgSz w:w="11900" w:h="16838" w:orient="portrait"/>
          <w:cols w:equalWidth="0" w:num="2">
            <w:col w:w="4900" w:space="720"/>
            <w:col w:w="5500"/>
          </w:cols>
          <w:pgMar w:left="240" w:top="738" w:right="539" w:bottom="1440" w:gutter="0" w:footer="0" w:header="0"/>
          <w:type w:val="continuous"/>
        </w:sectPr>
      </w:pPr>
    </w:p>
    <w:bookmarkStart w:id="32" w:name="page33"/>
    <w:bookmarkEnd w:id="32"/>
    <w:p>
      <w:pPr>
        <w:jc w:val="right"/>
        <w:spacing w:after="0"/>
        <w:rPr>
          <w:sz w:val="20"/>
          <w:szCs w:val="20"/>
          <w:color w:val="auto"/>
        </w:rPr>
      </w:pPr>
      <w:r>
        <w:rPr>
          <w:rFonts w:ascii="Arial" w:cs="Arial" w:eastAsia="Arial" w:hAnsi="Arial"/>
          <w:sz w:val="18"/>
          <w:szCs w:val="18"/>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13a-14(a)/15d-14(a) CERTIFICATION OF THE CHIEF EXECUTIVE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I, Donald E. Graham, Chief Executive Officer (principal executive officer) of Graham Holdings Company (the “Registrant”), certify that:</w:t>
      </w:r>
    </w:p>
    <w:p>
      <w:pPr>
        <w:spacing w:after="0" w:line="171"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198" w:lineRule="exact"/>
        <w:rPr>
          <w:rFonts w:ascii="Arial" w:cs="Arial" w:eastAsia="Arial" w:hAnsi="Arial"/>
          <w:sz w:val="18"/>
          <w:szCs w:val="18"/>
          <w:color w:val="auto"/>
        </w:rPr>
      </w:pPr>
    </w:p>
    <w:p>
      <w:pPr>
        <w:ind w:left="340" w:right="580" w:hanging="8"/>
        <w:spacing w:after="0" w:line="318" w:lineRule="auto"/>
        <w:tabs>
          <w:tab w:leader="none" w:pos="814"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Arial" w:cs="Arial" w:eastAsia="Arial" w:hAnsi="Arial"/>
          <w:sz w:val="18"/>
          <w:szCs w:val="18"/>
          <w:color w:val="auto"/>
        </w:rPr>
      </w:pPr>
    </w:p>
    <w:p>
      <w:pPr>
        <w:ind w:left="340" w:right="140" w:hanging="8"/>
        <w:spacing w:after="0" w:line="339" w:lineRule="auto"/>
        <w:tabs>
          <w:tab w:leader="none" w:pos="814"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0" w:lineRule="exact"/>
        <w:rPr>
          <w:rFonts w:ascii="Arial" w:cs="Arial" w:eastAsia="Arial" w:hAnsi="Arial"/>
          <w:sz w:val="18"/>
          <w:szCs w:val="18"/>
          <w:color w:val="auto"/>
        </w:rPr>
      </w:pPr>
    </w:p>
    <w:p>
      <w:pPr>
        <w:ind w:left="340" w:right="80" w:hanging="8"/>
        <w:spacing w:after="0" w:line="315" w:lineRule="auto"/>
        <w:tabs>
          <w:tab w:leader="none" w:pos="814"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84" w:lineRule="exact"/>
        <w:rPr>
          <w:rFonts w:ascii="Arial" w:cs="Arial" w:eastAsia="Arial" w:hAnsi="Arial"/>
          <w:sz w:val="17"/>
          <w:szCs w:val="17"/>
          <w:color w:val="auto"/>
        </w:rPr>
      </w:pPr>
    </w:p>
    <w:p>
      <w:pPr>
        <w:jc w:val="both"/>
        <w:ind w:left="1300" w:right="180" w:hanging="320"/>
        <w:spacing w:after="0" w:line="271"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Arial" w:cs="Arial" w:eastAsia="Arial" w:hAnsi="Arial"/>
          <w:sz w:val="18"/>
          <w:szCs w:val="18"/>
          <w:color w:val="auto"/>
        </w:rPr>
      </w:pPr>
    </w:p>
    <w:p>
      <w:pPr>
        <w:ind w:left="1300" w:right="160" w:hanging="320"/>
        <w:spacing w:after="0" w:line="271"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9" w:lineRule="exact"/>
        <w:rPr>
          <w:rFonts w:ascii="Arial" w:cs="Arial" w:eastAsia="Arial" w:hAnsi="Arial"/>
          <w:sz w:val="18"/>
          <w:szCs w:val="18"/>
          <w:color w:val="auto"/>
        </w:rPr>
      </w:pPr>
    </w:p>
    <w:p>
      <w:pPr>
        <w:ind w:left="1300" w:right="40" w:hanging="320"/>
        <w:spacing w:after="0" w:line="271"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9" w:lineRule="exact"/>
        <w:rPr>
          <w:rFonts w:ascii="Arial" w:cs="Arial" w:eastAsia="Arial" w:hAnsi="Arial"/>
          <w:sz w:val="18"/>
          <w:szCs w:val="18"/>
          <w:color w:val="auto"/>
        </w:rPr>
      </w:pPr>
    </w:p>
    <w:p>
      <w:pPr>
        <w:ind w:left="1300" w:right="100" w:hanging="320"/>
        <w:spacing w:after="0" w:line="271"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rFonts w:ascii="Arial" w:cs="Arial" w:eastAsia="Arial" w:hAnsi="Arial"/>
          <w:sz w:val="18"/>
          <w:szCs w:val="18"/>
          <w:color w:val="auto"/>
        </w:rPr>
      </w:pPr>
    </w:p>
    <w:p>
      <w:pPr>
        <w:ind w:left="340" w:right="300" w:hanging="8"/>
        <w:spacing w:after="0" w:line="318" w:lineRule="auto"/>
        <w:tabs>
          <w:tab w:leader="none" w:pos="81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82" w:lineRule="exact"/>
        <w:rPr>
          <w:rFonts w:ascii="Arial" w:cs="Arial" w:eastAsia="Arial" w:hAnsi="Arial"/>
          <w:sz w:val="18"/>
          <w:szCs w:val="18"/>
          <w:color w:val="auto"/>
        </w:rPr>
      </w:pPr>
    </w:p>
    <w:p>
      <w:pPr>
        <w:jc w:val="both"/>
        <w:ind w:left="1300" w:right="100" w:hanging="320"/>
        <w:spacing w:after="0" w:line="271"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9" w:lineRule="exact"/>
        <w:rPr>
          <w:rFonts w:ascii="Arial" w:cs="Arial" w:eastAsia="Arial" w:hAnsi="Arial"/>
          <w:sz w:val="18"/>
          <w:szCs w:val="18"/>
          <w:color w:val="auto"/>
        </w:rPr>
      </w:pPr>
    </w:p>
    <w:p>
      <w:pPr>
        <w:ind w:left="1300" w:right="960" w:hanging="320"/>
        <w:spacing w:after="0" w:line="292"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16389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38935"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Donald E. Graham</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5, 2014</w:t>
      </w:r>
    </w:p>
    <w:p>
      <w:pPr>
        <w:sectPr>
          <w:pgSz w:w="11900" w:h="16838" w:orient="portrait"/>
          <w:cols w:equalWidth="0" w:num="1">
            <w:col w:w="11420"/>
          </w:cols>
          <w:pgMar w:left="240" w:top="603"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13a-14(a)/15d-14(a) CERTIFICATION OF THE CHIEF FINANCIAL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 Hal S. Jones, Senior Vice President-Finance (principal financial officer) of Graham Holdings Company (the “Registrant”), certify that:</w:t>
      </w:r>
    </w:p>
    <w:p>
      <w:pPr>
        <w:spacing w:after="0" w:line="225" w:lineRule="exact"/>
        <w:rPr>
          <w:sz w:val="20"/>
          <w:szCs w:val="20"/>
          <w:color w:val="auto"/>
        </w:rPr>
      </w:pPr>
    </w:p>
    <w:p>
      <w:pPr>
        <w:ind w:left="200" w:hanging="192"/>
        <w:spacing w:after="0"/>
        <w:tabs>
          <w:tab w:leader="none" w:pos="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225" w:lineRule="exact"/>
        <w:rPr>
          <w:rFonts w:ascii="Arial" w:cs="Arial" w:eastAsia="Arial" w:hAnsi="Arial"/>
          <w:sz w:val="18"/>
          <w:szCs w:val="18"/>
          <w:color w:val="auto"/>
        </w:rPr>
      </w:pPr>
    </w:p>
    <w:p>
      <w:pPr>
        <w:ind w:right="280" w:firstLine="8"/>
        <w:spacing w:after="0" w:line="271" w:lineRule="auto"/>
        <w:tabs>
          <w:tab w:leader="none" w:pos="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ind w:right="20" w:firstLine="8"/>
        <w:spacing w:after="0" w:line="292" w:lineRule="auto"/>
        <w:tabs>
          <w:tab w:leader="none" w:pos="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4" w:lineRule="exact"/>
        <w:rPr>
          <w:rFonts w:ascii="Arial" w:cs="Arial" w:eastAsia="Arial" w:hAnsi="Arial"/>
          <w:sz w:val="18"/>
          <w:szCs w:val="18"/>
          <w:color w:val="auto"/>
        </w:rPr>
      </w:pPr>
    </w:p>
    <w:p>
      <w:pPr>
        <w:ind w:right="40" w:firstLine="8"/>
        <w:spacing w:after="0" w:line="263" w:lineRule="auto"/>
        <w:tabs>
          <w:tab w:leader="none" w:pos="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8"/>
          <w:szCs w:val="18"/>
          <w:color w:val="auto"/>
        </w:rPr>
      </w:pPr>
      <w:r>
        <w:rPr>
          <w:rFonts w:ascii="Arial" w:cs="Arial" w:eastAsia="Arial" w:hAnsi="Arial"/>
          <w:sz w:val="18"/>
          <w:szCs w:val="18"/>
          <w:color w:val="auto"/>
        </w:rPr>
        <w:t>15d-15(f)) for the Registrant and have:</w:t>
      </w:r>
    </w:p>
    <w:p>
      <w:pPr>
        <w:spacing w:after="0" w:line="203" w:lineRule="exact"/>
        <w:rPr>
          <w:rFonts w:ascii="Arial" w:cs="Arial" w:eastAsia="Arial" w:hAnsi="Arial"/>
          <w:sz w:val="18"/>
          <w:szCs w:val="18"/>
          <w:color w:val="auto"/>
        </w:rPr>
      </w:pPr>
    </w:p>
    <w:p>
      <w:pPr>
        <w:ind w:left="820" w:hanging="407"/>
        <w:spacing w:after="0" w:line="271" w:lineRule="auto"/>
        <w:tabs>
          <w:tab w:leader="none" w:pos="835"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3" w:lineRule="exact"/>
        <w:rPr>
          <w:rFonts w:ascii="Arial" w:cs="Arial" w:eastAsia="Arial" w:hAnsi="Arial"/>
          <w:sz w:val="18"/>
          <w:szCs w:val="18"/>
          <w:color w:val="auto"/>
        </w:rPr>
      </w:pPr>
    </w:p>
    <w:p>
      <w:pPr>
        <w:ind w:left="820" w:right="140" w:hanging="407"/>
        <w:spacing w:after="0" w:line="271" w:lineRule="auto"/>
        <w:tabs>
          <w:tab w:leader="none" w:pos="835"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3" w:lineRule="exact"/>
        <w:rPr>
          <w:rFonts w:ascii="Arial" w:cs="Arial" w:eastAsia="Arial" w:hAnsi="Arial"/>
          <w:sz w:val="18"/>
          <w:szCs w:val="18"/>
          <w:color w:val="auto"/>
        </w:rPr>
      </w:pPr>
    </w:p>
    <w:p>
      <w:pPr>
        <w:ind w:left="820" w:right="20" w:hanging="407"/>
        <w:spacing w:after="0" w:line="271" w:lineRule="auto"/>
        <w:tabs>
          <w:tab w:leader="none" w:pos="825"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8"/>
          <w:szCs w:val="18"/>
          <w:color w:val="auto"/>
        </w:rPr>
      </w:pPr>
    </w:p>
    <w:p>
      <w:pPr>
        <w:ind w:left="820" w:right="240" w:hanging="407"/>
        <w:spacing w:after="0" w:line="271" w:lineRule="auto"/>
        <w:tabs>
          <w:tab w:leader="none" w:pos="835"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3" w:lineRule="exact"/>
        <w:rPr>
          <w:rFonts w:ascii="Arial" w:cs="Arial" w:eastAsia="Arial" w:hAnsi="Arial"/>
          <w:sz w:val="18"/>
          <w:szCs w:val="18"/>
          <w:color w:val="auto"/>
        </w:rPr>
      </w:pPr>
    </w:p>
    <w:p>
      <w:pPr>
        <w:ind w:right="80" w:firstLine="8"/>
        <w:spacing w:after="0" w:line="292" w:lineRule="auto"/>
        <w:tabs>
          <w:tab w:leader="none" w:pos="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4" w:lineRule="exact"/>
        <w:rPr>
          <w:rFonts w:ascii="Arial" w:cs="Arial" w:eastAsia="Arial" w:hAnsi="Arial"/>
          <w:sz w:val="18"/>
          <w:szCs w:val="18"/>
          <w:color w:val="auto"/>
        </w:rPr>
      </w:pPr>
    </w:p>
    <w:p>
      <w:pPr>
        <w:ind w:left="820" w:right="260" w:hanging="407"/>
        <w:spacing w:after="0" w:line="292" w:lineRule="auto"/>
        <w:tabs>
          <w:tab w:leader="none" w:pos="835"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4" w:lineRule="exact"/>
        <w:rPr>
          <w:rFonts w:ascii="Arial" w:cs="Arial" w:eastAsia="Arial" w:hAnsi="Arial"/>
          <w:sz w:val="18"/>
          <w:szCs w:val="18"/>
          <w:color w:val="auto"/>
        </w:rPr>
      </w:pPr>
    </w:p>
    <w:p>
      <w:pPr>
        <w:ind w:left="820" w:right="420" w:hanging="407"/>
        <w:spacing w:after="0" w:line="292" w:lineRule="auto"/>
        <w:tabs>
          <w:tab w:leader="none" w:pos="835"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146748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67485" cy="889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Hal S. Jones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5, 2014</w:t>
      </w:r>
    </w:p>
    <w:p>
      <w:pPr>
        <w:sectPr>
          <w:pgSz w:w="11900" w:h="16838" w:orient="portrait"/>
          <w:cols w:equalWidth="0" w:num="1">
            <w:col w:w="11420"/>
          </w:cols>
          <w:pgMar w:left="240" w:top="576"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 OF THE CHIEF EXECUTIVE OFFICER AND THE CHIEF FINANCIAL</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 OF THE SARBANES-OXLEY ACT OF 2002</w:t>
      </w:r>
    </w:p>
    <w:p>
      <w:pPr>
        <w:spacing w:after="0" w:line="149" w:lineRule="exact"/>
        <w:rPr>
          <w:sz w:val="20"/>
          <w:szCs w:val="20"/>
          <w:color w:val="auto"/>
        </w:rPr>
      </w:pPr>
    </w:p>
    <w:p>
      <w:pPr>
        <w:jc w:val="both"/>
        <w:ind w:right="80"/>
        <w:spacing w:after="0" w:line="271" w:lineRule="auto"/>
        <w:rPr>
          <w:sz w:val="20"/>
          <w:szCs w:val="20"/>
          <w:color w:val="auto"/>
        </w:rPr>
      </w:pPr>
      <w:r>
        <w:rPr>
          <w:rFonts w:ascii="Arial" w:cs="Arial" w:eastAsia="Arial" w:hAnsi="Arial"/>
          <w:sz w:val="18"/>
          <w:szCs w:val="18"/>
          <w:color w:val="auto"/>
        </w:rPr>
        <w:t>In connection with the Quarterly Report of Graham Holdings Company (the “Company”) on Form 10-Q for the period ended June 30, 2014 (the “Report”), Donald E. Graham, Chief Executive Officer of the Company and Hal S. Jones, Senior Vice President-Finance of the Company, each hereby certifies, pursuant to 18 U.S.C. Section 1350, as adopted pursuant to Section 906 of the Sarbanes-Oxley Act of 2002, that:</w:t>
      </w:r>
    </w:p>
    <w:p>
      <w:pPr>
        <w:spacing w:after="0" w:line="109"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340" w:right="520" w:hanging="332"/>
        <w:spacing w:after="0" w:line="292"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0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tab/>
        <w:t>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15436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Donald E. Graham</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5, 2014</w:t>
      </w:r>
    </w:p>
    <w:p>
      <w:pPr>
        <w:spacing w:after="0" w:line="36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/s/</w:t>
        <w:tab/>
        <w:t>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14992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99235"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Hal S. Jones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5, 2014</w:t>
      </w:r>
    </w:p>
    <w:sectPr>
      <w:pgSz w:w="11900" w:h="16838" w:orient="portrait"/>
      <w:cols w:equalWidth="0" w:num="1">
        <w:col w:w="11420"/>
      </w:cols>
      <w:pgMar w:left="240" w:top="60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lowerRoman"/>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0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2019-12-05T15:22:12Z</dcterms:created>
  <dcterms:modified xsi:type="dcterms:W3CDTF">2019-12-05T15:22:12Z</dcterms:modified>
</cp:coreProperties>
</file>