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jc w:val="center"/>
        <w:ind w:right="17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17)*</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Graham Holdings Company</w:t>
      </w:r>
    </w:p>
    <w:p>
      <w:pPr>
        <w:ind w:left="2120"/>
        <w:spacing w:after="0" w:line="238" w:lineRule="auto"/>
        <w:rPr>
          <w:sz w:val="20"/>
          <w:szCs w:val="20"/>
          <w:color w:val="auto"/>
        </w:rPr>
      </w:pPr>
      <w:r>
        <w:rPr>
          <w:rFonts w:ascii="Courier New" w:cs="Courier New" w:eastAsia="Courier New" w:hAnsi="Courier New"/>
          <w:sz w:val="18"/>
          <w:szCs w:val="18"/>
          <w:color w:val="auto"/>
        </w:rPr>
        <w:t>(formerly The Washington Post Company)</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799"/>
        <w:spacing w:after="0" w:line="238" w:lineRule="auto"/>
        <w:rPr>
          <w:sz w:val="20"/>
          <w:szCs w:val="20"/>
          <w:color w:val="auto"/>
        </w:rPr>
      </w:pPr>
      <w:r>
        <w:rPr>
          <w:rFonts w:ascii="Courier New" w:cs="Courier New" w:eastAsia="Courier New" w:hAnsi="Courier New"/>
          <w:sz w:val="18"/>
          <w:szCs w:val="18"/>
          <w:color w:val="auto"/>
        </w:rPr>
        <w:t>(Title of Class and Securities)</w:t>
      </w:r>
    </w:p>
    <w:p>
      <w:pPr>
        <w:spacing w:after="0" w:line="202"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384637104</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1"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2022</w:t>
      </w:r>
    </w:p>
    <w:p>
      <w:pPr>
        <w:ind w:left="1800"/>
        <w:spacing w:after="0" w:line="238" w:lineRule="auto"/>
        <w:rPr>
          <w:sz w:val="20"/>
          <w:szCs w:val="20"/>
          <w:color w:val="auto"/>
        </w:rPr>
      </w:pPr>
      <w:r>
        <w:rPr>
          <w:rFonts w:ascii="Courier New" w:cs="Courier New" w:eastAsia="Courier New" w:hAnsi="Courier New"/>
          <w:sz w:val="18"/>
          <w:szCs w:val="18"/>
          <w:color w:val="auto"/>
        </w:rPr>
        <w:t>___________________________________________</w:t>
      </w:r>
    </w:p>
    <w:p>
      <w:pPr>
        <w:jc w:val="center"/>
        <w:ind w:right="201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201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17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0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320" w:type="dxa"/>
            <w:vAlign w:val="bottom"/>
          </w:tcPr>
          <w:p>
            <w:pPr>
              <w:ind w:left="202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8"/>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line="238" w:lineRule="auto"/>
        <w:rPr>
          <w:sz w:val="20"/>
          <w:szCs w:val="20"/>
          <w:color w:val="auto"/>
        </w:rPr>
      </w:pPr>
      <w:r>
        <w:rPr>
          <w:rFonts w:ascii="Courier New" w:cs="Courier New" w:eastAsia="Courier New" w:hAnsi="Courier New"/>
          <w:sz w:val="18"/>
          <w:szCs w:val="18"/>
          <w:color w:val="auto"/>
        </w:rPr>
        <w:t>Tennessee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 (5)</w:t>
            </w:r>
          </w:p>
        </w:tc>
        <w:tc>
          <w:tcPr>
            <w:tcW w:w="3840" w:type="dxa"/>
            <w:vAlign w:val="bottom"/>
            <w:gridSpan w:val="2"/>
          </w:tcPr>
          <w:p>
            <w:pPr>
              <w:jc w:val="right"/>
              <w:ind w:right="1912"/>
              <w:spacing w:after="0"/>
              <w:rPr>
                <w:sz w:val="20"/>
                <w:szCs w:val="20"/>
                <w:color w:val="auto"/>
              </w:rPr>
            </w:pPr>
            <w:r>
              <w:rPr>
                <w:rFonts w:ascii="Courier New" w:cs="Courier New" w:eastAsia="Courier New" w:hAnsi="Courier New"/>
                <w:sz w:val="18"/>
                <w:szCs w:val="18"/>
                <w:color w:val="auto"/>
                <w:w w:val="99"/>
              </w:rPr>
              <w:t>SOLE VOTING POWER</w:t>
            </w:r>
          </w:p>
        </w:tc>
      </w:tr>
      <w:tr>
        <w:trPr>
          <w:trHeight w:val="202"/>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(Discretionary</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84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22,877 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2"/>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SHARED OR NO</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bl>
    <w:p>
      <w:pPr>
        <w:sectPr>
          <w:pgSz w:w="11900" w:h="16838" w:orient="portrait"/>
          <w:cols w:equalWidth="0" w:num="1">
            <w:col w:w="10139"/>
          </w:cols>
          <w:pgMar w:left="320" w:top="244" w:right="1440" w:bottom="0" w:gutter="0" w:footer="0" w:header="0"/>
        </w:sectPr>
      </w:pPr>
    </w:p>
    <w:bookmarkStart w:id="1" w:name="page2"/>
    <w:bookmarkEnd w:id="1"/>
    <w:p>
      <w:pPr>
        <w:ind w:left="4740"/>
        <w:spacing w:after="0"/>
        <w:rPr>
          <w:sz w:val="20"/>
          <w:szCs w:val="20"/>
          <w:color w:val="auto"/>
        </w:rPr>
      </w:pPr>
      <w:r>
        <w:rPr>
          <w:rFonts w:ascii="Courier New" w:cs="Courier New" w:eastAsia="Courier New" w:hAnsi="Courier New"/>
          <w:sz w:val="18"/>
          <w:szCs w:val="18"/>
          <w:color w:val="auto"/>
        </w:rPr>
        <w:t>92,856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 Vote)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1" w:lineRule="exact"/>
        <w:rPr>
          <w:sz w:val="20"/>
          <w:szCs w:val="20"/>
          <w:color w:val="auto"/>
        </w:rPr>
      </w:pPr>
    </w:p>
    <w:p>
      <w:pPr>
        <w:ind w:left="4220" w:right="3399" w:hanging="527"/>
        <w:spacing w:after="0" w:line="268" w:lineRule="auto"/>
        <w:tabs>
          <w:tab w:leader="none" w:pos="39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SOLE DISPOSITIVE POWER (Discretionary Accounts)</w:t>
      </w:r>
    </w:p>
    <w:p>
      <w:pPr>
        <w:ind w:left="4740" w:hanging="1047"/>
        <w:spacing w:after="0" w:line="238" w:lineRule="auto"/>
        <w:tabs>
          <w:tab w:leader="none" w:pos="4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22,877 shares</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7"/>
        <w:spacing w:after="0" w:line="238" w:lineRule="auto"/>
        <w:tabs>
          <w:tab w:leader="none" w:pos="3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740" w:hanging="1047"/>
        <w:spacing w:after="0"/>
        <w:tabs>
          <w:tab w:leader="none" w:pos="4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92,856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27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115,733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55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8"/>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1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2"/>
              </w:rPr>
              <w:t>: (5)</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2"/>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2"/>
              </w:rPr>
              <w:t>: (6)</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4220" w:hanging="527"/>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7"/>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7"/>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7"/>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7"/>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1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55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060" w:right="3499" w:hanging="526"/>
        <w:spacing w:after="0" w:line="235" w:lineRule="auto"/>
        <w:rPr>
          <w:sz w:val="20"/>
          <w:szCs w:val="20"/>
          <w:color w:val="auto"/>
        </w:rPr>
      </w:pPr>
      <w:r>
        <w:rPr>
          <w:rFonts w:ascii="Courier New" w:cs="Courier New" w:eastAsia="Courier New" w:hAnsi="Courier New"/>
          <w:sz w:val="18"/>
          <w:szCs w:val="18"/>
          <w:color w:val="auto"/>
        </w:rPr>
        <w:t>(a). Name of Issuer: Graham Holdings Company (formerly The Washington Post Company) ("Issuer")</w:t>
      </w:r>
    </w:p>
    <w:p>
      <w:pPr>
        <w:sectPr>
          <w:pgSz w:w="11900" w:h="16838" w:orient="portrait"/>
          <w:cols w:equalWidth="0" w:num="1">
            <w:col w:w="10139"/>
          </w:cols>
          <w:pgMar w:left="320" w:top="136"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1300 North 17th Street</w:t>
      </w:r>
    </w:p>
    <w:p>
      <w:pPr>
        <w:ind w:left="1060"/>
        <w:spacing w:after="0" w:line="238" w:lineRule="auto"/>
        <w:rPr>
          <w:sz w:val="20"/>
          <w:szCs w:val="20"/>
          <w:color w:val="auto"/>
        </w:rPr>
      </w:pPr>
      <w:r>
        <w:rPr>
          <w:rFonts w:ascii="Courier New" w:cs="Courier New" w:eastAsia="Courier New" w:hAnsi="Courier New"/>
          <w:sz w:val="18"/>
          <w:szCs w:val="18"/>
          <w:color w:val="auto"/>
        </w:rPr>
        <w:t>Arlington, Virginia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079" w:hanging="426"/>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580" w:right="4859" w:hanging="940"/>
        <w:spacing w:after="0" w:line="236"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8" w:lineRule="exact"/>
        <w:rPr>
          <w:rFonts w:ascii="Courier New" w:cs="Courier New" w:eastAsia="Courier New" w:hAnsi="Courier New"/>
          <w:sz w:val="18"/>
          <w:szCs w:val="18"/>
          <w:color w:val="auto"/>
        </w:rPr>
      </w:pPr>
    </w:p>
    <w:p>
      <w:pPr>
        <w:ind w:left="1580" w:right="4859" w:hanging="940"/>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 Chairman of the Board Southeastern Asset Management, Inc. 6410 Poplar Ave., Suite 900 Memphis, TN 38119</w:t>
      </w:r>
    </w:p>
    <w:p>
      <w:pPr>
        <w:spacing w:after="0" w:line="39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317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384637104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7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17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jc w:val="both"/>
        <w:ind w:left="960" w:right="2859" w:hanging="525"/>
        <w:spacing w:after="0" w:line="236" w:lineRule="auto"/>
        <w:rPr>
          <w:sz w:val="20"/>
          <w:szCs w:val="20"/>
          <w:color w:val="auto"/>
        </w:rPr>
      </w:pPr>
      <w:r>
        <w:rPr>
          <w:rFonts w:ascii="Courier New" w:cs="Courier New" w:eastAsia="Courier New" w:hAnsi="Courier New"/>
          <w:sz w:val="18"/>
          <w:szCs w:val="18"/>
          <w:color w:val="auto"/>
        </w:rPr>
        <w:t>(d). Investment Company registered under Sec. 8 of the Investment Company Act - Longleaf Partners Small-Cap Fund, a series of Longleaf Partners Funds Trust.</w:t>
      </w:r>
    </w:p>
    <w:p>
      <w:pPr>
        <w:spacing w:after="0" w:line="208" w:lineRule="exact"/>
        <w:rPr>
          <w:sz w:val="20"/>
          <w:szCs w:val="20"/>
          <w:color w:val="auto"/>
        </w:rPr>
      </w:pPr>
    </w:p>
    <w:p>
      <w:pPr>
        <w:ind w:left="960" w:right="2019" w:hanging="525"/>
        <w:spacing w:after="0" w:line="270" w:lineRule="auto"/>
        <w:rPr>
          <w:sz w:val="20"/>
          <w:szCs w:val="20"/>
          <w:color w:val="auto"/>
        </w:rPr>
      </w:pPr>
      <w:r>
        <w:rPr>
          <w:rFonts w:ascii="Courier New" w:cs="Courier New" w:eastAsia="Courier New" w:hAnsi="Courier New"/>
          <w:sz w:val="16"/>
          <w:szCs w:val="16"/>
          <w:color w:val="auto"/>
        </w:rPr>
        <w:t>(e). 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90" w:lineRule="exact"/>
        <w:rPr>
          <w:sz w:val="20"/>
          <w:szCs w:val="20"/>
          <w:color w:val="auto"/>
        </w:rPr>
      </w:pPr>
    </w:p>
    <w:p>
      <w:pPr>
        <w:ind w:left="960" w:right="2119" w:hanging="631"/>
        <w:spacing w:after="0" w:line="237" w:lineRule="auto"/>
        <w:tabs>
          <w:tab w:leader="none" w:pos="94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12/31/22)</w:t>
      </w:r>
    </w:p>
    <w:p>
      <w:pPr>
        <w:ind w:left="1060"/>
        <w:spacing w:after="0" w:line="238" w:lineRule="auto"/>
        <w:rPr>
          <w:sz w:val="20"/>
          <w:szCs w:val="20"/>
          <w:color w:val="auto"/>
        </w:rPr>
      </w:pPr>
      <w:r>
        <w:rPr>
          <w:rFonts w:ascii="Courier New" w:cs="Courier New" w:eastAsia="Courier New" w:hAnsi="Courier New"/>
          <w:sz w:val="18"/>
          <w:szCs w:val="18"/>
          <w:color w:val="auto"/>
        </w:rPr>
        <w:t>115,733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 (At 12/31/22)</w:t>
      </w:r>
    </w:p>
    <w:p>
      <w:pPr>
        <w:ind w:left="1060"/>
        <w:spacing w:after="0" w:line="238" w:lineRule="auto"/>
        <w:rPr>
          <w:sz w:val="20"/>
          <w:szCs w:val="20"/>
          <w:color w:val="auto"/>
        </w:rPr>
      </w:pPr>
      <w:r>
        <w:rPr>
          <w:rFonts w:ascii="Courier New" w:cs="Courier New" w:eastAsia="Courier New" w:hAnsi="Courier New"/>
          <w:sz w:val="18"/>
          <w:szCs w:val="18"/>
          <w:color w:val="auto"/>
        </w:rPr>
        <w:t>3.0 %</w:t>
      </w:r>
    </w:p>
    <w:p>
      <w:pPr>
        <w:spacing w:after="0" w:line="207" w:lineRule="exact"/>
        <w:rPr>
          <w:sz w:val="20"/>
          <w:szCs w:val="20"/>
          <w:color w:val="auto"/>
        </w:rPr>
      </w:pPr>
    </w:p>
    <w:p>
      <w:pPr>
        <w:ind w:left="1060" w:right="2439"/>
        <w:spacing w:after="0" w:line="235" w:lineRule="auto"/>
        <w:rPr>
          <w:sz w:val="20"/>
          <w:szCs w:val="20"/>
          <w:color w:val="auto"/>
        </w:rPr>
      </w:pPr>
      <w:r>
        <w:rPr>
          <w:rFonts w:ascii="Courier New" w:cs="Courier New" w:eastAsia="Courier New" w:hAnsi="Courier New"/>
          <w:sz w:val="18"/>
          <w:szCs w:val="18"/>
          <w:color w:val="auto"/>
        </w:rPr>
        <w:t>Above percentage is based on 3,837,643 shares of Class B Common Stock outstanding.</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22,877 shares</w:t>
      </w:r>
    </w:p>
    <w:p>
      <w:pPr>
        <w:sectPr>
          <w:pgSz w:w="11900" w:h="16838" w:orient="portrait"/>
          <w:cols w:equalWidth="0" w:num="1">
            <w:col w:w="10139"/>
          </w:cols>
          <w:pgMar w:left="320" w:top="339" w:right="1440" w:bottom="0" w:gutter="0" w:footer="0" w:header="0"/>
        </w:sectPr>
      </w:pPr>
    </w:p>
    <w:bookmarkStart w:id="3" w:name="page4"/>
    <w:bookmarkEnd w:id="3"/>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- 92,856 shares.</w:t>
      </w:r>
    </w:p>
    <w:p>
      <w:pPr>
        <w:spacing w:after="0" w:line="4" w:lineRule="exact"/>
        <w:rPr>
          <w:sz w:val="20"/>
          <w:szCs w:val="20"/>
          <w:color w:val="auto"/>
        </w:rPr>
      </w:pPr>
    </w:p>
    <w:p>
      <w:pPr>
        <w:ind w:left="1800" w:right="285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- 91,627 shares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Other Shared - 1,229</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- 0 shares</w:t>
      </w:r>
    </w:p>
    <w:p>
      <w:pPr>
        <w:spacing w:after="0" w:line="200" w:lineRule="exact"/>
        <w:rPr>
          <w:sz w:val="20"/>
          <w:szCs w:val="20"/>
          <w:color w:val="auto"/>
        </w:rPr>
      </w:pPr>
    </w:p>
    <w:p>
      <w:pPr>
        <w:spacing w:after="0" w:line="209" w:lineRule="exact"/>
        <w:rPr>
          <w:sz w:val="20"/>
          <w:szCs w:val="20"/>
          <w:color w:val="auto"/>
        </w:rPr>
      </w:pPr>
    </w:p>
    <w:p>
      <w:pPr>
        <w:ind w:left="1800" w:right="307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22,877 shares</w:t>
      </w:r>
    </w:p>
    <w:p>
      <w:pPr>
        <w:spacing w:after="0" w:line="207" w:lineRule="exact"/>
        <w:rPr>
          <w:sz w:val="20"/>
          <w:szCs w:val="20"/>
          <w:color w:val="auto"/>
        </w:rPr>
      </w:pPr>
    </w:p>
    <w:p>
      <w:pPr>
        <w:ind w:left="1800" w:right="349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- 92,856 shares</w:t>
      </w:r>
    </w:p>
    <w:p>
      <w:pPr>
        <w:spacing w:after="0" w:line="4" w:lineRule="exact"/>
        <w:rPr>
          <w:sz w:val="20"/>
          <w:szCs w:val="20"/>
          <w:color w:val="auto"/>
        </w:rPr>
      </w:pPr>
    </w:p>
    <w:p>
      <w:pPr>
        <w:ind w:left="1800" w:right="285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- 91,627 shares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Other shared - 1,229 shares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9" w:lineRule="exact"/>
        <w:rPr>
          <w:sz w:val="20"/>
          <w:szCs w:val="20"/>
          <w:color w:val="auto"/>
        </w:rPr>
      </w:pPr>
    </w:p>
    <w:p>
      <w:pPr>
        <w:jc w:val="right"/>
        <w:ind w:right="3279"/>
        <w:spacing w:after="0" w:line="290" w:lineRule="auto"/>
        <w:rPr>
          <w:sz w:val="20"/>
          <w:szCs w:val="20"/>
          <w:color w:val="auto"/>
        </w:rPr>
      </w:pPr>
      <w:r>
        <w:rPr>
          <w:rFonts w:ascii="Courier New" w:cs="Courier New" w:eastAsia="Courier New" w:hAnsi="Courier New"/>
          <w:sz w:val="16"/>
          <w:szCs w:val="16"/>
          <w:color w:val="auto"/>
        </w:rPr>
        <w:t>Item 5. Ownership of Five Percent or Less of a Class:  The filing parties no longer own 5% of the Securities of the Issuer.</w:t>
      </w:r>
    </w:p>
    <w:p>
      <w:pPr>
        <w:spacing w:after="0" w:line="372" w:lineRule="exact"/>
        <w:rPr>
          <w:sz w:val="20"/>
          <w:szCs w:val="20"/>
          <w:color w:val="auto"/>
        </w:rPr>
      </w:pPr>
    </w:p>
    <w:p>
      <w:pPr>
        <w:ind w:left="860" w:right="3399" w:hanging="841"/>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279" w:hanging="841"/>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59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2023</w:t>
      </w:r>
    </w:p>
    <w:p>
      <w:pPr>
        <w:sectPr>
          <w:pgSz w:w="11900" w:h="16838" w:orient="portrait"/>
          <w:cols w:equalWidth="0" w:num="1">
            <w:col w:w="10139"/>
          </w:cols>
          <w:pgMar w:left="320" w:top="339"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Southeastern Asset Management, Inc.</w:t>
      </w:r>
    </w:p>
    <w:p>
      <w:pPr>
        <w:sectPr>
          <w:pgSz w:w="11900" w:h="16838" w:orient="portrait"/>
          <w:cols w:equalWidth="0" w:num="1">
            <w:col w:w="10139"/>
          </w:cols>
          <w:pgMar w:left="320" w:top="339" w:right="1440" w:bottom="0" w:gutter="0" w:footer="0" w:header="0"/>
          <w:type w:val="continuous"/>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14, 2023.</w:t>
      </w: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WPO13G17.doc</w:t>
      </w:r>
    </w:p>
    <w:p>
      <w:pPr>
        <w:spacing w:after="0" w:line="238" w:lineRule="auto"/>
        <w:rPr>
          <w:sz w:val="20"/>
          <w:szCs w:val="20"/>
          <w:color w:val="auto"/>
        </w:rPr>
      </w:pPr>
      <w:r>
        <w:rPr>
          <w:rFonts w:ascii="Courier New" w:cs="Courier New" w:eastAsia="Courier New" w:hAnsi="Courier New"/>
          <w:sz w:val="18"/>
          <w:szCs w:val="18"/>
          <w:color w:val="auto"/>
        </w:rPr>
        <w:t>SCHEDULE 13G - Graham Holdings Company ("Issuer")</w:t>
      </w:r>
    </w:p>
    <w:p>
      <w:pPr>
        <w:spacing w:after="0"/>
        <w:rPr>
          <w:sz w:val="20"/>
          <w:szCs w:val="20"/>
          <w:color w:val="auto"/>
        </w:rPr>
      </w:pPr>
      <w:r>
        <w:rPr>
          <w:rFonts w:ascii="Courier New" w:cs="Courier New" w:eastAsia="Courier New" w:hAnsi="Courier New"/>
          <w:sz w:val="18"/>
          <w:szCs w:val="18"/>
          <w:color w:val="auto"/>
        </w:rPr>
        <w:t>Amendment #17</w:t>
      </w:r>
    </w:p>
    <w:p>
      <w:pPr>
        <w:spacing w:after="0" w:line="237" w:lineRule="auto"/>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WPO13G17.doc</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2023-02-14T13:41:30Z</dcterms:created>
  <dcterms:modified xsi:type="dcterms:W3CDTF">2023-02-14T13:41:30Z</dcterms:modified>
</cp:coreProperties>
</file>