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Washington, D.C. 20549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Graham Holdings Company</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(Exact Name of Registrant as specified in its charter)</w:t>
      </w:r>
    </w:p>
    <w:p>
      <w:pPr>
        <w:spacing w:after="0" w:line="200" w:lineRule="exact"/>
        <w:rPr>
          <w:sz w:val="24"/>
          <w:szCs w:val="24"/>
          <w:color w:val="auto"/>
        </w:rPr>
      </w:pP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1-6714</w:t>
            </w:r>
          </w:p>
        </w:tc>
        <w:tc>
          <w:tcPr>
            <w:tcW w:w="3520" w:type="dxa"/>
            <w:vAlign w:val="bottom"/>
          </w:tcPr>
          <w:p>
            <w:pPr>
              <w:jc w:val="right"/>
              <w:ind w:right="1230"/>
              <w:spacing w:after="0"/>
              <w:rPr>
                <w:sz w:val="20"/>
                <w:szCs w:val="20"/>
                <w:color w:val="auto"/>
              </w:rPr>
            </w:pPr>
            <w:r>
              <w:rPr>
                <w:rFonts w:ascii="Arial" w:cs="Arial" w:eastAsia="Arial" w:hAnsi="Arial"/>
                <w:sz w:val="18"/>
                <w:szCs w:val="18"/>
                <w:color w:val="auto"/>
              </w:rPr>
              <w:t>53-0182885</w:t>
            </w:r>
          </w:p>
        </w:tc>
      </w:tr>
      <w:tr>
        <w:trPr>
          <w:trHeight w:val="27"/>
        </w:trPr>
        <w:tc>
          <w:tcPr>
            <w:tcW w:w="42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(Commission</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567"/>
        </w:trPr>
        <w:tc>
          <w:tcPr>
            <w:tcW w:w="4240" w:type="dxa"/>
            <w:vAlign w:val="bottom"/>
          </w:tcPr>
          <w:p>
            <w:pPr>
              <w:jc w:val="center"/>
              <w:spacing w:after="0"/>
              <w:rPr>
                <w:sz w:val="20"/>
                <w:szCs w:val="20"/>
                <w:color w:val="auto"/>
              </w:rPr>
            </w:pPr>
            <w:r>
              <w:rPr>
                <w:rFonts w:ascii="Arial" w:cs="Arial" w:eastAsia="Arial" w:hAnsi="Arial"/>
                <w:sz w:val="18"/>
                <w:szCs w:val="18"/>
                <w:color w:val="auto"/>
                <w:w w:val="94"/>
              </w:rPr>
              <w:t>1300 North 17th St., Arlington, VA</w:t>
            </w:r>
          </w:p>
        </w:tc>
        <w:tc>
          <w:tcPr>
            <w:tcW w:w="3660" w:type="dxa"/>
            <w:vAlign w:val="bottom"/>
          </w:tcPr>
          <w:p>
            <w:pPr>
              <w:spacing w:after="0"/>
              <w:rPr>
                <w:sz w:val="24"/>
                <w:szCs w:val="24"/>
                <w:color w:val="auto"/>
              </w:rPr>
            </w:pPr>
          </w:p>
        </w:tc>
        <w:tc>
          <w:tcPr>
            <w:tcW w:w="3520" w:type="dxa"/>
            <w:vAlign w:val="bottom"/>
          </w:tcPr>
          <w:p>
            <w:pPr>
              <w:jc w:val="right"/>
              <w:ind w:right="1450"/>
              <w:spacing w:after="0"/>
              <w:rPr>
                <w:sz w:val="20"/>
                <w:szCs w:val="20"/>
                <w:color w:val="auto"/>
              </w:rPr>
            </w:pPr>
            <w:r>
              <w:rPr>
                <w:rFonts w:ascii="Arial" w:cs="Arial" w:eastAsia="Arial" w:hAnsi="Arial"/>
                <w:sz w:val="18"/>
                <w:szCs w:val="18"/>
                <w:color w:val="auto"/>
              </w:rPr>
              <w:t>22209</w:t>
            </w:r>
          </w:p>
        </w:tc>
      </w:tr>
      <w:tr>
        <w:trPr>
          <w:trHeight w:val="27"/>
        </w:trPr>
        <w:tc>
          <w:tcPr>
            <w:tcW w:w="424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(Zip code)</w:t>
            </w:r>
          </w:p>
        </w:tc>
      </w:tr>
    </w:tbl>
    <w:p>
      <w:pPr>
        <w:spacing w:after="0" w:line="33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Nicole Maddrey (703)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23241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43" w:lineRule="exact"/>
        <w:rPr>
          <w:sz w:val="24"/>
          <w:szCs w:val="24"/>
          <w:color w:val="auto"/>
        </w:rPr>
      </w:pPr>
    </w:p>
    <w:p>
      <w:pPr>
        <w:ind w:left="1880"/>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2015.</w:t>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 copy of our Conflict Minerals Report is filed as Exhibit 1.01 and is publicly available at http://www.ghco.com/phoenix.zhtml?c=62487&amp;p=irol-sec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Section 2 - Exhibits</w:t>
            </w:r>
          </w:p>
        </w:tc>
        <w:tc>
          <w:tcPr>
            <w:tcW w:w="2980" w:type="dxa"/>
            <w:vAlign w:val="bottom"/>
          </w:tcPr>
          <w:p>
            <w:pPr>
              <w:spacing w:after="0"/>
              <w:rPr>
                <w:sz w:val="20"/>
                <w:szCs w:val="20"/>
                <w:color w:val="auto"/>
              </w:rPr>
            </w:pPr>
          </w:p>
        </w:tc>
        <w:tc>
          <w:tcPr>
            <w:tcW w:w="6700" w:type="dxa"/>
            <w:vAlign w:val="bottom"/>
          </w:tcPr>
          <w:p>
            <w:pPr>
              <w:spacing w:after="0"/>
              <w:rPr>
                <w:sz w:val="20"/>
                <w:szCs w:val="20"/>
                <w:color w:val="auto"/>
              </w:rPr>
            </w:pPr>
          </w:p>
        </w:tc>
      </w:tr>
      <w:tr>
        <w:trPr>
          <w:trHeight w:val="432"/>
        </w:trPr>
        <w:tc>
          <w:tcPr>
            <w:tcW w:w="1740" w:type="dxa"/>
            <w:vAlign w:val="bottom"/>
          </w:tcPr>
          <w:p>
            <w:pPr>
              <w:spacing w:after="0"/>
              <w:rPr>
                <w:sz w:val="20"/>
                <w:szCs w:val="20"/>
                <w:color w:val="auto"/>
              </w:rPr>
            </w:pPr>
            <w:r>
              <w:rPr>
                <w:rFonts w:ascii="Arial" w:cs="Arial" w:eastAsia="Arial" w:hAnsi="Arial"/>
                <w:sz w:val="18"/>
                <w:szCs w:val="18"/>
                <w:b w:val="1"/>
                <w:bCs w:val="1"/>
                <w:color w:val="auto"/>
              </w:rPr>
              <w:t>Item 2.01 Exhibits</w:t>
            </w:r>
          </w:p>
        </w:tc>
        <w:tc>
          <w:tcPr>
            <w:tcW w:w="298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378"/>
        </w:trPr>
        <w:tc>
          <w:tcPr>
            <w:tcW w:w="1740" w:type="dxa"/>
            <w:vAlign w:val="bottom"/>
          </w:tcPr>
          <w:p>
            <w:pPr>
              <w:ind w:left="40"/>
              <w:spacing w:after="0"/>
              <w:rPr>
                <w:sz w:val="20"/>
                <w:szCs w:val="20"/>
                <w:color w:val="auto"/>
              </w:rPr>
            </w:pPr>
            <w:r>
              <w:rPr>
                <w:rFonts w:ascii="Arial" w:cs="Arial" w:eastAsia="Arial" w:hAnsi="Arial"/>
                <w:sz w:val="18"/>
                <w:szCs w:val="18"/>
                <w:color w:val="auto"/>
              </w:rPr>
              <w:t>Designation</w:t>
            </w:r>
          </w:p>
        </w:tc>
        <w:tc>
          <w:tcPr>
            <w:tcW w:w="2980" w:type="dxa"/>
            <w:vAlign w:val="bottom"/>
          </w:tcPr>
          <w:p>
            <w:pPr>
              <w:ind w:left="240"/>
              <w:spacing w:after="0"/>
              <w:rPr>
                <w:sz w:val="20"/>
                <w:szCs w:val="20"/>
                <w:color w:val="auto"/>
              </w:rPr>
            </w:pPr>
            <w:r>
              <w:rPr>
                <w:rFonts w:ascii="Arial" w:cs="Arial" w:eastAsia="Arial" w:hAnsi="Arial"/>
                <w:sz w:val="18"/>
                <w:szCs w:val="18"/>
                <w:color w:val="auto"/>
              </w:rPr>
              <w:t>Description</w:t>
            </w:r>
          </w:p>
        </w:tc>
        <w:tc>
          <w:tcPr>
            <w:tcW w:w="6700" w:type="dxa"/>
            <w:vAlign w:val="bottom"/>
          </w:tcPr>
          <w:p>
            <w:pPr>
              <w:ind w:left="920"/>
              <w:spacing w:after="0"/>
              <w:rPr>
                <w:sz w:val="20"/>
                <w:szCs w:val="20"/>
                <w:color w:val="auto"/>
              </w:rPr>
            </w:pPr>
            <w:r>
              <w:rPr>
                <w:rFonts w:ascii="Arial" w:cs="Arial" w:eastAsia="Arial" w:hAnsi="Arial"/>
                <w:sz w:val="18"/>
                <w:szCs w:val="18"/>
                <w:color w:val="auto"/>
              </w:rPr>
              <w:t>Method of Filing</w:t>
            </w:r>
          </w:p>
        </w:tc>
      </w:tr>
      <w:tr>
        <w:trPr>
          <w:trHeight w:val="27"/>
        </w:trPr>
        <w:tc>
          <w:tcPr>
            <w:tcW w:w="17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r>
      <w:tr>
        <w:trPr>
          <w:trHeight w:val="237"/>
        </w:trPr>
        <w:tc>
          <w:tcPr>
            <w:tcW w:w="1740" w:type="dxa"/>
            <w:vAlign w:val="bottom"/>
          </w:tcPr>
          <w:p>
            <w:pPr>
              <w:ind w:left="40"/>
              <w:spacing w:after="0"/>
              <w:rPr>
                <w:sz w:val="20"/>
                <w:szCs w:val="20"/>
                <w:color w:val="auto"/>
              </w:rPr>
            </w:pPr>
            <w:r>
              <w:rPr>
                <w:rFonts w:ascii="Arial" w:cs="Arial" w:eastAsia="Arial" w:hAnsi="Arial"/>
                <w:sz w:val="18"/>
                <w:szCs w:val="18"/>
                <w:color w:val="auto"/>
              </w:rPr>
              <w:t>Exhibit 1.01</w:t>
            </w:r>
          </w:p>
        </w:tc>
        <w:tc>
          <w:tcPr>
            <w:tcW w:w="2980" w:type="dxa"/>
            <w:vAlign w:val="bottom"/>
          </w:tcPr>
          <w:p>
            <w:pPr>
              <w:ind w:left="240"/>
              <w:spacing w:after="0"/>
              <w:rPr>
                <w:sz w:val="20"/>
                <w:szCs w:val="20"/>
                <w:color w:val="auto"/>
              </w:rPr>
            </w:pPr>
            <w:r>
              <w:rPr>
                <w:rFonts w:ascii="Arial" w:cs="Arial" w:eastAsia="Arial" w:hAnsi="Arial"/>
                <w:sz w:val="18"/>
                <w:szCs w:val="18"/>
                <w:color w:val="auto"/>
              </w:rPr>
              <w:t>Conflict Minerals Report</w:t>
            </w:r>
          </w:p>
        </w:tc>
        <w:tc>
          <w:tcPr>
            <w:tcW w:w="6700" w:type="dxa"/>
            <w:vAlign w:val="bottom"/>
          </w:tcPr>
          <w:p>
            <w:pPr>
              <w:ind w:left="920"/>
              <w:spacing w:after="0"/>
              <w:rPr>
                <w:sz w:val="20"/>
                <w:szCs w:val="20"/>
                <w:color w:val="auto"/>
              </w:rPr>
            </w:pPr>
            <w:r>
              <w:rPr>
                <w:rFonts w:ascii="Arial" w:cs="Arial" w:eastAsia="Arial" w:hAnsi="Arial"/>
                <w:sz w:val="18"/>
                <w:szCs w:val="18"/>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ind w:left="40"/>
              <w:spacing w:after="0"/>
              <w:rPr>
                <w:sz w:val="20"/>
                <w:szCs w:val="20"/>
                <w:color w:val="auto"/>
              </w:rPr>
            </w:pPr>
            <w:r>
              <w:rPr>
                <w:rFonts w:ascii="Arial" w:cs="Arial" w:eastAsia="Arial" w:hAnsi="Arial"/>
                <w:sz w:val="18"/>
                <w:szCs w:val="18"/>
                <w:color w:val="auto"/>
              </w:rPr>
              <w:t>/s/ Nicole Maddrey</w:t>
            </w:r>
          </w:p>
        </w:tc>
        <w:tc>
          <w:tcPr>
            <w:tcW w:w="3900" w:type="dxa"/>
            <w:vAlign w:val="bottom"/>
          </w:tcPr>
          <w:p>
            <w:pPr>
              <w:jc w:val="right"/>
              <w:ind w:right="970"/>
              <w:spacing w:after="0"/>
              <w:rPr>
                <w:sz w:val="20"/>
                <w:szCs w:val="20"/>
                <w:color w:val="auto"/>
              </w:rPr>
            </w:pPr>
            <w:r>
              <w:rPr>
                <w:rFonts w:ascii="Arial" w:cs="Arial" w:eastAsia="Arial" w:hAnsi="Arial"/>
                <w:sz w:val="18"/>
                <w:szCs w:val="18"/>
                <w:color w:val="auto"/>
              </w:rPr>
              <w:t>5/31/2016</w:t>
            </w:r>
          </w:p>
        </w:tc>
      </w:tr>
      <w:tr>
        <w:trPr>
          <w:trHeight w:val="27"/>
        </w:trPr>
        <w:tc>
          <w:tcPr>
            <w:tcW w:w="75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ind w:left="40"/>
              <w:spacing w:after="0"/>
              <w:rPr>
                <w:sz w:val="20"/>
                <w:szCs w:val="20"/>
                <w:color w:val="auto"/>
              </w:rPr>
            </w:pPr>
            <w:r>
              <w:rPr>
                <w:rFonts w:ascii="Arial" w:cs="Arial" w:eastAsia="Arial" w:hAnsi="Arial"/>
                <w:sz w:val="18"/>
                <w:szCs w:val="18"/>
                <w:color w:val="auto"/>
              </w:rPr>
              <w:t>By Nicole Maddrey, Senior Vice President, General Counsel and Secretary</w:t>
            </w:r>
          </w:p>
        </w:tc>
        <w:tc>
          <w:tcPr>
            <w:tcW w:w="3900" w:type="dxa"/>
            <w:vAlign w:val="bottom"/>
          </w:tcPr>
          <w:p>
            <w:pPr>
              <w:jc w:val="center"/>
              <w:ind w:left="950"/>
              <w:spacing w:after="0"/>
              <w:rPr>
                <w:sz w:val="20"/>
                <w:szCs w:val="20"/>
                <w:color w:val="auto"/>
              </w:rPr>
            </w:pPr>
            <w:r>
              <w:rPr>
                <w:rFonts w:ascii="Arial" w:cs="Arial" w:eastAsia="Arial" w:hAnsi="Arial"/>
                <w:sz w:val="18"/>
                <w:szCs w:val="18"/>
                <w:color w:val="auto"/>
                <w:w w:val="91"/>
              </w:rPr>
              <w:t>(Date)</w:t>
            </w:r>
          </w:p>
        </w:tc>
      </w:tr>
    </w:tbl>
    <w:p>
      <w:pPr>
        <w:sectPr>
          <w:pgSz w:w="11900" w:h="16838" w:orient="portrait"/>
          <w:cols w:equalWidth="0" w:num="1">
            <w:col w:w="11420"/>
          </w:cols>
          <w:pgMar w:left="240" w:top="10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Exhibit 1.01 - Graham Holdings Company Conflict Minerals Report</w:t>
      </w:r>
    </w:p>
    <w:p>
      <w:pPr>
        <w:spacing w:after="0" w:line="22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rFonts w:ascii="Arial" w:cs="Arial" w:eastAsia="Arial" w:hAnsi="Arial"/>
          <w:sz w:val="18"/>
          <w:szCs w:val="18"/>
          <w:b w:val="1"/>
          <w:bCs w:val="1"/>
          <w:color w:val="auto"/>
        </w:rPr>
      </w:pPr>
    </w:p>
    <w:p>
      <w:pPr>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Dodd-Frank Wall Street Reform and Consumer Protection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we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177"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Company and Products Overview</w:t>
      </w:r>
    </w:p>
    <w:p>
      <w:pPr>
        <w:spacing w:after="0" w:line="229" w:lineRule="exact"/>
        <w:rPr>
          <w:rFonts w:ascii="Arial" w:cs="Arial" w:eastAsia="Arial" w:hAnsi="Arial"/>
          <w:sz w:val="18"/>
          <w:szCs w:val="18"/>
          <w:b w:val="1"/>
          <w:bCs w:val="1"/>
          <w:color w:val="auto"/>
        </w:rPr>
      </w:pPr>
    </w:p>
    <w:p>
      <w:pPr>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This Conflict Minerals Report (the “Report”) for the year ended December 31, 2015 is presented by Graham Holdings Company (the “Company”) to comply with Rule 13p-1 under the Securities Exchange Act of 1934 (the “Conflict Minerals Rule”). The Company is a diversified education and media company, whose principal operations include educational services, television broadcasting, and online, print and local TV news. The Company also owns a social marketing solutions company, health care providers and manufacturing companies, including Forney Corporation (“Forney”). The Company has reviewed its operations to determine which parts of its business may be subject to the disclosure requirements of the Conflicts Minerals Rule. The Company did not include products that were not entered into the stream of commerce in the calendar year ended December 31, 2015, or products manufactured or contracted to be manufactured by entities acquired by the Company after April 2014. The Company acquired Forney from Kiddie Fire Protection, Inc., part of the UTC Climate Controls &amp; Security Unit of United Technologies Corporation, on August 1, 2013. Forney is a global supplier of products and systems that control and monitor combustion processes in electric utility and industrial applications. As used in this Report, the words “we” and “our” refer to the Company.</w:t>
      </w:r>
    </w:p>
    <w:p>
      <w:pPr>
        <w:spacing w:after="0" w:line="177" w:lineRule="exact"/>
        <w:rPr>
          <w:rFonts w:ascii="Arial" w:cs="Arial" w:eastAsia="Arial" w:hAnsi="Arial"/>
          <w:sz w:val="18"/>
          <w:szCs w:val="18"/>
          <w:b w:val="1"/>
          <w:bCs w:val="1"/>
          <w:color w:val="auto"/>
        </w:rPr>
      </w:pPr>
    </w:p>
    <w:p>
      <w:pPr>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Forney manufactures products that contain small amounts of Conflict Minerals. Forney’s products that contain gold and tin are Printed Circuit Boards (“PCBs”) and connectors; Forney’s products that contain tantalum are capacitors; Forney’s products that contain Tungsten are electrical materials such as resistors. These products incorporate generic components obtained from other companies that contain tin, tantalum and gold. The Conflict Minerals in the generic components are necessary to the functionality of Forney’s products. These generic components are purchased from manufacturers and distributors. Forney does not purchase any Conflict Minerals directly from mines, smelters or refiners.</w:t>
      </w:r>
    </w:p>
    <w:p>
      <w:pPr>
        <w:spacing w:after="0" w:line="168"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Supply Chain Overview</w:t>
      </w:r>
    </w:p>
    <w:p>
      <w:pPr>
        <w:spacing w:after="0" w:line="229" w:lineRule="exact"/>
        <w:rPr>
          <w:sz w:val="20"/>
          <w:szCs w:val="20"/>
          <w:color w:val="auto"/>
        </w:rPr>
      </w:pPr>
    </w:p>
    <w:p>
      <w:pPr>
        <w:ind w:left="340" w:right="40"/>
        <w:spacing w:after="0" w:line="312" w:lineRule="auto"/>
        <w:rPr>
          <w:sz w:val="20"/>
          <w:szCs w:val="20"/>
          <w:color w:val="auto"/>
        </w:rPr>
      </w:pPr>
      <w:r>
        <w:rPr>
          <w:rFonts w:ascii="Arial" w:cs="Arial" w:eastAsia="Arial" w:hAnsi="Arial"/>
          <w:sz w:val="16"/>
          <w:szCs w:val="16"/>
          <w:color w:val="auto"/>
        </w:rPr>
        <w:t>Because Forney does not purchase 3TG directly from any mine, refiner or smelter, it is in a “downstream” position in the supply chain, that is, downstream in the supply chain from smelters to refiners to retailers. As such, Forney relies on its direct suppliers and distributors to provide information on the origin of the 3TG contained in components supplied to Forney, including sources of 3TG that are supplied to them from lower tier suppliers.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3.1 Conflict Minerals Policy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 xml:space="preserve">Forney adopted the following Conflict Minerals Policy that is available on Forney’s </w:t>
      </w:r>
      <w:r>
        <w:rPr>
          <w:rFonts w:ascii="Arial" w:cs="Arial" w:eastAsia="Arial" w:hAnsi="Arial"/>
          <w:sz w:val="16"/>
          <w:szCs w:val="16"/>
          <w:color w:val="000000"/>
        </w:rPr>
        <w:t>website at</w:t>
      </w:r>
      <w:r>
        <w:rPr>
          <w:rFonts w:ascii="Arial" w:cs="Arial" w:eastAsia="Arial" w:hAnsi="Arial"/>
          <w:sz w:val="16"/>
          <w:szCs w:val="16"/>
          <w:color w:val="333333"/>
        </w:rPr>
        <w:t xml:space="preserve"> </w:t>
      </w:r>
      <w:r>
        <w:rPr>
          <w:rFonts w:ascii="Arial" w:cs="Arial" w:eastAsia="Arial" w:hAnsi="Arial"/>
          <w:sz w:val="16"/>
          <w:szCs w:val="16"/>
          <w:u w:val="single" w:color="auto"/>
          <w:color w:val="000000"/>
        </w:rPr>
        <w:t>http://www.forneycorp.com/conflict-minerals-policy/</w:t>
      </w:r>
      <w:r>
        <w:rPr>
          <w:rFonts w:ascii="Arial" w:cs="Arial" w:eastAsia="Arial" w:hAnsi="Arial"/>
          <w:sz w:val="16"/>
          <w:szCs w:val="16"/>
          <w:color w:val="000000"/>
        </w:rPr>
        <w:t>:</w:t>
      </w:r>
    </w:p>
    <w:p>
      <w:pPr>
        <w:spacing w:after="0" w:line="248"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color w:val="333333"/>
        </w:rPr>
        <w:t xml:space="preserve">Under the Dodd-Frank Act of 2010, public companies are required to disclose measures they have taken to identify the source of “conflict minerals” in the products they manufacture or contract to manufacture (the “Conflicts Minerals Rule”). These “conflict minerals” are the source of financing for armed conflicts in the Democratic Republic of the Congo (the “DRC”) and adjoining countries. The Conflict Minerals Rule is intended to reduce a </w:t>
      </w:r>
      <w:r>
        <w:rPr>
          <w:rFonts w:ascii="Arial" w:cs="Arial" w:eastAsia="Arial" w:hAnsi="Arial"/>
          <w:sz w:val="16"/>
          <w:szCs w:val="16"/>
          <w:color w:val="000000"/>
        </w:rPr>
        <w:t>significant</w:t>
      </w:r>
      <w:r>
        <w:rPr>
          <w:rFonts w:ascii="Arial" w:cs="Arial" w:eastAsia="Arial" w:hAnsi="Arial"/>
          <w:sz w:val="16"/>
          <w:szCs w:val="16"/>
          <w:color w:val="333333"/>
        </w:rPr>
        <w:t xml:space="preserve"> source of funding for armed groups that are committing human rights abuses in the DRC and adjoining countries.</w:t>
      </w:r>
    </w:p>
    <w:p>
      <w:pPr>
        <w:spacing w:after="0" w:line="15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333333"/>
        </w:rPr>
        <w:t>“Conflict minerals” are four specific minerals and their derivatives: columbite-tantalite (the metal ore from which tantalum is extracted), casseriterite (the metal ore from which tin is extracted), wolframite (the metal ore from which tungsten is extracted), and gold.</w:t>
      </w:r>
    </w:p>
    <w:p>
      <w:pPr>
        <w:sectPr>
          <w:pgSz w:w="11900" w:h="16838" w:orient="portrait"/>
          <w:cols w:equalWidth="0" w:num="1">
            <w:col w:w="11420"/>
          </w:cols>
          <w:pgMar w:left="240" w:top="580" w:right="239" w:bottom="1440" w:gutter="0" w:footer="0" w:header="0"/>
        </w:sectPr>
      </w:pPr>
    </w:p>
    <w:bookmarkStart w:id="3" w:name="page4"/>
    <w:bookmarkEnd w:id="3"/>
    <w:p>
      <w:pPr>
        <w:ind w:left="652"/>
        <w:spacing w:after="0" w:line="302" w:lineRule="auto"/>
        <w:rPr>
          <w:sz w:val="20"/>
          <w:szCs w:val="20"/>
          <w:color w:val="auto"/>
        </w:rPr>
      </w:pPr>
      <w:r>
        <w:rPr>
          <w:rFonts w:ascii="Arial" w:cs="Arial" w:eastAsia="Arial" w:hAnsi="Arial"/>
          <w:sz w:val="16"/>
          <w:szCs w:val="16"/>
          <w:color w:val="333333"/>
        </w:rPr>
        <w:t>We are committed to the responsible sourcing of “conflict minerals” throughout our supply chain for products that we manufacture that contain these minerals. To that end, we are putting policies and systems in place to reduce the risk that the minerals used in any of our products originate from conflict mines in the DRC. We are committed to strengthening our efforts to ensure that we refrain from, directly or indirectly, taking or supporting any action that contributes to the financing of armed groups that are committing human rights abuses in the DRC and other covered countries.</w:t>
      </w:r>
    </w:p>
    <w:p>
      <w:pPr>
        <w:spacing w:after="0" w:line="154" w:lineRule="exact"/>
        <w:rPr>
          <w:sz w:val="20"/>
          <w:szCs w:val="20"/>
          <w:color w:val="auto"/>
        </w:rPr>
      </w:pPr>
    </w:p>
    <w:p>
      <w:pPr>
        <w:ind w:left="652" w:right="160"/>
        <w:spacing w:after="0" w:line="264" w:lineRule="auto"/>
        <w:rPr>
          <w:sz w:val="20"/>
          <w:szCs w:val="20"/>
          <w:color w:val="auto"/>
        </w:rPr>
      </w:pPr>
      <w:r>
        <w:rPr>
          <w:rFonts w:ascii="Arial" w:cs="Arial" w:eastAsia="Arial" w:hAnsi="Arial"/>
          <w:sz w:val="18"/>
          <w:szCs w:val="18"/>
          <w:color w:val="333333"/>
        </w:rPr>
        <w:t>We do not typically source conflict minerals directly from mines, smelters or refiners and therefore, in most cases, we are several levels removed from them. As a result, we rely on the cooperation of our suppliers in the implementation of this policy and in enabling us to meet our compliance obligations.</w:t>
      </w:r>
    </w:p>
    <w:p>
      <w:pPr>
        <w:spacing w:after="0" w:line="177" w:lineRule="exact"/>
        <w:rPr>
          <w:sz w:val="20"/>
          <w:szCs w:val="20"/>
          <w:color w:val="auto"/>
        </w:rPr>
      </w:pPr>
    </w:p>
    <w:p>
      <w:pPr>
        <w:ind w:left="332" w:hanging="332"/>
        <w:spacing w:after="0"/>
        <w:tabs>
          <w:tab w:leader="none" w:pos="33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 (“RCOI”)</w:t>
      </w:r>
    </w:p>
    <w:p>
      <w:pPr>
        <w:spacing w:after="0" w:line="22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 Requests for Information and Survey Responses</w:t>
      </w:r>
    </w:p>
    <w:p>
      <w:pPr>
        <w:spacing w:after="0" w:line="229" w:lineRule="exact"/>
        <w:rPr>
          <w:sz w:val="20"/>
          <w:szCs w:val="20"/>
          <w:color w:val="auto"/>
        </w:rPr>
      </w:pPr>
    </w:p>
    <w:p>
      <w:pPr>
        <w:ind w:left="652" w:right="40"/>
        <w:spacing w:after="0" w:line="286" w:lineRule="auto"/>
        <w:rPr>
          <w:sz w:val="20"/>
          <w:szCs w:val="20"/>
          <w:color w:val="auto"/>
        </w:rPr>
      </w:pPr>
      <w:r>
        <w:rPr>
          <w:rFonts w:ascii="Arial" w:cs="Arial" w:eastAsia="Arial" w:hAnsi="Arial"/>
          <w:sz w:val="16"/>
          <w:szCs w:val="16"/>
          <w:color w:val="auto"/>
        </w:rPr>
        <w:t>Forney conducted a reasonable country of origin inquiry that was reasonably designed to determine whether any 3TG necessary to the functionality or production of any of Forney’s products originated in the Covered Countries or are from recycled or scrap sources. Forney undertook an investigation of its suppliers of the generic components to determine the sources of the minerals incorporated into those components. Forney identified eleven suppliers of the generic components contained in its products. Forney sent all eleven suppliers a survey designed to identify the source of the minerals. The survey sent was the Electronic Industry Citizen Coalition “Conflict Mineral Reporting Template” developed by the Electronic Industry Citizen Coalition and the Global e-Sustainability Initiative the “Template”). The Template is designed to collect sourcing information on the Conflict Minerals used in Forney’s products. The Template includes questions related to, among other items, the use of 3TG in the supplier’s products, the supplier’s due diligence efforts, the source and chain of custody of any 3TG in the supplier’s products, whether the 3TG included in the supplier’s products came from recycled or scrap sources, and whether the supplier has a policy on conflict-free sourcing. Forney also sought country of origin information directly by reviewing the policies and statements on the manufacturers’ websites addressing Conflict Minerals. Most of Forney’s suppliers are distributors rather than manufacturers of components supplied to Forney, and most of such suppliers were unable to provide smelter information because they were still engaged in their own efforts to obtain information from their suppliers. Forney received responses from three suppliers that included the names of nineteen smelters that have been identified as certified Conflict-Free. Nevertheless, while Forney has not determined that any of the Conflict Minerals in its generic components originated in the Covered Countries, Forney is unable to conclude with certainty that none of the Conflict Minerals contained in such generic components originated in the Covered Countries.</w:t>
      </w:r>
    </w:p>
    <w:p>
      <w:pPr>
        <w:spacing w:after="0" w:line="165"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4.2 RCOI Conclusion</w:t>
      </w:r>
    </w:p>
    <w:p>
      <w:pPr>
        <w:spacing w:after="0" w:line="229" w:lineRule="exact"/>
        <w:rPr>
          <w:sz w:val="20"/>
          <w:szCs w:val="20"/>
          <w:color w:val="auto"/>
        </w:rPr>
      </w:pPr>
    </w:p>
    <w:p>
      <w:pPr>
        <w:ind w:left="652" w:right="180"/>
        <w:spacing w:after="0" w:line="259" w:lineRule="auto"/>
        <w:rPr>
          <w:sz w:val="20"/>
          <w:szCs w:val="20"/>
          <w:color w:val="auto"/>
        </w:rPr>
      </w:pPr>
      <w:r>
        <w:rPr>
          <w:rFonts w:ascii="Arial" w:cs="Arial" w:eastAsia="Arial" w:hAnsi="Arial"/>
          <w:sz w:val="18"/>
          <w:szCs w:val="18"/>
          <w:color w:val="auto"/>
        </w:rPr>
        <w:t>We are unable to conclude that none of the Conflict Minerals that are necessary to the functionality or production of our products originated in the Covered Countries and unable to conclude that they have not come from recycled or scrap sources because of the incomplete information received from our supply chain in response to our reasonable country of origin inquiry. As a result, we conducted due diligence on the source and chain of custody of those minerals.</w:t>
      </w:r>
    </w:p>
    <w:p>
      <w:pPr>
        <w:spacing w:after="0" w:line="183" w:lineRule="exact"/>
        <w:rPr>
          <w:sz w:val="20"/>
          <w:szCs w:val="20"/>
          <w:color w:val="auto"/>
        </w:rPr>
      </w:pPr>
    </w:p>
    <w:p>
      <w:pPr>
        <w:ind w:left="332" w:hanging="332"/>
        <w:spacing w:after="0"/>
        <w:tabs>
          <w:tab w:leader="none" w:pos="3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Program</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5.1 Design of Due Diligence; Conformity to a Recognized Due Diligence Framework</w:t>
      </w:r>
    </w:p>
    <w:p>
      <w:pPr>
        <w:spacing w:after="0" w:line="229" w:lineRule="exact"/>
        <w:rPr>
          <w:sz w:val="20"/>
          <w:szCs w:val="20"/>
          <w:color w:val="auto"/>
        </w:rPr>
      </w:pPr>
    </w:p>
    <w:p>
      <w:pPr>
        <w:ind w:left="652" w:right="160"/>
        <w:spacing w:after="0" w:line="302" w:lineRule="auto"/>
        <w:rPr>
          <w:sz w:val="20"/>
          <w:szCs w:val="20"/>
          <w:color w:val="auto"/>
        </w:rPr>
      </w:pPr>
      <w:r>
        <w:rPr>
          <w:rFonts w:ascii="Arial" w:cs="Arial" w:eastAsia="Arial" w:hAnsi="Arial"/>
          <w:sz w:val="16"/>
          <w:szCs w:val="16"/>
          <w:color w:val="auto"/>
        </w:rPr>
        <w:t>Our due diligence measures have been designed to conform to the framework in the Organization for Economic Co-operation and Development (OECD) Due Diligence Guidance for Responsible Supply Chains of Minerals from Conflict-Affected and High-Risk Areas (OECD Guidance) and the related Supplements for gold, tin, tantalum and tungsten. This OECD framework (the “Framework”) is the only due diligence framework recognized by the SEC to date. The Framework stresses five main areas of due diligence design detailed below in Sections 5.2 to 5.6.</w:t>
      </w:r>
    </w:p>
    <w:p>
      <w:pPr>
        <w:sectPr>
          <w:pgSz w:w="11900" w:h="16838" w:orient="portrait"/>
          <w:cols w:equalWidth="0" w:num="1">
            <w:col w:w="11372"/>
          </w:cols>
          <w:pgMar w:left="248" w:top="800" w:right="279" w:bottom="1440" w:gutter="0" w:footer="0" w:header="0"/>
        </w:sectPr>
      </w:pPr>
    </w:p>
    <w:bookmarkStart w:id="4" w:name="page5"/>
    <w:bookmarkEnd w:id="4"/>
    <w:p>
      <w:pPr>
        <w:ind w:left="332"/>
        <w:spacing w:after="0"/>
        <w:rPr>
          <w:sz w:val="20"/>
          <w:szCs w:val="20"/>
          <w:color w:val="auto"/>
        </w:rPr>
      </w:pPr>
      <w:r>
        <w:rPr>
          <w:rFonts w:ascii="Arial" w:cs="Arial" w:eastAsia="Arial" w:hAnsi="Arial"/>
          <w:sz w:val="18"/>
          <w:szCs w:val="18"/>
          <w:b w:val="1"/>
          <w:bCs w:val="1"/>
          <w:color w:val="auto"/>
        </w:rPr>
        <w:t>5.2 Establish Strong Company Management Systems</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Internal Team</w:t>
      </w:r>
    </w:p>
    <w:p>
      <w:pPr>
        <w:spacing w:after="0" w:line="229" w:lineRule="exact"/>
        <w:rPr>
          <w:sz w:val="20"/>
          <w:szCs w:val="20"/>
          <w:color w:val="auto"/>
        </w:rPr>
      </w:pPr>
    </w:p>
    <w:p>
      <w:pPr>
        <w:ind w:left="652" w:right="20"/>
        <w:spacing w:after="0" w:line="264" w:lineRule="auto"/>
        <w:rPr>
          <w:sz w:val="20"/>
          <w:szCs w:val="20"/>
          <w:color w:val="auto"/>
        </w:rPr>
      </w:pPr>
      <w:r>
        <w:rPr>
          <w:rFonts w:ascii="Arial" w:cs="Arial" w:eastAsia="Arial" w:hAnsi="Arial"/>
          <w:sz w:val="18"/>
          <w:szCs w:val="18"/>
          <w:color w:val="auto"/>
        </w:rPr>
        <w:t>Forney established a management system for Conflict Minerals consisting of a cross-functional group to examine the potential use and source, if any, of Conflict Minerals in Forney’s products and to put measures in place to ensure compliance with the Conflict Minerals Rule. This group includes representatives from management, operations, supply chain management, finance and legal counsel.</w:t>
      </w:r>
    </w:p>
    <w:p>
      <w:pPr>
        <w:spacing w:after="0" w:line="177"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Conflict Minerals Policy</w:t>
      </w:r>
    </w:p>
    <w:p>
      <w:pPr>
        <w:spacing w:after="0" w:line="229" w:lineRule="exact"/>
        <w:rPr>
          <w:sz w:val="20"/>
          <w:szCs w:val="20"/>
          <w:color w:val="auto"/>
        </w:rPr>
      </w:pPr>
    </w:p>
    <w:p>
      <w:pPr>
        <w:ind w:left="652"/>
        <w:spacing w:after="0" w:line="297" w:lineRule="auto"/>
        <w:rPr>
          <w:sz w:val="20"/>
          <w:szCs w:val="20"/>
          <w:color w:val="auto"/>
        </w:rPr>
      </w:pPr>
      <w:r>
        <w:rPr>
          <w:rFonts w:ascii="Arial" w:cs="Arial" w:eastAsia="Arial" w:hAnsi="Arial"/>
          <w:sz w:val="16"/>
          <w:szCs w:val="16"/>
          <w:color w:val="auto"/>
        </w:rPr>
        <w:t>Forney established a Conflicts Minerals policy (the “Policy”) that is designed to communicate Forney’s commitment to responsible sourcing of Conflict Minerals throughout its supply chain for products that Forney manufactures. The Policy discusses the fact that Forney is putting policies and systems into place to reduce the risk that Conflict Minerals used in its products originate in the Covered Countries. The Policy informs suppliers that because Forney does not typically source Conflict Minerals directly from miners, smelters or refiners, it will rely on the cooperation of its suppliers in the implementation of its Policy and in enabling Forney to meet its compliance obligations. The Policy is published on Forney’s website.</w:t>
      </w:r>
    </w:p>
    <w:p>
      <w:pPr>
        <w:spacing w:after="0" w:line="154"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5.3 Identify and Assess Risk in the Supply Chain</w:t>
      </w:r>
    </w:p>
    <w:p>
      <w:pPr>
        <w:spacing w:after="0" w:line="229" w:lineRule="exact"/>
        <w:rPr>
          <w:sz w:val="20"/>
          <w:szCs w:val="20"/>
          <w:color w:val="auto"/>
        </w:rPr>
      </w:pPr>
    </w:p>
    <w:p>
      <w:pPr>
        <w:ind w:left="652" w:right="20"/>
        <w:spacing w:after="0" w:line="302" w:lineRule="auto"/>
        <w:rPr>
          <w:sz w:val="20"/>
          <w:szCs w:val="20"/>
          <w:color w:val="auto"/>
        </w:rPr>
      </w:pPr>
      <w:r>
        <w:rPr>
          <w:rFonts w:ascii="Arial" w:cs="Arial" w:eastAsia="Arial" w:hAnsi="Arial"/>
          <w:sz w:val="16"/>
          <w:szCs w:val="16"/>
          <w:color w:val="auto"/>
        </w:rPr>
        <w:t>As described above, Forney conducts a survey of all of its suppliers using the Template to obtain chain of custody declarations from its suppliers. The Template includes questions on the use and origin of Conflict Minerals in Forney’s components, supplier engagement with sub-tier suppliers and smelters and points of origin of the Conflict Minerals. To strengthen engagement with suppliers, in 2015 Forney added a Conflict Minerals clause to its purchase orders in order to communicate the expectations and requirements regarding the sourcing and disclosure of Conflict Minerals.</w:t>
      </w:r>
    </w:p>
    <w:p>
      <w:pPr>
        <w:spacing w:after="0" w:line="150"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5.4 Design and Implement a Strategy to Respond to Identified Risks</w:t>
      </w:r>
    </w:p>
    <w:p>
      <w:pPr>
        <w:spacing w:after="0" w:line="229" w:lineRule="exact"/>
        <w:rPr>
          <w:sz w:val="20"/>
          <w:szCs w:val="20"/>
          <w:color w:val="auto"/>
        </w:rPr>
      </w:pPr>
    </w:p>
    <w:p>
      <w:pPr>
        <w:ind w:left="652" w:right="20"/>
        <w:spacing w:after="0" w:line="259" w:lineRule="auto"/>
        <w:rPr>
          <w:sz w:val="20"/>
          <w:szCs w:val="20"/>
          <w:color w:val="auto"/>
        </w:rPr>
      </w:pPr>
      <w:r>
        <w:rPr>
          <w:rFonts w:ascii="Arial" w:cs="Arial" w:eastAsia="Arial" w:hAnsi="Arial"/>
          <w:sz w:val="18"/>
          <w:szCs w:val="18"/>
          <w:color w:val="auto"/>
        </w:rPr>
        <w:t>As discussed above, in most cases, suppliers were unable to specify smelters or refiners used for components supplied to Forney because most are distributors that are still working to obtain information from their own suppliers. For those suppliers that provided names of smelters/refiners, we confirmed the supplier’s reported validation status by comparing it to the information contained on the Conflict Free Sourcing Initiative (the “CFSI”) website.</w:t>
      </w:r>
    </w:p>
    <w:p>
      <w:pPr>
        <w:spacing w:after="0" w:line="183"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5.5 Carry out Independent Third Party Audit of Supply Chain Due Diligence at Identified Points in the Supply Chain</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Forney does not have a direct relationship with smelters or refiners, nor does it perform direct audits of such entities in its supply chain.</w:t>
      </w:r>
    </w:p>
    <w:p>
      <w:pPr>
        <w:spacing w:after="0" w:line="221"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5.6 Report on Supply Chain Due Diligence</w:t>
      </w:r>
    </w:p>
    <w:p>
      <w:pPr>
        <w:spacing w:after="0" w:line="229" w:lineRule="exact"/>
        <w:rPr>
          <w:sz w:val="20"/>
          <w:szCs w:val="20"/>
          <w:color w:val="auto"/>
        </w:rPr>
      </w:pPr>
    </w:p>
    <w:p>
      <w:pPr>
        <w:ind w:left="652" w:right="100"/>
        <w:spacing w:after="0" w:line="277" w:lineRule="auto"/>
        <w:rPr>
          <w:sz w:val="20"/>
          <w:szCs w:val="20"/>
          <w:color w:val="auto"/>
        </w:rPr>
      </w:pPr>
      <w:r>
        <w:rPr>
          <w:rFonts w:ascii="Arial" w:cs="Arial" w:eastAsia="Arial" w:hAnsi="Arial"/>
          <w:sz w:val="18"/>
          <w:szCs w:val="18"/>
          <w:color w:val="auto"/>
        </w:rPr>
        <w:t xml:space="preserve">Our Form SD and this Conflict Minerals Report are both available on our website at </w:t>
      </w:r>
      <w:r>
        <w:rPr>
          <w:rFonts w:ascii="Arial" w:cs="Arial" w:eastAsia="Arial" w:hAnsi="Arial"/>
          <w:sz w:val="18"/>
          <w:szCs w:val="18"/>
          <w:u w:val="single" w:color="auto"/>
          <w:color w:val="auto"/>
        </w:rPr>
        <w:t>www.ghco.com</w:t>
      </w:r>
      <w:r>
        <w:rPr>
          <w:rFonts w:ascii="Arial" w:cs="Arial" w:eastAsia="Arial" w:hAnsi="Arial"/>
          <w:sz w:val="18"/>
          <w:szCs w:val="18"/>
          <w:color w:val="auto"/>
        </w:rPr>
        <w:t>. GHCO will file a Form SD with the Securities and Exchange Commission on an annual basis, pursuant to Rule 13p-1 of the Act.</w:t>
      </w:r>
    </w:p>
    <w:p>
      <w:pPr>
        <w:spacing w:after="0" w:line="166" w:lineRule="exact"/>
        <w:rPr>
          <w:sz w:val="20"/>
          <w:szCs w:val="20"/>
          <w:color w:val="auto"/>
        </w:rPr>
      </w:pPr>
    </w:p>
    <w:p>
      <w:pPr>
        <w:ind w:left="332" w:hanging="332"/>
        <w:spacing w:after="0"/>
        <w:tabs>
          <w:tab w:leader="none" w:pos="33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Results of Due Diligence Review-Facilities Used to Process the Necessary Conflict Minerals</w:t>
      </w:r>
    </w:p>
    <w:p>
      <w:pPr>
        <w:spacing w:after="0" w:line="229" w:lineRule="exact"/>
        <w:rPr>
          <w:rFonts w:ascii="Arial" w:cs="Arial" w:eastAsia="Arial" w:hAnsi="Arial"/>
          <w:sz w:val="18"/>
          <w:szCs w:val="18"/>
          <w:b w:val="1"/>
          <w:bCs w:val="1"/>
          <w:color w:val="auto"/>
        </w:rPr>
      </w:pPr>
    </w:p>
    <w:p>
      <w:pPr>
        <w:ind w:left="33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As discussed above, Forney solicited all eleven of its suppliers to gather information by means of the Template regarding the sourcing of 3TG in the products supplied to Forney. A majority of the suppliers responded that they were still in the process of evaluating the source of 3TG in their own products. Based on the information provided by Forney’s suppliers in the Templates, the smelters used to process necessary conflict minerals include those listed on the attached Schedule 1. With respect to those smelters that were identified by suppliers in their Template, Forney confirmed the supplier’s reported validation status by comparing it to the information contained on the CFSI website. Based on the information provided by suppliers and Forney’s own due diligence efforts, we do not have sufficient information to conclusively determine the identity of all of the smelters from which its suppliers source 3TG or the countries of origin of 3TG in Forney’s products.</w:t>
      </w:r>
    </w:p>
    <w:p>
      <w:pPr>
        <w:sectPr>
          <w:pgSz w:w="11900" w:h="16838" w:orient="portrait"/>
          <w:cols w:equalWidth="0" w:num="1">
            <w:col w:w="11412"/>
          </w:cols>
          <w:pgMar w:left="248" w:top="580" w:right="239" w:bottom="1440" w:gutter="0" w:footer="0" w:header="0"/>
        </w:sectPr>
      </w:pPr>
    </w:p>
    <w:bookmarkStart w:id="5" w:name="page6"/>
    <w:bookmarkEnd w:id="5"/>
    <w:p>
      <w:pPr>
        <w:ind w:left="332" w:hanging="332"/>
        <w:spacing w:after="0"/>
        <w:tabs>
          <w:tab w:leader="none" w:pos="33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Steps to Mitigate Risk and Improve Due Diligence</w:t>
      </w:r>
    </w:p>
    <w:p>
      <w:pPr>
        <w:spacing w:after="0" w:line="229" w:lineRule="exact"/>
        <w:rPr>
          <w:rFonts w:ascii="Arial" w:cs="Arial" w:eastAsia="Arial" w:hAnsi="Arial"/>
          <w:sz w:val="18"/>
          <w:szCs w:val="18"/>
          <w:b w:val="1"/>
          <w:bCs w:val="1"/>
          <w:color w:val="auto"/>
        </w:rPr>
      </w:pPr>
    </w:p>
    <w:p>
      <w:pPr>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working to strengthen its commitment to the responsible sourcing of conflict minerals. Forney will continue to include in new purchase orders or contracts, specific language that requires suppliers to cooperate with Forney by providing information about the supplier’s source of Conflict Minerals and smelters. In addition, Forney will continue working with suppliers to obtain the 3TG sourcing information and will strengthen its procedures to engage with manufacturers and distributors to obtain accurate and complete information about its supply chain. Cooperation with respect to sourcing by suppliers will be a factor in allocating future Forney purchases. Forney will work with suppliers as needed to better communicate the requirements of the Conflicts Mineral Rule.</w:t>
      </w:r>
    </w:p>
    <w:p>
      <w:pPr>
        <w:sectPr>
          <w:pgSz w:w="11900" w:h="16838" w:orient="portrait"/>
          <w:cols w:equalWidth="0" w:num="1">
            <w:col w:w="11392"/>
          </w:cols>
          <w:pgMar w:left="248" w:top="580" w:right="2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Schedule 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 Used to Process Conflict Minerals</w:t>
      </w:r>
    </w:p>
    <w:p>
      <w:pPr>
        <w:spacing w:after="0" w:line="192" w:lineRule="exact"/>
        <w:rPr>
          <w:sz w:val="20"/>
          <w:szCs w:val="20"/>
          <w:color w:val="auto"/>
        </w:rPr>
      </w:pPr>
    </w:p>
    <w:tbl>
      <w:tblPr>
        <w:tblLayout w:type="fixed"/>
        <w:tblInd w:w="50" w:type="dxa"/>
        <w:tblCellMar>
          <w:top w:w="0" w:type="dxa"/>
          <w:left w:w="0" w:type="dxa"/>
          <w:bottom w:w="0" w:type="dxa"/>
          <w:right w:w="0" w:type="dxa"/>
        </w:tblCellMar>
      </w:tblPr>
      <w:tr>
        <w:trPr>
          <w:trHeight w:val="166"/>
        </w:trPr>
        <w:tc>
          <w:tcPr>
            <w:tcW w:w="82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Whether</w:t>
            </w:r>
          </w:p>
        </w:tc>
        <w:tc>
          <w:tcPr>
            <w:tcW w:w="1140" w:type="dxa"/>
            <w:vAlign w:val="bottom"/>
            <w:tcBorders>
              <w:top w:val="single" w:sz="8" w:color="auto"/>
              <w:right w:val="single" w:sz="8" w:color="auto"/>
            </w:tcBorders>
          </w:tcPr>
          <w:p>
            <w:pPr>
              <w:spacing w:after="0"/>
              <w:rPr>
                <w:sz w:val="14"/>
                <w:szCs w:val="14"/>
                <w:color w:val="auto"/>
              </w:rPr>
            </w:pPr>
          </w:p>
        </w:tc>
        <w:tc>
          <w:tcPr>
            <w:tcW w:w="1600" w:type="dxa"/>
            <w:vAlign w:val="bottom"/>
            <w:tcBorders>
              <w:top w:val="single" w:sz="8" w:color="auto"/>
              <w:right w:val="single" w:sz="8" w:color="auto"/>
            </w:tcBorders>
          </w:tcPr>
          <w:p>
            <w:pPr>
              <w:spacing w:after="0"/>
              <w:rPr>
                <w:sz w:val="14"/>
                <w:szCs w:val="14"/>
                <w:color w:val="auto"/>
              </w:rPr>
            </w:pPr>
          </w:p>
        </w:tc>
        <w:tc>
          <w:tcPr>
            <w:tcW w:w="384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Whether 3TG Mined in</w:t>
            </w: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Smelter 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CFS Validation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Smelter ID</w:t>
            </w:r>
          </w:p>
        </w:tc>
        <w:tc>
          <w:tcPr>
            <w:tcW w:w="38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Smelter Facility</w:t>
            </w:r>
          </w:p>
        </w:tc>
        <w:tc>
          <w:tcPr>
            <w:tcW w:w="17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Metal</w:t>
            </w:r>
          </w:p>
        </w:tc>
        <w:tc>
          <w:tcPr>
            <w:tcW w:w="9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Covered</w:t>
            </w:r>
          </w:p>
        </w:tc>
        <w:tc>
          <w:tcPr>
            <w:tcW w:w="11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3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Smelter Name</w:t>
            </w:r>
          </w:p>
        </w:tc>
        <w:tc>
          <w:tcPr>
            <w:tcW w:w="136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Covered Country, with</w:t>
            </w:r>
          </w:p>
        </w:tc>
        <w:tc>
          <w:tcPr>
            <w:tcW w:w="0" w:type="dxa"/>
            <w:vAlign w:val="bottom"/>
          </w:tcPr>
          <w:p>
            <w:pPr>
              <w:spacing w:after="0"/>
              <w:rPr>
                <w:sz w:val="1"/>
                <w:szCs w:val="1"/>
                <w:color w:val="auto"/>
              </w:rPr>
            </w:pPr>
          </w:p>
        </w:tc>
      </w:tr>
      <w:tr>
        <w:trPr>
          <w:trHeight w:val="192"/>
        </w:trPr>
        <w:tc>
          <w:tcPr>
            <w:tcW w:w="82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Countries</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Status</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(EICC/GeSI codes)</w:t>
            </w:r>
          </w:p>
        </w:tc>
        <w:tc>
          <w:tcPr>
            <w:tcW w:w="3840" w:type="dxa"/>
            <w:vAlign w:val="bottom"/>
            <w:tcBorders>
              <w:bottom w:val="single" w:sz="8" w:color="auto"/>
              <w:right w:val="single" w:sz="8" w:color="auto"/>
            </w:tcBorders>
            <w:vMerge w:val="continue"/>
          </w:tcPr>
          <w:p>
            <w:pPr>
              <w:spacing w:after="0"/>
              <w:rPr>
                <w:sz w:val="16"/>
                <w:szCs w:val="16"/>
                <w:color w:val="auto"/>
              </w:rPr>
            </w:pP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Mine Location if 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CID001182</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Minsur</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Peru</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CID001534</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Royal Canadian Mint</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CID002030</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Western Australian Mint trading as Perth Mint</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Australia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CID000077</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Argor-Heraeus SA</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CID001875</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Tanaka Kikinzoku Kogyo K.K.</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CID001898</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 Smelting &amp; Refining Co., Ltd.</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CID002568</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KEMET Blue Powder</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CID000292</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Alpha</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CID000105</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Kennametal Huntsville</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CID001993</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Precious Metal Refining, Inc</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CID000711</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Heraeus Precious Metals GmbH &amp; Co. KG</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CID001078</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LS-NIKKO Copper Inc</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 Korea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CID001157</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USA Refining Corporation</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CID001153</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Technologies SA</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CID001482</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(Persero) Tbk Mentok</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CID002180</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Yunnan Tin Group (Holding) Company Limited</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CID000313</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Serumpun Sebalai</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CID001412</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Bangka Putra Karya</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CFSI</w:t>
            </w: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CID000468</w:t>
            </w:r>
          </w:p>
        </w:tc>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Fenix Metals</w:t>
            </w:r>
          </w:p>
        </w:tc>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69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6"/>
    </w:lvl>
  </w:abstractNum>
  <w:abstractNum w:abstractNumId="4">
    <w:nsid w:val="46E87CC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2019-12-05T11:36:33Z</dcterms:created>
  <dcterms:modified xsi:type="dcterms:W3CDTF">2019-12-05T11:36:33Z</dcterms:modified>
</cp:coreProperties>
</file>