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color w:val="auto"/>
        </w:rPr>
        <w:t>Washington, D.C. 20549</w:t>
      </w:r>
    </w:p>
    <w:p>
      <w:pPr>
        <w:spacing w:after="0" w:line="2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SCHEDULE 13G</w:t>
      </w:r>
    </w:p>
    <w:p>
      <w:pPr>
        <w:spacing w:after="0" w:line="32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0" w:lineRule="exact"/>
        <w:rPr>
          <w:sz w:val="24"/>
          <w:szCs w:val="24"/>
          <w:color w:val="auto"/>
        </w:rPr>
      </w:pPr>
    </w:p>
    <w:p>
      <w:pPr>
        <w:spacing w:after="0" w:line="3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50"/>
          <w:szCs w:val="50"/>
          <w:b w:val="1"/>
          <w:bCs w:val="1"/>
          <w:color w:val="auto"/>
        </w:rPr>
        <w:t>Graham Holdings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126365</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90805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8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939640AD0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259715</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(CUSIP Number)</w:t>
      </w:r>
    </w:p>
    <w:p>
      <w:pPr>
        <w:spacing w:after="0" w:line="28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March 21,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90805</wp:posOffset>
            </wp:positionV>
            <wp:extent cx="2186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3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right="9780" w:firstLine="8"/>
        <w:spacing w:after="0" w:line="288" w:lineRule="auto"/>
        <w:tabs>
          <w:tab w:leader="none" w:pos="354"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 [ ] Rule 13d-1(d)</w:t>
      </w:r>
    </w:p>
    <w:p>
      <w:pPr>
        <w:spacing w:after="0" w:line="211" w:lineRule="exact"/>
        <w:rPr>
          <w:sz w:val="24"/>
          <w:szCs w:val="24"/>
          <w:color w:val="auto"/>
        </w:rPr>
      </w:pPr>
    </w:p>
    <w:p>
      <w:pPr>
        <w:spacing w:after="0" w:line="270"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97" w:lineRule="exact"/>
        <w:rPr>
          <w:sz w:val="24"/>
          <w:szCs w:val="24"/>
          <w:color w:val="auto"/>
        </w:rPr>
      </w:pPr>
    </w:p>
    <w:p>
      <w:pPr>
        <w:ind w:right="100"/>
        <w:spacing w:after="0" w:line="270"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455295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87"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CUSIP No.</w:t>
            </w:r>
          </w:p>
        </w:tc>
        <w:tc>
          <w:tcPr>
            <w:tcW w:w="101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939640AD0</w:t>
            </w:r>
          </w:p>
        </w:tc>
      </w:tr>
      <w:tr>
        <w:trPr>
          <w:trHeight w:val="120"/>
        </w:trPr>
        <w:tc>
          <w:tcPr>
            <w:tcW w:w="1280" w:type="dxa"/>
            <w:vAlign w:val="bottom"/>
            <w:tcBorders>
              <w:bottom w:val="single" w:sz="8" w:color="808080"/>
            </w:tcBorders>
          </w:tcPr>
          <w:p>
            <w:pPr>
              <w:spacing w:after="0"/>
              <w:rPr>
                <w:sz w:val="10"/>
                <w:szCs w:val="10"/>
                <w:color w:val="auto"/>
              </w:rPr>
            </w:pPr>
          </w:p>
        </w:tc>
        <w:tc>
          <w:tcPr>
            <w:tcW w:w="10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1905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41" w:lineRule="exact"/>
        <w:rPr>
          <w:sz w:val="20"/>
          <w:szCs w:val="20"/>
          <w:color w:val="auto"/>
        </w:rPr>
      </w:pPr>
    </w:p>
    <w:p>
      <w:pPr>
        <w:ind w:left="1040" w:hanging="1032"/>
        <w:spacing w:after="0"/>
        <w:tabs>
          <w:tab w:leader="none" w:pos="10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9" w:lineRule="exact"/>
        <w:rPr>
          <w:rFonts w:ascii="Times New Roman" w:cs="Times New Roman" w:eastAsia="Times New Roman" w:hAnsi="Times New Roman"/>
          <w:sz w:val="22"/>
          <w:szCs w:val="22"/>
          <w:color w:val="auto"/>
        </w:rPr>
      </w:pPr>
    </w:p>
    <w:p>
      <w:pPr>
        <w:ind w:left="10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w:t>
      </w:r>
    </w:p>
    <w:p>
      <w:pPr>
        <w:spacing w:after="0" w:line="17" w:lineRule="exact"/>
        <w:rPr>
          <w:rFonts w:ascii="Times New Roman" w:cs="Times New Roman" w:eastAsia="Times New Roman" w:hAnsi="Times New Roman"/>
          <w:sz w:val="22"/>
          <w:szCs w:val="22"/>
          <w:color w:val="auto"/>
        </w:rPr>
      </w:pPr>
    </w:p>
    <w:p>
      <w:pPr>
        <w:ind w:left="10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Van Eck Associates Corporation</w:t>
      </w:r>
    </w:p>
    <w:p>
      <w:pPr>
        <w:spacing w:after="0" w:line="17" w:lineRule="exact"/>
        <w:rPr>
          <w:rFonts w:ascii="Times New Roman" w:cs="Times New Roman" w:eastAsia="Times New Roman" w:hAnsi="Times New Roman"/>
          <w:sz w:val="22"/>
          <w:szCs w:val="22"/>
          <w:color w:val="auto"/>
        </w:rPr>
      </w:pPr>
    </w:p>
    <w:p>
      <w:pPr>
        <w:ind w:left="10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666 Third Ave - 9th Fl, New York, New York 10017</w:t>
      </w:r>
    </w:p>
    <w:p>
      <w:pPr>
        <w:spacing w:after="0" w:line="207" w:lineRule="exact"/>
        <w:rPr>
          <w:rFonts w:ascii="Times New Roman" w:cs="Times New Roman" w:eastAsia="Times New Roman" w:hAnsi="Times New Roman"/>
          <w:sz w:val="22"/>
          <w:szCs w:val="22"/>
          <w:color w:val="auto"/>
        </w:rPr>
      </w:pPr>
    </w:p>
    <w:p>
      <w:pPr>
        <w:ind w:left="1040" w:hanging="1032"/>
        <w:spacing w:after="0"/>
        <w:tabs>
          <w:tab w:leader="none" w:pos="10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-221615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0"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b w:val="1"/>
          <w:bCs w:val="1"/>
          <w:color w:val="auto"/>
        </w:rPr>
        <w:t>N/A</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40" w:hanging="1032"/>
        <w:spacing w:after="0"/>
        <w:tabs>
          <w:tab w:leader="none" w:pos="10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4.</w:t>
            </w:r>
          </w:p>
        </w:tc>
        <w:tc>
          <w:tcPr>
            <w:tcW w:w="358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6860" w:type="dxa"/>
            <w:vAlign w:val="bottom"/>
          </w:tcPr>
          <w:p>
            <w:pPr>
              <w:jc w:val="center"/>
              <w:ind w:right="5752"/>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0" w:type="dxa"/>
            <w:vAlign w:val="bottom"/>
          </w:tcPr>
          <w:p>
            <w:pPr>
              <w:spacing w:after="0"/>
              <w:rPr>
                <w:sz w:val="1"/>
                <w:szCs w:val="1"/>
                <w:color w:val="auto"/>
              </w:rPr>
            </w:pPr>
          </w:p>
        </w:tc>
      </w:tr>
      <w:tr>
        <w:trPr>
          <w:trHeight w:val="106"/>
        </w:trPr>
        <w:tc>
          <w:tcPr>
            <w:tcW w:w="10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6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5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540" w:type="dxa"/>
            <w:vAlign w:val="bottom"/>
          </w:tcPr>
          <w:p>
            <w:pPr>
              <w:spacing w:after="0"/>
              <w:rPr>
                <w:sz w:val="24"/>
                <w:szCs w:val="24"/>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5.</w:t>
            </w:r>
          </w:p>
        </w:tc>
        <w:tc>
          <w:tcPr>
            <w:tcW w:w="22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Sole Voting Power</w:t>
            </w:r>
          </w:p>
        </w:tc>
        <w:tc>
          <w:tcPr>
            <w:tcW w:w="686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1,736,000 common shares</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540" w:type="dxa"/>
            <w:vAlign w:val="bottom"/>
          </w:tcPr>
          <w:p>
            <w:pPr>
              <w:spacing w:after="0"/>
              <w:rPr>
                <w:sz w:val="23"/>
                <w:szCs w:val="23"/>
                <w:color w:val="auto"/>
              </w:rPr>
            </w:pP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22"/>
                <w:szCs w:val="22"/>
                <w:color w:val="auto"/>
              </w:rPr>
              <w:t>6.</w:t>
            </w:r>
          </w:p>
        </w:tc>
        <w:tc>
          <w:tcPr>
            <w:tcW w:w="22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Shared Voting Power</w:t>
            </w:r>
          </w:p>
        </w:tc>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None</w:t>
            </w:r>
          </w:p>
        </w:tc>
        <w:tc>
          <w:tcPr>
            <w:tcW w:w="0" w:type="dxa"/>
            <w:vAlign w:val="bottom"/>
          </w:tcPr>
          <w:p>
            <w:pPr>
              <w:spacing w:after="0"/>
              <w:rPr>
                <w:sz w:val="1"/>
                <w:szCs w:val="1"/>
                <w:color w:val="auto"/>
              </w:rPr>
            </w:pPr>
          </w:p>
        </w:tc>
      </w:tr>
      <w:tr>
        <w:trPr>
          <w:trHeight w:val="270"/>
        </w:trPr>
        <w:tc>
          <w:tcPr>
            <w:tcW w:w="1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780" w:type="dxa"/>
            <w:vAlign w:val="bottom"/>
            <w:vMerge w:val="continue"/>
          </w:tcPr>
          <w:p>
            <w:pPr>
              <w:spacing w:after="0"/>
              <w:rPr>
                <w:sz w:val="23"/>
                <w:szCs w:val="23"/>
                <w:color w:val="auto"/>
              </w:rPr>
            </w:pPr>
          </w:p>
        </w:tc>
        <w:tc>
          <w:tcPr>
            <w:tcW w:w="2260" w:type="dxa"/>
            <w:vAlign w:val="bottom"/>
            <w:vMerge w:val="continue"/>
          </w:tcPr>
          <w:p>
            <w:pPr>
              <w:spacing w:after="0"/>
              <w:rPr>
                <w:sz w:val="23"/>
                <w:szCs w:val="23"/>
                <w:color w:val="auto"/>
              </w:rPr>
            </w:pPr>
          </w:p>
        </w:tc>
        <w:tc>
          <w:tcPr>
            <w:tcW w:w="6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540" w:type="dxa"/>
            <w:vAlign w:val="bottom"/>
          </w:tcPr>
          <w:p>
            <w:pPr>
              <w:spacing w:after="0"/>
              <w:rPr>
                <w:sz w:val="23"/>
                <w:szCs w:val="23"/>
                <w:color w:val="auto"/>
              </w:rPr>
            </w:pP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22"/>
                <w:szCs w:val="22"/>
                <w:color w:val="auto"/>
              </w:rPr>
              <w:t>7.</w:t>
            </w:r>
          </w:p>
        </w:tc>
        <w:tc>
          <w:tcPr>
            <w:tcW w:w="22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Sole Dispositive Power</w:t>
            </w:r>
          </w:p>
        </w:tc>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1,736,000 common shares</w:t>
            </w:r>
          </w:p>
        </w:tc>
        <w:tc>
          <w:tcPr>
            <w:tcW w:w="0" w:type="dxa"/>
            <w:vAlign w:val="bottom"/>
          </w:tcPr>
          <w:p>
            <w:pPr>
              <w:spacing w:after="0"/>
              <w:rPr>
                <w:sz w:val="1"/>
                <w:szCs w:val="1"/>
                <w:color w:val="auto"/>
              </w:rPr>
            </w:pPr>
          </w:p>
        </w:tc>
      </w:tr>
      <w:tr>
        <w:trPr>
          <w:trHeight w:val="174"/>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5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6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10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540" w:type="dxa"/>
            <w:vAlign w:val="bottom"/>
          </w:tcPr>
          <w:p>
            <w:pPr>
              <w:spacing w:after="0"/>
              <w:rPr>
                <w:sz w:val="23"/>
                <w:szCs w:val="23"/>
                <w:color w:val="auto"/>
              </w:rPr>
            </w:pP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22"/>
                <w:szCs w:val="22"/>
                <w:color w:val="auto"/>
              </w:rPr>
              <w:t>8.</w:t>
            </w:r>
          </w:p>
        </w:tc>
        <w:tc>
          <w:tcPr>
            <w:tcW w:w="22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Shared Dispositive</w:t>
            </w:r>
          </w:p>
        </w:tc>
        <w:tc>
          <w:tcPr>
            <w:tcW w:w="6860" w:type="dxa"/>
            <w:vAlign w:val="bottom"/>
            <w:vMerge w:val="restart"/>
          </w:tcPr>
          <w:p>
            <w:pPr>
              <w:jc w:val="center"/>
              <w:ind w:right="5792"/>
              <w:spacing w:after="0"/>
              <w:rPr>
                <w:sz w:val="20"/>
                <w:szCs w:val="20"/>
                <w:color w:val="auto"/>
              </w:rPr>
            </w:pPr>
            <w:r>
              <w:rPr>
                <w:rFonts w:ascii="Times New Roman" w:cs="Times New Roman" w:eastAsia="Times New Roman" w:hAnsi="Times New Roman"/>
                <w:sz w:val="22"/>
                <w:szCs w:val="22"/>
                <w:b w:val="1"/>
                <w:bCs w:val="1"/>
                <w:color w:val="auto"/>
                <w:w w:val="98"/>
              </w:rPr>
              <w:t>None</w:t>
            </w:r>
          </w:p>
        </w:tc>
        <w:tc>
          <w:tcPr>
            <w:tcW w:w="0" w:type="dxa"/>
            <w:vAlign w:val="bottom"/>
          </w:tcPr>
          <w:p>
            <w:pPr>
              <w:spacing w:after="0"/>
              <w:rPr>
                <w:sz w:val="1"/>
                <w:szCs w:val="1"/>
                <w:color w:val="auto"/>
              </w:rPr>
            </w:pPr>
          </w:p>
        </w:tc>
      </w:tr>
      <w:tr>
        <w:trPr>
          <w:trHeight w:val="108"/>
        </w:trPr>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Person With</w:t>
            </w:r>
          </w:p>
        </w:tc>
        <w:tc>
          <w:tcPr>
            <w:tcW w:w="780" w:type="dxa"/>
            <w:vAlign w:val="bottom"/>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6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54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Power</w:t>
            </w:r>
          </w:p>
        </w:tc>
        <w:tc>
          <w:tcPr>
            <w:tcW w:w="6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60" w:type="dxa"/>
            <w:vAlign w:val="bottom"/>
            <w:vMerge w:val="continue"/>
          </w:tcPr>
          <w:p>
            <w:pPr>
              <w:spacing w:after="0"/>
              <w:rPr>
                <w:sz w:val="9"/>
                <w:szCs w:val="9"/>
                <w:color w:val="auto"/>
              </w:rPr>
            </w:pPr>
          </w:p>
        </w:tc>
        <w:tc>
          <w:tcPr>
            <w:tcW w:w="6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0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6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-1549400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-1549400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56" w:lineRule="exact"/>
        <w:rPr>
          <w:sz w:val="20"/>
          <w:szCs w:val="20"/>
          <w:color w:val="auto"/>
        </w:rPr>
      </w:pPr>
    </w:p>
    <w:p>
      <w:pPr>
        <w:ind w:left="1040" w:right="60" w:hanging="1032"/>
        <w:spacing w:after="0" w:line="272" w:lineRule="auto"/>
        <w:tabs>
          <w:tab w:leader="none" w:pos="10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Aggregate Amount Beneficially Owned by Each Reporting Person </w:t>
      </w:r>
      <w:r>
        <w:rPr>
          <w:rFonts w:ascii="Times New Roman" w:cs="Times New Roman" w:eastAsia="Times New Roman" w:hAnsi="Times New Roman"/>
          <w:sz w:val="22"/>
          <w:szCs w:val="22"/>
          <w:b w:val="1"/>
          <w:bCs w:val="1"/>
          <w:color w:val="auto"/>
        </w:rPr>
        <w:t>1,736,000 common shares are held within mutual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funds and other client accounts managed by Van Eck Associates Corporation, one of which individually owns more than 5% of the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10.</w:t>
            </w:r>
          </w:p>
        </w:tc>
        <w:tc>
          <w:tcPr>
            <w:tcW w:w="10780" w:type="dxa"/>
            <w:vAlign w:val="bottom"/>
            <w:gridSpan w:val="3"/>
          </w:tcPr>
          <w:p>
            <w:pPr>
              <w:ind w:left="380"/>
              <w:spacing w:after="0"/>
              <w:rPr>
                <w:sz w:val="20"/>
                <w:szCs w:val="20"/>
                <w:color w:val="auto"/>
              </w:rPr>
            </w:pPr>
            <w:r>
              <w:rPr>
                <w:rFonts w:ascii="Times New Roman" w:cs="Times New Roman" w:eastAsia="Times New Roman" w:hAnsi="Times New Roman"/>
                <w:sz w:val="22"/>
                <w:szCs w:val="22"/>
                <w:color w:val="auto"/>
              </w:rPr>
              <w:t xml:space="preserve">Check if the Aggregate Amount in Row (9) Excludes Certain Shares (See Instructions)   </w:t>
            </w:r>
            <w:r>
              <w:rPr>
                <w:rFonts w:ascii="Times New Roman" w:cs="Times New Roman" w:eastAsia="Times New Roman" w:hAnsi="Times New Roman"/>
                <w:sz w:val="22"/>
                <w:szCs w:val="22"/>
                <w:b w:val="1"/>
                <w:bCs w:val="1"/>
                <w:color w:val="auto"/>
              </w:rPr>
              <w:t>N/A</w:t>
            </w:r>
          </w:p>
        </w:tc>
      </w:tr>
      <w:tr>
        <w:trPr>
          <w:trHeight w:val="106"/>
        </w:trPr>
        <w:tc>
          <w:tcPr>
            <w:tcW w:w="660" w:type="dxa"/>
            <w:vAlign w:val="bottom"/>
            <w:tcBorders>
              <w:bottom w:val="single" w:sz="8" w:color="808080"/>
            </w:tcBorders>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c>
          <w:tcPr>
            <w:tcW w:w="65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562"/>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10780" w:type="dxa"/>
            <w:vAlign w:val="bottom"/>
            <w:gridSpan w:val="3"/>
          </w:tcPr>
          <w:p>
            <w:pPr>
              <w:ind w:left="380"/>
              <w:spacing w:after="0"/>
              <w:rPr>
                <w:sz w:val="20"/>
                <w:szCs w:val="20"/>
                <w:color w:val="auto"/>
              </w:rPr>
            </w:pPr>
            <w:r>
              <w:rPr>
                <w:rFonts w:ascii="Times New Roman" w:cs="Times New Roman" w:eastAsia="Times New Roman" w:hAnsi="Times New Roman"/>
                <w:sz w:val="22"/>
                <w:szCs w:val="22"/>
                <w:color w:val="auto"/>
              </w:rPr>
              <w:t xml:space="preserve">Percent of Class Represented by Amount in Row (9)   </w:t>
            </w:r>
            <w:r>
              <w:rPr>
                <w:rFonts w:ascii="Times New Roman" w:cs="Times New Roman" w:eastAsia="Times New Roman" w:hAnsi="Times New Roman"/>
                <w:sz w:val="22"/>
                <w:szCs w:val="22"/>
                <w:b w:val="1"/>
                <w:bCs w:val="1"/>
                <w:color w:val="auto"/>
              </w:rPr>
              <w:t>37.51%</w:t>
            </w:r>
          </w:p>
        </w:tc>
      </w:tr>
      <w:tr>
        <w:trPr>
          <w:trHeight w:val="106"/>
        </w:trPr>
        <w:tc>
          <w:tcPr>
            <w:tcW w:w="660" w:type="dxa"/>
            <w:vAlign w:val="bottom"/>
            <w:tcBorders>
              <w:bottom w:val="single" w:sz="8" w:color="808080"/>
            </w:tcBorders>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c>
          <w:tcPr>
            <w:tcW w:w="65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562"/>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12.</w:t>
            </w:r>
          </w:p>
        </w:tc>
        <w:tc>
          <w:tcPr>
            <w:tcW w:w="424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8"/>
              </w:rPr>
              <w:t>Type of Reporting Person (See Instructions)</w:t>
            </w:r>
          </w:p>
        </w:tc>
        <w:tc>
          <w:tcPr>
            <w:tcW w:w="6540" w:type="dxa"/>
            <w:vAlign w:val="bottom"/>
            <w:gridSpan w:val="2"/>
          </w:tcPr>
          <w:p>
            <w:pPr>
              <w:ind w:left="340"/>
              <w:spacing w:after="0"/>
              <w:rPr>
                <w:sz w:val="20"/>
                <w:szCs w:val="20"/>
                <w:color w:val="auto"/>
              </w:rPr>
            </w:pPr>
            <w:r>
              <w:rPr>
                <w:rFonts w:ascii="Times New Roman" w:cs="Times New Roman" w:eastAsia="Times New Roman" w:hAnsi="Times New Roman"/>
                <w:sz w:val="22"/>
                <w:szCs w:val="22"/>
                <w:b w:val="1"/>
                <w:bCs w:val="1"/>
                <w:color w:val="auto"/>
              </w:rPr>
              <w:t>IA</w:t>
            </w:r>
          </w:p>
        </w:tc>
      </w:tr>
      <w:tr>
        <w:trPr>
          <w:trHeight w:val="540"/>
        </w:trPr>
        <w:tc>
          <w:tcPr>
            <w:tcW w:w="6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5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Page 2 of 5 pages</w:t>
            </w:r>
          </w:p>
        </w:tc>
      </w:tr>
      <w:tr>
        <w:trPr>
          <w:trHeight w:val="147"/>
        </w:trPr>
        <w:tc>
          <w:tcPr>
            <w:tcW w:w="6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71"/>
        </w:trPr>
        <w:tc>
          <w:tcPr>
            <w:tcW w:w="660" w:type="dxa"/>
            <w:vAlign w:val="bottom"/>
            <w:shd w:val="clear" w:color="auto" w:fill="808080"/>
          </w:tcPr>
          <w:p>
            <w:pPr>
              <w:spacing w:after="0"/>
              <w:rPr>
                <w:sz w:val="6"/>
                <w:szCs w:val="6"/>
                <w:color w:val="auto"/>
              </w:rPr>
            </w:pPr>
          </w:p>
        </w:tc>
        <w:tc>
          <w:tcPr>
            <w:tcW w:w="4240" w:type="dxa"/>
            <w:vAlign w:val="bottom"/>
            <w:shd w:val="clear" w:color="auto" w:fill="808080"/>
          </w:tcPr>
          <w:p>
            <w:pPr>
              <w:spacing w:after="0"/>
              <w:rPr>
                <w:sz w:val="6"/>
                <w:szCs w:val="6"/>
                <w:color w:val="auto"/>
              </w:rPr>
            </w:pPr>
          </w:p>
        </w:tc>
        <w:tc>
          <w:tcPr>
            <w:tcW w:w="6520" w:type="dxa"/>
            <w:vAlign w:val="bottom"/>
            <w:shd w:val="clear" w:color="auto" w:fill="808080"/>
          </w:tcPr>
          <w:p>
            <w:pPr>
              <w:spacing w:after="0"/>
              <w:rPr>
                <w:sz w:val="6"/>
                <w:szCs w:val="6"/>
                <w:color w:val="auto"/>
              </w:rPr>
            </w:pPr>
          </w:p>
        </w:tc>
        <w:tc>
          <w:tcPr>
            <w:tcW w:w="20" w:type="dxa"/>
            <w:vAlign w:val="bottom"/>
          </w:tcPr>
          <w:p>
            <w:pPr>
              <w:spacing w:after="0"/>
              <w:rPr>
                <w:sz w:val="6"/>
                <w:szCs w:val="6"/>
                <w:color w:val="auto"/>
              </w:rPr>
            </w:pPr>
          </w:p>
        </w:tc>
      </w:tr>
      <w:tr>
        <w:trPr>
          <w:trHeight w:val="483"/>
        </w:trPr>
        <w:tc>
          <w:tcPr>
            <w:tcW w:w="660" w:type="dxa"/>
            <w:vAlign w:val="bottom"/>
            <w:tcBorders>
              <w:bottom w:val="single" w:sz="8" w:color="808080"/>
            </w:tcBorders>
          </w:tcPr>
          <w:p>
            <w:pPr>
              <w:spacing w:after="0"/>
              <w:rPr>
                <w:sz w:val="24"/>
                <w:szCs w:val="24"/>
                <w:color w:val="auto"/>
              </w:rPr>
            </w:pPr>
          </w:p>
        </w:tc>
        <w:tc>
          <w:tcPr>
            <w:tcW w:w="4240" w:type="dxa"/>
            <w:vAlign w:val="bottom"/>
            <w:tcBorders>
              <w:bottom w:val="single" w:sz="8" w:color="808080"/>
            </w:tcBorders>
          </w:tcPr>
          <w:p>
            <w:pPr>
              <w:spacing w:after="0"/>
              <w:rPr>
                <w:sz w:val="24"/>
                <w:szCs w:val="24"/>
                <w:color w:val="auto"/>
              </w:rPr>
            </w:pPr>
          </w:p>
        </w:tc>
        <w:tc>
          <w:tcPr>
            <w:tcW w:w="65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-1609090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-1172210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-1172210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261" w:right="2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481330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t xml:space="preserve">Item 1. </w:t>
      </w:r>
      <w:r>
        <w:rPr>
          <w:rFonts w:ascii="Times New Roman" w:cs="Times New Roman" w:eastAsia="Times New Roman" w:hAnsi="Times New Roman"/>
          <w:sz w:val="22"/>
          <w:szCs w:val="22"/>
          <w:color w:val="auto"/>
        </w:rPr>
        <w:t>(a) Name of Issuer</w:t>
      </w:r>
    </w:p>
    <w:p>
      <w:pPr>
        <w:spacing w:after="0" w:line="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Graham Holdings Co.</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 </w:t>
      </w:r>
      <w:r>
        <w:rPr>
          <w:rFonts w:ascii="Times New Roman" w:cs="Times New Roman" w:eastAsia="Times New Roman" w:hAnsi="Times New Roman"/>
          <w:sz w:val="22"/>
          <w:szCs w:val="22"/>
          <w:color w:val="auto"/>
        </w:rPr>
        <w:t>(b)Address of Issuer's Principal Executive Offices</w:t>
      </w:r>
    </w:p>
    <w:p>
      <w:pPr>
        <w:spacing w:after="0" w:line="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1300 North 17th Street, Suite 1700, Arlington VA 22209</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color w:val="auto"/>
        </w:rPr>
        <w:t>(a) Name of Person Filing</w:t>
      </w:r>
    </w:p>
    <w:p>
      <w:pPr>
        <w:spacing w:after="0" w:line="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Van Eck Associates Corporation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color w:val="auto"/>
        </w:rPr>
        <w:t>(b)Address of Principal Business Office or, if none, Residence</w:t>
      </w:r>
    </w:p>
    <w:p>
      <w:pPr>
        <w:spacing w:after="0" w:line="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666 Third Ave - 9th Fl, New York, New York 10017</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color w:val="auto"/>
        </w:rPr>
        <w:t>(c) Citizenship or Place of Organization:</w:t>
      </w:r>
    </w:p>
    <w:p>
      <w:pPr>
        <w:spacing w:after="0" w:line="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Delaware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color w:val="auto"/>
        </w:rPr>
        <w:t>(d)Title of Class of Securities</w:t>
      </w:r>
    </w:p>
    <w:p>
      <w:pPr>
        <w:spacing w:after="0" w:line="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Common Shares</w:t>
      </w:r>
    </w:p>
    <w:p>
      <w:pPr>
        <w:spacing w:after="0" w:line="217" w:lineRule="exact"/>
        <w:rPr>
          <w:sz w:val="20"/>
          <w:szCs w:val="20"/>
          <w:color w:val="auto"/>
        </w:rPr>
      </w:pPr>
    </w:p>
    <w:p>
      <w:pPr>
        <w:jc w:val="right"/>
        <w:ind w:right="8820"/>
        <w:spacing w:after="0"/>
        <w:rPr>
          <w:sz w:val="20"/>
          <w:szCs w:val="20"/>
          <w:color w:val="auto"/>
        </w:rPr>
      </w:pPr>
      <w:r>
        <w:rPr>
          <w:rFonts w:ascii="Times New Roman" w:cs="Times New Roman" w:eastAsia="Times New Roman" w:hAnsi="Times New Roman"/>
          <w:sz w:val="21"/>
          <w:szCs w:val="21"/>
          <w:b w:val="1"/>
          <w:bCs w:val="1"/>
          <w:color w:val="auto"/>
        </w:rPr>
        <w:t xml:space="preserve">Item 2. </w:t>
      </w:r>
      <w:r>
        <w:rPr>
          <w:rFonts w:ascii="Times New Roman" w:cs="Times New Roman" w:eastAsia="Times New Roman" w:hAnsi="Times New Roman"/>
          <w:sz w:val="21"/>
          <w:szCs w:val="21"/>
          <w:color w:val="auto"/>
        </w:rPr>
        <w:t>(e) CUSIP Number</w:t>
      </w:r>
    </w:p>
    <w:p>
      <w:pPr>
        <w:spacing w:after="0" w:line="45" w:lineRule="exact"/>
        <w:rPr>
          <w:sz w:val="20"/>
          <w:szCs w:val="20"/>
          <w:color w:val="auto"/>
        </w:rPr>
      </w:pPr>
    </w:p>
    <w:p>
      <w:pPr>
        <w:jc w:val="right"/>
        <w:ind w:right="8820"/>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2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(a)</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5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 Broker or dealer registered under section 15 of the Act (15 U.S.C. 78o).</w:t>
            </w:r>
          </w:p>
        </w:tc>
      </w:tr>
      <w:tr>
        <w:trPr>
          <w:trHeight w:val="486"/>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(b)</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5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 Bank as defined in section 3(a)(6) of the Act (15 U.S.C. 78c).</w:t>
            </w:r>
          </w:p>
        </w:tc>
      </w:tr>
      <w:tr>
        <w:trPr>
          <w:trHeight w:val="486"/>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9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tc>
      </w:tr>
      <w:tr>
        <w:trPr>
          <w:trHeight w:val="486"/>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(d)</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93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8"/>
              </w:rPr>
              <w:t>Investment company registered under section 8 of the Investment Company Act of 1940 (15 U.S.C 80a-8).</w:t>
            </w:r>
          </w:p>
        </w:tc>
      </w:tr>
    </w:tbl>
    <w:p>
      <w:pPr>
        <w:spacing w:after="0" w:line="204" w:lineRule="exact"/>
        <w:rPr>
          <w:sz w:val="20"/>
          <w:szCs w:val="20"/>
          <w:color w:val="auto"/>
        </w:rPr>
      </w:pPr>
    </w:p>
    <w:p>
      <w:pPr>
        <w:ind w:left="540" w:hanging="532"/>
        <w:spacing w:after="0"/>
        <w:tabs>
          <w:tab w:leader="none" w:pos="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13d-1(b)(1)(ii)(E);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(f)</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4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 An employee benefit plan or endowment fund in accordance with Rule 13d-1(b)(1)(ii)(F);</w:t>
            </w:r>
          </w:p>
        </w:tc>
      </w:tr>
      <w:tr>
        <w:trPr>
          <w:trHeight w:val="486"/>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(g)</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4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 A parent holding company or control person in accordance with Rule 13d-1(b)(1)(ii)(G);</w:t>
            </w:r>
          </w:p>
        </w:tc>
      </w:tr>
      <w:tr>
        <w:trPr>
          <w:trHeight w:val="486"/>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102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tc>
      </w:tr>
      <w:tr>
        <w:trPr>
          <w:trHeight w:val="474"/>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1026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8"/>
              </w:rPr>
              <w:t>A church plan that is excluded from the definition of an investment company under section 3(c)(14) of the Investment</w:t>
            </w:r>
          </w:p>
        </w:tc>
      </w:tr>
      <w:tr>
        <w:trPr>
          <w:trHeight w:val="283"/>
        </w:trPr>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Company Act of 1940 (15 U.S.C. 80a-3);</w:t>
            </w:r>
          </w:p>
        </w:tc>
      </w:tr>
    </w:tbl>
    <w:p>
      <w:pPr>
        <w:spacing w:after="0" w:line="204" w:lineRule="exact"/>
        <w:rPr>
          <w:sz w:val="20"/>
          <w:szCs w:val="20"/>
          <w:color w:val="auto"/>
        </w:rPr>
      </w:pPr>
    </w:p>
    <w:p>
      <w:pPr>
        <w:ind w:left="540" w:hanging="532"/>
        <w:spacing w:after="0"/>
        <w:tabs>
          <w:tab w:leader="none" w:pos="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13d-1(b)(1)(ii)(J).</w:t>
      </w:r>
    </w:p>
    <w:p>
      <w:pPr>
        <w:spacing w:after="0" w:line="2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0430" cy="450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455295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64" w:right="479" w:bottom="1440" w:gutter="0" w:footer="0" w:header="0"/>
        </w:sectPr>
      </w:pPr>
    </w:p>
    <w:bookmarkStart w:id="3" w:name="page4"/>
    <w:bookmarkEnd w:id="3"/>
    <w:p>
      <w:pPr>
        <w:spacing w:after="0"/>
        <w:tabs>
          <w:tab w:leader="none" w:pos="880" w:val="left"/>
        </w:tabs>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72" w:lineRule="exact"/>
        <w:rPr>
          <w:sz w:val="20"/>
          <w:szCs w:val="20"/>
          <w:color w:val="auto"/>
        </w:rPr>
      </w:pPr>
    </w:p>
    <w:p>
      <w:pPr>
        <w:ind w:left="1400" w:hanging="501"/>
        <w:spacing w:after="0"/>
        <w:tabs>
          <w:tab w:leader="none" w:pos="1400" w:val="left"/>
        </w:tabs>
        <w:numPr>
          <w:ilvl w:val="0"/>
          <w:numId w:val="7"/>
        </w:numPr>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1"/>
          <w:szCs w:val="21"/>
          <w:color w:val="auto"/>
        </w:rPr>
        <w:t xml:space="preserve">Amount beneficially owned: </w:t>
      </w:r>
      <w:r>
        <w:rPr>
          <w:rFonts w:ascii="Times New Roman" w:cs="Times New Roman" w:eastAsia="Times New Roman" w:hAnsi="Times New Roman"/>
          <w:sz w:val="21"/>
          <w:szCs w:val="21"/>
          <w:b w:val="1"/>
          <w:bCs w:val="1"/>
          <w:color w:val="auto"/>
        </w:rPr>
        <w:t>1,736,000 common shares</w:t>
      </w:r>
    </w:p>
    <w:p>
      <w:pPr>
        <w:spacing w:after="0" w:line="261" w:lineRule="exact"/>
        <w:rPr>
          <w:rFonts w:ascii="Times New Roman" w:cs="Times New Roman" w:eastAsia="Times New Roman" w:hAnsi="Times New Roman"/>
          <w:sz w:val="42"/>
          <w:szCs w:val="42"/>
          <w:color w:val="auto"/>
          <w:vertAlign w:val="superscript"/>
        </w:rPr>
      </w:pPr>
    </w:p>
    <w:p>
      <w:pPr>
        <w:ind w:left="1400" w:hanging="501"/>
        <w:spacing w:after="0"/>
        <w:tabs>
          <w:tab w:leader="none" w:pos="1400" w:val="left"/>
        </w:tabs>
        <w:numPr>
          <w:ilvl w:val="0"/>
          <w:numId w:val="7"/>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 xml:space="preserve">Percent of class: </w:t>
      </w:r>
      <w:r>
        <w:rPr>
          <w:rFonts w:ascii="Times New Roman" w:cs="Times New Roman" w:eastAsia="Times New Roman" w:hAnsi="Times New Roman"/>
          <w:sz w:val="22"/>
          <w:szCs w:val="22"/>
          <w:b w:val="1"/>
          <w:bCs w:val="1"/>
          <w:color w:val="auto"/>
        </w:rPr>
        <w:t>37.51%</w:t>
      </w:r>
    </w:p>
    <w:p>
      <w:pPr>
        <w:spacing w:after="0" w:line="261" w:lineRule="exact"/>
        <w:rPr>
          <w:rFonts w:ascii="Times New Roman" w:cs="Times New Roman" w:eastAsia="Times New Roman" w:hAnsi="Times New Roman"/>
          <w:sz w:val="43"/>
          <w:szCs w:val="43"/>
          <w:color w:val="auto"/>
          <w:vertAlign w:val="superscript"/>
        </w:rPr>
      </w:pPr>
    </w:p>
    <w:p>
      <w:pPr>
        <w:ind w:left="1400" w:hanging="501"/>
        <w:spacing w:after="0"/>
        <w:tabs>
          <w:tab w:leader="none" w:pos="1400" w:val="left"/>
        </w:tabs>
        <w:numPr>
          <w:ilvl w:val="0"/>
          <w:numId w:val="7"/>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400"/>
          </w:cols>
          <w:pgMar w:left="240" w:top="851" w:right="259" w:bottom="1440" w:gutter="0" w:footer="0" w:header="0"/>
        </w:sectPr>
      </w:pPr>
    </w:p>
    <w:p>
      <w:pPr>
        <w:spacing w:after="0" w:line="339" w:lineRule="exact"/>
        <w:rPr>
          <w:sz w:val="20"/>
          <w:szCs w:val="20"/>
          <w:color w:val="auto"/>
        </w:rPr>
      </w:pPr>
    </w:p>
    <w:p>
      <w:pPr>
        <w:ind w:left="1900"/>
        <w:spacing w:after="0"/>
        <w:tabs>
          <w:tab w:leader="none" w:pos="2520" w:val="left"/>
        </w:tabs>
        <w:rPr>
          <w:sz w:val="20"/>
          <w:szCs w:val="20"/>
          <w:color w:val="auto"/>
        </w:rPr>
      </w:pPr>
      <w:r>
        <w:rPr>
          <w:rFonts w:ascii="Times New Roman" w:cs="Times New Roman" w:eastAsia="Times New Roman" w:hAnsi="Times New Roman"/>
          <w:sz w:val="21"/>
          <w:szCs w:val="21"/>
          <w:color w:val="auto"/>
        </w:rPr>
        <w:t>(i)</w:t>
      </w:r>
      <w:r>
        <w:rPr>
          <w:sz w:val="20"/>
          <w:szCs w:val="20"/>
          <w:color w:val="auto"/>
        </w:rPr>
        <w:tab/>
      </w:r>
      <w:r>
        <w:rPr>
          <w:rFonts w:ascii="Times New Roman" w:cs="Times New Roman" w:eastAsia="Times New Roman" w:hAnsi="Times New Roman"/>
          <w:sz w:val="21"/>
          <w:szCs w:val="21"/>
          <w:color w:val="auto"/>
        </w:rPr>
        <w:t>Sole power to vote or to direct the vote</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1,736,000 common shares</w:t>
      </w:r>
    </w:p>
    <w:p>
      <w:pPr>
        <w:spacing w:after="0" w:line="204" w:lineRule="exact"/>
        <w:rPr>
          <w:sz w:val="20"/>
          <w:szCs w:val="20"/>
          <w:color w:val="auto"/>
        </w:rPr>
      </w:pPr>
    </w:p>
    <w:p>
      <w:pPr>
        <w:sectPr>
          <w:pgSz w:w="11900" w:h="16838" w:orient="portrait"/>
          <w:cols w:equalWidth="0" w:num="2">
            <w:col w:w="5900" w:space="340"/>
            <w:col w:w="5160"/>
          </w:cols>
          <w:pgMar w:left="240" w:top="851" w:right="259" w:bottom="1440" w:gutter="0" w:footer="0" w:header="0"/>
          <w:type w:val="continuous"/>
        </w:sectPr>
      </w:pPr>
    </w:p>
    <w:p>
      <w:pPr>
        <w:spacing w:after="0" w:line="45" w:lineRule="exact"/>
        <w:rPr>
          <w:sz w:val="20"/>
          <w:szCs w:val="20"/>
          <w:color w:val="auto"/>
        </w:rPr>
      </w:pPr>
    </w:p>
    <w:p>
      <w:pPr>
        <w:ind w:left="1900"/>
        <w:spacing w:after="0"/>
        <w:tabs>
          <w:tab w:leader="none" w:pos="2520" w:val="left"/>
        </w:tabs>
        <w:rPr>
          <w:sz w:val="20"/>
          <w:szCs w:val="20"/>
          <w:color w:val="auto"/>
        </w:rPr>
      </w:pPr>
      <w:r>
        <w:rPr>
          <w:rFonts w:ascii="Times New Roman" w:cs="Times New Roman" w:eastAsia="Times New Roman" w:hAnsi="Times New Roman"/>
          <w:sz w:val="21"/>
          <w:szCs w:val="21"/>
          <w:color w:val="auto"/>
        </w:rPr>
        <w:t>(ii)</w:t>
      </w:r>
      <w:r>
        <w:rPr>
          <w:sz w:val="20"/>
          <w:szCs w:val="20"/>
          <w:color w:val="auto"/>
        </w:rPr>
        <w:tab/>
      </w:r>
      <w:r>
        <w:rPr>
          <w:rFonts w:ascii="Times New Roman" w:cs="Times New Roman" w:eastAsia="Times New Roman" w:hAnsi="Times New Roman"/>
          <w:sz w:val="21"/>
          <w:szCs w:val="21"/>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None</w:t>
      </w:r>
    </w:p>
    <w:p>
      <w:pPr>
        <w:spacing w:after="0" w:line="204" w:lineRule="exact"/>
        <w:rPr>
          <w:sz w:val="20"/>
          <w:szCs w:val="20"/>
          <w:color w:val="auto"/>
        </w:rPr>
      </w:pPr>
    </w:p>
    <w:p>
      <w:pPr>
        <w:sectPr>
          <w:pgSz w:w="11900" w:h="16838" w:orient="portrait"/>
          <w:cols w:equalWidth="0" w:num="2">
            <w:col w:w="6120" w:space="320"/>
            <w:col w:w="4960"/>
          </w:cols>
          <w:pgMar w:left="240" w:top="851" w:right="259" w:bottom="1440" w:gutter="0" w:footer="0" w:header="0"/>
          <w:type w:val="continuous"/>
        </w:sectPr>
      </w:pPr>
    </w:p>
    <w:p>
      <w:pPr>
        <w:spacing w:after="0" w:line="45" w:lineRule="exact"/>
        <w:rPr>
          <w:sz w:val="20"/>
          <w:szCs w:val="20"/>
          <w:color w:val="auto"/>
        </w:rPr>
      </w:pPr>
    </w:p>
    <w:p>
      <w:pPr>
        <w:ind w:left="1900"/>
        <w:spacing w:after="0"/>
        <w:tabs>
          <w:tab w:leader="none" w:pos="2520" w:val="left"/>
        </w:tabs>
        <w:rPr>
          <w:sz w:val="20"/>
          <w:szCs w:val="20"/>
          <w:color w:val="auto"/>
        </w:rPr>
      </w:pPr>
      <w:r>
        <w:rPr>
          <w:rFonts w:ascii="Times New Roman" w:cs="Times New Roman" w:eastAsia="Times New Roman" w:hAnsi="Times New Roman"/>
          <w:sz w:val="21"/>
          <w:szCs w:val="21"/>
          <w:color w:val="auto"/>
        </w:rPr>
        <w:t>(iii)</w:t>
      </w:r>
      <w:r>
        <w:rPr>
          <w:sz w:val="20"/>
          <w:szCs w:val="20"/>
          <w:color w:val="auto"/>
        </w:rPr>
        <w:tab/>
      </w:r>
      <w:r>
        <w:rPr>
          <w:rFonts w:ascii="Times New Roman" w:cs="Times New Roman" w:eastAsia="Times New Roman" w:hAnsi="Times New Roman"/>
          <w:sz w:val="21"/>
          <w:szCs w:val="21"/>
          <w:color w:val="auto"/>
        </w:rPr>
        <w:t>Sole power to dispose or to direct the disposition of</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1,736,000 common shares</w:t>
      </w:r>
    </w:p>
    <w:p>
      <w:pPr>
        <w:spacing w:after="0" w:line="204" w:lineRule="exact"/>
        <w:rPr>
          <w:sz w:val="20"/>
          <w:szCs w:val="20"/>
          <w:color w:val="auto"/>
        </w:rPr>
      </w:pPr>
    </w:p>
    <w:p>
      <w:pPr>
        <w:sectPr>
          <w:pgSz w:w="11900" w:h="16838" w:orient="portrait"/>
          <w:cols w:equalWidth="0" w:num="2">
            <w:col w:w="7000" w:space="100"/>
            <w:col w:w="4300"/>
          </w:cols>
          <w:pgMar w:left="240" w:top="851" w:right="259" w:bottom="1440" w:gutter="0" w:footer="0" w:header="0"/>
          <w:type w:val="continuous"/>
        </w:sectPr>
      </w:pPr>
    </w:p>
    <w:p>
      <w:pPr>
        <w:spacing w:after="0" w:line="45" w:lineRule="exact"/>
        <w:rPr>
          <w:sz w:val="20"/>
          <w:szCs w:val="20"/>
          <w:color w:val="auto"/>
        </w:rPr>
      </w:pPr>
    </w:p>
    <w:p>
      <w:pPr>
        <w:ind w:left="1900"/>
        <w:spacing w:after="0"/>
        <w:tabs>
          <w:tab w:leader="none" w:pos="2520" w:val="left"/>
        </w:tabs>
        <w:rPr>
          <w:sz w:val="20"/>
          <w:szCs w:val="20"/>
          <w:color w:val="auto"/>
        </w:rPr>
      </w:pPr>
      <w:r>
        <w:rPr>
          <w:rFonts w:ascii="Times New Roman" w:cs="Times New Roman" w:eastAsia="Times New Roman" w:hAnsi="Times New Roman"/>
          <w:sz w:val="21"/>
          <w:szCs w:val="21"/>
          <w:color w:val="auto"/>
        </w:rPr>
        <w:t>(iv)</w:t>
      </w:r>
      <w:r>
        <w:rPr>
          <w:sz w:val="20"/>
          <w:szCs w:val="20"/>
          <w:color w:val="auto"/>
        </w:rPr>
        <w:tab/>
      </w:r>
      <w:r>
        <w:rPr>
          <w:rFonts w:ascii="Times New Roman" w:cs="Times New Roman" w:eastAsia="Times New Roman" w:hAnsi="Times New Roman"/>
          <w:sz w:val="21"/>
          <w:szCs w:val="21"/>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None</w:t>
      </w:r>
    </w:p>
    <w:p>
      <w:pPr>
        <w:spacing w:after="0" w:line="204" w:lineRule="exact"/>
        <w:rPr>
          <w:sz w:val="20"/>
          <w:szCs w:val="20"/>
          <w:color w:val="auto"/>
        </w:rPr>
      </w:pPr>
    </w:p>
    <w:p>
      <w:pPr>
        <w:sectPr>
          <w:pgSz w:w="11900" w:h="16838" w:orient="portrait"/>
          <w:cols w:equalWidth="0" w:num="2">
            <w:col w:w="7200" w:space="340"/>
            <w:col w:w="3860"/>
          </w:cols>
          <w:pgMar w:left="240" w:top="851" w:right="259" w:bottom="1440" w:gutter="0" w:footer="0" w:header="0"/>
          <w:type w:val="continuous"/>
        </w:sectPr>
      </w:pPr>
    </w:p>
    <w:p>
      <w:pPr>
        <w:spacing w:after="0" w:line="4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a Class</w:t>
      </w:r>
    </w:p>
    <w:p>
      <w:pPr>
        <w:spacing w:after="0" w:line="34" w:lineRule="exact"/>
        <w:rPr>
          <w:sz w:val="20"/>
          <w:szCs w:val="20"/>
          <w:color w:val="auto"/>
        </w:rPr>
      </w:pPr>
    </w:p>
    <w:p>
      <w:pPr>
        <w:ind w:left="900" w:right="680"/>
        <w:spacing w:after="0" w:line="272"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3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34" w:lineRule="exact"/>
        <w:rPr>
          <w:sz w:val="20"/>
          <w:szCs w:val="20"/>
          <w:color w:val="auto"/>
        </w:rPr>
      </w:pPr>
    </w:p>
    <w:p>
      <w:pPr>
        <w:ind w:left="900" w:right="100"/>
        <w:spacing w:after="0" w:line="264" w:lineRule="auto"/>
        <w:rPr>
          <w:sz w:val="20"/>
          <w:szCs w:val="20"/>
          <w:color w:val="auto"/>
        </w:rPr>
      </w:pPr>
      <w:r>
        <w:rPr>
          <w:rFonts w:ascii="Times New Roman" w:cs="Times New Roman" w:eastAsia="Times New Roman" w:hAnsi="Times New Roman"/>
          <w:sz w:val="22"/>
          <w:szCs w:val="22"/>
          <w:color w:val="auto"/>
        </w:rPr>
        <w:t>The VanEck Vectors Fallen Angel High Yield Bond ETF, an investment company registered under the Investment Company Act of 1940, has the right to receive dividends and proceeds from the sale of 1,736,000 of the shares reported by Van Eck Associates Corp., respectively.</w:t>
      </w:r>
    </w:p>
    <w:p>
      <w:pPr>
        <w:spacing w:after="0" w:line="175" w:lineRule="exact"/>
        <w:rPr>
          <w:sz w:val="20"/>
          <w:szCs w:val="20"/>
          <w:color w:val="auto"/>
        </w:rPr>
      </w:pPr>
    </w:p>
    <w:p>
      <w:pPr>
        <w:ind w:left="900" w:right="80" w:hanging="890"/>
        <w:spacing w:after="0" w:line="264" w:lineRule="auto"/>
        <w:tabs>
          <w:tab w:leader="none" w:pos="88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ind w:left="9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17" w:lineRule="exact"/>
        <w:rPr>
          <w:sz w:val="20"/>
          <w:szCs w:val="20"/>
          <w:color w:val="auto"/>
        </w:rPr>
      </w:pPr>
    </w:p>
    <w:p>
      <w:pPr>
        <w:ind w:left="900" w:right="5140" w:hanging="890"/>
        <w:spacing w:after="0" w:line="288" w:lineRule="auto"/>
        <w:tabs>
          <w:tab w:leader="none" w:pos="880" w:val="left"/>
        </w:tabs>
        <w:rPr>
          <w:sz w:val="20"/>
          <w:szCs w:val="20"/>
          <w:color w:val="auto"/>
        </w:rPr>
      </w:pPr>
      <w:r>
        <w:rPr>
          <w:rFonts w:ascii="Times New Roman" w:cs="Times New Roman" w:eastAsia="Times New Roman" w:hAnsi="Times New Roman"/>
          <w:sz w:val="22"/>
          <w:szCs w:val="22"/>
          <w:b w:val="1"/>
          <w:bCs w:val="1"/>
          <w:color w:val="auto"/>
        </w:rPr>
        <w:t>Item 8.</w:t>
        <w:tab/>
        <w:t xml:space="preserve">Identification and Classification of Members of the Group </w:t>
      </w:r>
      <w:r>
        <w:rPr>
          <w:rFonts w:ascii="Times New Roman" w:cs="Times New Roman" w:eastAsia="Times New Roman" w:hAnsi="Times New Roman"/>
          <w:sz w:val="22"/>
          <w:szCs w:val="22"/>
          <w:color w:val="auto"/>
        </w:rPr>
        <w:t>Not applicable.</w:t>
      </w:r>
    </w:p>
    <w:p>
      <w:pPr>
        <w:spacing w:after="0" w:line="14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3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00"/>
        <w:spacing w:after="0" w:line="26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Page 4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7250430" cy="450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626745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51" w:right="259" w:bottom="1440" w:gutter="0" w:footer="0" w:header="0"/>
          <w:type w:val="continuous"/>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t>SIGNATURE</w:t>
      </w:r>
    </w:p>
    <w:p>
      <w:pPr>
        <w:spacing w:after="0" w:line="2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1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April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217170</wp:posOffset>
            </wp:positionV>
            <wp:extent cx="43649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22"/>
          <w:szCs w:val="22"/>
          <w:color w:val="auto"/>
        </w:rPr>
        <w:t>Date</w:t>
      </w:r>
    </w:p>
    <w:p>
      <w:pPr>
        <w:spacing w:after="0" w:line="229"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2"/>
          <w:szCs w:val="22"/>
          <w:i w:val="1"/>
          <w:iCs w:val="1"/>
          <w:color w:val="auto"/>
        </w:rPr>
        <w:t>/S/ James L.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90805</wp:posOffset>
            </wp:positionV>
            <wp:extent cx="43649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325"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22"/>
          <w:szCs w:val="22"/>
          <w:color w:val="auto"/>
        </w:rPr>
        <w:t>Signature</w:t>
      </w:r>
    </w:p>
    <w:p>
      <w:pPr>
        <w:spacing w:after="0" w:line="30"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22"/>
          <w:szCs w:val="22"/>
          <w:color w:val="auto"/>
        </w:rPr>
        <w:t>James L. Parker, Assistant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80645</wp:posOffset>
            </wp:positionV>
            <wp:extent cx="43649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22"/>
          <w:szCs w:val="22"/>
          <w:color w:val="auto"/>
        </w:rPr>
        <w:t>Name/Title</w:t>
      </w:r>
    </w:p>
    <w:p>
      <w:pPr>
        <w:spacing w:after="0" w:line="200" w:lineRule="exact"/>
        <w:rPr>
          <w:sz w:val="20"/>
          <w:szCs w:val="20"/>
          <w:color w:val="auto"/>
        </w:rPr>
      </w:pPr>
    </w:p>
    <w:p>
      <w:pPr>
        <w:spacing w:after="0" w:line="35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2"/>
          <w:szCs w:val="22"/>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this signature.</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5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0430" cy="450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360"/>
      </w:cols>
      <w:pgMar w:left="240" w:top="90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1."/>
      <w:numFmt w:val="decimal"/>
      <w:start w:val="9"/>
    </w:lvl>
  </w:abstractNum>
  <w:abstractNum w:abstractNumId="4">
    <w:nsid w:val="507ED7AB"/>
    <w:multiLevelType w:val="hybridMultilevel"/>
    <w:lvl w:ilvl="0">
      <w:lvlJc w:val="left"/>
      <w:lvlText w:val="(%1)"/>
      <w:numFmt w:val="lowerLetter"/>
      <w:start w:val="5"/>
    </w:lvl>
  </w:abstractNum>
  <w:abstractNum w:abstractNumId="5">
    <w:nsid w:val="2EB141F2"/>
    <w:multiLevelType w:val="hybridMultilevel"/>
    <w:lvl w:ilvl="0">
      <w:lvlJc w:val="left"/>
      <w:lvlText w:val="(%1)"/>
      <w:numFmt w:val="lowerLetter"/>
      <w:start w:val="10"/>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2019-12-05T08:11:28Z</dcterms:created>
  <dcterms:modified xsi:type="dcterms:W3CDTF">2019-12-05T08:11:28Z</dcterms:modified>
</cp:coreProperties>
</file>