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April 30,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30, 2025, Graham Holdings Company issued a press release announcing the Company’s earnings for the first quarter ended March 31, 2025.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79" w:right="9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April 30, 2025.</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30, 2025</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first quarter of 2025. The Company also filed its Form 10-Q today for the quarter ended March 31, 2025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2025 was $1,165.9 million, up 1% from $1,152.7 million in the first quarter of 2024. Revenues increased at</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education, healthcare and other businesses, partially offset by declines at television broadcasting, manufacturing and automotive. The Company reported operating income of $47.5 million for the first quarter of 2025, compared to $35.4 million for the first quarter of 2024. The</w:t>
      </w:r>
    </w:p>
    <w:p>
      <w:pPr>
        <w:spacing w:after="0" w:line="236" w:lineRule="auto"/>
        <w:rPr>
          <w:sz w:val="20"/>
          <w:szCs w:val="20"/>
          <w:color w:val="auto"/>
        </w:rPr>
      </w:pPr>
      <w:r>
        <w:rPr>
          <w:rFonts w:ascii="Arial" w:cs="Arial" w:eastAsia="Arial" w:hAnsi="Arial"/>
          <w:sz w:val="18"/>
          <w:szCs w:val="18"/>
          <w:color w:val="auto"/>
        </w:rPr>
        <w:t>improvement in operating results is due to increases at education, manufacturing and healthcare, partially offset by declines at television</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broadcasting, automotive and other businesses. The Company reported adjusted operating cash flow (non-GAAP) of $88.0 million for the first quarter of 2025, compared to $82.8 million for the first quarter of 2024. Adjusted operating cash flow improved at education,</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manufacturing and healthcare, partially offset by declines at television broadcasting, automotive and other businesses. Capital expenditures totaled $14.1 million and $21.5 million for the first quarter of 2025 and 2024,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business acquisitions or dispositions during the first three months of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2025, the Company had $864.6 million in borrowings outstanding at an average interest rate of 6.0%, including $184.7 million</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outstanding on its $300 million revolving credit facility. Cash, marketable equity securities and other investments totaled $1,114.7 million at March 31, 2025.</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Overall, the Company recognized $43.8 million and $104.2 million in net gains on marketable equity securities in the first quarter of 2025 and 2024,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2025, the Company purchased a total of 3,978 shares of its Class B common stock at a cost of $3.5 million. At</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March 31, 2025, there were 4,360,207 shares outstanding. On September 12, 2024, the Board of Directors authorized the Company to acquire up to 500,000 shares of its Class B common stock; the Company has remaining authorization for 462,482 shares as of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Mandatorily Redeemable Noncontrolling Interest</w:t>
      </w:r>
    </w:p>
    <w:p>
      <w:pPr>
        <w:spacing w:after="0" w:line="14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Company recorded interest expense of $66.4 million and $1.9 million in the first quarter of 2025 and 2024, respectively, to adjust the fair value of the mandatorily redeemable noncontrolling interest at Graham Healthcare Group (GHG). The significant adjustment recorded in the first quarter of 2025 is largely related to a substantial increase in the estimated fair value of CSI Pharmacy Holding Company, LLC (CSI).</w:t>
      </w:r>
    </w:p>
    <w:p>
      <w:pPr>
        <w:spacing w:after="0" w:line="101"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for a total of $205 million, which consisted of approximately $186.25 million in cash and</w:t>
      </w:r>
    </w:p>
    <w:p>
      <w:pPr>
        <w:ind w:right="660"/>
        <w:spacing w:after="0" w:line="237" w:lineRule="auto"/>
        <w:rPr>
          <w:sz w:val="20"/>
          <w:szCs w:val="20"/>
          <w:color w:val="auto"/>
        </w:rPr>
      </w:pPr>
      <w:r>
        <w:rPr>
          <w:rFonts w:ascii="Arial" w:cs="Arial" w:eastAsia="Arial" w:hAnsi="Arial"/>
          <w:sz w:val="18"/>
          <w:szCs w:val="18"/>
          <w:color w:val="auto"/>
        </w:rPr>
        <w:t>$18.75 million in Graham Holdings Company Class B common stock. Refer to Notes 2, 7 and 8 in the Company’s 2025 10-Q filing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reported net income attributable to common shares of $23.9 million ($5.45 per share) for the first quarter of 2025, compared to $124.4 million ($27.72 per share) for the first quarter of 2024.</w:t>
      </w:r>
    </w:p>
    <w:p>
      <w:pPr>
        <w:spacing w:after="0" w:line="1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results for the first quarter of 2025 and 2024 were affected by a number of items as described in the Non-GAAP Financial Information schedule attached to this release. Excluding these items, net income attributable to common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140"/>
        <w:spacing w:after="0" w:line="271" w:lineRule="auto"/>
        <w:rPr>
          <w:sz w:val="20"/>
          <w:szCs w:val="20"/>
          <w:color w:val="auto"/>
        </w:rPr>
      </w:pPr>
      <w:r>
        <w:rPr>
          <w:rFonts w:ascii="Arial" w:cs="Arial" w:eastAsia="Arial" w:hAnsi="Arial"/>
          <w:sz w:val="18"/>
          <w:szCs w:val="18"/>
          <w:color w:val="auto"/>
        </w:rPr>
        <w:t>shares was $51.0 million ($11.64 per share) for the first quarter of 2025, compared to $50.4 million ($11.24 per share) for the first quarter of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this press release, in the Company’s Annual Report on Form 10-K and in the Company’s 2024 Annual Report to Stockholders, are “forward-looking statements” within the meaning of the Private Securities Litigation Reform Act of 1995. Forward-looking statements are based 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w:t>
      </w:r>
    </w:p>
    <w:p>
      <w:pPr>
        <w:spacing w:after="0" w:line="7"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 dispositions or related business activities, the Company’s business strategies and objectives, the prospects for growth in the Company’s</w:t>
      </w:r>
    </w:p>
    <w:p>
      <w:pPr>
        <w:spacing w:after="0" w:line="236" w:lineRule="auto"/>
        <w:rPr>
          <w:sz w:val="20"/>
          <w:szCs w:val="20"/>
          <w:color w:val="auto"/>
        </w:rPr>
      </w:pPr>
      <w:r>
        <w:rPr>
          <w:rFonts w:ascii="Arial" w:cs="Arial" w:eastAsia="Arial" w:hAnsi="Arial"/>
          <w:sz w:val="18"/>
          <w:szCs w:val="18"/>
          <w:color w:val="auto"/>
        </w:rPr>
        <w:t>various business operations, the Company’s future financial performance, and the risks and uncertainties described in Item 1A of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 behalf of the Company. The Company assumes no obligation to update any forward-looking statement after the date on which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 is made, even if new information subsequently becomes available.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39" w:right="379" w:bottom="1440" w:gutter="0" w:footer="0" w:header="0"/>
        </w:sectPr>
      </w:pPr>
    </w:p>
    <w:bookmarkStart w:id="6" w:name="page7"/>
    <w:bookmarkEnd w:id="6"/>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1,165,915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1,152,662</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1,090,064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1,083,942</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20,554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22,527</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7,824</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47,473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35,442</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1"/>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(8,428)</w:t>
            </w:r>
          </w:p>
        </w:tc>
        <w:tc>
          <w:tcPr>
            <w:tcW w:w="3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2,331</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2,500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2,178</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(82,277)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(19,328)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34,617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42,417</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43,801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104,152</w:t>
            </w: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33,621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168,839</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7,900</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43,500</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25,721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125,339</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23,894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124,380</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27.87</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4,320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27.72</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4,358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424,731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422,598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103,554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113,058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98,005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101,903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173,741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128,201</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280,991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303,840</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84,897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83,298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620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1,165,915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1,152,662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384,698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392,011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79,156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83,425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92,525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98,834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155,424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122,110</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274,499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294,188</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116,135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112,252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16,629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15,212</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1,118,442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1,117,220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40,033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30,587</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24,398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29,633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5,480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3,069</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18,317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6,091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6,492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9,652</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(31,238)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(28,954)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(16,009)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(14,636)</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47,473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35,442</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8"/>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2,119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2,974</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3,120</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636</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7,824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 before Amortization of Intangible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42,152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33,561</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25,758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30,983</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7,911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6,189</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18,435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6,497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9,652</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(29,447)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(26,283)</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(16,009)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(14,636)</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55,297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46,193</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93"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7,764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9,305</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2,628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1,786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1,594</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1,729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3,789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20,554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4,223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4,110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1,419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1,076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627</w:t>
            </w: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2,999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4,758</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1,716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12,192</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54,139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46,976</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29,805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35,490</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11,690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9,531</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23,220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13,079</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8,253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11,380</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(23,942)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(20,160)</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(15,122)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88,043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8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plus Depreciation Expense and Pension Expense.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261,256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269,798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88,487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80,122</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75,403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72,122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424,731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422,598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231,194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238,486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75,680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74,603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69,435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67,542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6,660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10,173</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2,119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2,974</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384,698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392,011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30,062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31,312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12,807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5,968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(6,648)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(2,974)</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40,033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30,587</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 before Amortization of Intangible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30,062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31,312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12,807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5,968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(6,648)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42,152</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33,561</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6,549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7,356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456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903</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753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1,019</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7,764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9,305</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140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1,808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1,887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388</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4,223</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36,751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38,831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15,071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8,203</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8,608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7,417</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(6,254)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(7,210)</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54,139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46,976</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8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plus Depreciation Expense and Pension Expense.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864"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93" w:right="339" w:bottom="864"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03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33,621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7,900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25,721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168,839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43,500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125,339</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(1,827)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23,894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124,380</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624</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160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464</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418</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66,407</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16,035</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50,372</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1,876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1,781</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(43,801)</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(11,231)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(32,570)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(104,152)</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(26,668)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(77,484)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11,910</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3,054</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8,856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1,486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380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1,106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of a cost method</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investment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406</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104</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51,016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50,396</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27.72</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0.11</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11.49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(7.43)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of a cost method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investment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2025-04-30T07:41:05Z</dcterms:created>
  <dcterms:modified xsi:type="dcterms:W3CDTF">2025-04-30T07:41:05Z</dcterms:modified>
</cp:coreProperties>
</file>