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Post Co.</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Common Stock -</w:t>
      </w:r>
      <w:r>
        <w:rPr>
          <w:sz w:val="20"/>
          <w:szCs w:val="20"/>
          <w:color w:val="auto"/>
        </w:rPr>
        <w:tab/>
      </w:r>
      <w:r>
        <w:rPr>
          <w:rFonts w:ascii="Courier New" w:cs="Courier New" w:eastAsia="Courier New" w:hAnsi="Courier New"/>
          <w:sz w:val="16"/>
          <w:szCs w:val="16"/>
          <w:color w:val="auto"/>
        </w:rPr>
        <w:t>Class B, par value $1</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939640108</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Franklin Mutual Advisers, LLC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4"/>
          <w:szCs w:val="24"/>
          <w:color w:val="auto"/>
        </w:rPr>
      </w:pPr>
    </w:p>
    <w:p>
      <w:pPr>
        <w:spacing w:after="0" w:line="209" w:lineRule="exact"/>
        <w:rPr>
          <w:sz w:val="24"/>
          <w:szCs w:val="24"/>
          <w:color w:val="auto"/>
        </w:rPr>
      </w:pPr>
    </w:p>
    <w:p>
      <w:pPr>
        <w:ind w:left="1380" w:right="6839" w:hanging="740"/>
        <w:spacing w:after="0" w:line="536" w:lineRule="auto"/>
        <w:tabs>
          <w:tab w:leader="none" w:pos="1275"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579,324(See Item 4)</w:t>
      </w:r>
    </w:p>
    <w:p>
      <w:pPr>
        <w:ind w:left="1280" w:hanging="640"/>
        <w:spacing w:after="0"/>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center"/>
        <w:ind w:left="1380" w:right="6639" w:hanging="740"/>
        <w:spacing w:after="0" w:line="536" w:lineRule="auto"/>
        <w:tabs>
          <w:tab w:leader="none" w:pos="1275"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579,324 (See Item 4)</w:t>
      </w:r>
    </w:p>
    <w:p>
      <w:pPr>
        <w:ind w:left="1280" w:hanging="640"/>
        <w:spacing w:after="0"/>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579,324</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7.5%</w:t>
      </w:r>
    </w:p>
    <w:p>
      <w:pPr>
        <w:sectPr>
          <w:pgSz w:w="11900" w:h="16838" w:orient="portrait"/>
          <w:cols w:equalWidth="0" w:num="1">
            <w:col w:w="10219"/>
          </w:cols>
          <w:pgMar w:left="240" w:top="244" w:right="1440" w:bottom="0" w:gutter="0" w:footer="0" w:header="0"/>
        </w:sectPr>
      </w:pPr>
    </w:p>
    <w:bookmarkStart w:id="1" w:name="page2"/>
    <w:bookmarkEnd w:id="1"/>
    <w:p>
      <w:pPr>
        <w:ind w:left="640" w:right="705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540" w:right="7679" w:hanging="532"/>
        <w:spacing w:after="0" w:line="536"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Washington Post Co.</w:t>
      </w: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7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1150 15th Street NW Washington, DC 20071</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Mutual Advisers, LLC</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6" w:lineRule="exact"/>
        <w:rPr>
          <w:rFonts w:ascii="Courier New" w:cs="Courier New" w:eastAsia="Courier New" w:hAnsi="Courier New"/>
          <w:sz w:val="18"/>
          <w:szCs w:val="18"/>
          <w:color w:val="auto"/>
        </w:rPr>
      </w:pPr>
    </w:p>
    <w:p>
      <w:pPr>
        <w:ind w:left="1280" w:right="6199" w:hanging="73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51 John F. Kennedy Parkway Short Hills, NJ 07078</w:t>
      </w:r>
    </w:p>
    <w:p>
      <w:pPr>
        <w:spacing w:after="0" w:line="208" w:lineRule="exact"/>
        <w:rPr>
          <w:rFonts w:ascii="Courier New" w:cs="Courier New" w:eastAsia="Courier New" w:hAnsi="Courier New"/>
          <w:sz w:val="18"/>
          <w:szCs w:val="18"/>
          <w:color w:val="auto"/>
        </w:rPr>
      </w:pPr>
    </w:p>
    <w:p>
      <w:pPr>
        <w:ind w:left="540" w:right="577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 (i): Delaware</w:t>
      </w:r>
    </w:p>
    <w:p>
      <w:pPr>
        <w:spacing w:after="0" w:line="6" w:lineRule="exact"/>
        <w:rPr>
          <w:rFonts w:ascii="Courier New" w:cs="Courier New" w:eastAsia="Courier New" w:hAnsi="Courier New"/>
          <w:sz w:val="18"/>
          <w:szCs w:val="18"/>
          <w:color w:val="auto"/>
        </w:rPr>
      </w:pPr>
    </w:p>
    <w:p>
      <w:pPr>
        <w:ind w:left="640" w:hanging="527"/>
        <w:spacing w:after="0"/>
        <w:tabs>
          <w:tab w:leader="none" w:pos="6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Common Stock -</w:t>
      </w:r>
      <w:r>
        <w:rPr>
          <w:sz w:val="20"/>
          <w:szCs w:val="20"/>
          <w:color w:val="auto"/>
        </w:rPr>
        <w:tab/>
      </w:r>
      <w:r>
        <w:rPr>
          <w:rFonts w:ascii="Courier New" w:cs="Courier New" w:eastAsia="Courier New" w:hAnsi="Courier New"/>
          <w:sz w:val="16"/>
          <w:szCs w:val="16"/>
          <w:color w:val="auto"/>
        </w:rPr>
        <w:t>Class B, par value $1</w:t>
      </w:r>
    </w:p>
    <w:p>
      <w:pPr>
        <w:spacing w:after="0" w:line="207" w:lineRule="exact"/>
        <w:rPr>
          <w:sz w:val="20"/>
          <w:szCs w:val="20"/>
          <w:color w:val="auto"/>
        </w:rPr>
      </w:pPr>
    </w:p>
    <w:p>
      <w:pPr>
        <w:ind w:left="540" w:right="8319" w:hanging="532"/>
        <w:spacing w:after="0" w:line="55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939640108</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Franklin Mutual Advisers, LLC</w:t>
      </w:r>
    </w:p>
    <w:p>
      <w:pPr>
        <w:ind w:left="2000" w:hanging="517"/>
        <w:spacing w:after="0" w:line="238" w:lineRule="auto"/>
        <w:tabs>
          <w:tab w:leader="none" w:pos="20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securities reported on herein are beneficially owned by one or more open-end investment companies or other managed accounts which, pursuant to advisory contracts, are advised by Franklin Mutual Advisers, LLC ("FMA"), formerly Franklin Mutual Advisers, Inc., an indirect wholly owned subsidiary of Franklin Resources, Inc. ("FRI"). Such advisory contracts grant to FMA all investment and voting power over the securities owned by such advisory clients. Therefore, FMA may be deemed to be, for purposes of Rule 13d-3 under the Securities Exchange Act of 1934, the beneficial owner of the securities covered by this statement.</w:t>
      </w:r>
    </w:p>
    <w:p>
      <w:pPr>
        <w:spacing w:after="0" w:line="18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FMA are exercised independently from FRI, its parent holding company, and from all other investment advisor subsidiaries of FRI (FRI, its affiliates and investment advisor subsidiaries other than FMA are collectively referred to herein as FRI affiliates). Furthermore, FMA and FRI internal policies and procedures establish informational barriers that prevent the flow between FMA and the FRI affiliates of information that relates to the voting and investment powers over the securities owned by their respective advisory clients. Consequently, FMA and the FRI affiliates each report the securities over which they hold investment and voting power separately from each other.</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However, because FMA exercises voting and investment powers on behalf of its advisory clients independently of FRI, the Principal Shareholders, and their respective affiliates, beneficial ownership of the securities being reported by FMA is being attributed only to FMA. FMA disclaims any economic interest or beneficial ownership in any of the securities covered by this statement.</w:t>
      </w:r>
    </w:p>
    <w:p>
      <w:pPr>
        <w:sectPr>
          <w:pgSz w:w="11900" w:h="16838" w:orient="portrait"/>
          <w:cols w:equalWidth="0" w:num="1">
            <w:col w:w="10219"/>
          </w:cols>
          <w:pgMar w:left="240" w:top="142" w:right="1440" w:bottom="0" w:gutter="0" w:footer="0" w:header="0"/>
        </w:sectPr>
      </w:pPr>
    </w:p>
    <w:bookmarkStart w:id="2" w:name="page3"/>
    <w:bookmarkEnd w:id="2"/>
    <w:p>
      <w:pPr>
        <w:ind w:right="1779"/>
        <w:spacing w:after="0" w:line="237" w:lineRule="auto"/>
        <w:rPr>
          <w:sz w:val="20"/>
          <w:szCs w:val="20"/>
          <w:color w:val="auto"/>
        </w:rPr>
      </w:pPr>
      <w:r>
        <w:rPr>
          <w:rFonts w:ascii="Courier New" w:cs="Courier New" w:eastAsia="Courier New" w:hAnsi="Courier New"/>
          <w:sz w:val="18"/>
          <w:szCs w:val="18"/>
          <w:color w:val="auto"/>
        </w:rPr>
        <w:t>Furthermore, FMA is of the view that it is not acting as a "group" with FRI, the Principal Shareholders, or their respective affiliates for purposes of Section 13(d) under the 1934 Act and that none of them are otherwise required to attribute to each other the "beneficial ownership" of securities held by any of them or by any persons or entities advised by FRI subsidiaries.</w:t>
      </w:r>
    </w:p>
    <w:p>
      <w:pPr>
        <w:spacing w:after="0" w:line="209" w:lineRule="exact"/>
        <w:rPr>
          <w:sz w:val="20"/>
          <w:szCs w:val="20"/>
          <w:color w:val="auto"/>
        </w:rPr>
      </w:pPr>
    </w:p>
    <w:p>
      <w:pPr>
        <w:ind w:left="960" w:right="6739" w:hanging="636"/>
        <w:spacing w:after="0" w:line="470" w:lineRule="auto"/>
        <w:tabs>
          <w:tab w:leader="none" w:pos="74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579,324</w:t>
      </w:r>
    </w:p>
    <w:p>
      <w:pPr>
        <w:spacing w:after="0" w:line="6"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40" w:hanging="416"/>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Mutual Advisers, LLC:</w:t>
      </w:r>
      <w:r>
        <w:rPr>
          <w:rFonts w:ascii="Courier New" w:cs="Courier New" w:eastAsia="Courier New" w:hAnsi="Courier New"/>
          <w:sz w:val="16"/>
          <w:szCs w:val="16"/>
          <w:color w:val="auto"/>
        </w:rPr>
        <w:t>579,324</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Mutual Advisers, LLC:</w:t>
      </w:r>
      <w:r>
        <w:rPr>
          <w:rFonts w:ascii="Courier New" w:cs="Courier New" w:eastAsia="Courier New" w:hAnsi="Courier New"/>
          <w:sz w:val="16"/>
          <w:szCs w:val="16"/>
          <w:color w:val="auto"/>
        </w:rPr>
        <w:t>579,324</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clients of Franklin Mutual Advisers, LLC, including investment companies registered under the Investment Company Act of 1940 and other managed accounts, have the right to receive dividends from as well as the proceeds from the sale of such securities reported on in this statement.</w:t>
      </w:r>
    </w:p>
    <w:p>
      <w:pPr>
        <w:spacing w:after="0" w:line="200" w:lineRule="exact"/>
        <w:rPr>
          <w:sz w:val="20"/>
          <w:szCs w:val="20"/>
          <w:color w:val="auto"/>
        </w:rPr>
      </w:pPr>
    </w:p>
    <w:p>
      <w:pPr>
        <w:spacing w:after="0" w:line="2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ectPr>
          <w:pgSz w:w="11900" w:h="16838" w:orient="portrait"/>
          <w:cols w:equalWidth="0" w:num="1">
            <w:col w:w="10219"/>
          </w:cols>
          <w:pgMar w:left="240" w:top="344" w:right="1440" w:bottom="0" w:gutter="0" w:footer="0" w:header="0"/>
        </w:sectPr>
      </w:pPr>
    </w:p>
    <w:bookmarkStart w:id="3" w:name="page4"/>
    <w:bookmarkEnd w:id="3"/>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our knowledge and belief, we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22,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Mutual Advisers, LLC</w:t>
      </w:r>
    </w:p>
    <w:p>
      <w:pPr>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Franklin/Templeton Distributors, Inc.</w:t>
      </w:r>
    </w:p>
    <w:p>
      <w:pPr>
        <w:spacing w:after="0" w:line="238" w:lineRule="auto"/>
        <w:rPr>
          <w:sz w:val="20"/>
          <w:szCs w:val="20"/>
          <w:color w:val="auto"/>
        </w:rPr>
      </w:pPr>
      <w:r>
        <w:rPr>
          <w:rFonts w:ascii="Courier New" w:cs="Courier New" w:eastAsia="Courier New" w:hAnsi="Courier New"/>
          <w:sz w:val="18"/>
          <w:szCs w:val="18"/>
          <w:color w:val="auto"/>
        </w:rPr>
        <w:t>Its: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38" w:lineRule="auto"/>
        <w:rPr>
          <w:sz w:val="20"/>
          <w:szCs w:val="20"/>
          <w:color w:val="auto"/>
        </w:rPr>
      </w:pPr>
      <w:r>
        <w:rPr>
          <w:rFonts w:ascii="Courier New" w:cs="Courier New" w:eastAsia="Courier New" w:hAnsi="Courier New"/>
          <w:sz w:val="18"/>
          <w:szCs w:val="18"/>
          <w:color w:val="auto"/>
        </w:rPr>
        <w:t>LESLIE M. KRATTER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abstractNum>
  <w:abstractNum w:abstractNumId="1">
    <w:nsid w:val="79E2A9E3"/>
    <w:multiLevelType w:val="hybridMultilevel"/>
    <w:lvl w:ilvl="0">
      <w:lvlJc w:val="left"/>
      <w:lvlText w:val="%1."/>
      <w:numFmt w:val="decimal"/>
      <w:start w:val="2"/>
    </w:lvl>
  </w:abstractNum>
  <w:abstractNum w:abstractNumId="2">
    <w:nsid w:val="7545E146"/>
    <w:multiLevelType w:val="hybridMultilevel"/>
    <w:lvl w:ilvl="0">
      <w:lvlJc w:val="left"/>
      <w:lvlText w:val="%1"/>
      <w:numFmt w:val="decimal"/>
      <w:start w:val="1"/>
    </w:lvl>
    <w:lvl w:ilvl="1">
      <w:lvlJc w:val="left"/>
      <w:lvlText w:val="(%2)"/>
      <w:numFmt w:val="lowerLetter"/>
      <w:start w:val="2"/>
    </w:lvl>
  </w:abstractNum>
  <w:abstractNum w:abstractNumId="3">
    <w:nsid w:val="515F007C"/>
    <w:multiLevelType w:val="hybridMultilevel"/>
    <w:lvl w:ilvl="0">
      <w:lvlJc w:val="left"/>
      <w:lvlText w:val="%1."/>
      <w:numFmt w:val="decimal"/>
      <w:start w:val="3"/>
    </w:lvl>
    <w:lvl w:ilvl="1">
      <w:lvlJc w:val="left"/>
      <w:lvlText w:val="%2"/>
      <w:numFmt w:val="lowerLetter"/>
      <w:start w:val="1"/>
    </w:lvl>
  </w:abstractNum>
  <w:abstractNum w:abstractNumId="4">
    <w:nsid w:val="5BD062C2"/>
    <w:multiLevelType w:val="hybridMultilevel"/>
    <w:lvl w:ilvl="0">
      <w:lvlJc w:val="left"/>
      <w:lvlText w:val="%1"/>
      <w:numFmt w:val="decimal"/>
      <w:start w:val="1"/>
    </w:lvl>
    <w:lvl w:ilvl="1">
      <w:lvlJc w:val="left"/>
      <w:lvlText w:val="%2."/>
      <w:numFmt w:val="decimal"/>
      <w:start w:val="5"/>
    </w:lvl>
  </w:abstractNum>
  <w:abstractNum w:abstractNumId="5">
    <w:nsid w:val="12200854"/>
    <w:multiLevelType w:val="hybridMultilevel"/>
    <w:lvl w:ilvl="0">
      <w:lvlJc w:val="left"/>
      <w:lvlText w:val="%1."/>
      <w:numFmt w:val="decimal"/>
      <w:start w:val="9"/>
    </w:lvl>
    <w:lvl w:ilvl="1">
      <w:lvlJc w:val="left"/>
      <w:lvlText w:val="%2"/>
      <w:numFmt w:val="decimal"/>
      <w:start w:val="1"/>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lvl w:ilvl="1">
      <w:lvlJc w:val="left"/>
      <w:lvlText w:val="(%2)"/>
      <w:numFmt w:val="lowerLetter"/>
      <w:start w:val="4"/>
    </w:lvl>
  </w:abstractNum>
  <w:abstractNum w:abstractNumId="9">
    <w:nsid w:val="1190CDE7"/>
    <w:multiLevelType w:val="hybridMultilevel"/>
    <w:lvl w:ilvl="0">
      <w:lvlJc w:val="left"/>
      <w:lvlText w:val="(%1)"/>
      <w:numFmt w:val="lowerLetter"/>
      <w:start w:val="5"/>
    </w:lvl>
  </w:abstractNum>
  <w:abstractNum w:abstractNumId="10">
    <w:nsid w:val="66EF438D"/>
    <w:multiLevelType w:val="hybridMultilevel"/>
    <w:lvl w:ilvl="0">
      <w:lvlJc w:val="left"/>
      <w:lvlText w:val="(%1)"/>
      <w:numFmt w:val="lowerLetter"/>
      <w:start w:val="5"/>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2019-12-13T08:08:16Z</dcterms:created>
  <dcterms:modified xsi:type="dcterms:W3CDTF">2019-12-13T08:08:16Z</dcterms:modified>
</cp:coreProperties>
</file>