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6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274320</wp:posOffset>
            </wp:positionV>
            <wp:extent cx="49485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342265</wp:posOffset>
            </wp:positionV>
            <wp:extent cx="49485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May 2, 2018</w:t>
      </w:r>
    </w:p>
    <w:p>
      <w:pPr>
        <w:spacing w:after="0" w:line="19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17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14" w:lineRule="exact"/>
        <w:rPr>
          <w:sz w:val="24"/>
          <w:szCs w:val="24"/>
          <w:color w:val="auto"/>
        </w:rPr>
      </w:pPr>
    </w:p>
    <w:tbl>
      <w:tblPr>
        <w:tblLayout w:type="fixed"/>
        <w:tblInd w:w="1020" w:type="dxa"/>
        <w:tblCellMar>
          <w:top w:w="0" w:type="dxa"/>
          <w:left w:w="0" w:type="dxa"/>
          <w:bottom w:w="0" w:type="dxa"/>
          <w:right w:w="0" w:type="dxa"/>
        </w:tblCellMar>
      </w:tblPr>
      <w:tr>
        <w:trPr>
          <w:trHeight w:val="253"/>
        </w:trPr>
        <w:tc>
          <w:tcPr>
            <w:tcW w:w="4200" w:type="dxa"/>
            <w:vAlign w:val="bottom"/>
          </w:tcPr>
          <w:p>
            <w:pPr>
              <w:jc w:val="center"/>
              <w:ind w:right="2141"/>
              <w:spacing w:after="0"/>
              <w:rPr>
                <w:sz w:val="20"/>
                <w:szCs w:val="20"/>
                <w:color w:val="auto"/>
              </w:rPr>
            </w:pPr>
            <w:r>
              <w:rPr>
                <w:rFonts w:ascii="Arial" w:cs="Arial" w:eastAsia="Arial" w:hAnsi="Arial"/>
                <w:sz w:val="18"/>
                <w:szCs w:val="18"/>
                <w:b w:val="1"/>
                <w:bCs w:val="1"/>
                <w:color w:val="auto"/>
                <w:w w:val="98"/>
              </w:rPr>
              <w:t>Delaware</w:t>
            </w:r>
          </w:p>
        </w:tc>
        <w:tc>
          <w:tcPr>
            <w:tcW w:w="2340" w:type="dxa"/>
            <w:vAlign w:val="bottom"/>
          </w:tcPr>
          <w:p>
            <w:pPr>
              <w:jc w:val="center"/>
              <w:ind w:right="1142"/>
              <w:spacing w:after="0"/>
              <w:rPr>
                <w:sz w:val="20"/>
                <w:szCs w:val="20"/>
                <w:color w:val="auto"/>
              </w:rPr>
            </w:pPr>
            <w:r>
              <w:rPr>
                <w:rFonts w:ascii="Arial" w:cs="Arial" w:eastAsia="Arial" w:hAnsi="Arial"/>
                <w:sz w:val="18"/>
                <w:szCs w:val="18"/>
                <w:b w:val="1"/>
                <w:bCs w:val="1"/>
                <w:color w:val="auto"/>
                <w:w w:val="99"/>
              </w:rPr>
              <w:t>1-6714</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75"/>
        </w:trPr>
        <w:tc>
          <w:tcPr>
            <w:tcW w:w="4200" w:type="dxa"/>
            <w:vAlign w:val="bottom"/>
          </w:tcPr>
          <w:p>
            <w:pPr>
              <w:jc w:val="center"/>
              <w:ind w:right="2141"/>
              <w:spacing w:after="0"/>
              <w:rPr>
                <w:sz w:val="20"/>
                <w:szCs w:val="20"/>
                <w:color w:val="auto"/>
              </w:rPr>
            </w:pPr>
            <w:r>
              <w:rPr>
                <w:rFonts w:ascii="Arial" w:cs="Arial" w:eastAsia="Arial" w:hAnsi="Arial"/>
                <w:sz w:val="14"/>
                <w:szCs w:val="14"/>
                <w:b w:val="1"/>
                <w:bCs w:val="1"/>
                <w:color w:val="auto"/>
              </w:rPr>
              <w:t>(State or other jurisdiction of</w:t>
            </w:r>
          </w:p>
        </w:tc>
        <w:tc>
          <w:tcPr>
            <w:tcW w:w="2340" w:type="dxa"/>
            <w:vAlign w:val="bottom"/>
          </w:tcPr>
          <w:p>
            <w:pPr>
              <w:jc w:val="center"/>
              <w:ind w:right="1142"/>
              <w:spacing w:after="0"/>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261"/>
              <w:spacing w:after="0"/>
              <w:rPr>
                <w:sz w:val="20"/>
                <w:szCs w:val="20"/>
                <w:color w:val="auto"/>
              </w:rPr>
            </w:pPr>
            <w:r>
              <w:rPr>
                <w:rFonts w:ascii="Arial" w:cs="Arial" w:eastAsia="Arial" w:hAnsi="Arial"/>
                <w:sz w:val="14"/>
                <w:szCs w:val="14"/>
                <w:b w:val="1"/>
                <w:bCs w:val="1"/>
                <w:color w:val="auto"/>
              </w:rPr>
              <w:t>(I.R.S. Employer</w:t>
            </w:r>
          </w:p>
        </w:tc>
      </w:tr>
      <w:tr>
        <w:trPr>
          <w:trHeight w:val="202"/>
        </w:trPr>
        <w:tc>
          <w:tcPr>
            <w:tcW w:w="4200" w:type="dxa"/>
            <w:vAlign w:val="bottom"/>
          </w:tcPr>
          <w:p>
            <w:pPr>
              <w:jc w:val="center"/>
              <w:ind w:right="2141"/>
              <w:spacing w:after="0"/>
              <w:rPr>
                <w:sz w:val="20"/>
                <w:szCs w:val="20"/>
                <w:color w:val="auto"/>
              </w:rPr>
            </w:pPr>
            <w:r>
              <w:rPr>
                <w:rFonts w:ascii="Arial" w:cs="Arial" w:eastAsia="Arial" w:hAnsi="Arial"/>
                <w:sz w:val="14"/>
                <w:szCs w:val="14"/>
                <w:b w:val="1"/>
                <w:bCs w:val="1"/>
                <w:color w:val="auto"/>
              </w:rPr>
              <w:t>incorporation)</w:t>
            </w:r>
          </w:p>
        </w:tc>
        <w:tc>
          <w:tcPr>
            <w:tcW w:w="2340" w:type="dxa"/>
            <w:vAlign w:val="bottom"/>
          </w:tcPr>
          <w:p>
            <w:pPr>
              <w:jc w:val="center"/>
              <w:ind w:right="1142"/>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Identification No.)</w:t>
            </w:r>
          </w:p>
        </w:tc>
      </w:tr>
      <w:tr>
        <w:trPr>
          <w:trHeight w:val="554"/>
        </w:trPr>
        <w:tc>
          <w:tcPr>
            <w:tcW w:w="6540" w:type="dxa"/>
            <w:vAlign w:val="bottom"/>
            <w:gridSpan w:val="2"/>
          </w:tcPr>
          <w:p>
            <w:pPr>
              <w:jc w:val="center"/>
              <w:ind w:right="942"/>
              <w:spacing w:after="0"/>
              <w:rPr>
                <w:sz w:val="20"/>
                <w:szCs w:val="20"/>
                <w:color w:val="auto"/>
              </w:rPr>
            </w:pPr>
            <w:r>
              <w:rPr>
                <w:rFonts w:ascii="Arial" w:cs="Arial" w:eastAsia="Arial" w:hAnsi="Arial"/>
                <w:sz w:val="18"/>
                <w:szCs w:val="18"/>
                <w:b w:val="1"/>
                <w:bCs w:val="1"/>
                <w:color w:val="auto"/>
                <w:w w:val="99"/>
              </w:rPr>
              <w:t>1300 North 17th Street, Arlington, Virginia</w:t>
            </w: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22209</w:t>
            </w:r>
          </w:p>
        </w:tc>
      </w:tr>
      <w:tr>
        <w:trPr>
          <w:trHeight w:val="216"/>
        </w:trPr>
        <w:tc>
          <w:tcPr>
            <w:tcW w:w="4200" w:type="dxa"/>
            <w:vAlign w:val="bottom"/>
          </w:tcPr>
          <w:p>
            <w:pPr>
              <w:jc w:val="center"/>
              <w:ind w:left="1241"/>
              <w:spacing w:after="0"/>
              <w:rPr>
                <w:sz w:val="20"/>
                <w:szCs w:val="20"/>
                <w:color w:val="auto"/>
              </w:rPr>
            </w:pPr>
            <w:r>
              <w:rPr>
                <w:rFonts w:ascii="Arial" w:cs="Arial" w:eastAsia="Arial" w:hAnsi="Arial"/>
                <w:sz w:val="14"/>
                <w:szCs w:val="14"/>
                <w:b w:val="1"/>
                <w:bCs w:val="1"/>
                <w:color w:val="auto"/>
              </w:rPr>
              <w:t>(Address of principal executive offices)</w:t>
            </w:r>
          </w:p>
        </w:tc>
        <w:tc>
          <w:tcPr>
            <w:tcW w:w="2340" w:type="dxa"/>
            <w:vAlign w:val="bottom"/>
          </w:tcPr>
          <w:p>
            <w:pPr>
              <w:spacing w:after="0"/>
              <w:rPr>
                <w:sz w:val="18"/>
                <w:szCs w:val="18"/>
                <w:color w:val="auto"/>
              </w:rPr>
            </w:pP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(Zip Code)</w:t>
            </w:r>
          </w:p>
        </w:tc>
      </w:tr>
    </w:tbl>
    <w:p>
      <w:pPr>
        <w:spacing w:after="0" w:line="28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104775</wp:posOffset>
            </wp:positionV>
            <wp:extent cx="49485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spacing w:after="0" w:line="26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54" w:lineRule="exact"/>
        <w:rPr>
          <w:sz w:val="24"/>
          <w:szCs w:val="24"/>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306"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306"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306"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306" w:lineRule="exact"/>
        <w:rPr>
          <w:sz w:val="24"/>
          <w:szCs w:val="24"/>
          <w:color w:val="auto"/>
        </w:rPr>
      </w:pPr>
    </w:p>
    <w:p>
      <w:pPr>
        <w:ind w:right="120"/>
        <w:spacing w:after="0" w:line="260"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2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330" w:lineRule="exact"/>
        <w:rPr>
          <w:sz w:val="24"/>
          <w:szCs w:val="24"/>
          <w:color w:val="auto"/>
        </w:rPr>
      </w:pPr>
    </w:p>
    <w:p>
      <w:pPr>
        <w:spacing w:after="0" w:line="22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746" w:right="239" w:bottom="1440" w:gutter="0" w:footer="0" w:header="0"/>
        </w:sectPr>
      </w:pPr>
    </w:p>
    <w:bookmarkStart w:id="1" w:name="page2"/>
    <w:bookmarkEnd w:id="1"/>
    <w:p>
      <w:pPr>
        <w:spacing w:after="0"/>
        <w:tabs>
          <w:tab w:leader="none" w:pos="12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2330" cy="8890"/>
                    </a:xfrm>
                    <a:prstGeom prst="rect">
                      <a:avLst/>
                    </a:prstGeom>
                    <a:noFill/>
                  </pic:spPr>
                </pic:pic>
              </a:graphicData>
            </a:graphic>
          </wp:anchor>
        </w:drawing>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268"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On May 2, 2018, Graham Holdings Company issued a press release announcing the Company’s earnings for the first quarter ended March 31, 2018. A copy of this press release is furnished with this report as an exhibit to this Form 8-K.</w:t>
      </w:r>
    </w:p>
    <w:p>
      <w:pPr>
        <w:spacing w:after="0" w:line="200" w:lineRule="exact"/>
        <w:rPr>
          <w:sz w:val="20"/>
          <w:szCs w:val="20"/>
          <w:color w:val="auto"/>
        </w:rPr>
      </w:pPr>
    </w:p>
    <w:p>
      <w:pPr>
        <w:spacing w:after="0" w:line="24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Exhibit 99.1 Graham Holdings Company Earnings Release Dated May 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337820</wp:posOffset>
            </wp:positionV>
            <wp:extent cx="7212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992" w:right="29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8890"/>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23"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28575</wp:posOffset>
            </wp:positionV>
            <wp:extent cx="25984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43"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63" w:lineRule="exact"/>
        <w:rPr>
          <w:sz w:val="20"/>
          <w:szCs w:val="20"/>
          <w:color w:val="auto"/>
        </w:rPr>
      </w:pPr>
    </w:p>
    <w:p>
      <w:pPr>
        <w:ind w:left="40"/>
        <w:spacing w:after="0"/>
        <w:tabs>
          <w:tab w:leader="none" w:pos="8440" w:val="left"/>
        </w:tabs>
        <w:rPr>
          <w:sz w:val="20"/>
          <w:szCs w:val="20"/>
          <w:color w:val="auto"/>
        </w:rPr>
      </w:pPr>
      <w:r>
        <w:rPr>
          <w:rFonts w:ascii="Arial" w:cs="Arial" w:eastAsia="Arial" w:hAnsi="Arial"/>
          <w:sz w:val="18"/>
          <w:szCs w:val="18"/>
          <w:color w:val="auto"/>
        </w:rPr>
        <w:t>Date: May 2, 2018</w:t>
      </w:r>
      <w:r>
        <w:rPr>
          <w:sz w:val="20"/>
          <w:szCs w:val="20"/>
          <w:color w:val="auto"/>
        </w:rPr>
        <w:tab/>
      </w:r>
      <w:r>
        <w:rPr>
          <w:rFonts w:ascii="Arial" w:cs="Arial" w:eastAsia="Arial" w:hAnsi="Arial"/>
          <w:sz w:val="17"/>
          <w:szCs w:val="17"/>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28575</wp:posOffset>
            </wp:positionV>
            <wp:extent cx="25984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43"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Wallace R. Cooney,</w:t>
      </w:r>
    </w:p>
    <w:p>
      <w:pPr>
        <w:spacing w:after="0" w:line="13"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Chief Financial Officer</w:t>
      </w:r>
    </w:p>
    <w:p>
      <w:pPr>
        <w:jc w:val="center"/>
        <w:ind w:left="72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1292860</wp:posOffset>
            </wp:positionV>
            <wp:extent cx="72123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240" w:top="992"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2330" cy="8890"/>
                    </a:xfrm>
                    <a:prstGeom prst="rect">
                      <a:avLst/>
                    </a:prstGeom>
                    <a:noFill/>
                  </pic:spPr>
                </pic:pic>
              </a:graphicData>
            </a:graphic>
          </wp:anchor>
        </w:drawing>
        <w:t>Exhibit Index</w:t>
      </w:r>
    </w:p>
    <w:p>
      <w:pPr>
        <w:spacing w:after="0" w:line="200" w:lineRule="exact"/>
        <w:rPr>
          <w:sz w:val="20"/>
          <w:szCs w:val="20"/>
          <w:color w:val="auto"/>
        </w:rPr>
      </w:pPr>
    </w:p>
    <w:p>
      <w:pPr>
        <w:spacing w:after="0" w:line="243"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7"/>
          <w:szCs w:val="17"/>
          <w:u w:val="single" w:color="auto"/>
          <w:color w:val="0000FF"/>
        </w:rPr>
        <w:t>Graham Holdings Company Earnings Release dated May 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612140</wp:posOffset>
            </wp:positionV>
            <wp:extent cx="72123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992"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Contact:</w:t>
            </w:r>
          </w:p>
        </w:tc>
        <w:tc>
          <w:tcPr>
            <w:tcW w:w="2360" w:type="dxa"/>
            <w:vAlign w:val="bottom"/>
          </w:tcPr>
          <w:p>
            <w:pPr>
              <w:ind w:left="420"/>
              <w:spacing w:after="0"/>
              <w:rPr>
                <w:sz w:val="20"/>
                <w:szCs w:val="20"/>
                <w:color w:val="auto"/>
              </w:rPr>
            </w:pPr>
            <w:r>
              <w:rPr>
                <w:rFonts w:ascii="Arial" w:cs="Arial" w:eastAsia="Arial" w:hAnsi="Arial"/>
                <w:sz w:val="18"/>
                <w:szCs w:val="18"/>
                <w:color w:val="auto"/>
              </w:rPr>
              <w:t>Wallace R. Cooney</w:t>
            </w:r>
          </w:p>
        </w:tc>
        <w:tc>
          <w:tcPr>
            <w:tcW w:w="5460" w:type="dxa"/>
            <w:vAlign w:val="bottom"/>
          </w:tcPr>
          <w:p>
            <w:pPr>
              <w:spacing w:after="0"/>
              <w:rPr>
                <w:sz w:val="17"/>
                <w:szCs w:val="17"/>
                <w:color w:val="auto"/>
              </w:rPr>
            </w:pPr>
          </w:p>
        </w:tc>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 Immediate Release</w:t>
            </w:r>
          </w:p>
        </w:tc>
      </w:tr>
      <w:tr>
        <w:trPr>
          <w:trHeight w:val="295"/>
        </w:trPr>
        <w:tc>
          <w:tcPr>
            <w:tcW w:w="1080" w:type="dxa"/>
            <w:vAlign w:val="bottom"/>
          </w:tcPr>
          <w:p>
            <w:pPr>
              <w:spacing w:after="0"/>
              <w:rPr>
                <w:sz w:val="24"/>
                <w:szCs w:val="24"/>
                <w:color w:val="auto"/>
              </w:rPr>
            </w:pPr>
          </w:p>
        </w:tc>
        <w:tc>
          <w:tcPr>
            <w:tcW w:w="2360" w:type="dxa"/>
            <w:vAlign w:val="bottom"/>
          </w:tcPr>
          <w:p>
            <w:pPr>
              <w:ind w:left="420"/>
              <w:spacing w:after="0"/>
              <w:rPr>
                <w:sz w:val="20"/>
                <w:szCs w:val="20"/>
                <w:color w:val="auto"/>
              </w:rPr>
            </w:pPr>
            <w:r>
              <w:rPr>
                <w:rFonts w:ascii="Arial" w:cs="Arial" w:eastAsia="Arial" w:hAnsi="Arial"/>
                <w:sz w:val="18"/>
                <w:szCs w:val="18"/>
                <w:color w:val="auto"/>
              </w:rPr>
              <w:t>(703) 345-6470</w:t>
            </w:r>
          </w:p>
        </w:tc>
        <w:tc>
          <w:tcPr>
            <w:tcW w:w="5460" w:type="dxa"/>
            <w:vAlign w:val="bottom"/>
          </w:tcPr>
          <w:p>
            <w:pPr>
              <w:spacing w:after="0"/>
              <w:rPr>
                <w:sz w:val="24"/>
                <w:szCs w:val="24"/>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May 2, 2018</w:t>
            </w:r>
          </w:p>
        </w:tc>
      </w:tr>
      <w:tr>
        <w:trPr>
          <w:trHeight w:val="581"/>
        </w:trPr>
        <w:tc>
          <w:tcPr>
            <w:tcW w:w="10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380" w:type="dxa"/>
            <w:vAlign w:val="bottom"/>
            <w:gridSpan w:val="2"/>
          </w:tcPr>
          <w:p>
            <w:pPr>
              <w:jc w:val="center"/>
              <w:ind w:right="2810"/>
              <w:spacing w:after="0"/>
              <w:rPr>
                <w:sz w:val="20"/>
                <w:szCs w:val="20"/>
                <w:color w:val="auto"/>
              </w:rPr>
            </w:pPr>
            <w:r>
              <w:rPr>
                <w:rFonts w:ascii="Arial" w:cs="Arial" w:eastAsia="Arial" w:hAnsi="Arial"/>
                <w:sz w:val="18"/>
                <w:szCs w:val="18"/>
                <w:color w:val="auto"/>
                <w:w w:val="99"/>
              </w:rPr>
              <w:t>GRAHAM HOLDINGS COMPANY REPORTS</w:t>
            </w:r>
          </w:p>
        </w:tc>
      </w:tr>
      <w:tr>
        <w:trPr>
          <w:trHeight w:val="257"/>
        </w:trPr>
        <w:tc>
          <w:tcPr>
            <w:tcW w:w="10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7380" w:type="dxa"/>
            <w:vAlign w:val="bottom"/>
            <w:gridSpan w:val="2"/>
          </w:tcPr>
          <w:p>
            <w:pPr>
              <w:jc w:val="center"/>
              <w:ind w:right="2810"/>
              <w:spacing w:after="0"/>
              <w:rPr>
                <w:sz w:val="20"/>
                <w:szCs w:val="20"/>
                <w:color w:val="auto"/>
              </w:rPr>
            </w:pPr>
            <w:r>
              <w:rPr>
                <w:rFonts w:ascii="Arial" w:cs="Arial" w:eastAsia="Arial" w:hAnsi="Arial"/>
                <w:sz w:val="18"/>
                <w:szCs w:val="18"/>
                <w:color w:val="auto"/>
                <w:w w:val="99"/>
              </w:rPr>
              <w:t>FIRST QUARTER EARNINGS</w:t>
            </w:r>
          </w:p>
        </w:tc>
      </w:tr>
    </w:tbl>
    <w:p>
      <w:pPr>
        <w:spacing w:after="0" w:line="189"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ARLINGTON, VA – Graham Holdings Company (NYSE: GHC) today reported net income attributable to common shares of $42.9 million ($7.78 per share) for the first quarter of 2018, compared to $21.1 million ($3.75 per share) for the first quarter of 2017.</w:t>
      </w:r>
    </w:p>
    <w:p>
      <w:pPr>
        <w:spacing w:after="0" w:line="92"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The results for the first quarter of 2018 and 2017 were affected by a number of items as described in the following paragraphs. Excluding these items, net income attributable to common shares was $49.8 million ($9.04 per share) for the first quarter of 2018, compared to $14.1 million ($2.50 per share) for the first quarter of 2017. (Refer to the Non-GAAP Financial Information schedule at the end of this release for additional details.)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first quarter of 2018:</w:t>
      </w:r>
    </w:p>
    <w:p>
      <w:pPr>
        <w:spacing w:after="0" w:line="144" w:lineRule="exact"/>
        <w:rPr>
          <w:sz w:val="20"/>
          <w:szCs w:val="20"/>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$4.3 million gain on the Kaplan University Transaction (after-tax impact of $1.8 million, or $0.33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$14.1 million in net losses on marketable equity securities (after-tax impact of $10.7 million, or $1.94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$0.2 million in non-operating foreign currency gains (after-tax impact of $0.1 million, or $0.02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$1.8 million in income tax benefits related to stock compensation ($0.33 per share).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first quarter of 2017:</w:t>
      </w:r>
    </w:p>
    <w:p>
      <w:pPr>
        <w:spacing w:after="0" w:line="144"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$1.7 million in non-operating foreign currency gains (after-tax impact of $1.1 million, or $0.19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$5.9 million in income tax benefits related to stock compensation ($1.06 per share).</w:t>
      </w:r>
    </w:p>
    <w:p>
      <w:pPr>
        <w:spacing w:after="0" w:line="144"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Revenue for the first quarter of 2018 was $659.4 million, up 13% from $582.7 million in the first quarter of 2017. The revenue increase is due largely to growth at the television broadcasting and manufacturing businesses. The Company reported operating income of $44.2 million for the first quarter of 2018, compared to $10.3 million for the first quarter of 2017. The operating income increase is driven by higher earnings at the education, television broadcasting and manufacturing businesses.</w:t>
      </w:r>
    </w:p>
    <w:p>
      <w:pPr>
        <w:spacing w:after="0" w:line="111" w:lineRule="exact"/>
        <w:rPr>
          <w:sz w:val="20"/>
          <w:szCs w:val="20"/>
          <w:color w:val="auto"/>
        </w:rPr>
      </w:pPr>
    </w:p>
    <w:p>
      <w:pPr>
        <w:ind w:right="120"/>
        <w:spacing w:after="0" w:line="228" w:lineRule="auto"/>
        <w:rPr>
          <w:sz w:val="20"/>
          <w:szCs w:val="20"/>
          <w:color w:val="auto"/>
        </w:rPr>
      </w:pPr>
      <w:r>
        <w:rPr>
          <w:rFonts w:ascii="Arial" w:cs="Arial" w:eastAsia="Arial" w:hAnsi="Arial"/>
          <w:sz w:val="18"/>
          <w:szCs w:val="18"/>
          <w:color w:val="auto"/>
        </w:rPr>
        <w:t>On April 27, 2017, certain subsidiaries of Kaplan, Inc. (Kaplan), a subsidiary of Graham Holdings Company entered into a Contribution and Transfer Agreement (Transfer Agreement) to contribute the institutional assets and operations of Kaplan University (KU) to an Indiana non-profit, public-benefit corporation that is a subsidiary affiliated with Purdue University (Purdue). The closing of the transactions contemplated by the Transfer Agreement occurred on March 22, 2018. At the same time, the parties entered into a Transition and Operations Support Agreement (TOSA) pursuant to which Kaplan will provide key non-academic operations support to the new university. The new university will operate almost exclusively online as a new Indiana public university affiliated with Purdue under the name Purdue University Global (Purdue Global).</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44"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color w:val="auto"/>
        </w:rPr>
        <w:t>Education division revenue totaled $375.5 million for the first quarter of 2018</w:t>
      </w:r>
      <w:r>
        <w:rPr>
          <w:rFonts w:ascii="Times New Roman" w:cs="Times New Roman" w:eastAsia="Times New Roman" w:hAnsi="Times New Roman"/>
          <w:sz w:val="18"/>
          <w:szCs w:val="18"/>
          <w:color w:val="auto"/>
        </w:rPr>
        <w:t>, up</w:t>
      </w:r>
      <w:r>
        <w:rPr>
          <w:rFonts w:ascii="Arial" w:cs="Arial" w:eastAsia="Arial" w:hAnsi="Arial"/>
          <w:sz w:val="18"/>
          <w:szCs w:val="18"/>
          <w:color w:val="auto"/>
        </w:rPr>
        <w:t xml:space="preserve"> 1% </w:t>
      </w:r>
      <w:r>
        <w:rPr>
          <w:rFonts w:ascii="Times New Roman" w:cs="Times New Roman" w:eastAsia="Times New Roman" w:hAnsi="Times New Roman"/>
          <w:sz w:val="18"/>
          <w:szCs w:val="18"/>
          <w:color w:val="auto"/>
        </w:rPr>
        <w:t>from</w:t>
      </w:r>
      <w:r>
        <w:rPr>
          <w:rFonts w:ascii="Arial" w:cs="Arial" w:eastAsia="Arial" w:hAnsi="Arial"/>
          <w:sz w:val="18"/>
          <w:szCs w:val="18"/>
          <w:color w:val="auto"/>
        </w:rPr>
        <w:t xml:space="preserve"> $372.9 million for the same period of 2017. Kaplan reported operating income of $22.7 million for the first quarter of 2018, compared to $9.4 million for the first quarter of 2017</w:t>
      </w:r>
      <w:r>
        <w:rPr>
          <w:rFonts w:ascii="Times New Roman" w:cs="Times New Roman" w:eastAsia="Times New Roman" w:hAnsi="Times New Roman"/>
          <w:sz w:val="18"/>
          <w:szCs w:val="18"/>
          <w:color w:val="auto"/>
        </w:rPr>
        <w:t>.</w:t>
      </w:r>
    </w:p>
    <w:p>
      <w:pPr>
        <w:spacing w:after="0" w:line="93"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As a result of the KU Transaction that closed on March 22, 2018, the Company has revised the financial reporting for its education division to provide operating results for Higher Education and Professional (U.S.).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7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Three Months Ended</w:t>
            </w: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78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8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2017</w:t>
            </w:r>
          </w:p>
        </w:tc>
        <w:tc>
          <w:tcPr>
            <w:tcW w:w="14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57"/>
        </w:trPr>
        <w:tc>
          <w:tcPr>
            <w:tcW w:w="7820" w:type="dxa"/>
            <w:vAlign w:val="bottom"/>
          </w:tcPr>
          <w:p>
            <w:pPr>
              <w:ind w:left="40"/>
              <w:spacing w:after="0"/>
              <w:rPr>
                <w:sz w:val="20"/>
                <w:szCs w:val="20"/>
                <w:color w:val="auto"/>
              </w:rPr>
            </w:pPr>
            <w:r>
              <w:rPr>
                <w:rFonts w:ascii="Arial" w:cs="Arial" w:eastAsia="Arial" w:hAnsi="Arial"/>
                <w:sz w:val="16"/>
                <w:szCs w:val="16"/>
                <w:b w:val="1"/>
                <w:bCs w:val="1"/>
                <w:color w:val="auto"/>
              </w:rPr>
              <w:t>Revenue</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82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183,582</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164,562</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70"/>
        </w:trPr>
        <w:tc>
          <w:tcPr>
            <w:tcW w:w="782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99,830</w:t>
            </w:r>
          </w:p>
        </w:tc>
        <w:tc>
          <w:tcPr>
            <w:tcW w:w="360" w:type="dxa"/>
            <w:vAlign w:val="bottom"/>
          </w:tcPr>
          <w:p>
            <w:pPr>
              <w:spacing w:after="0"/>
              <w:rPr>
                <w:sz w:val="23"/>
                <w:szCs w:val="23"/>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111,111</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70"/>
        </w:trPr>
        <w:tc>
          <w:tcPr>
            <w:tcW w:w="782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24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59,151</w:t>
            </w:r>
          </w:p>
        </w:tc>
        <w:tc>
          <w:tcPr>
            <w:tcW w:w="360" w:type="dxa"/>
            <w:vAlign w:val="bottom"/>
          </w:tcPr>
          <w:p>
            <w:pPr>
              <w:spacing w:after="0"/>
              <w:rPr>
                <w:sz w:val="23"/>
                <w:szCs w:val="23"/>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64,568</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70"/>
        </w:trPr>
        <w:tc>
          <w:tcPr>
            <w:tcW w:w="7820" w:type="dxa"/>
            <w:vAlign w:val="bottom"/>
          </w:tcPr>
          <w:p>
            <w:pPr>
              <w:ind w:left="180"/>
              <w:spacing w:after="0"/>
              <w:rPr>
                <w:sz w:val="20"/>
                <w:szCs w:val="20"/>
                <w:color w:val="auto"/>
              </w:rPr>
            </w:pPr>
            <w:r>
              <w:rPr>
                <w:rFonts w:ascii="Arial" w:cs="Arial" w:eastAsia="Arial" w:hAnsi="Arial"/>
                <w:sz w:val="16"/>
                <w:szCs w:val="16"/>
                <w:color w:val="auto"/>
              </w:rPr>
              <w:t>Professional (U.S.)</w:t>
            </w:r>
          </w:p>
        </w:tc>
        <w:tc>
          <w:tcPr>
            <w:tcW w:w="24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33,356</w:t>
            </w:r>
          </w:p>
        </w:tc>
        <w:tc>
          <w:tcPr>
            <w:tcW w:w="360" w:type="dxa"/>
            <w:vAlign w:val="bottom"/>
          </w:tcPr>
          <w:p>
            <w:pPr>
              <w:spacing w:after="0"/>
              <w:rPr>
                <w:sz w:val="23"/>
                <w:szCs w:val="23"/>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33,199</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820" w:type="dxa"/>
            <w:vAlign w:val="bottom"/>
          </w:tcPr>
          <w:p>
            <w:pPr>
              <w:ind w:left="18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285</w:t>
            </w:r>
          </w:p>
        </w:tc>
        <w:tc>
          <w:tcPr>
            <w:tcW w:w="360" w:type="dxa"/>
            <w:vAlign w:val="bottom"/>
          </w:tcPr>
          <w:p>
            <w:pPr>
              <w:spacing w:after="0"/>
              <w:rPr>
                <w:sz w:val="23"/>
                <w:szCs w:val="23"/>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14</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4"/>
        </w:trPr>
        <w:tc>
          <w:tcPr>
            <w:tcW w:w="78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(705)</w:t>
            </w:r>
          </w:p>
        </w:tc>
        <w:tc>
          <w:tcPr>
            <w:tcW w:w="3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5"/>
        </w:trPr>
        <w:tc>
          <w:tcPr>
            <w:tcW w:w="7820" w:type="dxa"/>
            <w:vAlign w:val="bottom"/>
          </w:tcPr>
          <w:p>
            <w:pPr>
              <w:spacing w:after="0"/>
              <w:rPr>
                <w:sz w:val="23"/>
                <w:szCs w:val="23"/>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375,499</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372,897</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78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82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82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20,404</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7,707</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82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1,355</w:t>
            </w:r>
          </w:p>
        </w:tc>
        <w:tc>
          <w:tcPr>
            <w:tcW w:w="360" w:type="dxa"/>
            <w:vAlign w:val="bottom"/>
          </w:tcPr>
          <w:p>
            <w:pPr>
              <w:spacing w:after="0"/>
              <w:rPr>
                <w:sz w:val="23"/>
                <w:szCs w:val="23"/>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2,446</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70"/>
        </w:trPr>
        <w:tc>
          <w:tcPr>
            <w:tcW w:w="782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24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521</w:t>
            </w:r>
          </w:p>
        </w:tc>
        <w:tc>
          <w:tcPr>
            <w:tcW w:w="3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(2,864)</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820" w:type="dxa"/>
            <w:vAlign w:val="bottom"/>
          </w:tcPr>
          <w:p>
            <w:pPr>
              <w:ind w:left="180"/>
              <w:spacing w:after="0"/>
              <w:rPr>
                <w:sz w:val="20"/>
                <w:szCs w:val="20"/>
                <w:color w:val="auto"/>
              </w:rPr>
            </w:pPr>
            <w:r>
              <w:rPr>
                <w:rFonts w:ascii="Arial" w:cs="Arial" w:eastAsia="Arial" w:hAnsi="Arial"/>
                <w:sz w:val="16"/>
                <w:szCs w:val="16"/>
                <w:color w:val="auto"/>
              </w:rPr>
              <w:t>Professional (U.S.)</w:t>
            </w:r>
          </w:p>
        </w:tc>
        <w:tc>
          <w:tcPr>
            <w:tcW w:w="24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9,315</w:t>
            </w:r>
          </w:p>
        </w:tc>
        <w:tc>
          <w:tcPr>
            <w:tcW w:w="360" w:type="dxa"/>
            <w:vAlign w:val="bottom"/>
          </w:tcPr>
          <w:p>
            <w:pPr>
              <w:spacing w:after="0"/>
              <w:rPr>
                <w:sz w:val="23"/>
                <w:szCs w:val="23"/>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10,158</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70"/>
        </w:trPr>
        <w:tc>
          <w:tcPr>
            <w:tcW w:w="7820" w:type="dxa"/>
            <w:vAlign w:val="bottom"/>
          </w:tcPr>
          <w:p>
            <w:pPr>
              <w:ind w:left="18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(7,746)</w:t>
            </w:r>
          </w:p>
        </w:tc>
        <w:tc>
          <w:tcPr>
            <w:tcW w:w="3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(6,943)</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70"/>
        </w:trPr>
        <w:tc>
          <w:tcPr>
            <w:tcW w:w="7820" w:type="dxa"/>
            <w:vAlign w:val="bottom"/>
          </w:tcPr>
          <w:p>
            <w:pPr>
              <w:ind w:left="18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(1,149)</w:t>
            </w:r>
          </w:p>
        </w:tc>
        <w:tc>
          <w:tcPr>
            <w:tcW w:w="3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(1,120)</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74"/>
        </w:trPr>
        <w:tc>
          <w:tcPr>
            <w:tcW w:w="78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53</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6"/>
        </w:trPr>
        <w:tc>
          <w:tcPr>
            <w:tcW w:w="7820" w:type="dxa"/>
            <w:vAlign w:val="bottom"/>
          </w:tcPr>
          <w:p>
            <w:pPr>
              <w:spacing w:after="0"/>
              <w:rPr>
                <w:sz w:val="23"/>
                <w:szCs w:val="23"/>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22,700</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9,437</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right="100"/>
        <w:spacing w:after="0" w:line="234" w:lineRule="auto"/>
        <w:rPr>
          <w:sz w:val="20"/>
          <w:szCs w:val="20"/>
          <w:color w:val="auto"/>
        </w:rPr>
      </w:pPr>
      <w:r>
        <w:rPr>
          <w:rFonts w:ascii="Arial" w:cs="Arial" w:eastAsia="Arial" w:hAnsi="Arial"/>
          <w:sz w:val="18"/>
          <w:szCs w:val="18"/>
          <w:color w:val="auto"/>
        </w:rPr>
        <w:t>Kaplan International includes English-language programs, and postsecondary education and professional training businesses largely outside the United States. Kaplan International revenue increased 12% for the first quarter; 3% on a constant currency basis. Operating income increased to $20.4 million in the first quarter of 2018, compared to $7.7 million in the first quarter of 2017 due to improved results at Pathways, UK Professional, MPW and English-language.</w:t>
      </w:r>
    </w:p>
    <w:p>
      <w:pPr>
        <w:spacing w:after="0" w:line="111"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Prior to the KU Transaction closing on March 22, 2018, Higher Education included Kaplan’s domestic postsecondary education businesses, made up of fixed-facility colleges and online postsecondary and career programs. Following the KU Transaction closing, the Higher Education division includes the results as a service provider to higher education institutions.</w:t>
      </w:r>
    </w:p>
    <w:p>
      <w:pPr>
        <w:spacing w:after="0" w:line="108"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In the first quarter of 2018, Higher Education revenue was down 10% and operating results declined, due largely to the sale of KU on March 22, 2018 and fewer average enrollments at KU prior to the sale.</w:t>
      </w:r>
    </w:p>
    <w:p>
      <w:pPr>
        <w:spacing w:after="0" w:line="92"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Kaplan Test Preparation (KTP) includes Kaplan’s standardized test preparation programs. KTP revenue declined 8% for the first quarter of 2018 due to the disposition of Dev Bootcamp, which made up the majority of KTP's new economy skills training programs, and soft enrollments in certain preparation programs. In comparison to 2017, KTP operating results improved in the first quarter of 2018, due mostly to decreased losses from the new economy skills training programs. Operating losses for the new economy skills training programs were $0.5 million and $3.8 million for the first three months of 2018 and 2017, respectively. Dev Bootcamp was closed in the second half of 2017.</w:t>
      </w:r>
    </w:p>
    <w:p>
      <w:pPr>
        <w:spacing w:after="0" w:line="111" w:lineRule="exact"/>
        <w:rPr>
          <w:sz w:val="20"/>
          <w:szCs w:val="20"/>
          <w:color w:val="auto"/>
        </w:rPr>
      </w:pPr>
    </w:p>
    <w:p>
      <w:pPr>
        <w:jc w:val="both"/>
        <w:ind w:right="200"/>
        <w:spacing w:after="0"/>
        <w:rPr>
          <w:sz w:val="20"/>
          <w:szCs w:val="20"/>
          <w:color w:val="auto"/>
        </w:rPr>
      </w:pPr>
      <w:r>
        <w:rPr>
          <w:rFonts w:ascii="Arial" w:cs="Arial" w:eastAsia="Arial" w:hAnsi="Arial"/>
          <w:sz w:val="18"/>
          <w:szCs w:val="18"/>
          <w:color w:val="auto"/>
        </w:rPr>
        <w:t>Kaplan Professional (U.S.) includes the domestic professional and other continuing education businesses. In the first quarter of 2018, Kaplan Professional (U.S.) revenue was even with the first quarter of 2017, while operating results declined 8%, due to increased spending on sales and technology.</w:t>
      </w:r>
    </w:p>
    <w:p>
      <w:pPr>
        <w:spacing w:after="0" w:line="108"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62"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44" w:lineRule="exact"/>
        <w:rPr>
          <w:sz w:val="20"/>
          <w:szCs w:val="20"/>
          <w:color w:val="auto"/>
        </w:rPr>
      </w:pPr>
    </w:p>
    <w:p>
      <w:pPr>
        <w:ind w:right="180"/>
        <w:spacing w:after="0" w:line="231" w:lineRule="auto"/>
        <w:rPr>
          <w:sz w:val="20"/>
          <w:szCs w:val="20"/>
          <w:color w:val="auto"/>
        </w:rPr>
      </w:pPr>
      <w:r>
        <w:rPr>
          <w:rFonts w:ascii="Arial" w:cs="Arial" w:eastAsia="Arial" w:hAnsi="Arial"/>
          <w:sz w:val="18"/>
          <w:szCs w:val="18"/>
          <w:color w:val="auto"/>
        </w:rPr>
        <w:t>Revenue at the television broadcasting division increased 19% to $108.8 million in the first quarter of 2018, from $ 91.5 million in the same period of 2017 due primarily to $8.6 million in 2018 incremental winter Olympics-related advertising revenue at the Company's NBC affiliates and an $8.2 million increase in retransmission revenues. Operating income for the first quarter of 2018 increased 53% to $40.5 million, from $26.5 million in the same period of 2017 due to higher revenues. The Company's television broadcasting stations operate under a retransmission contract with Comcast that was effective on April 1, 2017.</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144"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Manufacturing includes four businesses: Dekko, a manufacturer of electrical workspace solutions, architectural lighting and electrical components and assemblies; Joyce/Dayton Corp., a manufacturer of screw jacks and other linear motion systems; Forney, a global supplier of products and systems that control and monitor combustion processes in electric utility and industrial applications; and Hoover Treated Wood Products, Inc., a supplier of pressure impregnated kiln-dried lumber and plywood products for fire retardant and preservative applications that the Company acquired in April 2017.</w:t>
      </w:r>
    </w:p>
    <w:p>
      <w:pPr>
        <w:spacing w:after="0" w:line="111" w:lineRule="exact"/>
        <w:rPr>
          <w:sz w:val="20"/>
          <w:szCs w:val="20"/>
          <w:color w:val="auto"/>
        </w:rPr>
      </w:pPr>
    </w:p>
    <w:p>
      <w:pPr>
        <w:ind w:right="1520"/>
        <w:spacing w:after="0" w:line="407" w:lineRule="auto"/>
        <w:rPr>
          <w:sz w:val="20"/>
          <w:szCs w:val="20"/>
          <w:color w:val="auto"/>
        </w:rPr>
      </w:pPr>
      <w:r>
        <w:rPr>
          <w:rFonts w:ascii="Arial" w:cs="Arial" w:eastAsia="Arial" w:hAnsi="Arial"/>
          <w:sz w:val="18"/>
          <w:szCs w:val="18"/>
          <w:color w:val="auto"/>
        </w:rPr>
        <w:t xml:space="preserve">Manufacturing revenues and operating income increased in the first quarter of 2018 due primarily to the Hoover acquisition. </w:t>
      </w:r>
      <w:r>
        <w:rPr>
          <w:rFonts w:ascii="Arial" w:cs="Arial" w:eastAsia="Arial" w:hAnsi="Arial"/>
          <w:sz w:val="18"/>
          <w:szCs w:val="18"/>
          <w:b w:val="1"/>
          <w:bCs w:val="1"/>
          <w:i w:val="1"/>
          <w:iCs w:val="1"/>
          <w:color w:val="auto"/>
        </w:rPr>
        <w:t>Healthcare</w:t>
      </w:r>
    </w:p>
    <w:p>
      <w:pPr>
        <w:ind w:right="180"/>
        <w:spacing w:after="0"/>
        <w:rPr>
          <w:sz w:val="20"/>
          <w:szCs w:val="20"/>
          <w:color w:val="auto"/>
        </w:rPr>
      </w:pPr>
      <w:r>
        <w:rPr>
          <w:rFonts w:ascii="Arial" w:cs="Arial" w:eastAsia="Arial" w:hAnsi="Arial"/>
          <w:sz w:val="18"/>
          <w:szCs w:val="18"/>
          <w:color w:val="auto"/>
        </w:rPr>
        <w:t>The Graham Healthcare Group (GHG) provides home health and hospice services in three states. At the end of June 2017, GHG acquired Hometown Home Health and Hospice, a Lapeer, MI-based healthcare services provider. Healthcare revenues increased 2% in the first three months of 2018, while operating results were down, due largely to continued integration costs.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SocialCode</w:t>
      </w:r>
    </w:p>
    <w:p>
      <w:pPr>
        <w:spacing w:after="0" w:line="144" w:lineRule="exact"/>
        <w:rPr>
          <w:sz w:val="20"/>
          <w:szCs w:val="20"/>
          <w:color w:val="auto"/>
        </w:rPr>
      </w:pPr>
    </w:p>
    <w:p>
      <w:pPr>
        <w:ind w:right="60"/>
        <w:spacing w:after="0"/>
        <w:rPr>
          <w:sz w:val="20"/>
          <w:szCs w:val="20"/>
          <w:color w:val="auto"/>
        </w:rPr>
      </w:pPr>
      <w:r>
        <w:rPr>
          <w:rFonts w:ascii="Arial" w:cs="Arial" w:eastAsia="Arial" w:hAnsi="Arial"/>
          <w:sz w:val="18"/>
          <w:szCs w:val="18"/>
          <w:color w:val="auto"/>
        </w:rPr>
        <w:t>SocialCode is a provider of marketing solutions on social, mobile and video platforms. SocialCode revenue increased 6% in the first quarter of 2018 due to growth in digital advertising service revenues. SocialCode reported operating losses of $3.8 million in the first quarter of 2018, compared to $4.5 million in the first quarter of 2017.</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44"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Other businesses include Slate and Foreign Policy, which publish online and print magazines and websites; and two investment stage businesses, Panoply and CyberVista. Losses from each of these businesses in the first quarter of 2018 adversely affected operating results.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44" w:lineRule="exact"/>
        <w:rPr>
          <w:sz w:val="20"/>
          <w:szCs w:val="20"/>
          <w:color w:val="auto"/>
        </w:rPr>
      </w:pPr>
    </w:p>
    <w:p>
      <w:pPr>
        <w:ind w:right="800"/>
        <w:spacing w:after="0" w:line="260" w:lineRule="auto"/>
        <w:rPr>
          <w:sz w:val="20"/>
          <w:szCs w:val="20"/>
          <w:color w:val="auto"/>
        </w:rPr>
      </w:pPr>
      <w:r>
        <w:rPr>
          <w:rFonts w:ascii="Arial" w:cs="Arial" w:eastAsia="Arial" w:hAnsi="Arial"/>
          <w:sz w:val="18"/>
          <w:szCs w:val="18"/>
          <w:color w:val="auto"/>
        </w:rPr>
        <w:t>Corporate office includes the expenses of the Company’s corporate office and certain continuing obligations related to prior business dispositions.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 Earnings (Losses) of Affiliates</w:t>
      </w:r>
    </w:p>
    <w:p>
      <w:pPr>
        <w:spacing w:after="0" w:line="146"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At March 31, 2018, the Company held interests in a number of home health and hospice joint ventures, and interests in several other affiliates. In the second half of 2017, the Company acquired approximately 11% of Intersection Holdings, LLC, which provides digital marketing and advertising services and products for cities, transit systems, airports, and other public and private spaces. The Company recorded equity in earnings of affiliates of $2.6 million for the first quarter of 2018, compared to $0.6 million for the first quarter of 2017.</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 and Related Balances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Company incurred net interest expense of $6.7 million for the first quarter of 2018, compared to $6.8 million for the first quarter of 2017. At March 31, 2018, the Company had $497.7 million in borrowings outstanding at an average interest rate of 6.2% and cash, marketable equity securities and other investments of $819.6 million.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Pension and Postretirement Benefit Income, net</w:t>
      </w:r>
    </w:p>
    <w:p>
      <w:pPr>
        <w:spacing w:after="0" w:line="146"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In the first quarter of 2018, the Company adopted new accounting guidance that changes the income statement classification of net periodic pension and postretirement pension cost. Under the new guidance, service cost is included in operating income, while the other components (including expected return on assets) are included in non-operating income. The new guidance was required to be applied retrospectively, with prior period financial information revised to reflect the reclassification. From a segment reporting perspective, this change had a</w:t>
      </w:r>
    </w:p>
    <w:p>
      <w:pPr>
        <w:spacing w:after="0" w:line="3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-more-</w:t>
      </w:r>
    </w:p>
    <w:p>
      <w:pPr>
        <w:spacing w:after="0" w:line="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562" w:right="31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significant impact on Corporate office reporting, with minimal impact on the television broadcasting and Kaplan corporate reporting.</w:t>
      </w:r>
    </w:p>
    <w:p>
      <w:pPr>
        <w:spacing w:after="0" w:line="144"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Company recorded net non-operating pension and postretirement benefit income of $21.4 million for the first quarter of 2018, compared to $18.8 million for the first quarter of 2017.</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Loss on Marketable Equity Securities, net</w:t>
      </w:r>
    </w:p>
    <w:p>
      <w:pPr>
        <w:spacing w:after="0" w:line="146"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In the first quarter of 2018, the Company adopted new guidance that requires changes in the fair value of marketable equity securities to be included in non-operating income (expense) on a prospective basis. Overall, the Company recognized $14.1 million in net losses on marketable equity securities in the first quarter of 2018.</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Non-Operating Income (Expense)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total other non-operating income, net, of $9.2 million for the first quarter of 2018, compared to $0.8 million for the first quarter of 2017. The 2018 amounts included a $5.9 million gain on sales of businesses; $ 0.2 million in foreign currency gains; and other items. The 2017 amounts included $1.7 million in foreign currency gains, partially offset by other items.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46"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The Company’s effective tax rate for the first three months of 2018 was 24.0%. The Tax Cuts and Jobs Act was enacted in December 2017, which included lowering the federal corporate income tax rate from 35% to 21%.</w:t>
      </w:r>
    </w:p>
    <w:p>
      <w:pPr>
        <w:spacing w:after="0" w:line="92"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The Company's effective tax rate for the first three months of 2017 was 11.4%. This low effective tax rate is due to a $5.9 million income tax benefit related to the vesting of restricted stock awards. In the first quarter of 2017, the Company adopted a new accounting standard that requires all excess income tax benefits and deficiencies from stock compensation to be recorded as discrete items in the provision for income taxes. Excluding this $5.9 million benefit, the overall income tax rate for the first three months of 2017 was 36.3%.</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Per Share</w:t>
      </w:r>
    </w:p>
    <w:p>
      <w:pPr>
        <w:spacing w:after="0" w:line="146" w:lineRule="exact"/>
        <w:rPr>
          <w:sz w:val="20"/>
          <w:szCs w:val="20"/>
          <w:color w:val="auto"/>
        </w:rPr>
      </w:pPr>
    </w:p>
    <w:p>
      <w:pPr>
        <w:ind w:right="140"/>
        <w:spacing w:after="0" w:line="234" w:lineRule="auto"/>
        <w:rPr>
          <w:sz w:val="20"/>
          <w:szCs w:val="20"/>
          <w:color w:val="auto"/>
        </w:rPr>
      </w:pPr>
      <w:r>
        <w:rPr>
          <w:rFonts w:ascii="Arial" w:cs="Arial" w:eastAsia="Arial" w:hAnsi="Arial"/>
          <w:sz w:val="18"/>
          <w:szCs w:val="18"/>
          <w:color w:val="auto"/>
        </w:rPr>
        <w:t>The calculation of diluted earnings per share for the first quarter of 2018 was based on 5,472,643 weighted average shares outstanding, compared to 5,568,903 for the first quarter of 2017. At March 31, 2018, there were 5,373,325 shares outstanding. On November 9, 2017, the Board of Directors authorized the Company to acquire up to 500,000 shares of its Class B common stock; the Company has remaining authorization for 341,098 shares as of March 31, 2018.</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Adoption of Revenue Recognition Standard</w:t>
      </w:r>
    </w:p>
    <w:p>
      <w:pPr>
        <w:spacing w:after="0" w:line="146"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On January 1, 2018, the Company adopted the new revenue recognition guidance using the modified retrospective approach. If the company applied the accounting policies under the previous guidance, revenue would have been $1.3 million lower and operating expenses would have been $3.0 million higher for the first quarter of 2018.</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46"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This press release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3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-more-</w:t>
      </w:r>
    </w:p>
    <w:p>
      <w:pPr>
        <w:spacing w:after="0" w:line="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562" w:right="31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gridSpan w:val="3"/>
          </w:tcPr>
          <w:p>
            <w:pPr>
              <w:jc w:val="right"/>
              <w:ind w:right="279"/>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8"/>
                <w:szCs w:val="18"/>
                <w:color w:val="auto"/>
              </w:rPr>
            </w:pPr>
          </w:p>
        </w:tc>
        <w:tc>
          <w:tcPr>
            <w:tcW w:w="880" w:type="dxa"/>
            <w:vAlign w:val="bottom"/>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2017</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7"/>
        </w:trPr>
        <w:tc>
          <w:tcPr>
            <w:tcW w:w="834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659,436</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582,717</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70"/>
        </w:trPr>
        <w:tc>
          <w:tcPr>
            <w:tcW w:w="83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590,196</w:t>
            </w:r>
          </w:p>
        </w:tc>
        <w:tc>
          <w:tcPr>
            <w:tcW w:w="380" w:type="dxa"/>
            <w:vAlign w:val="bottom"/>
          </w:tcPr>
          <w:p>
            <w:pPr>
              <w:spacing w:after="0"/>
              <w:rPr>
                <w:sz w:val="23"/>
                <w:szCs w:val="23"/>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550,976</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70"/>
        </w:trPr>
        <w:tc>
          <w:tcPr>
            <w:tcW w:w="8340" w:type="dxa"/>
            <w:vAlign w:val="bottom"/>
          </w:tcPr>
          <w:p>
            <w:pPr>
              <w:ind w:left="20"/>
              <w:spacing w:after="0"/>
              <w:rPr>
                <w:sz w:val="20"/>
                <w:szCs w:val="20"/>
                <w:color w:val="auto"/>
              </w:rPr>
            </w:pPr>
            <w:r>
              <w:rPr>
                <w:rFonts w:ascii="Arial" w:cs="Arial" w:eastAsia="Arial" w:hAnsi="Arial"/>
                <w:sz w:val="16"/>
                <w:szCs w:val="16"/>
                <w:color w:val="auto"/>
              </w:rPr>
              <w:t>Depreciation of property, plant and equipment</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14,642</w:t>
            </w:r>
          </w:p>
        </w:tc>
        <w:tc>
          <w:tcPr>
            <w:tcW w:w="380" w:type="dxa"/>
            <w:vAlign w:val="bottom"/>
          </w:tcPr>
          <w:p>
            <w:pPr>
              <w:spacing w:after="0"/>
              <w:rPr>
                <w:sz w:val="23"/>
                <w:szCs w:val="23"/>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14,652</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4"/>
        </w:trPr>
        <w:tc>
          <w:tcPr>
            <w:tcW w:w="834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10,384</w:t>
            </w:r>
          </w:p>
        </w:tc>
        <w:tc>
          <w:tcPr>
            <w:tcW w:w="3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6,836</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60"/>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tcPr>
          <w:p>
            <w:pPr>
              <w:spacing w:after="0"/>
              <w:rPr>
                <w:sz w:val="22"/>
                <w:szCs w:val="22"/>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44,214</w:t>
            </w:r>
          </w:p>
        </w:tc>
        <w:tc>
          <w:tcPr>
            <w:tcW w:w="380" w:type="dxa"/>
            <w:vAlign w:val="bottom"/>
          </w:tcPr>
          <w:p>
            <w:pPr>
              <w:spacing w:after="0"/>
              <w:rPr>
                <w:sz w:val="22"/>
                <w:szCs w:val="22"/>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10,253</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Equity in earnings of affiliates, net</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2,579</w:t>
            </w:r>
          </w:p>
        </w:tc>
        <w:tc>
          <w:tcPr>
            <w:tcW w:w="380" w:type="dxa"/>
            <w:vAlign w:val="bottom"/>
          </w:tcPr>
          <w:p>
            <w:pPr>
              <w:spacing w:after="0"/>
              <w:rPr>
                <w:sz w:val="23"/>
                <w:szCs w:val="23"/>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649</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1,372</w:t>
            </w:r>
          </w:p>
        </w:tc>
        <w:tc>
          <w:tcPr>
            <w:tcW w:w="380" w:type="dxa"/>
            <w:vAlign w:val="bottom"/>
          </w:tcPr>
          <w:p>
            <w:pPr>
              <w:spacing w:after="0"/>
              <w:rPr>
                <w:sz w:val="23"/>
                <w:szCs w:val="23"/>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1,363</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(8,071)</w:t>
            </w:r>
          </w:p>
        </w:tc>
        <w:tc>
          <w:tcPr>
            <w:tcW w:w="3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(8,129)</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Non-operating pension and postretirement benefit income, net</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21,386</w:t>
            </w:r>
          </w:p>
        </w:tc>
        <w:tc>
          <w:tcPr>
            <w:tcW w:w="380" w:type="dxa"/>
            <w:vAlign w:val="bottom"/>
          </w:tcPr>
          <w:p>
            <w:pPr>
              <w:spacing w:after="0"/>
              <w:rPr>
                <w:sz w:val="23"/>
                <w:szCs w:val="23"/>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18,801</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Loss on marketable equity securities, net</w:t>
            </w:r>
          </w:p>
        </w:tc>
        <w:tc>
          <w:tcPr>
            <w:tcW w:w="22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(14,102)</w:t>
            </w:r>
          </w:p>
        </w:tc>
        <w:tc>
          <w:tcPr>
            <w:tcW w:w="380" w:type="dxa"/>
            <w:vAlign w:val="bottom"/>
          </w:tcPr>
          <w:p>
            <w:pPr>
              <w:spacing w:after="0"/>
              <w:rPr>
                <w:sz w:val="23"/>
                <w:szCs w:val="23"/>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4"/>
        </w:trPr>
        <w:tc>
          <w:tcPr>
            <w:tcW w:w="8340" w:type="dxa"/>
            <w:vAlign w:val="bottom"/>
          </w:tcPr>
          <w:p>
            <w:pPr>
              <w:ind w:left="280"/>
              <w:spacing w:after="0"/>
              <w:rPr>
                <w:sz w:val="20"/>
                <w:szCs w:val="20"/>
                <w:color w:val="auto"/>
              </w:rPr>
            </w:pPr>
            <w:r>
              <w:rPr>
                <w:rFonts w:ascii="Arial" w:cs="Arial" w:eastAsia="Arial" w:hAnsi="Arial"/>
                <w:sz w:val="16"/>
                <w:szCs w:val="16"/>
                <w:color w:val="auto"/>
              </w:rPr>
              <w:t>Other income, net</w:t>
            </w: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9,187</w:t>
            </w:r>
          </w:p>
        </w:tc>
        <w:tc>
          <w:tcPr>
            <w:tcW w:w="3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849</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20" w:type="dxa"/>
            <w:vAlign w:val="bottom"/>
          </w:tcPr>
          <w:p>
            <w:pPr>
              <w:spacing w:after="0"/>
              <w:rPr>
                <w:sz w:val="22"/>
                <w:szCs w:val="22"/>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56,565</w:t>
            </w:r>
          </w:p>
        </w:tc>
        <w:tc>
          <w:tcPr>
            <w:tcW w:w="380" w:type="dxa"/>
            <w:vAlign w:val="bottom"/>
          </w:tcPr>
          <w:p>
            <w:pPr>
              <w:spacing w:after="0"/>
              <w:rPr>
                <w:sz w:val="22"/>
                <w:szCs w:val="22"/>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23,786</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4"/>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Provision for income taxes</w:t>
            </w: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13,600</w:t>
            </w:r>
          </w:p>
        </w:tc>
        <w:tc>
          <w:tcPr>
            <w:tcW w:w="3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2,700</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22"/>
                <w:szCs w:val="22"/>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42,965</w:t>
            </w:r>
          </w:p>
        </w:tc>
        <w:tc>
          <w:tcPr>
            <w:tcW w:w="380" w:type="dxa"/>
            <w:vAlign w:val="bottom"/>
          </w:tcPr>
          <w:p>
            <w:pPr>
              <w:spacing w:after="0"/>
              <w:rPr>
                <w:sz w:val="22"/>
                <w:szCs w:val="22"/>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21,086</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4"/>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(74)</w:t>
            </w:r>
          </w:p>
        </w:tc>
        <w:tc>
          <w:tcPr>
            <w:tcW w:w="3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42,891</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21,086</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34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Basic net income per common share</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7.84</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3.77</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Basic average number of common shares outstanding</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5,436</w:t>
            </w:r>
          </w:p>
        </w:tc>
        <w:tc>
          <w:tcPr>
            <w:tcW w:w="380" w:type="dxa"/>
            <w:vAlign w:val="bottom"/>
          </w:tcPr>
          <w:p>
            <w:pPr>
              <w:spacing w:after="0"/>
              <w:rPr>
                <w:sz w:val="23"/>
                <w:szCs w:val="23"/>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5,535</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Diluted net income per common share</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7.78</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3.75</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Diluted average number of common shares outstanding</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5,473</w:t>
            </w:r>
          </w:p>
        </w:tc>
        <w:tc>
          <w:tcPr>
            <w:tcW w:w="380" w:type="dxa"/>
            <w:vAlign w:val="bottom"/>
          </w:tcPr>
          <w:p>
            <w:pPr>
              <w:spacing w:after="0"/>
              <w:rPr>
                <w:sz w:val="23"/>
                <w:szCs w:val="23"/>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5,569</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60" w:top="738" w:right="2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BUSINESS DIVISION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gridSpan w:val="3"/>
          </w:tcPr>
          <w:p>
            <w:pPr>
              <w:jc w:val="right"/>
              <w:ind w:right="279"/>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7"/>
                <w:szCs w:val="17"/>
                <w:color w:val="auto"/>
              </w:rPr>
            </w:pPr>
          </w:p>
        </w:tc>
      </w:tr>
      <w:tr>
        <w:trPr>
          <w:trHeight w:val="271"/>
        </w:trPr>
        <w:tc>
          <w:tcPr>
            <w:tcW w:w="83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23"/>
                <w:szCs w:val="23"/>
                <w:color w:val="auto"/>
              </w:rPr>
            </w:pPr>
          </w:p>
        </w:tc>
        <w:tc>
          <w:tcPr>
            <w:tcW w:w="900" w:type="dxa"/>
            <w:vAlign w:val="bottom"/>
          </w:tcPr>
          <w:p>
            <w:pPr>
              <w:jc w:val="right"/>
              <w:ind w:right="239"/>
              <w:spacing w:after="0"/>
              <w:rPr>
                <w:sz w:val="20"/>
                <w:szCs w:val="20"/>
                <w:color w:val="auto"/>
              </w:rPr>
            </w:pPr>
            <w:r>
              <w:rPr>
                <w:rFonts w:ascii="Arial" w:cs="Arial" w:eastAsia="Arial" w:hAnsi="Arial"/>
                <w:sz w:val="14"/>
                <w:szCs w:val="14"/>
                <w:color w:val="auto"/>
              </w:rPr>
              <w:t>%</w:t>
            </w:r>
          </w:p>
        </w:tc>
      </w:tr>
      <w:tr>
        <w:trPr>
          <w:trHeight w:val="264"/>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color w:val="auto"/>
              </w:rPr>
              <w:t>2017</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Change</w:t>
            </w:r>
          </w:p>
        </w:tc>
      </w:tr>
      <w:tr>
        <w:trPr>
          <w:trHeight w:val="257"/>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0"/>
        </w:trPr>
        <w:tc>
          <w:tcPr>
            <w:tcW w:w="836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375,499</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372,897</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270"/>
        </w:trPr>
        <w:tc>
          <w:tcPr>
            <w:tcW w:w="836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108,802</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91,496</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19</w:t>
            </w:r>
          </w:p>
        </w:tc>
      </w:tr>
      <w:tr>
        <w:trPr>
          <w:trHeight w:val="270"/>
        </w:trPr>
        <w:tc>
          <w:tcPr>
            <w:tcW w:w="836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117,406</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61,898</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90</w:t>
            </w:r>
          </w:p>
        </w:tc>
      </w:tr>
      <w:tr>
        <w:trPr>
          <w:trHeight w:val="270"/>
        </w:trPr>
        <w:tc>
          <w:tcPr>
            <w:tcW w:w="836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37,621</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36,899</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270"/>
        </w:trPr>
        <w:tc>
          <w:tcPr>
            <w:tcW w:w="836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13,299</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12,574</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270"/>
        </w:trPr>
        <w:tc>
          <w:tcPr>
            <w:tcW w:w="836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6,833</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6,953</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70"/>
        </w:trPr>
        <w:tc>
          <w:tcPr>
            <w:tcW w:w="836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4"/>
        </w:trPr>
        <w:tc>
          <w:tcPr>
            <w:tcW w:w="836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(24)</w:t>
            </w:r>
          </w:p>
        </w:tc>
        <w:tc>
          <w:tcPr>
            <w:tcW w:w="3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1"/>
        </w:trPr>
        <w:tc>
          <w:tcPr>
            <w:tcW w:w="836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659,436</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582,717</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13</w:t>
            </w:r>
          </w:p>
        </w:tc>
      </w:tr>
      <w:tr>
        <w:trPr>
          <w:trHeight w:val="263"/>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0"/>
        </w:trPr>
        <w:tc>
          <w:tcPr>
            <w:tcW w:w="836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352,799</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363,460</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70"/>
        </w:trPr>
        <w:tc>
          <w:tcPr>
            <w:tcW w:w="836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68,260</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65,013</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270"/>
        </w:trPr>
        <w:tc>
          <w:tcPr>
            <w:tcW w:w="836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108,778</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58,233</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87</w:t>
            </w:r>
          </w:p>
        </w:tc>
      </w:tr>
      <w:tr>
        <w:trPr>
          <w:trHeight w:val="270"/>
        </w:trPr>
        <w:tc>
          <w:tcPr>
            <w:tcW w:w="836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39,012</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37,825</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270"/>
        </w:trPr>
        <w:tc>
          <w:tcPr>
            <w:tcW w:w="836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17,080</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17,082</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36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15,375</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15,748</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70"/>
        </w:trPr>
        <w:tc>
          <w:tcPr>
            <w:tcW w:w="836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13,942</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15,103</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74"/>
        </w:trPr>
        <w:tc>
          <w:tcPr>
            <w:tcW w:w="836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(24)</w:t>
            </w:r>
          </w:p>
        </w:tc>
        <w:tc>
          <w:tcPr>
            <w:tcW w:w="3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1"/>
        </w:trPr>
        <w:tc>
          <w:tcPr>
            <w:tcW w:w="836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615,222</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572,464</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w:t>
            </w:r>
          </w:p>
        </w:tc>
      </w:tr>
      <w:tr>
        <w:trPr>
          <w:trHeight w:val="263"/>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0"/>
        </w:trPr>
        <w:tc>
          <w:tcPr>
            <w:tcW w:w="836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22,700</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9,437</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36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40,542</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26,483</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53</w:t>
            </w:r>
          </w:p>
        </w:tc>
      </w:tr>
      <w:tr>
        <w:trPr>
          <w:trHeight w:val="270"/>
        </w:trPr>
        <w:tc>
          <w:tcPr>
            <w:tcW w:w="836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8,628</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3,665</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36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b w:val="1"/>
                <w:bCs w:val="1"/>
                <w:color w:val="auto"/>
              </w:rPr>
              <w:t>(1,391)</w:t>
            </w:r>
          </w:p>
        </w:tc>
        <w:tc>
          <w:tcPr>
            <w:tcW w:w="3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(926)</w:t>
            </w:r>
          </w:p>
        </w:tc>
        <w:tc>
          <w:tcPr>
            <w:tcW w:w="90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70"/>
        </w:trPr>
        <w:tc>
          <w:tcPr>
            <w:tcW w:w="836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2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b w:val="1"/>
                <w:bCs w:val="1"/>
                <w:color w:val="auto"/>
              </w:rPr>
              <w:t>(3,781)</w:t>
            </w:r>
          </w:p>
        </w:tc>
        <w:tc>
          <w:tcPr>
            <w:tcW w:w="3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(4,508)</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16</w:t>
            </w:r>
          </w:p>
        </w:tc>
      </w:tr>
      <w:tr>
        <w:trPr>
          <w:trHeight w:val="270"/>
        </w:trPr>
        <w:tc>
          <w:tcPr>
            <w:tcW w:w="836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b w:val="1"/>
                <w:bCs w:val="1"/>
                <w:color w:val="auto"/>
              </w:rPr>
              <w:t>(8,542)</w:t>
            </w:r>
          </w:p>
        </w:tc>
        <w:tc>
          <w:tcPr>
            <w:tcW w:w="3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(8,795)</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274"/>
        </w:trPr>
        <w:tc>
          <w:tcPr>
            <w:tcW w:w="836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(13,942)</w:t>
            </w:r>
          </w:p>
        </w:tc>
        <w:tc>
          <w:tcPr>
            <w:tcW w:w="3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(15,103)</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w:t>
            </w:r>
          </w:p>
        </w:tc>
      </w:tr>
      <w:tr>
        <w:trPr>
          <w:trHeight w:val="261"/>
        </w:trPr>
        <w:tc>
          <w:tcPr>
            <w:tcW w:w="836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44,214</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10,253</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3"/>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Depreciation</w:t>
            </w: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0"/>
        </w:trPr>
        <w:tc>
          <w:tcPr>
            <w:tcW w:w="836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7,606</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8,584</w:t>
            </w: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70"/>
        </w:trPr>
        <w:tc>
          <w:tcPr>
            <w:tcW w:w="836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3,071</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2,594</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18</w:t>
            </w:r>
          </w:p>
        </w:tc>
      </w:tr>
      <w:tr>
        <w:trPr>
          <w:trHeight w:val="270"/>
        </w:trPr>
        <w:tc>
          <w:tcPr>
            <w:tcW w:w="836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2,451</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1,508</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63</w:t>
            </w:r>
          </w:p>
        </w:tc>
      </w:tr>
      <w:tr>
        <w:trPr>
          <w:trHeight w:val="270"/>
        </w:trPr>
        <w:tc>
          <w:tcPr>
            <w:tcW w:w="836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653</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1,069</w:t>
            </w:r>
          </w:p>
        </w:tc>
        <w:tc>
          <w:tcPr>
            <w:tcW w:w="90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70"/>
        </w:trPr>
        <w:tc>
          <w:tcPr>
            <w:tcW w:w="836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233</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246</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70"/>
        </w:trPr>
        <w:tc>
          <w:tcPr>
            <w:tcW w:w="836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375</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361</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274"/>
        </w:trPr>
        <w:tc>
          <w:tcPr>
            <w:tcW w:w="836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253</w:t>
            </w:r>
          </w:p>
        </w:tc>
        <w:tc>
          <w:tcPr>
            <w:tcW w:w="3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290</w:t>
            </w: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61"/>
        </w:trPr>
        <w:tc>
          <w:tcPr>
            <w:tcW w:w="836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14,642</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14,652</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3"/>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w:t>
            </w: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0"/>
        </w:trPr>
        <w:tc>
          <w:tcPr>
            <w:tcW w:w="836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1,149</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1,120</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270"/>
        </w:trPr>
        <w:tc>
          <w:tcPr>
            <w:tcW w:w="836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1,408</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902</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56</w:t>
            </w:r>
          </w:p>
        </w:tc>
      </w:tr>
      <w:tr>
        <w:trPr>
          <w:trHeight w:val="270"/>
        </w:trPr>
        <w:tc>
          <w:tcPr>
            <w:tcW w:w="836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5,936</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3,077</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93</w:t>
            </w:r>
          </w:p>
        </w:tc>
      </w:tr>
      <w:tr>
        <w:trPr>
          <w:trHeight w:val="270"/>
        </w:trPr>
        <w:tc>
          <w:tcPr>
            <w:tcW w:w="836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1,808</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1,654</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w:t>
            </w:r>
          </w:p>
        </w:tc>
      </w:tr>
      <w:tr>
        <w:trPr>
          <w:trHeight w:val="270"/>
        </w:trPr>
        <w:tc>
          <w:tcPr>
            <w:tcW w:w="836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83</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83</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36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4"/>
        </w:trPr>
        <w:tc>
          <w:tcPr>
            <w:tcW w:w="836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1"/>
        </w:trPr>
        <w:tc>
          <w:tcPr>
            <w:tcW w:w="836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10,384</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6,836</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52</w:t>
            </w:r>
          </w:p>
        </w:tc>
      </w:tr>
      <w:tr>
        <w:trPr>
          <w:trHeight w:val="263"/>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0"/>
        </w:trPr>
        <w:tc>
          <w:tcPr>
            <w:tcW w:w="836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2,664</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2,706</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70"/>
        </w:trPr>
        <w:tc>
          <w:tcPr>
            <w:tcW w:w="836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493</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493</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36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17</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90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70"/>
        </w:trPr>
        <w:tc>
          <w:tcPr>
            <w:tcW w:w="836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122</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166</w:t>
            </w:r>
          </w:p>
        </w:tc>
        <w:tc>
          <w:tcPr>
            <w:tcW w:w="900" w:type="dxa"/>
            <w:vAlign w:val="bottom"/>
          </w:tcPr>
          <w:p>
            <w:pPr>
              <w:jc w:val="right"/>
              <w:spacing w:after="0"/>
              <w:rPr>
                <w:sz w:val="20"/>
                <w:szCs w:val="20"/>
                <w:color w:val="auto"/>
              </w:rPr>
            </w:pPr>
            <w:r>
              <w:rPr>
                <w:rFonts w:ascii="Arial" w:cs="Arial" w:eastAsia="Arial" w:hAnsi="Arial"/>
                <w:sz w:val="16"/>
                <w:szCs w:val="16"/>
                <w:color w:val="auto"/>
              </w:rPr>
              <w:t>(27)</w:t>
            </w:r>
          </w:p>
        </w:tc>
      </w:tr>
    </w:tbl>
    <w:p>
      <w:pPr>
        <w:sectPr>
          <w:pgSz w:w="11900" w:h="16838" w:orient="portrait"/>
          <w:cols w:equalWidth="0" w:num="1">
            <w:col w:w="11420"/>
          </w:cols>
          <w:pgMar w:left="240" w:top="738" w:right="23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500" w:type="dxa"/>
            <w:vAlign w:val="bottom"/>
            <w:gridSpan w:val="2"/>
          </w:tcPr>
          <w:p>
            <w:pPr>
              <w:spacing w:after="0"/>
              <w:rPr>
                <w:sz w:val="20"/>
                <w:szCs w:val="20"/>
                <w:color w:val="auto"/>
              </w:rPr>
            </w:pPr>
            <w:r>
              <w:rPr>
                <w:rFonts w:ascii="Arial" w:cs="Arial" w:eastAsia="Arial" w:hAnsi="Arial"/>
                <w:sz w:val="16"/>
                <w:szCs w:val="16"/>
                <w:color w:val="auto"/>
              </w:rPr>
              <w:t>SocialCode</w:t>
            </w:r>
          </w:p>
        </w:tc>
        <w:tc>
          <w:tcPr>
            <w:tcW w:w="720" w:type="dxa"/>
            <w:vAlign w:val="bottom"/>
          </w:tcPr>
          <w:p>
            <w:pPr>
              <w:jc w:val="right"/>
              <w:ind w:right="39"/>
              <w:spacing w:after="0"/>
              <w:rPr>
                <w:sz w:val="20"/>
                <w:szCs w:val="20"/>
                <w:color w:val="auto"/>
              </w:rPr>
            </w:pPr>
            <w:r>
              <w:rPr>
                <w:rFonts w:ascii="Arial" w:cs="Arial" w:eastAsia="Arial" w:hAnsi="Arial"/>
                <w:sz w:val="16"/>
                <w:szCs w:val="16"/>
                <w:b w:val="1"/>
                <w:bCs w:val="1"/>
                <w:color w:val="auto"/>
              </w:rPr>
              <w:t>156</w:t>
            </w:r>
          </w:p>
        </w:tc>
        <w:tc>
          <w:tcPr>
            <w:tcW w:w="420" w:type="dxa"/>
            <w:vAlign w:val="bottom"/>
          </w:tcPr>
          <w:p>
            <w:pPr>
              <w:spacing w:after="0"/>
              <w:rPr>
                <w:sz w:val="19"/>
                <w:szCs w:val="19"/>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154</w:t>
            </w: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97"/>
        </w:trPr>
        <w:tc>
          <w:tcPr>
            <w:tcW w:w="8500" w:type="dxa"/>
            <w:vAlign w:val="bottom"/>
            <w:gridSpan w:val="2"/>
          </w:tcPr>
          <w:p>
            <w:pPr>
              <w:spacing w:after="0"/>
              <w:rPr>
                <w:sz w:val="20"/>
                <w:szCs w:val="20"/>
                <w:color w:val="auto"/>
              </w:rPr>
            </w:pPr>
            <w:r>
              <w:rPr>
                <w:rFonts w:ascii="Arial" w:cs="Arial" w:eastAsia="Arial" w:hAnsi="Arial"/>
                <w:sz w:val="16"/>
                <w:szCs w:val="16"/>
                <w:color w:val="auto"/>
              </w:rPr>
              <w:t>Other businesses</w:t>
            </w:r>
          </w:p>
        </w:tc>
        <w:tc>
          <w:tcPr>
            <w:tcW w:w="720" w:type="dxa"/>
            <w:vAlign w:val="bottom"/>
          </w:tcPr>
          <w:p>
            <w:pPr>
              <w:jc w:val="right"/>
              <w:ind w:right="39"/>
              <w:spacing w:after="0"/>
              <w:rPr>
                <w:sz w:val="20"/>
                <w:szCs w:val="20"/>
                <w:color w:val="auto"/>
              </w:rPr>
            </w:pPr>
            <w:r>
              <w:rPr>
                <w:rFonts w:ascii="Arial" w:cs="Arial" w:eastAsia="Arial" w:hAnsi="Arial"/>
                <w:sz w:val="16"/>
                <w:szCs w:val="16"/>
                <w:b w:val="1"/>
                <w:bCs w:val="1"/>
                <w:color w:val="auto"/>
              </w:rPr>
              <w:t>116</w:t>
            </w:r>
          </w:p>
        </w:tc>
        <w:tc>
          <w:tcPr>
            <w:tcW w:w="420" w:type="dxa"/>
            <w:vAlign w:val="bottom"/>
          </w:tcPr>
          <w:p>
            <w:pPr>
              <w:spacing w:after="0"/>
              <w:rPr>
                <w:sz w:val="24"/>
                <w:szCs w:val="24"/>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138</w:t>
            </w:r>
          </w:p>
        </w:tc>
        <w:tc>
          <w:tcPr>
            <w:tcW w:w="84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74"/>
        </w:trPr>
        <w:tc>
          <w:tcPr>
            <w:tcW w:w="8180" w:type="dxa"/>
            <w:vAlign w:val="bottom"/>
          </w:tcPr>
          <w:p>
            <w:pPr>
              <w:spacing w:after="0"/>
              <w:rPr>
                <w:sz w:val="20"/>
                <w:szCs w:val="20"/>
                <w:color w:val="auto"/>
              </w:rPr>
            </w:pPr>
            <w:r>
              <w:rPr>
                <w:rFonts w:ascii="Arial" w:cs="Arial" w:eastAsia="Arial" w:hAnsi="Arial"/>
                <w:sz w:val="16"/>
                <w:szCs w:val="16"/>
                <w:color w:val="auto"/>
              </w:rPr>
              <w:t>Corporate office</w:t>
            </w:r>
          </w:p>
        </w:tc>
        <w:tc>
          <w:tcPr>
            <w:tcW w:w="3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1,372</w:t>
            </w:r>
          </w:p>
        </w:tc>
        <w:tc>
          <w:tcPr>
            <w:tcW w:w="4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1,232</w:t>
            </w:r>
          </w:p>
        </w:tc>
        <w:tc>
          <w:tcPr>
            <w:tcW w:w="8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64"/>
        </w:trPr>
        <w:tc>
          <w:tcPr>
            <w:tcW w:w="8180" w:type="dxa"/>
            <w:vAlign w:val="bottom"/>
          </w:tcPr>
          <w:p>
            <w:pPr>
              <w:spacing w:after="0"/>
              <w:rPr>
                <w:sz w:val="22"/>
                <w:szCs w:val="22"/>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4,940</w:t>
            </w:r>
          </w:p>
        </w:tc>
        <w:tc>
          <w:tcPr>
            <w:tcW w:w="4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4,914</w:t>
            </w: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r>
    </w:tbl>
    <w:p>
      <w:pPr>
        <w:spacing w:after="0" w:line="22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-more-</w:t>
      </w:r>
    </w:p>
    <w:p>
      <w:pPr>
        <w:spacing w:after="0" w:line="31"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80"/>
          </w:cols>
          <w:pgMar w:left="420" w:top="119" w:right="29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EDUCATION DIVISION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gridSpan w:val="3"/>
          </w:tcPr>
          <w:p>
            <w:pPr>
              <w:jc w:val="right"/>
              <w:ind w:right="279"/>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7"/>
                <w:szCs w:val="17"/>
                <w:color w:val="auto"/>
              </w:rPr>
            </w:pPr>
          </w:p>
        </w:tc>
      </w:tr>
      <w:tr>
        <w:trPr>
          <w:trHeight w:val="271"/>
        </w:trPr>
        <w:tc>
          <w:tcPr>
            <w:tcW w:w="83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23"/>
                <w:szCs w:val="23"/>
                <w:color w:val="auto"/>
              </w:rPr>
            </w:pPr>
          </w:p>
        </w:tc>
        <w:tc>
          <w:tcPr>
            <w:tcW w:w="900" w:type="dxa"/>
            <w:vAlign w:val="bottom"/>
          </w:tcPr>
          <w:p>
            <w:pPr>
              <w:jc w:val="right"/>
              <w:ind w:right="239"/>
              <w:spacing w:after="0"/>
              <w:rPr>
                <w:sz w:val="20"/>
                <w:szCs w:val="20"/>
                <w:color w:val="auto"/>
              </w:rPr>
            </w:pPr>
            <w:r>
              <w:rPr>
                <w:rFonts w:ascii="Arial" w:cs="Arial" w:eastAsia="Arial" w:hAnsi="Arial"/>
                <w:sz w:val="14"/>
                <w:szCs w:val="14"/>
                <w:color w:val="auto"/>
              </w:rPr>
              <w:t>%</w:t>
            </w:r>
          </w:p>
        </w:tc>
      </w:tr>
      <w:tr>
        <w:trPr>
          <w:trHeight w:val="264"/>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color w:val="auto"/>
              </w:rPr>
              <w:t>2017</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Change</w:t>
            </w:r>
          </w:p>
        </w:tc>
      </w:tr>
      <w:tr>
        <w:trPr>
          <w:trHeight w:val="257"/>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183,582</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164,562</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12</w:t>
            </w: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99,830</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111,111</w:t>
            </w: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59,151</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64,568</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33,356</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33,199</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285</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4"/>
        </w:trPr>
        <w:tc>
          <w:tcPr>
            <w:tcW w:w="836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(705)</w:t>
            </w:r>
          </w:p>
        </w:tc>
        <w:tc>
          <w:tcPr>
            <w:tcW w:w="3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1"/>
        </w:trPr>
        <w:tc>
          <w:tcPr>
            <w:tcW w:w="836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375,499</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372,897</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263"/>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163,178</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156,855</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98,475</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108,665</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58,630</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67,432</w:t>
            </w: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24,041</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23,041</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8,031</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6,957</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15</w:t>
            </w: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1,149</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1,120</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274"/>
        </w:trPr>
        <w:tc>
          <w:tcPr>
            <w:tcW w:w="836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(705)</w:t>
            </w:r>
          </w:p>
        </w:tc>
        <w:tc>
          <w:tcPr>
            <w:tcW w:w="3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1"/>
        </w:trPr>
        <w:tc>
          <w:tcPr>
            <w:tcW w:w="836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352,799</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363,460</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63"/>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20,404</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7,707</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1,355</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2,446</w:t>
            </w:r>
          </w:p>
        </w:tc>
        <w:tc>
          <w:tcPr>
            <w:tcW w:w="90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521</w:t>
            </w:r>
          </w:p>
        </w:tc>
        <w:tc>
          <w:tcPr>
            <w:tcW w:w="3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(2,864)</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9,315</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10,158</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2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b w:val="1"/>
                <w:bCs w:val="1"/>
                <w:color w:val="auto"/>
              </w:rPr>
              <w:t>(7,746)</w:t>
            </w:r>
          </w:p>
        </w:tc>
        <w:tc>
          <w:tcPr>
            <w:tcW w:w="3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(6,943)</w:t>
            </w: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b w:val="1"/>
                <w:bCs w:val="1"/>
                <w:color w:val="auto"/>
              </w:rPr>
              <w:t>(1,149)</w:t>
            </w:r>
          </w:p>
        </w:tc>
        <w:tc>
          <w:tcPr>
            <w:tcW w:w="3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(1,120)</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74"/>
        </w:trPr>
        <w:tc>
          <w:tcPr>
            <w:tcW w:w="836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1"/>
        </w:trPr>
        <w:tc>
          <w:tcPr>
            <w:tcW w:w="836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22,700</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9,437</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3"/>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Depreciation</w:t>
            </w: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3,974</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3,682</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w:t>
            </w: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1,858</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2,648</w:t>
            </w:r>
          </w:p>
        </w:tc>
        <w:tc>
          <w:tcPr>
            <w:tcW w:w="90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978</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1,341</w:t>
            </w:r>
          </w:p>
        </w:tc>
        <w:tc>
          <w:tcPr>
            <w:tcW w:w="90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642</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783</w:t>
            </w:r>
          </w:p>
        </w:tc>
        <w:tc>
          <w:tcPr>
            <w:tcW w:w="9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74"/>
        </w:trPr>
        <w:tc>
          <w:tcPr>
            <w:tcW w:w="836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154</w:t>
            </w:r>
          </w:p>
        </w:tc>
        <w:tc>
          <w:tcPr>
            <w:tcW w:w="3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130</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18</w:t>
            </w:r>
          </w:p>
        </w:tc>
      </w:tr>
      <w:tr>
        <w:trPr>
          <w:trHeight w:val="261"/>
        </w:trPr>
        <w:tc>
          <w:tcPr>
            <w:tcW w:w="836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7,606</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8,584</w:t>
            </w: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63"/>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83</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87</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1,406</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1,742</w:t>
            </w: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729</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911</w:t>
            </w:r>
          </w:p>
        </w:tc>
        <w:tc>
          <w:tcPr>
            <w:tcW w:w="9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290</w:t>
            </w:r>
          </w:p>
        </w:tc>
        <w:tc>
          <w:tcPr>
            <w:tcW w:w="36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302</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74"/>
        </w:trPr>
        <w:tc>
          <w:tcPr>
            <w:tcW w:w="836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156</w:t>
            </w:r>
          </w:p>
        </w:tc>
        <w:tc>
          <w:tcPr>
            <w:tcW w:w="3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836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2,664</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2,706</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bl>
    <w:p>
      <w:pPr>
        <w:spacing w:after="0" w:line="200" w:lineRule="exact"/>
        <w:rPr>
          <w:sz w:val="20"/>
          <w:szCs w:val="20"/>
          <w:color w:val="auto"/>
        </w:rPr>
      </w:pPr>
    </w:p>
    <w:p>
      <w:pPr>
        <w:sectPr>
          <w:pgSz w:w="11900" w:h="16838" w:orient="portrait"/>
          <w:cols w:equalWidth="0" w:num="1">
            <w:col w:w="11420"/>
          </w:cols>
          <w:pgMar w:left="240" w:top="738" w:right="239" w:bottom="1440" w:gutter="0" w:footer="0" w:header="0"/>
        </w:sectPr>
      </w:pP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38" w:right="2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color w:val="auto"/>
        </w:rPr>
        <w:t>NON-GAAP FINANCIAL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GRAHAM HOLDINGS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49" w:lineRule="exact"/>
        <w:rPr>
          <w:sz w:val="20"/>
          <w:szCs w:val="20"/>
          <w:color w:val="auto"/>
        </w:rPr>
      </w:pPr>
    </w:p>
    <w:p>
      <w:pPr>
        <w:ind w:right="260"/>
        <w:spacing w:after="0" w:line="234" w:lineRule="auto"/>
        <w:rPr>
          <w:sz w:val="20"/>
          <w:szCs w:val="20"/>
          <w:color w:val="auto"/>
        </w:rPr>
      </w:pPr>
      <w:r>
        <w:rPr>
          <w:rFonts w:ascii="Arial" w:cs="Arial" w:eastAsia="Arial" w:hAnsi="Arial"/>
          <w:sz w:val="18"/>
          <w:szCs w:val="18"/>
          <w:color w:val="auto"/>
        </w:rPr>
        <w:t>In addition to the results reported in accordance with accounting principles generally accepted in the United States (GAAP) included in this press release, the Company has provided information regarding net income, excluding certain items described below, reconciled to the most directly comparable GAAP measures. Management believes that these non-GAAP measures, when read in conjunction with the Company’s GAAP financials, provide useful information to investors by offering:</w:t>
      </w:r>
    </w:p>
    <w:p>
      <w:pPr>
        <w:spacing w:after="0" w:line="5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make meaningful period-to-period comparisons of the Company’s ongoing results;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identify trends in the Company’s underlying business;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better understanding of how management plans and measures the Company’s underlying business.</w:t>
      </w:r>
    </w:p>
    <w:p>
      <w:pPr>
        <w:spacing w:after="0" w:line="90" w:lineRule="exact"/>
        <w:rPr>
          <w:sz w:val="20"/>
          <w:szCs w:val="20"/>
          <w:color w:val="auto"/>
        </w:rPr>
      </w:pPr>
    </w:p>
    <w:p>
      <w:pPr>
        <w:jc w:val="both"/>
        <w:ind w:right="300"/>
        <w:spacing w:after="0"/>
        <w:rPr>
          <w:sz w:val="20"/>
          <w:szCs w:val="20"/>
          <w:color w:val="auto"/>
        </w:rPr>
      </w:pPr>
      <w:r>
        <w:rPr>
          <w:rFonts w:ascii="Arial" w:cs="Arial" w:eastAsia="Arial" w:hAnsi="Arial"/>
          <w:sz w:val="18"/>
          <w:szCs w:val="18"/>
          <w:color w:val="auto"/>
        </w:rPr>
        <w:t>Net income, excluding certain items, should not be considered substitutes or alternatives to computations calculated in accordance with and required by GAAP. These non-GAAP financial measures should be read only in conjunction with financial information presented on a GAAP basis.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non-GAAP financial measures to the most directly comparable GAAP measures:</w:t>
      </w:r>
    </w:p>
    <w:p>
      <w:pPr>
        <w:spacing w:after="0" w:line="160" w:lineRule="exact"/>
        <w:rPr>
          <w:sz w:val="20"/>
          <w:szCs w:val="20"/>
          <w:color w:val="auto"/>
        </w:rPr>
      </w:pPr>
    </w:p>
    <w:p>
      <w:pPr>
        <w:ind w:left="678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33020</wp:posOffset>
            </wp:positionV>
            <wp:extent cx="44164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416425" cy="8890"/>
                    </a:xfrm>
                    <a:prstGeom prst="rect">
                      <a:avLst/>
                    </a:prstGeom>
                    <a:noFill/>
                  </pic:spPr>
                </pic:pic>
              </a:graphicData>
            </a:graphic>
          </wp:anchor>
        </w:drawing>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460" w:type="dxa"/>
            <w:vAlign w:val="bottom"/>
          </w:tcPr>
          <w:p>
            <w:pPr>
              <w:spacing w:after="0"/>
              <w:rPr>
                <w:sz w:val="16"/>
                <w:szCs w:val="16"/>
                <w:color w:val="auto"/>
              </w:rPr>
            </w:pPr>
          </w:p>
        </w:tc>
        <w:tc>
          <w:tcPr>
            <w:tcW w:w="1340" w:type="dxa"/>
            <w:vAlign w:val="bottom"/>
            <w:gridSpan w:val="2"/>
            <w:vMerge w:val="restart"/>
          </w:tcPr>
          <w:p>
            <w:pPr>
              <w:jc w:val="right"/>
              <w:ind w:right="59"/>
              <w:spacing w:after="0"/>
              <w:rPr>
                <w:sz w:val="20"/>
                <w:szCs w:val="20"/>
                <w:color w:val="auto"/>
              </w:rPr>
            </w:pPr>
            <w:r>
              <w:rPr>
                <w:rFonts w:ascii="Arial" w:cs="Arial" w:eastAsia="Arial" w:hAnsi="Arial"/>
                <w:sz w:val="16"/>
                <w:szCs w:val="16"/>
                <w:b w:val="1"/>
                <w:bCs w:val="1"/>
                <w:color w:val="auto"/>
              </w:rPr>
              <w:t>Income before</w:t>
            </w:r>
          </w:p>
        </w:tc>
        <w:tc>
          <w:tcPr>
            <w:tcW w:w="220" w:type="dxa"/>
            <w:vAlign w:val="bottom"/>
          </w:tcPr>
          <w:p>
            <w:pPr>
              <w:spacing w:after="0"/>
              <w:rPr>
                <w:sz w:val="16"/>
                <w:szCs w:val="16"/>
                <w:color w:val="auto"/>
              </w:rPr>
            </w:pPr>
          </w:p>
        </w:tc>
        <w:tc>
          <w:tcPr>
            <w:tcW w:w="8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Income</w:t>
            </w: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Net Income</w:t>
            </w:r>
          </w:p>
        </w:tc>
        <w:tc>
          <w:tcPr>
            <w:tcW w:w="300" w:type="dxa"/>
            <w:vAlign w:val="bottom"/>
          </w:tcPr>
          <w:p>
            <w:pPr>
              <w:spacing w:after="0"/>
              <w:rPr>
                <w:sz w:val="16"/>
                <w:szCs w:val="16"/>
                <w:color w:val="auto"/>
              </w:rPr>
            </w:pPr>
          </w:p>
        </w:tc>
        <w:tc>
          <w:tcPr>
            <w:tcW w:w="900" w:type="dxa"/>
            <w:vAlign w:val="bottom"/>
          </w:tcPr>
          <w:p>
            <w:pPr>
              <w:jc w:val="center"/>
              <w:ind w:right="159"/>
              <w:spacing w:after="0"/>
              <w:rPr>
                <w:sz w:val="20"/>
                <w:szCs w:val="20"/>
                <w:color w:val="auto"/>
              </w:rPr>
            </w:pPr>
            <w:r>
              <w:rPr>
                <w:rFonts w:ascii="Arial" w:cs="Arial" w:eastAsia="Arial" w:hAnsi="Arial"/>
                <w:sz w:val="16"/>
                <w:szCs w:val="16"/>
                <w:color w:val="auto"/>
              </w:rPr>
              <w:t>Income</w:t>
            </w:r>
          </w:p>
        </w:tc>
        <w:tc>
          <w:tcPr>
            <w:tcW w:w="240" w:type="dxa"/>
            <w:vAlign w:val="bottom"/>
          </w:tcPr>
          <w:p>
            <w:pPr>
              <w:spacing w:after="0"/>
              <w:rPr>
                <w:sz w:val="16"/>
                <w:szCs w:val="16"/>
                <w:color w:val="auto"/>
              </w:rPr>
            </w:pPr>
          </w:p>
        </w:tc>
        <w:tc>
          <w:tcPr>
            <w:tcW w:w="940" w:type="dxa"/>
            <w:vAlign w:val="bottom"/>
            <w:vMerge w:val="restart"/>
          </w:tcPr>
          <w:p>
            <w:pPr>
              <w:jc w:val="right"/>
              <w:ind w:right="260"/>
              <w:spacing w:after="0"/>
              <w:rPr>
                <w:sz w:val="20"/>
                <w:szCs w:val="20"/>
                <w:color w:val="auto"/>
              </w:rPr>
            </w:pPr>
            <w:r>
              <w:rPr>
                <w:rFonts w:ascii="Arial" w:cs="Arial" w:eastAsia="Arial" w:hAnsi="Arial"/>
                <w:sz w:val="16"/>
                <w:szCs w:val="16"/>
                <w:color w:val="auto"/>
              </w:rPr>
              <w:t>Income</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460" w:type="dxa"/>
            <w:vAlign w:val="bottom"/>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900" w:type="dxa"/>
            <w:vAlign w:val="bottom"/>
            <w:vMerge w:val="restart"/>
          </w:tcPr>
          <w:p>
            <w:pPr>
              <w:jc w:val="center"/>
              <w:ind w:right="159"/>
              <w:spacing w:after="0"/>
              <w:rPr>
                <w:sz w:val="20"/>
                <w:szCs w:val="20"/>
                <w:color w:val="auto"/>
              </w:rPr>
            </w:pPr>
            <w:r>
              <w:rPr>
                <w:rFonts w:ascii="Arial" w:cs="Arial" w:eastAsia="Arial" w:hAnsi="Arial"/>
                <w:sz w:val="16"/>
                <w:szCs w:val="16"/>
                <w:color w:val="auto"/>
              </w:rPr>
              <w:t>before</w:t>
            </w:r>
          </w:p>
        </w:tc>
        <w:tc>
          <w:tcPr>
            <w:tcW w:w="24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vMerge w:val="restart"/>
          </w:tcPr>
          <w:p>
            <w:pPr>
              <w:jc w:val="right"/>
              <w:ind w:right="79"/>
              <w:spacing w:after="0"/>
              <w:rPr>
                <w:sz w:val="20"/>
                <w:szCs w:val="20"/>
                <w:color w:val="auto"/>
              </w:rPr>
            </w:pPr>
            <w:r>
              <w:rPr>
                <w:rFonts w:ascii="Arial" w:cs="Arial" w:eastAsia="Arial" w:hAnsi="Arial"/>
                <w:sz w:val="16"/>
                <w:szCs w:val="16"/>
                <w:color w:val="auto"/>
              </w:rPr>
              <w:t>Net Income</w:t>
            </w:r>
          </w:p>
        </w:tc>
        <w:tc>
          <w:tcPr>
            <w:tcW w:w="0" w:type="dxa"/>
            <w:vAlign w:val="bottom"/>
          </w:tcPr>
          <w:p>
            <w:pPr>
              <w:spacing w:after="0"/>
              <w:rPr>
                <w:sz w:val="1"/>
                <w:szCs w:val="1"/>
                <w:color w:val="auto"/>
              </w:rPr>
            </w:pPr>
          </w:p>
        </w:tc>
      </w:tr>
      <w:tr>
        <w:trPr>
          <w:trHeight w:val="97"/>
        </w:trPr>
        <w:tc>
          <w:tcPr>
            <w:tcW w:w="4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98"/>
              </w:rPr>
              <w:t>income taxes</w:t>
            </w:r>
          </w:p>
        </w:tc>
        <w:tc>
          <w:tcPr>
            <w:tcW w:w="220" w:type="dxa"/>
            <w:vAlign w:val="bottom"/>
          </w:tcPr>
          <w:p>
            <w:pPr>
              <w:spacing w:after="0"/>
              <w:rPr>
                <w:sz w:val="8"/>
                <w:szCs w:val="8"/>
                <w:color w:val="auto"/>
              </w:rPr>
            </w:pPr>
          </w:p>
        </w:tc>
        <w:tc>
          <w:tcPr>
            <w:tcW w:w="860" w:type="dxa"/>
            <w:vAlign w:val="bottom"/>
            <w:vMerge w:val="restart"/>
          </w:tcPr>
          <w:p>
            <w:pPr>
              <w:jc w:val="right"/>
              <w:ind w:right="260"/>
              <w:spacing w:after="0"/>
              <w:rPr>
                <w:sz w:val="20"/>
                <w:szCs w:val="20"/>
                <w:color w:val="auto"/>
              </w:rPr>
            </w:pPr>
            <w:r>
              <w:rPr>
                <w:rFonts w:ascii="Arial" w:cs="Arial" w:eastAsia="Arial" w:hAnsi="Arial"/>
                <w:sz w:val="16"/>
                <w:szCs w:val="16"/>
                <w:b w:val="1"/>
                <w:bCs w:val="1"/>
                <w:color w:val="auto"/>
              </w:rPr>
              <w:t>Taxes</w:t>
            </w:r>
          </w:p>
        </w:tc>
        <w:tc>
          <w:tcPr>
            <w:tcW w:w="102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vMerge w:val="restart"/>
          </w:tcPr>
          <w:p>
            <w:pPr>
              <w:jc w:val="right"/>
              <w:ind w:right="320"/>
              <w:spacing w:after="0"/>
              <w:rPr>
                <w:sz w:val="20"/>
                <w:szCs w:val="20"/>
                <w:color w:val="auto"/>
              </w:rPr>
            </w:pPr>
            <w:r>
              <w:rPr>
                <w:rFonts w:ascii="Arial" w:cs="Arial" w:eastAsia="Arial" w:hAnsi="Arial"/>
                <w:sz w:val="16"/>
                <w:szCs w:val="16"/>
                <w:color w:val="auto"/>
              </w:rPr>
              <w:t>Taxes</w:t>
            </w:r>
          </w:p>
        </w:tc>
        <w:tc>
          <w:tcPr>
            <w:tcW w:w="1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4460" w:type="dxa"/>
            <w:vAlign w:val="bottom"/>
            <w:vMerge w:val="restart"/>
          </w:tcPr>
          <w:p>
            <w:pPr>
              <w:ind w:left="40"/>
              <w:spacing w:after="0"/>
              <w:rPr>
                <w:sz w:val="20"/>
                <w:szCs w:val="20"/>
                <w:color w:val="auto"/>
              </w:rPr>
            </w:pPr>
            <w:r>
              <w:rPr>
                <w:rFonts w:ascii="Arial" w:cs="Arial" w:eastAsia="Arial" w:hAnsi="Arial"/>
                <w:sz w:val="14"/>
                <w:szCs w:val="14"/>
                <w:color w:val="auto"/>
              </w:rPr>
              <w:t>(in thousands, except per share amounts)</w:t>
            </w:r>
          </w:p>
        </w:tc>
        <w:tc>
          <w:tcPr>
            <w:tcW w:w="14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6"/>
                <w:szCs w:val="16"/>
                <w:color w:val="auto"/>
                <w:w w:val="99"/>
              </w:rPr>
              <w:t>income taxes</w:t>
            </w:r>
          </w:p>
        </w:tc>
        <w:tc>
          <w:tcPr>
            <w:tcW w:w="2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4460" w:type="dxa"/>
            <w:vAlign w:val="bottom"/>
            <w:tcBorders>
              <w:bottom w:val="single" w:sz="8" w:color="auto"/>
            </w:tcBorders>
            <w:vMerge w:val="continue"/>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gridSpan w:val="2"/>
            <w:vMerge w:val="continue"/>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4460" w:type="dxa"/>
            <w:vAlign w:val="bottom"/>
          </w:tcPr>
          <w:p>
            <w:pPr>
              <w:ind w:left="40"/>
              <w:spacing w:after="0"/>
              <w:rPr>
                <w:sz w:val="20"/>
                <w:szCs w:val="20"/>
                <w:color w:val="auto"/>
              </w:rPr>
            </w:pPr>
            <w:r>
              <w:rPr>
                <w:rFonts w:ascii="Arial" w:cs="Arial" w:eastAsia="Arial" w:hAnsi="Arial"/>
                <w:sz w:val="16"/>
                <w:szCs w:val="16"/>
                <w:b w:val="1"/>
                <w:bCs w:val="1"/>
                <w:color w:val="auto"/>
              </w:rPr>
              <w:t>Amounts attributable to Graham Holdings Company</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460" w:type="dxa"/>
            <w:vAlign w:val="bottom"/>
          </w:tcPr>
          <w:p>
            <w:pPr>
              <w:ind w:left="200"/>
              <w:spacing w:after="0"/>
              <w:rPr>
                <w:sz w:val="20"/>
                <w:szCs w:val="20"/>
                <w:color w:val="auto"/>
              </w:rPr>
            </w:pPr>
            <w:r>
              <w:rPr>
                <w:rFonts w:ascii="Arial" w:cs="Arial" w:eastAsia="Arial" w:hAnsi="Arial"/>
                <w:sz w:val="16"/>
                <w:szCs w:val="16"/>
                <w:b w:val="1"/>
                <w:bCs w:val="1"/>
                <w:color w:val="auto"/>
              </w:rPr>
              <w:t>Common Stockholders</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460" w:type="dxa"/>
            <w:vAlign w:val="bottom"/>
          </w:tcPr>
          <w:p>
            <w:pPr>
              <w:ind w:left="40"/>
              <w:spacing w:after="0"/>
              <w:rPr>
                <w:sz w:val="20"/>
                <w:szCs w:val="20"/>
                <w:color w:val="auto"/>
              </w:rPr>
            </w:pPr>
            <w:r>
              <w:rPr>
                <w:rFonts w:ascii="Arial" w:cs="Arial" w:eastAsia="Arial" w:hAnsi="Arial"/>
                <w:sz w:val="16"/>
                <w:szCs w:val="16"/>
                <w:color w:val="auto"/>
              </w:rPr>
              <w:t>As reported</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79"/>
              <w:spacing w:after="0"/>
              <w:rPr>
                <w:sz w:val="20"/>
                <w:szCs w:val="20"/>
                <w:color w:val="auto"/>
              </w:rPr>
            </w:pPr>
            <w:r>
              <w:rPr>
                <w:rFonts w:ascii="Arial" w:cs="Arial" w:eastAsia="Arial" w:hAnsi="Arial"/>
                <w:sz w:val="16"/>
                <w:szCs w:val="16"/>
                <w:b w:val="1"/>
                <w:bCs w:val="1"/>
                <w:color w:val="auto"/>
              </w:rPr>
              <w:t>56,565</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140"/>
              <w:spacing w:after="0"/>
              <w:rPr>
                <w:sz w:val="20"/>
                <w:szCs w:val="20"/>
                <w:color w:val="auto"/>
              </w:rPr>
            </w:pPr>
            <w:r>
              <w:rPr>
                <w:rFonts w:ascii="Arial" w:cs="Arial" w:eastAsia="Arial" w:hAnsi="Arial"/>
                <w:sz w:val="16"/>
                <w:szCs w:val="16"/>
                <w:b w:val="1"/>
                <w:bCs w:val="1"/>
                <w:color w:val="auto"/>
              </w:rPr>
              <w:t>13,600</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b w:val="1"/>
                <w:bCs w:val="1"/>
                <w:color w:val="auto"/>
              </w:rPr>
              <w:t>42,965</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23,786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2,700</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21,086</w:t>
            </w:r>
          </w:p>
        </w:tc>
        <w:tc>
          <w:tcPr>
            <w:tcW w:w="0" w:type="dxa"/>
            <w:vAlign w:val="bottom"/>
          </w:tcPr>
          <w:p>
            <w:pPr>
              <w:spacing w:after="0"/>
              <w:rPr>
                <w:sz w:val="1"/>
                <w:szCs w:val="1"/>
                <w:color w:val="auto"/>
              </w:rPr>
            </w:pPr>
          </w:p>
        </w:tc>
      </w:tr>
      <w:tr>
        <w:trPr>
          <w:trHeight w:val="274"/>
        </w:trPr>
        <w:tc>
          <w:tcPr>
            <w:tcW w:w="4460" w:type="dxa"/>
            <w:vAlign w:val="bottom"/>
          </w:tcPr>
          <w:p>
            <w:pPr>
              <w:ind w:left="40"/>
              <w:spacing w:after="0"/>
              <w:rPr>
                <w:sz w:val="20"/>
                <w:szCs w:val="20"/>
                <w:color w:val="auto"/>
              </w:rPr>
            </w:pPr>
            <w:r>
              <w:rPr>
                <w:rFonts w:ascii="Arial" w:cs="Arial" w:eastAsia="Arial" w:hAnsi="Arial"/>
                <w:sz w:val="16"/>
                <w:szCs w:val="16"/>
                <w:color w:val="auto"/>
              </w:rPr>
              <w:t>Attributable to noncontrolling interests</w:t>
            </w: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w:t>
            </w: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6"/>
        </w:trPr>
        <w:tc>
          <w:tcPr>
            <w:tcW w:w="4460" w:type="dxa"/>
            <w:vAlign w:val="bottom"/>
          </w:tcPr>
          <w:p>
            <w:pPr>
              <w:ind w:left="40"/>
              <w:spacing w:after="0"/>
              <w:rPr>
                <w:sz w:val="20"/>
                <w:szCs w:val="20"/>
                <w:color w:val="auto"/>
              </w:rPr>
            </w:pPr>
            <w:r>
              <w:rPr>
                <w:rFonts w:ascii="Arial" w:cs="Arial" w:eastAsia="Arial" w:hAnsi="Arial"/>
                <w:sz w:val="16"/>
                <w:szCs w:val="16"/>
                <w:color w:val="auto"/>
              </w:rPr>
              <w:t>Attributable to Graham Holdings Company Stockholders</w:t>
            </w: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b w:val="1"/>
                <w:bCs w:val="1"/>
                <w:color w:val="auto"/>
              </w:rPr>
              <w:t>42,891</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21,086</w:t>
            </w:r>
          </w:p>
        </w:tc>
        <w:tc>
          <w:tcPr>
            <w:tcW w:w="0" w:type="dxa"/>
            <w:vAlign w:val="bottom"/>
          </w:tcPr>
          <w:p>
            <w:pPr>
              <w:spacing w:after="0"/>
              <w:rPr>
                <w:sz w:val="1"/>
                <w:szCs w:val="1"/>
                <w:color w:val="auto"/>
              </w:rPr>
            </w:pPr>
          </w:p>
        </w:tc>
      </w:tr>
      <w:tr>
        <w:trPr>
          <w:trHeight w:val="262"/>
        </w:trPr>
        <w:tc>
          <w:tcPr>
            <w:tcW w:w="4460" w:type="dxa"/>
            <w:vAlign w:val="bottom"/>
          </w:tcPr>
          <w:p>
            <w:pPr>
              <w:ind w:left="180"/>
              <w:spacing w:after="0"/>
              <w:rPr>
                <w:sz w:val="20"/>
                <w:szCs w:val="20"/>
                <w:color w:val="auto"/>
              </w:rPr>
            </w:pPr>
            <w:r>
              <w:rPr>
                <w:rFonts w:ascii="Arial" w:cs="Arial" w:eastAsia="Arial" w:hAnsi="Arial"/>
                <w:sz w:val="16"/>
                <w:szCs w:val="16"/>
                <w:color w:val="auto"/>
              </w:rPr>
              <w:t>Adjustments:</w:t>
            </w: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460" w:type="dxa"/>
            <w:vAlign w:val="bottom"/>
          </w:tcPr>
          <w:p>
            <w:pPr>
              <w:ind w:left="280"/>
              <w:spacing w:after="0"/>
              <w:rPr>
                <w:sz w:val="20"/>
                <w:szCs w:val="20"/>
                <w:color w:val="auto"/>
              </w:rPr>
            </w:pPr>
            <w:r>
              <w:rPr>
                <w:rFonts w:ascii="Arial" w:cs="Arial" w:eastAsia="Arial" w:hAnsi="Arial"/>
                <w:sz w:val="16"/>
                <w:szCs w:val="16"/>
                <w:color w:val="auto"/>
              </w:rPr>
              <w:t>Gain on Kaplan University Transaction</w:t>
            </w:r>
          </w:p>
        </w:tc>
        <w:tc>
          <w:tcPr>
            <w:tcW w:w="140" w:type="dxa"/>
            <w:vAlign w:val="bottom"/>
          </w:tcPr>
          <w:p>
            <w:pPr>
              <w:spacing w:after="0"/>
              <w:rPr>
                <w:sz w:val="24"/>
                <w:szCs w:val="24"/>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(4,315)</w:t>
            </w:r>
          </w:p>
        </w:tc>
        <w:tc>
          <w:tcPr>
            <w:tcW w:w="220" w:type="dxa"/>
            <w:vAlign w:val="bottom"/>
          </w:tcPr>
          <w:p>
            <w:pPr>
              <w:spacing w:after="0"/>
              <w:rPr>
                <w:sz w:val="24"/>
                <w:szCs w:val="24"/>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(2,472)</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(1,843)</w:t>
            </w:r>
          </w:p>
        </w:tc>
        <w:tc>
          <w:tcPr>
            <w:tcW w:w="300" w:type="dxa"/>
            <w:vAlign w:val="bottom"/>
          </w:tcPr>
          <w:p>
            <w:pPr>
              <w:spacing w:after="0"/>
              <w:rPr>
                <w:sz w:val="24"/>
                <w:szCs w:val="24"/>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460" w:type="dxa"/>
            <w:vAlign w:val="bottom"/>
          </w:tcPr>
          <w:p>
            <w:pPr>
              <w:ind w:left="280"/>
              <w:spacing w:after="0"/>
              <w:rPr>
                <w:sz w:val="20"/>
                <w:szCs w:val="20"/>
                <w:color w:val="auto"/>
              </w:rPr>
            </w:pPr>
            <w:r>
              <w:rPr>
                <w:rFonts w:ascii="Arial" w:cs="Arial" w:eastAsia="Arial" w:hAnsi="Arial"/>
                <w:sz w:val="16"/>
                <w:szCs w:val="16"/>
                <w:color w:val="auto"/>
              </w:rPr>
              <w:t>Net loss recognized on marketable equity securities</w:t>
            </w:r>
          </w:p>
        </w:tc>
        <w:tc>
          <w:tcPr>
            <w:tcW w:w="140" w:type="dxa"/>
            <w:vAlign w:val="bottom"/>
          </w:tcPr>
          <w:p>
            <w:pPr>
              <w:spacing w:after="0"/>
              <w:rPr>
                <w:sz w:val="23"/>
                <w:szCs w:val="23"/>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b w:val="1"/>
                <w:bCs w:val="1"/>
                <w:color w:val="auto"/>
              </w:rPr>
              <w:t>14,102</w:t>
            </w:r>
          </w:p>
        </w:tc>
        <w:tc>
          <w:tcPr>
            <w:tcW w:w="220" w:type="dxa"/>
            <w:vAlign w:val="bottom"/>
          </w:tcPr>
          <w:p>
            <w:pPr>
              <w:spacing w:after="0"/>
              <w:rPr>
                <w:sz w:val="23"/>
                <w:szCs w:val="23"/>
                <w:color w:val="auto"/>
              </w:rPr>
            </w:pPr>
          </w:p>
        </w:tc>
        <w:tc>
          <w:tcPr>
            <w:tcW w:w="860" w:type="dxa"/>
            <w:vAlign w:val="bottom"/>
          </w:tcPr>
          <w:p>
            <w:pPr>
              <w:jc w:val="right"/>
              <w:ind w:right="140"/>
              <w:spacing w:after="0"/>
              <w:rPr>
                <w:sz w:val="20"/>
                <w:szCs w:val="20"/>
                <w:color w:val="auto"/>
              </w:rPr>
            </w:pPr>
            <w:r>
              <w:rPr>
                <w:rFonts w:ascii="Arial" w:cs="Arial" w:eastAsia="Arial" w:hAnsi="Arial"/>
                <w:sz w:val="16"/>
                <w:szCs w:val="16"/>
                <w:b w:val="1"/>
                <w:bCs w:val="1"/>
                <w:color w:val="auto"/>
              </w:rPr>
              <w:t>3,384</w:t>
            </w:r>
          </w:p>
        </w:tc>
        <w:tc>
          <w:tcPr>
            <w:tcW w:w="28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b w:val="1"/>
                <w:bCs w:val="1"/>
                <w:color w:val="auto"/>
              </w:rPr>
              <w:t>10,718</w:t>
            </w:r>
          </w:p>
        </w:tc>
        <w:tc>
          <w:tcPr>
            <w:tcW w:w="30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460" w:type="dxa"/>
            <w:vAlign w:val="bottom"/>
          </w:tcPr>
          <w:p>
            <w:pPr>
              <w:ind w:left="280"/>
              <w:spacing w:after="0"/>
              <w:rPr>
                <w:sz w:val="20"/>
                <w:szCs w:val="20"/>
                <w:color w:val="auto"/>
              </w:rPr>
            </w:pPr>
            <w:r>
              <w:rPr>
                <w:rFonts w:ascii="Arial" w:cs="Arial" w:eastAsia="Arial" w:hAnsi="Arial"/>
                <w:sz w:val="16"/>
                <w:szCs w:val="16"/>
                <w:color w:val="auto"/>
              </w:rPr>
              <w:t>Foreign currency gain</w:t>
            </w:r>
          </w:p>
        </w:tc>
        <w:tc>
          <w:tcPr>
            <w:tcW w:w="1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(177)</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(42)</w:t>
            </w: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(135)</w:t>
            </w:r>
          </w:p>
        </w:tc>
        <w:tc>
          <w:tcPr>
            <w:tcW w:w="30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(1,728)</w:t>
            </w:r>
          </w:p>
        </w:tc>
        <w:tc>
          <w:tcPr>
            <w:tcW w:w="24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(639)</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(1,089)</w:t>
            </w:r>
          </w:p>
        </w:tc>
        <w:tc>
          <w:tcPr>
            <w:tcW w:w="0" w:type="dxa"/>
            <w:vAlign w:val="bottom"/>
          </w:tcPr>
          <w:p>
            <w:pPr>
              <w:spacing w:after="0"/>
              <w:rPr>
                <w:sz w:val="1"/>
                <w:szCs w:val="1"/>
                <w:color w:val="auto"/>
              </w:rPr>
            </w:pPr>
          </w:p>
        </w:tc>
      </w:tr>
      <w:tr>
        <w:trPr>
          <w:trHeight w:val="274"/>
        </w:trPr>
        <w:tc>
          <w:tcPr>
            <w:tcW w:w="4460" w:type="dxa"/>
            <w:vAlign w:val="bottom"/>
          </w:tcPr>
          <w:p>
            <w:pPr>
              <w:ind w:left="280"/>
              <w:spacing w:after="0"/>
              <w:rPr>
                <w:sz w:val="20"/>
                <w:szCs w:val="20"/>
                <w:color w:val="auto"/>
              </w:rPr>
            </w:pPr>
            <w:r>
              <w:rPr>
                <w:rFonts w:ascii="Arial" w:cs="Arial" w:eastAsia="Arial" w:hAnsi="Arial"/>
                <w:sz w:val="16"/>
                <w:szCs w:val="16"/>
                <w:color w:val="auto"/>
              </w:rPr>
              <w:t>Tax benefit related to stock compensation</w:t>
            </w:r>
          </w:p>
        </w:tc>
        <w:tc>
          <w:tcPr>
            <w:tcW w:w="140" w:type="dxa"/>
            <w:vAlign w:val="bottom"/>
          </w:tcPr>
          <w:p>
            <w:pPr>
              <w:spacing w:after="0"/>
              <w:rPr>
                <w:sz w:val="23"/>
                <w:szCs w:val="23"/>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3"/>
                <w:szCs w:val="23"/>
                <w:color w:val="auto"/>
              </w:rPr>
            </w:pPr>
          </w:p>
        </w:tc>
        <w:tc>
          <w:tcPr>
            <w:tcW w:w="860" w:type="dxa"/>
            <w:vAlign w:val="bottom"/>
          </w:tcPr>
          <w:p>
            <w:pPr>
              <w:jc w:val="right"/>
              <w:ind w:right="140"/>
              <w:spacing w:after="0"/>
              <w:rPr>
                <w:sz w:val="20"/>
                <w:szCs w:val="20"/>
                <w:color w:val="auto"/>
              </w:rPr>
            </w:pPr>
            <w:r>
              <w:rPr>
                <w:rFonts w:ascii="Arial" w:cs="Arial" w:eastAsia="Arial" w:hAnsi="Arial"/>
                <w:sz w:val="16"/>
                <w:szCs w:val="16"/>
                <w:b w:val="1"/>
                <w:bCs w:val="1"/>
                <w:color w:val="auto"/>
              </w:rPr>
              <w:t>1,810</w:t>
            </w:r>
          </w:p>
        </w:tc>
        <w:tc>
          <w:tcPr>
            <w:tcW w:w="2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(1,810)</w:t>
            </w:r>
          </w:p>
        </w:tc>
        <w:tc>
          <w:tcPr>
            <w:tcW w:w="30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5,933</w:t>
            </w: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(5,933)</w:t>
            </w:r>
          </w:p>
        </w:tc>
        <w:tc>
          <w:tcPr>
            <w:tcW w:w="0" w:type="dxa"/>
            <w:vAlign w:val="bottom"/>
          </w:tcPr>
          <w:p>
            <w:pPr>
              <w:spacing w:after="0"/>
              <w:rPr>
                <w:sz w:val="1"/>
                <w:szCs w:val="1"/>
                <w:color w:val="auto"/>
              </w:rPr>
            </w:pPr>
          </w:p>
        </w:tc>
      </w:tr>
      <w:tr>
        <w:trPr>
          <w:trHeight w:val="247"/>
        </w:trPr>
        <w:tc>
          <w:tcPr>
            <w:tcW w:w="4460" w:type="dxa"/>
            <w:vAlign w:val="bottom"/>
          </w:tcPr>
          <w:p>
            <w:pPr>
              <w:ind w:left="40"/>
              <w:spacing w:after="0"/>
              <w:rPr>
                <w:sz w:val="20"/>
                <w:szCs w:val="20"/>
                <w:color w:val="auto"/>
              </w:rPr>
            </w:pPr>
            <w:r>
              <w:rPr>
                <w:rFonts w:ascii="Arial" w:cs="Arial" w:eastAsia="Arial" w:hAnsi="Arial"/>
                <w:sz w:val="16"/>
                <w:szCs w:val="16"/>
                <w:color w:val="auto"/>
              </w:rPr>
              <w:t>Net Income, adjusted (non-GAAP)</w:t>
            </w: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49,821</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14,064</w:t>
            </w:r>
          </w:p>
        </w:tc>
        <w:tc>
          <w:tcPr>
            <w:tcW w:w="0" w:type="dxa"/>
            <w:vAlign w:val="bottom"/>
          </w:tcPr>
          <w:p>
            <w:pPr>
              <w:spacing w:after="0"/>
              <w:rPr>
                <w:sz w:val="1"/>
                <w:szCs w:val="1"/>
                <w:color w:val="auto"/>
              </w:rPr>
            </w:pPr>
          </w:p>
        </w:tc>
      </w:tr>
      <w:tr>
        <w:trPr>
          <w:trHeight w:val="439"/>
        </w:trPr>
        <w:tc>
          <w:tcPr>
            <w:tcW w:w="4460" w:type="dxa"/>
            <w:vAlign w:val="bottom"/>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460" w:type="dxa"/>
            <w:vAlign w:val="bottom"/>
          </w:tcPr>
          <w:p>
            <w:pPr>
              <w:ind w:left="200"/>
              <w:spacing w:after="0"/>
              <w:rPr>
                <w:sz w:val="20"/>
                <w:szCs w:val="20"/>
                <w:color w:val="auto"/>
              </w:rPr>
            </w:pPr>
            <w:r>
              <w:rPr>
                <w:rFonts w:ascii="Arial" w:cs="Arial" w:eastAsia="Arial" w:hAnsi="Arial"/>
                <w:sz w:val="16"/>
                <w:szCs w:val="16"/>
                <w:b w:val="1"/>
                <w:bCs w:val="1"/>
                <w:color w:val="auto"/>
              </w:rPr>
              <w:t>Company Common Stockholders</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4460" w:type="dxa"/>
            <w:vAlign w:val="bottom"/>
          </w:tcPr>
          <w:p>
            <w:pPr>
              <w:ind w:left="40"/>
              <w:spacing w:after="0"/>
              <w:rPr>
                <w:sz w:val="20"/>
                <w:szCs w:val="20"/>
                <w:color w:val="auto"/>
              </w:rPr>
            </w:pPr>
            <w:r>
              <w:rPr>
                <w:rFonts w:ascii="Arial" w:cs="Arial" w:eastAsia="Arial" w:hAnsi="Arial"/>
                <w:sz w:val="16"/>
                <w:szCs w:val="16"/>
                <w:color w:val="auto"/>
              </w:rPr>
              <w:t>Diluted income per common share, as reported</w:t>
            </w: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7.78</w:t>
            </w: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241"/>
        </w:trPr>
        <w:tc>
          <w:tcPr>
            <w:tcW w:w="4460" w:type="dxa"/>
            <w:vAlign w:val="bottom"/>
          </w:tcPr>
          <w:p>
            <w:pPr>
              <w:ind w:left="180"/>
              <w:spacing w:after="0"/>
              <w:rPr>
                <w:sz w:val="20"/>
                <w:szCs w:val="20"/>
                <w:color w:val="auto"/>
              </w:rPr>
            </w:pPr>
            <w:r>
              <w:rPr>
                <w:rFonts w:ascii="Arial" w:cs="Arial" w:eastAsia="Arial" w:hAnsi="Arial"/>
                <w:sz w:val="16"/>
                <w:szCs w:val="16"/>
                <w:color w:val="auto"/>
              </w:rPr>
              <w:t>Adjustments:</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4460" w:type="dxa"/>
            <w:vAlign w:val="bottom"/>
          </w:tcPr>
          <w:p>
            <w:pPr>
              <w:ind w:left="280"/>
              <w:spacing w:after="0"/>
              <w:rPr>
                <w:sz w:val="20"/>
                <w:szCs w:val="20"/>
                <w:color w:val="auto"/>
              </w:rPr>
            </w:pPr>
            <w:r>
              <w:rPr>
                <w:rFonts w:ascii="Arial" w:cs="Arial" w:eastAsia="Arial" w:hAnsi="Arial"/>
                <w:sz w:val="16"/>
                <w:szCs w:val="16"/>
                <w:color w:val="auto"/>
              </w:rPr>
              <w:t>Gain on Kaplan University Transaction</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(0.33)</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460" w:type="dxa"/>
            <w:vAlign w:val="bottom"/>
          </w:tcPr>
          <w:p>
            <w:pPr>
              <w:ind w:left="280"/>
              <w:spacing w:after="0"/>
              <w:rPr>
                <w:sz w:val="20"/>
                <w:szCs w:val="20"/>
                <w:color w:val="auto"/>
              </w:rPr>
            </w:pPr>
            <w:r>
              <w:rPr>
                <w:rFonts w:ascii="Arial" w:cs="Arial" w:eastAsia="Arial" w:hAnsi="Arial"/>
                <w:sz w:val="16"/>
                <w:szCs w:val="16"/>
                <w:color w:val="auto"/>
              </w:rPr>
              <w:t>Net loss recognized on marketable equity securities</w:t>
            </w: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b w:val="1"/>
                <w:bCs w:val="1"/>
                <w:color w:val="auto"/>
              </w:rPr>
              <w:t>1.94</w:t>
            </w: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460" w:type="dxa"/>
            <w:vAlign w:val="bottom"/>
          </w:tcPr>
          <w:p>
            <w:pPr>
              <w:ind w:left="280"/>
              <w:spacing w:after="0"/>
              <w:rPr>
                <w:sz w:val="20"/>
                <w:szCs w:val="20"/>
                <w:color w:val="auto"/>
              </w:rPr>
            </w:pPr>
            <w:r>
              <w:rPr>
                <w:rFonts w:ascii="Arial" w:cs="Arial" w:eastAsia="Arial" w:hAnsi="Arial"/>
                <w:sz w:val="16"/>
                <w:szCs w:val="16"/>
                <w:color w:val="auto"/>
              </w:rPr>
              <w:t>Foreign currency gain</w:t>
            </w: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(0.02)</w:t>
            </w: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(0.19)</w:t>
            </w:r>
          </w:p>
        </w:tc>
        <w:tc>
          <w:tcPr>
            <w:tcW w:w="0" w:type="dxa"/>
            <w:vAlign w:val="bottom"/>
          </w:tcPr>
          <w:p>
            <w:pPr>
              <w:spacing w:after="0"/>
              <w:rPr>
                <w:sz w:val="1"/>
                <w:szCs w:val="1"/>
                <w:color w:val="auto"/>
              </w:rPr>
            </w:pPr>
          </w:p>
        </w:tc>
      </w:tr>
      <w:tr>
        <w:trPr>
          <w:trHeight w:val="274"/>
        </w:trPr>
        <w:tc>
          <w:tcPr>
            <w:tcW w:w="4460" w:type="dxa"/>
            <w:vAlign w:val="bottom"/>
          </w:tcPr>
          <w:p>
            <w:pPr>
              <w:ind w:left="280"/>
              <w:spacing w:after="0"/>
              <w:rPr>
                <w:sz w:val="20"/>
                <w:szCs w:val="20"/>
                <w:color w:val="auto"/>
              </w:rPr>
            </w:pPr>
            <w:r>
              <w:rPr>
                <w:rFonts w:ascii="Arial" w:cs="Arial" w:eastAsia="Arial" w:hAnsi="Arial"/>
                <w:sz w:val="16"/>
                <w:szCs w:val="16"/>
                <w:color w:val="auto"/>
              </w:rPr>
              <w:t>Tax benefit related to stock compensation</w:t>
            </w: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(0.33)</w:t>
            </w: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50"/>
        </w:trPr>
        <w:tc>
          <w:tcPr>
            <w:tcW w:w="4460" w:type="dxa"/>
            <w:vAlign w:val="bottom"/>
          </w:tcPr>
          <w:p>
            <w:pPr>
              <w:ind w:left="40"/>
              <w:spacing w:after="0"/>
              <w:rPr>
                <w:sz w:val="20"/>
                <w:szCs w:val="20"/>
                <w:color w:val="auto"/>
              </w:rPr>
            </w:pPr>
            <w:r>
              <w:rPr>
                <w:rFonts w:ascii="Arial" w:cs="Arial" w:eastAsia="Arial" w:hAnsi="Arial"/>
                <w:sz w:val="16"/>
                <w:szCs w:val="16"/>
                <w:color w:val="auto"/>
              </w:rPr>
              <w:t>Diluted income per common share, adjusted (non-GAAP)</w:t>
            </w: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9.04</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adjusted diluted per share amounts may not compute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2019-12-05T09:58:05Z</dcterms:created>
  <dcterms:modified xsi:type="dcterms:W3CDTF">2019-12-05T09:58:05Z</dcterms:modified>
</cp:coreProperties>
</file>