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31, 2018</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October 31, 2018, Graham Holdings Company issued a press release announcing the Company’s earnings for the third quarter ended September 30, 2018.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598170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994" w:right="6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October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94"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October 31, 2018</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94"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Contact:</w:t>
            </w:r>
          </w:p>
        </w:tc>
        <w:tc>
          <w:tcPr>
            <w:tcW w:w="2360" w:type="dxa"/>
            <w:vAlign w:val="bottom"/>
          </w:tcPr>
          <w:p>
            <w:pPr>
              <w:ind w:left="420"/>
              <w:spacing w:after="0"/>
              <w:rPr>
                <w:sz w:val="20"/>
                <w:szCs w:val="20"/>
                <w:color w:val="auto"/>
              </w:rPr>
            </w:pPr>
            <w:r>
              <w:rPr>
                <w:rFonts w:ascii="Arial" w:cs="Arial" w:eastAsia="Arial" w:hAnsi="Arial"/>
                <w:sz w:val="18"/>
                <w:szCs w:val="18"/>
                <w:color w:val="auto"/>
              </w:rPr>
              <w:t>Wallace R. Cooney</w:t>
            </w:r>
          </w:p>
        </w:tc>
        <w:tc>
          <w:tcPr>
            <w:tcW w:w="54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Immediate Release</w:t>
            </w:r>
          </w:p>
        </w:tc>
      </w:tr>
      <w:tr>
        <w:trPr>
          <w:trHeight w:val="291"/>
        </w:trPr>
        <w:tc>
          <w:tcPr>
            <w:tcW w:w="1080" w:type="dxa"/>
            <w:vAlign w:val="bottom"/>
          </w:tcPr>
          <w:p>
            <w:pPr>
              <w:spacing w:after="0"/>
              <w:rPr>
                <w:sz w:val="24"/>
                <w:szCs w:val="24"/>
                <w:color w:val="auto"/>
              </w:rPr>
            </w:pPr>
          </w:p>
        </w:tc>
        <w:tc>
          <w:tcPr>
            <w:tcW w:w="2360" w:type="dxa"/>
            <w:vAlign w:val="bottom"/>
          </w:tcPr>
          <w:p>
            <w:pPr>
              <w:ind w:left="420"/>
              <w:spacing w:after="0"/>
              <w:rPr>
                <w:sz w:val="20"/>
                <w:szCs w:val="20"/>
                <w:color w:val="auto"/>
              </w:rPr>
            </w:pPr>
            <w:r>
              <w:rPr>
                <w:rFonts w:ascii="Arial" w:cs="Arial" w:eastAsia="Arial" w:hAnsi="Arial"/>
                <w:sz w:val="18"/>
                <w:szCs w:val="18"/>
                <w:color w:val="auto"/>
              </w:rPr>
              <w:t>(703) 345-6470</w:t>
            </w:r>
          </w:p>
        </w:tc>
        <w:tc>
          <w:tcPr>
            <w:tcW w:w="54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October 31, 2018</w:t>
            </w:r>
          </w:p>
        </w:tc>
      </w:tr>
      <w:tr>
        <w:trPr>
          <w:trHeight w:val="581"/>
        </w:trPr>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GRAHAM HOLDINGS COMPANY REPORTS</w:t>
            </w:r>
          </w:p>
        </w:tc>
      </w:tr>
      <w:tr>
        <w:trPr>
          <w:trHeight w:val="257"/>
        </w:trPr>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380" w:type="dxa"/>
            <w:vAlign w:val="bottom"/>
            <w:gridSpan w:val="2"/>
          </w:tcPr>
          <w:p>
            <w:pPr>
              <w:jc w:val="center"/>
              <w:ind w:right="2830"/>
              <w:spacing w:after="0"/>
              <w:rPr>
                <w:sz w:val="20"/>
                <w:szCs w:val="20"/>
                <w:color w:val="auto"/>
              </w:rPr>
            </w:pPr>
            <w:r>
              <w:rPr>
                <w:rFonts w:ascii="Arial" w:cs="Arial" w:eastAsia="Arial" w:hAnsi="Arial"/>
                <w:sz w:val="18"/>
                <w:szCs w:val="18"/>
                <w:color w:val="auto"/>
                <w:w w:val="99"/>
              </w:rPr>
              <w:t>THIRD QUARTER EARNINGS</w:t>
            </w:r>
          </w:p>
        </w:tc>
      </w:tr>
    </w:tbl>
    <w:p>
      <w:pPr>
        <w:spacing w:after="0" w:line="21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$125.1 million ($23.28 per share) for the third quarter of 2018, compared to $24.8 million ($4.42 per share) for the third quarter of 2017.</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results for the third quarter of 2018 and 2017 were affected by a number of items as described in the following paragraphs. Excluding these items, net income attributable to common shares was $70.9 million ($13.19 per share) for the third quarter of 2018, compared to $23.9 million ($4.26 per share) for the third quarter of 2017.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2018:</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$1.0 million reduction to operating expenses from property, plant and equipment gains in connection with the spectrum repacking mandate of the FCC (after-tax impact of $0.8 million, or $0.14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 million in net gains on marketable equity securities (after-tax impact of $33.6 million, or $6.26 per share);</w:t>
      </w:r>
    </w:p>
    <w:p>
      <w:pPr>
        <w:spacing w:after="0" w:line="144" w:lineRule="exact"/>
        <w:rPr>
          <w:rFonts w:ascii="Arial" w:cs="Arial" w:eastAsia="Arial" w:hAnsi="Arial"/>
          <w:sz w:val="18"/>
          <w:szCs w:val="18"/>
          <w:color w:val="auto"/>
        </w:rPr>
      </w:pPr>
    </w:p>
    <w:p>
      <w:pPr>
        <w:ind w:left="180" w:right="2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net, of $10.1 million from sales, write-ups and impairments of cost method and equity method investments, and related to sales of businesses (after-tax impact of $8.0 million, or $1.48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$0.1 million in non-operating foreign currency losses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2017:</w:t>
      </w:r>
    </w:p>
    <w:p>
      <w:pPr>
        <w:spacing w:after="0" w:line="15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 million in non-operating foreign currency gains (after-tax impact of $0.9 million, or $0.16 per share).</w:t>
      </w:r>
    </w:p>
    <w:p>
      <w:pPr>
        <w:spacing w:after="0" w:line="144"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Revenue for the third quarter of 2018 was $674.8 million, up 3% from $657.2 million in the third quarter of 2017. Revenues grew at the television broadcasting and manufacturing businesses, offset by lower revenue at the education division. The Company reported operating income of $60.7 million for the third quarter of 2018, compared to $27.0 million for the third quarter of 2017. The operating income increase is driven by higher earnings in television broadcasting, education and SocialCode, offset by the decline in healthcare results, largely due to the intangible asset impairment charge.</w:t>
      </w:r>
    </w:p>
    <w:p>
      <w:pPr>
        <w:spacing w:after="0" w:line="124"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For the first nine months of 2018, the Company reported net income attributable to common shares of $214.5 million ($39.54 per share), compared to $87.9 million ($15.64 per share) for the first nine months of 2017. The results for the first nine months of 2018 and 2017 were affected by a number of items as described in the following paragraphs. Excluding these items, net income attributable to common shares was $179.5 million ($33.09 per share) for the first nine months of 2018, compared to $83.6 million ($14.87 per share) for the first nine months of 2017. (Refer to the Non-GAAP Financial Information schedule at the end of this release for additional details.)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the first nine months of 2018:</w:t>
      </w:r>
    </w:p>
    <w:p>
      <w:pPr>
        <w:spacing w:after="0" w:line="14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$2.1 million reduction to operating expenses from property, plant and equipment gains in connection with the spectrum repacking mandate of the FCC (after-tax impact of $1.6 million, or $0.29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$28.3 million in net gains on marketable equity securities (after-tax impact of $20.9 million, or $3.86 per share);</w:t>
      </w:r>
    </w:p>
    <w:p>
      <w:pPr>
        <w:spacing w:after="0" w:line="14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net, of $17.0 million from sales, write-ups and impairments of cost method and equity method investments, and related to sales of land and businesses (after-tax impact of $13.4 million, or $2.46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$1.7 million, or $0.31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2017:</w:t>
      </w:r>
    </w:p>
    <w:p>
      <w:pPr>
        <w:spacing w:after="0" w:line="1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 million in non-operating foreign currency gains (after-tax impact of $4.2 million, or $0.74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for the first nine months of 2018 was $2,006.9 million, up 5% from $1,916.0 million in the first nine months of 2017. Revenues increased at the television broadcasting and manufacturing businesses, offset by lower revenue at the education division. The Company reported operating income of $170.6 million for the first nine months of 2018, compared to $86.9 million for first nine months of 2017. Operating results improved at the education, television broadcasting and manufacturing businesses.</w:t>
      </w:r>
    </w:p>
    <w:p>
      <w:pPr>
        <w:spacing w:after="0" w:line="135"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 The new university operates largely online as an Indiana public university affiliated with Purdue under the name Purdue University Global (Purdue Global).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$358.6 million for the third quarter of 2018, down 5% from $376.8 million for the same period of 2017.</w:t>
      </w:r>
    </w:p>
    <w:p>
      <w:pPr>
        <w:spacing w:after="0"/>
        <w:rPr>
          <w:sz w:val="20"/>
          <w:szCs w:val="20"/>
          <w:color w:val="auto"/>
        </w:rPr>
      </w:pPr>
      <w:r>
        <w:rPr>
          <w:rFonts w:ascii="Arial" w:cs="Arial" w:eastAsia="Arial" w:hAnsi="Arial"/>
          <w:sz w:val="18"/>
          <w:szCs w:val="18"/>
          <w:color w:val="auto"/>
        </w:rPr>
        <w:t>Kaplan reported operating income of $22.3 million for the third quarter of 2018, up 61% from $13.8 million for the third quarter of 2017.</w:t>
      </w:r>
    </w:p>
    <w:p>
      <w:pPr>
        <w:spacing w:after="0" w:line="144"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For the first nine months of 2018, education division revenue totaled $1,104.1 million, down 3% from revenue of $1,136.2 million for the same period of 2017. Kaplan reported operating income of $82.5 million for the first nine months of 2018, a 46% increase from $56.6 million for the first nine months of 2017.</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2017</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167,668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171,259</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535,553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507,568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89,269</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105,210</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275,080</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328,161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67,749</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72,680</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195,504</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212,978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34,302</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28,249</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98,715</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88,812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143</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870</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(1,617)</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358,601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376,805</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1,104,105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1,136,201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8,375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5,348</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57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52,966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29,009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6,042</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1,493</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18,616</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17,079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10,572</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7,330</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17,213</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10,207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6,768</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7,316</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20,863</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22,045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(6,770)</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(6,276)</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(21,616)</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(17,941)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(2,682)</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(1,355)</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(5,494)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3"/>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22,262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13,797</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82,516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56,565</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2% and increased 6% for the third quarter and first nine months of 2018, respectively. On a constant currency basis, revenue was flat for the third quarter and increased 2% for the first nine months of 2018. Operating income increased to $8.4 million in the third quarter of 2018, compared to $ 5.3 million in the third quarter of 2017 due to improved results at UK Professional and English-language. Operating income increased to $53.0 million for the first nine months of 2018, compared to $29.0 million for the same period of 2017 due largely to improved results at Pathways, UK Professional, English-language and MPW. Restructuring costs at Kaplan International totaled $0.9 million for the first nine months of 2017.</w:t>
      </w:r>
    </w:p>
    <w:p>
      <w:pPr>
        <w:spacing w:after="0" w:line="139"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the third quarter and first nine months of 2018, Higher Education revenue was down 15% and 16%, respectively, due largely to the sale of KU on March 22, 2018 and fewer average enrollments at KU prior to the sale. The Company recorded the service fee with Purdue Global beginning in the second quarter of 2018, based on an assessment of its collectability under the TOSA. The service fee recorded in the second quarter has since been collected from Purdue Global for its fiscal year ended June 30, 2018. In the third quarter of 2018, the Company recorded a portion of the service fee with Purdue Global based on an assessment of its collectability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declined 7% and 8% for the third quarter and first nine months of 2018, respectively due to lower enrollments in certain test preparation programs and the disposition of Dev Bootcamp, which made up the majority of KTP’s new economy skills training programs. KTP operating results improved in the third quarter and first nine months of 2018, due primarily to decreased losses from the new economy skills training programs. Operating losses for the new economy skills training programs were $2.8 million and $11.2 million for the first nine months of 2018 and 2017, respectively, including $1.3 million in restructuring costs in the third quarter of 2017. Dev Bootcamp was closed in the second half of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ind w:right="40"/>
        <w:spacing w:after="0" w:line="223"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third quarter and first nine months of 2018, Kaplan Professional (U.S.) revenue was up 21% and 11%, respectively, due partly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7% and 5% for the third quarter and first nine months of 2018, respectively, due mostly to a delay in the CFA exam release and registration dates and increased spending on sales and technology, offset in part by income from PPI and CFFP.</w:t>
      </w:r>
    </w:p>
    <w:p>
      <w:pPr>
        <w:spacing w:after="0" w:line="136"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with increased healthcare expense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Revenue at the television broadcasting division increased 28% to $130.0 million in the third quarter of 2018, from $101.3 million in the same period of 2017 due to a $ 20.7 million increase in political advertising revenue and a $10.2 million increase in retransmission revenues. Operating income for the third quarter of 2018 increased 66% to $55.5 million, from $33.5 million in the same period of 2017 due to higher revenues.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18% to $352.9 million in the first nine months of 2018, from $298.9 million in the same period of 2017. The revenue increase is due to $27.1 million in higher retransmission revenues, a $26.8 million increase in political advertising revenue and $8.6 million in 2018 incremental winter Olympics-related advertising revenue at the Company’s NBC stations. Operating income for the first nine months of 2018 increased 37% to $137.1 million, from $99.7 million in the same period of 2017 due to higher revenues.</w:t>
      </w:r>
    </w:p>
    <w:p>
      <w:pPr>
        <w:spacing w:after="0" w:line="137"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In the third quarter and first nine months of 2018, the television broadcasting division recorded $1.0 million and $2.1 million, respectively, in reductions to operating expenses related to non-cash property, plant and equipment gains due to new equipment received at no cost in connection with the spectrum repacking mandate of the FCC.</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third quarter of 2017, the Company’s television stations in Texas and Florida ran extensive news programming coverage of hurricanes Harvey and Irma; this adversely impacted revenues by an estimated $2.1 million and resulted in $0.6 million in additional expenses during the third quarter of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July 2018, Dekko acquired Furnlite, Inc., a Fallston, NC-based manufacturer of power and data solutions for the hospitality and residential furniture industry.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Manufacturing revenues increased in the first nine months of 2018 due to the Hoover acquisition. Manufacturing operating income decreased in the third quarter of 2018 due largely to a decline at Hoover from the adverse impact of lower wood prices on inventory values. Operating income increased in the first nine months of 2018 due largely to the Hoover acquisition. Also, in the second quarter of 2017, the Company recorded a $9.2 million goodwill and other long-lived asset impairment charge at Forney, due to lower than expected revenues resulting from sluggish overall demand for its energy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Graham Healthcare Group (GHG) provides home health and hospice services in three states. At the end of June 2017, GHG acquired Hometown Home Health and Hospice, a Lapeer, MI-based healthcare services provider. Healthcare revenues were down 12% and 4% in the third quarter and first nine months of 2018, respectively. The revenue declines are primarily due to a new management services agreement (MSA) with one of GHG’s joint ventures that was effective in the third quarter of 2018. In the third quarter of 2018, GHG recorded a $ 7.9 million intangible asset impairment charge related to the Celtic trademark, which is in the process of being phased-out. The decline in GHG operating results in 2018 is due to the intangible asset impairment charge and a decline in results from the MSA with one of GHG’s joint ventures.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(MPS), a Cleveland-based Amazon sales acceleration agency. SocialCode’s revenue decreased 5% in the third quarter of 2018 and was flat for the first nine months of 2018. SocialCode reported operating income of $5.1 million and an operating loss of $0.4 million in the third quarter and first nine months of 2018, respectively, compared to operating losses of $6.2 million and $8.2 million in the third quarter and first nine months of 2017, respectively. The improved results include a $7.5 million and $7.2 million credit related to SocialCode’s phantom equity plans in the third quarter and first nine months of 2018, respectively; 2017 results included $5.1 million and $1.2 million in expense related to SocialCode’s phantom equity plans in the third quarter and first nine months,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500"/>
        <w:spacing w:after="0" w:line="229"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two investment stage businesses, Panoply and CyberVista. Losses from each of these businesses in the first nine months of 2018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At September 30, 2018, the Company held interests in a number of home health and hospice joint ventures, and interests in several other affiliates. In the second half of 2017, the Company acquired approximately 11% of Intersection Holdings, LLC, which provides digital marketing and advertising services and products for cities, transit systems, airports, and other public and private spaces. The Company recorded equity in earnings of affiliates of $9.5 million for the third quarter of 2018, compared to equity in losses of affiliates of $0.5 million for the third quarter of 2017. In the third quarter of 2018, the Company recorded $7.9 million in gains in equity in earnings of affiliates related to two of its investments. The Company recorded equity in earnings of affiliates of $13.0 million for the first nine months of 2018, compared to $1.4 million for the first nine months of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beginning on December 1, 2018.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$5.5 million and $27.5 million for the third quarter and first nine months of 2018, compared to</w:t>
      </w:r>
    </w:p>
    <w:p>
      <w:pPr>
        <w:ind w:right="80"/>
        <w:spacing w:after="0" w:line="235" w:lineRule="auto"/>
        <w:rPr>
          <w:sz w:val="20"/>
          <w:szCs w:val="20"/>
          <w:color w:val="auto"/>
        </w:rPr>
      </w:pPr>
      <w:r>
        <w:rPr>
          <w:rFonts w:ascii="Arial" w:cs="Arial" w:eastAsia="Arial" w:hAnsi="Arial"/>
          <w:sz w:val="18"/>
          <w:szCs w:val="18"/>
          <w:color w:val="auto"/>
        </w:rPr>
        <w:t>$7.8 million and $22.4 million for the third quarter and first nine months of 2017. The Company incurred $6.2 million in interest expense related to the mandatorily redeemable noncontrolling interest at GHG settled in the second quarter of 2018.</w:t>
      </w:r>
    </w:p>
    <w:p>
      <w:pPr>
        <w:spacing w:after="0" w:line="13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At September 30, 2018, the Company had $479.6 million in borrowings outstanding at an average interest rate of 5.1% and cash, marketable equity securities and other investments of $794.7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$ 22.2 million and $66.6 million for the third quarter and first nine months of 2018, compared to $17.6 million and $55.0 million for the third quarter and first nine months of 2017.</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6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66"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$45.0 million and $28.3 million in net gains on marketable equity securities in the third quarter and first nine months of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The Company recorded total other non-operating income, net, of $3.1 million for the third quarter of 2018, compared to $2.0 million for the third quarter of 2017. The 2018 amounts included $8.5 million in fair value increases on cost method investments and other items, partially offset by a $3.3 million net loss related to sales of businesses and contingent consideration; a $2.5 million impairment of a cost method investment; and $0.1 million in foreign currency losses. The 2017 amounts included $1.4 million in foreign currency gains and other items.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recorded total other non-operating income, net, of $ 14.7 million for the first nine months of 2018, compared to $6.9 million for the first nine months of 2017. The 2018 amounts included $8.5 million in fair value increases on cost method investments; $4.0 million net gain related to sales of businesses and contingent consideration; a $2.8 million gain on sale of a cost method investment; a $2.5 million gain on sale of land; and other items, partially offset by a $2.5 million impairment of a cost method investment and $2.2 million in foreign currency losses. The 2017 amounts included $6.6 million in foreign currency gains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Company’s effective tax rate for the first nine months of 2018 was 15.6%. In the third quarter of 2018, the Company recorded a $17.8 million deferred state tax benefit related to the release of valuation allowances. Excluding this $17.8 million benefit and a $1.8 million income tax benefit related to stock compensation, the overall income tax rate for the first nine months of 2018 was 23.3%. The Tax Cuts and Jobs Act was enacted in December 2017, which included lowering the federal corporate income tax rate from 35% to 21%.</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Company's effective tax rate for the first nine months of 2017 was 31.3%. This low effective tax rate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nine months of 2017 was 35.9%.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calculation of diluted earnings per share for the third quarter and first nine months of 2018 was based on 5,336,612 and 5,390,049 weighted average shares outstanding, compared to 5,554,458 and 5,566,874 for the third quarter and first nine months of 2017. At September 30, 2018, there were 5,316,329 shares outstanding. On November 9, 2017, the Board of Directors authorized the Company to acquire up to 500,000 shares of its Class B common stock; the Company has remaining authorization for 286,025 shares as of September 30,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In connection with the KU Transaction, Kaplan recognized $4.5 million in service fee revenue and operating income in the third quarter of 2018. Under the previous guidance, this would not have been recognized as a determination would not have been made until the end of Purdue Global’s fiscal year (June 30, 2019). If the company applied the accounting policies under the previous guidance for all other revenue streams, revenue would have been $1.2 million lower and operating expenses would have been $2.6 million lower for the first nine months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62"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674,766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657,225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580,001</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603,038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13,648</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16,002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12,269</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10,923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8,109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60,739</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26,950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9,537</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611</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861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(6,135)</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(8,619)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22,214</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17,621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44,962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3,142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135,070</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38,244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13,400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125,070</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24,844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125,064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24,784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23.43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5,302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5,518</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23.28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5,337</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5,554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60" w:right="259" w:bottom="1440" w:gutter="0" w:footer="0" w:header="0"/>
        </w:sectPr>
      </w:pPr>
    </w:p>
    <w:bookmarkStart w:id="11" w:name="page12"/>
    <w:bookmarkEnd w:id="11"/>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2,006,879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1,916,029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1,752,230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1,744,734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41,909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46,525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34,052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28,290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8,109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170,579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86,944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13,047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3,884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(31,371)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(25,783)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66,641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55,042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28,306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14,662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254,370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127,929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39,700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214,670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87,929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214,521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87,866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5,354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39.54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5,567</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60" w:right="259" w:bottom="1440" w:gutter="0" w:footer="0" w:header="0"/>
        </w:sectPr>
      </w:pPr>
    </w:p>
    <w:bookmarkStart w:id="12" w:name="page13"/>
    <w:bookmarkEnd w:id="12"/>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358,601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376,805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1,104,105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1,136,201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130,014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101,295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352,902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298,893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126,028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115,594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369,896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298,164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35,486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40,473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111,315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115,592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13,781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14,497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41,850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41,926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10,856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8,561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26,856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25,253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674,766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657,225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2,006,879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1,916,029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336,339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363,008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1,021,589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1,079,636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74,561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67,833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215,789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199,171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120,882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108,881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347,457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291,961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44,188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39,553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120,644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115,214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8,657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20,745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42,249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50,078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16,513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16,047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49,032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49,265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12,887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14,208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39,585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43,760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614,027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630,275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1,836,300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1,829,085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22,262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13,797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82,516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56,565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55,453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33,462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137,113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99,722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5,146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6,713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22,439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6,203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(8,702)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(9,329)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5,124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(399)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(8,152)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(5,657)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(7,486)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(22,176)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(12,887)</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(39,585)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(43,760)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60,739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26,950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170,579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86,944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6,685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8,085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21,130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24,994</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3,198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3,118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8,703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2,333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648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1,948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3,429</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345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1,095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13,648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16,002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41,909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46,525</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2,682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4,224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2,943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6,345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6,306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18,216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25,117</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9,839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2,420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13,456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20,378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11,235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37,826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2,107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7,289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544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bl>
    <w:p>
      <w:pPr>
        <w:sectPr>
          <w:pgSz w:w="11900" w:h="16851" w:orient="portrait"/>
          <w:cols w:equalWidth="0" w:num="1">
            <w:col w:w="11420"/>
          </w:cols>
          <w:pgMar w:left="240" w:top="760"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181</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542</w:t>
            </w:r>
          </w:p>
        </w:tc>
        <w:tc>
          <w:tcPr>
            <w:tcW w:w="4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7"/>
        </w:trPr>
        <w:tc>
          <w:tcPr>
            <w:tcW w:w="508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147</w:t>
            </w:r>
          </w:p>
        </w:tc>
        <w:tc>
          <w:tcPr>
            <w:tcW w:w="44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417</w:t>
            </w:r>
          </w:p>
        </w:tc>
        <w:tc>
          <w:tcPr>
            <w:tcW w:w="4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83"/>
        </w:trPr>
        <w:tc>
          <w:tcPr>
            <w:tcW w:w="4740" w:type="dxa"/>
            <w:vAlign w:val="bottom"/>
          </w:tcPr>
          <w:p>
            <w:pPr>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1,333</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4,000</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4,009</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74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4,473</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4,591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13,730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14,096</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4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420" w:top="121"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167,668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171,259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535,553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507,568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89,269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105,210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275,080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328,161</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67,749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72,680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195,504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212,978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34,302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28,249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98,715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88,812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(530)</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358,601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376,805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1,104,105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1,136,201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159,293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165,911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482,587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478,559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83,227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103,717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256,464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311,082</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57,177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65,350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178,291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202,771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27,534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20,933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77,852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66,767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6,913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6,325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22,486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2,682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5,494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(487)</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336,339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363,008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1,021,589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1,079,636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8,375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5,348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52,966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29,009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6,042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18,616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17,079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10,572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7,330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17,213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10,207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6,768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7,316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20,863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22,045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(6,770)</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(6,276)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(21,616)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(17,941)</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(2,682)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(5,494)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(3,798)</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22,262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13,797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82,516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56,565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3,759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11,497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915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4,047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7,142</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1,033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1,407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2,984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4,080</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859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6,685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21,130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24,994</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1,050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3,951</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577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2,035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2,066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291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123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2,107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80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Income before</w:t>
            </w:r>
          </w:p>
        </w:tc>
        <w:tc>
          <w:tcPr>
            <w:tcW w:w="200" w:type="dxa"/>
            <w:vAlign w:val="bottom"/>
          </w:tcPr>
          <w:p>
            <w:pPr>
              <w:spacing w:after="0"/>
              <w:rPr>
                <w:sz w:val="18"/>
                <w:szCs w:val="18"/>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color w:val="auto"/>
                <w:w w:val="99"/>
              </w:rPr>
              <w:t>Income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4"/>
                <w:szCs w:val="14"/>
                <w:color w:val="auto"/>
              </w:rPr>
            </w:pPr>
          </w:p>
        </w:tc>
        <w:tc>
          <w:tcPr>
            <w:tcW w:w="800" w:type="dxa"/>
            <w:vAlign w:val="bottom"/>
          </w:tcPr>
          <w:p>
            <w:pPr>
              <w:jc w:val="center"/>
              <w:ind w:right="139"/>
              <w:spacing w:after="0" w:line="169" w:lineRule="exact"/>
              <w:rPr>
                <w:sz w:val="20"/>
                <w:szCs w:val="20"/>
                <w:color w:val="auto"/>
              </w:rPr>
            </w:pPr>
            <w:r>
              <w:rPr>
                <w:rFonts w:ascii="Arial" w:cs="Arial" w:eastAsia="Arial" w:hAnsi="Arial"/>
                <w:sz w:val="16"/>
                <w:szCs w:val="16"/>
                <w:color w:val="auto"/>
              </w:rPr>
              <w:t>before</w:t>
            </w:r>
          </w:p>
        </w:tc>
        <w:tc>
          <w:tcPr>
            <w:tcW w:w="300" w:type="dxa"/>
            <w:vAlign w:val="bottom"/>
          </w:tcPr>
          <w:p>
            <w:pPr>
              <w:spacing w:after="0"/>
              <w:rPr>
                <w:sz w:val="14"/>
                <w:szCs w:val="14"/>
                <w:color w:val="auto"/>
              </w:rPr>
            </w:pPr>
          </w:p>
        </w:tc>
        <w:tc>
          <w:tcPr>
            <w:tcW w:w="900" w:type="dxa"/>
            <w:vAlign w:val="bottom"/>
          </w:tcPr>
          <w:p>
            <w:pPr>
              <w:jc w:val="right"/>
              <w:ind w:right="280"/>
              <w:spacing w:after="0" w:line="169" w:lineRule="exact"/>
              <w:rPr>
                <w:sz w:val="20"/>
                <w:szCs w:val="20"/>
                <w:color w:val="auto"/>
              </w:rPr>
            </w:pPr>
            <w:r>
              <w:rPr>
                <w:rFonts w:ascii="Arial" w:cs="Arial" w:eastAsia="Arial" w:hAnsi="Arial"/>
                <w:sz w:val="16"/>
                <w:szCs w:val="16"/>
                <w:color w:val="auto"/>
                <w:w w:val="99"/>
              </w:rPr>
              <w:t>Income</w:t>
            </w: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800" w:type="dxa"/>
            <w:vAlign w:val="bottom"/>
          </w:tcPr>
          <w:p>
            <w:pPr>
              <w:spacing w:after="0"/>
              <w:rPr>
                <w:sz w:val="10"/>
                <w:szCs w:val="10"/>
                <w:color w:val="auto"/>
              </w:rPr>
            </w:pP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taxes</w:t>
            </w:r>
          </w:p>
        </w:tc>
        <w:tc>
          <w:tcPr>
            <w:tcW w:w="20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center"/>
              <w:ind w:right="119"/>
              <w:spacing w:after="0"/>
              <w:rPr>
                <w:sz w:val="20"/>
                <w:szCs w:val="20"/>
                <w:color w:val="auto"/>
              </w:rPr>
            </w:pPr>
            <w:r>
              <w:rPr>
                <w:rFonts w:ascii="Arial" w:cs="Arial" w:eastAsia="Arial" w:hAnsi="Arial"/>
                <w:sz w:val="16"/>
                <w:szCs w:val="16"/>
                <w:color w:val="auto"/>
              </w:rPr>
              <w:t>income</w:t>
            </w:r>
          </w:p>
        </w:tc>
        <w:tc>
          <w:tcPr>
            <w:tcW w:w="300" w:type="dxa"/>
            <w:vAlign w:val="bottom"/>
          </w:tcPr>
          <w:p>
            <w:pPr>
              <w:spacing w:after="0"/>
              <w:rPr>
                <w:sz w:val="10"/>
                <w:szCs w:val="10"/>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6"/>
                <w:szCs w:val="16"/>
                <w:color w:val="auto"/>
              </w:rPr>
              <w:t>Taxes</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8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taxes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135,070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10,000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125,070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38,244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13,400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24,844</w:t>
            </w:r>
          </w:p>
        </w:tc>
        <w:tc>
          <w:tcPr>
            <w:tcW w:w="0" w:type="dxa"/>
            <w:vAlign w:val="bottom"/>
          </w:tcPr>
          <w:p>
            <w:pPr>
              <w:spacing w:after="0"/>
              <w:rPr>
                <w:sz w:val="1"/>
                <w:szCs w:val="1"/>
                <w:color w:val="auto"/>
              </w:rPr>
            </w:pP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125,064</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24,784</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7,909</w:t>
            </w:r>
          </w:p>
        </w:tc>
        <w:tc>
          <w:tcPr>
            <w:tcW w:w="20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2,099</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5,810</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00" w:type="dxa"/>
            <w:vAlign w:val="bottom"/>
          </w:tcPr>
          <w:p>
            <w:pPr>
              <w:spacing w:after="0"/>
              <w:rPr>
                <w:sz w:val="20"/>
                <w:szCs w:val="20"/>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(999)</w:t>
            </w:r>
          </w:p>
        </w:tc>
        <w:tc>
          <w:tcPr>
            <w:tcW w:w="200" w:type="dxa"/>
            <w:vAlign w:val="bottom"/>
          </w:tcPr>
          <w:p>
            <w:pPr>
              <w:spacing w:after="0"/>
              <w:rPr>
                <w:sz w:val="20"/>
                <w:szCs w:val="20"/>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(229)</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(770)</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(44,962)</w:t>
            </w:r>
          </w:p>
        </w:tc>
        <w:tc>
          <w:tcPr>
            <w:tcW w:w="20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(11,357)</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(33,605)</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300" w:type="dxa"/>
            <w:vAlign w:val="bottom"/>
          </w:tcPr>
          <w:p>
            <w:pPr>
              <w:spacing w:after="0"/>
              <w:rPr>
                <w:sz w:val="20"/>
                <w:szCs w:val="20"/>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(10,091)</w:t>
            </w:r>
          </w:p>
        </w:tc>
        <w:tc>
          <w:tcPr>
            <w:tcW w:w="200" w:type="dxa"/>
            <w:vAlign w:val="bottom"/>
          </w:tcPr>
          <w:p>
            <w:pPr>
              <w:spacing w:after="0"/>
              <w:rPr>
                <w:sz w:val="20"/>
                <w:szCs w:val="20"/>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(2,138)</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(7,953)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investments and related to sales of businesses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116</w:t>
            </w:r>
          </w:p>
        </w:tc>
        <w:tc>
          <w:tcPr>
            <w:tcW w:w="20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28</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88</w:t>
            </w:r>
          </w:p>
        </w:tc>
        <w:tc>
          <w:tcPr>
            <w:tcW w:w="2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(1,414)</w:t>
            </w:r>
          </w:p>
        </w:tc>
        <w:tc>
          <w:tcPr>
            <w:tcW w:w="30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(523)</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Nonrecurring deferred state tax benefit related to release of</w:t>
            </w:r>
          </w:p>
        </w:tc>
        <w:tc>
          <w:tcPr>
            <w:tcW w:w="300" w:type="dxa"/>
            <w:vAlign w:val="bottom"/>
          </w:tcPr>
          <w:p>
            <w:pPr>
              <w:spacing w:after="0"/>
              <w:rPr>
                <w:sz w:val="20"/>
                <w:szCs w:val="20"/>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17,783</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(17,783)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00" w:type="dxa"/>
            <w:vAlign w:val="bottom"/>
          </w:tcPr>
          <w:p>
            <w:pPr>
              <w:ind w:left="440"/>
              <w:spacing w:after="0"/>
              <w:rPr>
                <w:sz w:val="20"/>
                <w:szCs w:val="20"/>
                <w:color w:val="auto"/>
              </w:rPr>
            </w:pPr>
            <w:r>
              <w:rPr>
                <w:rFonts w:ascii="Arial" w:cs="Arial" w:eastAsia="Arial" w:hAnsi="Arial"/>
                <w:sz w:val="16"/>
                <w:szCs w:val="16"/>
                <w:color w:val="auto"/>
              </w:rPr>
              <w:t>valuation allowances</w:t>
            </w: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70,851</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23,893</w:t>
            </w:r>
          </w:p>
        </w:tc>
        <w:tc>
          <w:tcPr>
            <w:tcW w:w="0" w:type="dxa"/>
            <w:vAlign w:val="bottom"/>
          </w:tcPr>
          <w:p>
            <w:pPr>
              <w:spacing w:after="0"/>
              <w:rPr>
                <w:sz w:val="1"/>
                <w:szCs w:val="1"/>
                <w:color w:val="auto"/>
              </w:rPr>
            </w:pPr>
          </w:p>
        </w:tc>
      </w:tr>
      <w:tr>
        <w:trPr>
          <w:trHeight w:val="441"/>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23.28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1.08</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(0.14)</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losses on marketable equity securities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(6.26)</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(1.48)</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investments and related to sales of businesses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0.02</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Nonrecurring deferred state tax benefit related to release of</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00" w:type="dxa"/>
            <w:vAlign w:val="bottom"/>
          </w:tcPr>
          <w:p>
            <w:pPr>
              <w:ind w:left="440"/>
              <w:spacing w:after="0"/>
              <w:rPr>
                <w:sz w:val="20"/>
                <w:szCs w:val="20"/>
                <w:color w:val="auto"/>
              </w:rPr>
            </w:pPr>
            <w:r>
              <w:rPr>
                <w:rFonts w:ascii="Arial" w:cs="Arial" w:eastAsia="Arial" w:hAnsi="Arial"/>
                <w:sz w:val="16"/>
                <w:szCs w:val="16"/>
                <w:color w:val="auto"/>
              </w:rPr>
              <w:t>valuation allowances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13.19</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type w:val="continuous"/>
        </w:sectPr>
      </w:pPr>
    </w:p>
    <w:bookmarkStart w:id="16" w:name="page17"/>
    <w:bookmarkEnd w:id="16"/>
    <w:p>
      <w:pPr>
        <w:ind w:left="67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4262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restart"/>
          </w:tcPr>
          <w:p>
            <w:pPr>
              <w:jc w:val="center"/>
              <w:ind w:right="139"/>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before</w:t>
            </w:r>
          </w:p>
        </w:tc>
        <w:tc>
          <w:tcPr>
            <w:tcW w:w="240" w:type="dxa"/>
            <w:vAlign w:val="bottom"/>
          </w:tcPr>
          <w:p>
            <w:pPr>
              <w:spacing w:after="0"/>
              <w:rPr>
                <w:sz w:val="9"/>
                <w:szCs w:val="9"/>
                <w:color w:val="auto"/>
              </w:rPr>
            </w:pPr>
          </w:p>
        </w:tc>
        <w:tc>
          <w:tcPr>
            <w:tcW w:w="980" w:type="dxa"/>
            <w:vAlign w:val="bottom"/>
            <w:vMerge w:val="restart"/>
          </w:tcPr>
          <w:p>
            <w:pPr>
              <w:jc w:val="center"/>
              <w:ind w:right="200"/>
              <w:spacing w:after="0"/>
              <w:rPr>
                <w:sz w:val="20"/>
                <w:szCs w:val="20"/>
                <w:color w:val="auto"/>
              </w:rPr>
            </w:pPr>
            <w:r>
              <w:rPr>
                <w:rFonts w:ascii="Arial" w:cs="Arial" w:eastAsia="Arial" w:hAnsi="Arial"/>
                <w:sz w:val="16"/>
                <w:szCs w:val="16"/>
                <w:b w:val="1"/>
                <w:bCs w:val="1"/>
                <w:color w:val="auto"/>
              </w:rPr>
              <w:t>Income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restart"/>
          </w:tcPr>
          <w:p>
            <w:pPr>
              <w:jc w:val="center"/>
              <w:ind w:right="220"/>
              <w:spacing w:after="0"/>
              <w:rPr>
                <w:sz w:val="20"/>
                <w:szCs w:val="20"/>
                <w:color w:val="auto"/>
              </w:rPr>
            </w:pPr>
            <w:r>
              <w:rPr>
                <w:rFonts w:ascii="Arial" w:cs="Arial" w:eastAsia="Arial" w:hAnsi="Arial"/>
                <w:sz w:val="16"/>
                <w:szCs w:val="16"/>
                <w:color w:val="auto"/>
              </w:rPr>
              <w:t>Income</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9"/>
                <w:szCs w:val="9"/>
                <w:color w:val="auto"/>
              </w:rPr>
            </w:pPr>
          </w:p>
        </w:tc>
        <w:tc>
          <w:tcPr>
            <w:tcW w:w="980" w:type="dxa"/>
            <w:vAlign w:val="bottom"/>
            <w:vMerge w:val="restart"/>
          </w:tcPr>
          <w:p>
            <w:pPr>
              <w:jc w:val="center"/>
              <w:ind w:right="20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restart"/>
          </w:tcPr>
          <w:p>
            <w:pPr>
              <w:jc w:val="center"/>
              <w:ind w:right="220"/>
              <w:spacing w:after="0"/>
              <w:rPr>
                <w:sz w:val="20"/>
                <w:szCs w:val="20"/>
                <w:color w:val="auto"/>
              </w:rPr>
            </w:pPr>
            <w:r>
              <w:rPr>
                <w:rFonts w:ascii="Arial" w:cs="Arial" w:eastAsia="Arial" w:hAnsi="Arial"/>
                <w:sz w:val="16"/>
                <w:szCs w:val="16"/>
                <w:color w:val="auto"/>
                <w:w w:val="96"/>
              </w:rPr>
              <w:t>Taxes</w:t>
            </w: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taxes</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0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As reported</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254,370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39,700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214,670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127,929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40,000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87,929</w:t>
            </w:r>
          </w:p>
        </w:tc>
        <w:tc>
          <w:tcPr>
            <w:tcW w:w="0" w:type="dxa"/>
            <w:vAlign w:val="bottom"/>
          </w:tcPr>
          <w:p>
            <w:pPr>
              <w:spacing w:after="0"/>
              <w:rPr>
                <w:sz w:val="1"/>
                <w:szCs w:val="1"/>
                <w:color w:val="auto"/>
              </w:rPr>
            </w:pPr>
          </w:p>
        </w:tc>
      </w:tr>
      <w:tr>
        <w:trPr>
          <w:trHeight w:val="283"/>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214,521</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87,866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7,909</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2,099</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5,810</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9,224</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3,413</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1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(2,067)</w:t>
            </w:r>
          </w:p>
        </w:tc>
        <w:tc>
          <w:tcPr>
            <w:tcW w:w="240" w:type="dxa"/>
            <w:vAlign w:val="bottom"/>
          </w:tcPr>
          <w:p>
            <w:pPr>
              <w:spacing w:after="0"/>
              <w:rPr>
                <w:sz w:val="20"/>
                <w:szCs w:val="2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(475)</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(1,592)</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broadcast spectrum repacking</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180" w:type="dxa"/>
            <w:vAlign w:val="bottom"/>
          </w:tcPr>
          <w:p>
            <w:pPr>
              <w:spacing w:after="0"/>
              <w:rPr>
                <w:sz w:val="20"/>
                <w:szCs w:val="2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6,169</w:t>
            </w:r>
          </w:p>
        </w:tc>
        <w:tc>
          <w:tcPr>
            <w:tcW w:w="240" w:type="dxa"/>
            <w:vAlign w:val="bottom"/>
          </w:tcPr>
          <w:p>
            <w:pPr>
              <w:spacing w:after="0"/>
              <w:rPr>
                <w:sz w:val="20"/>
                <w:szCs w:val="20"/>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6,169</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Debt extinguishment costs</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11,378</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2,731</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8,647</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(28,305)</w:t>
            </w:r>
          </w:p>
        </w:tc>
        <w:tc>
          <w:tcPr>
            <w:tcW w:w="24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(7,359)</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(20,946)</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1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(17,038)</w:t>
            </w:r>
          </w:p>
        </w:tc>
        <w:tc>
          <w:tcPr>
            <w:tcW w:w="240" w:type="dxa"/>
            <w:vAlign w:val="bottom"/>
          </w:tcPr>
          <w:p>
            <w:pPr>
              <w:spacing w:after="0"/>
              <w:rPr>
                <w:sz w:val="20"/>
                <w:szCs w:val="2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(3,664)</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(13,374)</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investments and related to sales of land and businesses</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Gain on Kaplan University Transaction</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(4,315)</w:t>
            </w:r>
          </w:p>
        </w:tc>
        <w:tc>
          <w:tcPr>
            <w:tcW w:w="24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(2,472)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(1,843)</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Foreign currency loss (gain)</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2,205</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529</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1,676</w:t>
            </w:r>
          </w:p>
        </w:tc>
        <w:tc>
          <w:tcPr>
            <w:tcW w:w="2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(6,608)</w:t>
            </w:r>
          </w:p>
        </w:tc>
        <w:tc>
          <w:tcPr>
            <w:tcW w:w="2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(2,445)</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(4,163)</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Nonrecurring deferred state tax benefit related to the</w:t>
            </w:r>
          </w:p>
        </w:tc>
        <w:tc>
          <w:tcPr>
            <w:tcW w:w="180" w:type="dxa"/>
            <w:vAlign w:val="bottom"/>
          </w:tcPr>
          <w:p>
            <w:pPr>
              <w:spacing w:after="0"/>
              <w:rPr>
                <w:sz w:val="20"/>
                <w:szCs w:val="2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17,783</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(17,783)</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release of valuation allowances</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1,810</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(1,810)</w:t>
            </w:r>
          </w:p>
        </w:tc>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5,933</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(5,933)</w:t>
            </w: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Net Income, adjusted (non-GAAP)</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179,475</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83,581</w:t>
            </w:r>
          </w:p>
        </w:tc>
        <w:tc>
          <w:tcPr>
            <w:tcW w:w="0" w:type="dxa"/>
            <w:vAlign w:val="bottom"/>
          </w:tcPr>
          <w:p>
            <w:pPr>
              <w:spacing w:after="0"/>
              <w:rPr>
                <w:sz w:val="1"/>
                <w:szCs w:val="1"/>
                <w:color w:val="auto"/>
              </w:rPr>
            </w:pPr>
          </w:p>
        </w:tc>
      </w:tr>
      <w:tr>
        <w:trPr>
          <w:trHeight w:val="428"/>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0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39.54</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1.08</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(0.29)</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broadcast spectrum repacking</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1.14</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Debt extinguishment costs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1.60</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(2.46)</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investments and related to sales of land and businesses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Gain on Kaplan University Transaction</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Foreign currency loss (gain)</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0.31</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Nonrecurring deferred state tax benefit related to the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release of valuation allowances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33.09</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7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2019-12-28T18:31:08Z</dcterms:created>
  <dcterms:modified xsi:type="dcterms:W3CDTF">2019-12-28T18:31:08Z</dcterms:modified>
</cp:coreProperties>
</file>