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102235</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5" w:lineRule="exact"/>
        <w:rPr>
          <w:sz w:val="24"/>
          <w:szCs w:val="24"/>
          <w:color w:val="auto"/>
        </w:rPr>
      </w:pPr>
    </w:p>
    <w:p>
      <w:pPr>
        <w:ind w:left="360" w:hanging="208"/>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01" w:lineRule="exact"/>
        <w:rPr>
          <w:sz w:val="24"/>
          <w:szCs w:val="24"/>
          <w:color w:val="auto"/>
        </w:rPr>
      </w:pPr>
    </w:p>
    <w:p>
      <w:pPr>
        <w:ind w:left="360" w:hanging="208"/>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001-06714</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GRAHAM HOLDINGS COMPANY</w:t>
      </w:r>
    </w:p>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940" w:type="dxa"/>
            <w:vAlign w:val="bottom"/>
            <w:gridSpan w:val="2"/>
          </w:tcPr>
          <w:p>
            <w:pPr>
              <w:jc w:val="center"/>
              <w:ind w:left="120"/>
              <w:spacing w:after="0"/>
              <w:rPr>
                <w:sz w:val="20"/>
                <w:szCs w:val="20"/>
                <w:color w:val="auto"/>
              </w:rPr>
            </w:pPr>
            <w:r>
              <w:rPr>
                <w:rFonts w:ascii="Arial" w:cs="Arial" w:eastAsia="Arial" w:hAnsi="Arial"/>
                <w:sz w:val="18"/>
                <w:szCs w:val="18"/>
                <w:b w:val="1"/>
                <w:bCs w:val="1"/>
                <w:color w:val="auto"/>
                <w:w w:val="98"/>
              </w:rPr>
              <w:t>Delaware</w:t>
            </w: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00" w:type="dxa"/>
            <w:vAlign w:val="bottom"/>
          </w:tcPr>
          <w:p>
            <w:pPr>
              <w:jc w:val="right"/>
              <w:ind w:right="1640"/>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94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rPr>
              <w:t>(State or other jurisdiction of</w:t>
            </w: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00" w:type="dxa"/>
            <w:vAlign w:val="bottom"/>
          </w:tcPr>
          <w:p>
            <w:pPr>
              <w:jc w:val="center"/>
              <w:ind w:right="640"/>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94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rPr>
              <w:t>incorporation or organization)</w:t>
            </w:r>
          </w:p>
        </w:tc>
        <w:tc>
          <w:tcPr>
            <w:tcW w:w="1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00" w:type="dxa"/>
            <w:vAlign w:val="bottom"/>
          </w:tcPr>
          <w:p>
            <w:pPr>
              <w:jc w:val="center"/>
              <w:ind w:right="640"/>
              <w:spacing w:after="0"/>
              <w:rPr>
                <w:sz w:val="20"/>
                <w:szCs w:val="20"/>
                <w:color w:val="auto"/>
              </w:rPr>
            </w:pPr>
            <w:r>
              <w:rPr>
                <w:rFonts w:ascii="Arial" w:cs="Arial" w:eastAsia="Arial" w:hAnsi="Arial"/>
                <w:sz w:val="14"/>
                <w:szCs w:val="14"/>
                <w:b w:val="1"/>
                <w:bCs w:val="1"/>
                <w:color w:val="auto"/>
              </w:rPr>
              <w:t>Identification No.)</w:t>
            </w:r>
          </w:p>
        </w:tc>
      </w:tr>
      <w:tr>
        <w:trPr>
          <w:trHeight w:val="295"/>
        </w:trPr>
        <w:tc>
          <w:tcPr>
            <w:tcW w:w="4940" w:type="dxa"/>
            <w:vAlign w:val="bottom"/>
            <w:gridSpan w:val="2"/>
          </w:tcPr>
          <w:p>
            <w:pPr>
              <w:jc w:val="center"/>
              <w:ind w:left="120"/>
              <w:spacing w:after="0"/>
              <w:rPr>
                <w:sz w:val="20"/>
                <w:szCs w:val="20"/>
                <w:color w:val="auto"/>
              </w:rPr>
            </w:pPr>
            <w:r>
              <w:rPr>
                <w:rFonts w:ascii="Arial" w:cs="Arial" w:eastAsia="Arial" w:hAnsi="Arial"/>
                <w:sz w:val="18"/>
                <w:szCs w:val="18"/>
                <w:b w:val="1"/>
                <w:bCs w:val="1"/>
                <w:color w:val="auto"/>
                <w:w w:val="99"/>
              </w:rPr>
              <w:t>1300 North 17th Street, Arlington , Virginia</w:t>
            </w: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jc w:val="right"/>
              <w:ind w:right="1880"/>
              <w:spacing w:after="0"/>
              <w:rPr>
                <w:sz w:val="20"/>
                <w:szCs w:val="20"/>
                <w:color w:val="auto"/>
              </w:rPr>
            </w:pPr>
            <w:r>
              <w:rPr>
                <w:rFonts w:ascii="Arial" w:cs="Arial" w:eastAsia="Arial" w:hAnsi="Arial"/>
                <w:sz w:val="18"/>
                <w:szCs w:val="18"/>
                <w:b w:val="1"/>
                <w:bCs w:val="1"/>
                <w:color w:val="auto"/>
              </w:rPr>
              <w:t>22209</w:t>
            </w:r>
          </w:p>
        </w:tc>
      </w:tr>
      <w:tr>
        <w:trPr>
          <w:trHeight w:val="245"/>
        </w:trPr>
        <w:tc>
          <w:tcPr>
            <w:tcW w:w="494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(Address of principal executive offices)</w:t>
            </w:r>
          </w:p>
        </w:tc>
        <w:tc>
          <w:tcPr>
            <w:tcW w:w="1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00" w:type="dxa"/>
            <w:vAlign w:val="bottom"/>
          </w:tcPr>
          <w:p>
            <w:pPr>
              <w:jc w:val="center"/>
              <w:ind w:right="640"/>
              <w:spacing w:after="0"/>
              <w:rPr>
                <w:sz w:val="20"/>
                <w:szCs w:val="20"/>
                <w:color w:val="auto"/>
              </w:rPr>
            </w:pPr>
            <w:r>
              <w:rPr>
                <w:rFonts w:ascii="Arial" w:cs="Arial" w:eastAsia="Arial" w:hAnsi="Arial"/>
                <w:sz w:val="14"/>
                <w:szCs w:val="14"/>
                <w:b w:val="1"/>
                <w:bCs w:val="1"/>
                <w:color w:val="auto"/>
              </w:rPr>
              <w:t>(Zip Code)</w:t>
            </w:r>
          </w:p>
        </w:tc>
      </w:tr>
      <w:tr>
        <w:trPr>
          <w:trHeight w:val="444"/>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tcPr>
          <w:p>
            <w:pPr>
              <w:jc w:val="right"/>
              <w:ind w:right="556"/>
              <w:spacing w:after="0"/>
              <w:rPr>
                <w:sz w:val="20"/>
                <w:szCs w:val="20"/>
                <w:color w:val="auto"/>
              </w:rPr>
            </w:pPr>
            <w:r>
              <w:rPr>
                <w:rFonts w:ascii="Arial" w:cs="Arial" w:eastAsia="Arial" w:hAnsi="Arial"/>
                <w:sz w:val="18"/>
                <w:szCs w:val="18"/>
                <w:b w:val="1"/>
                <w:bCs w:val="1"/>
                <w:color w:val="auto"/>
              </w:rPr>
              <w:t>(703) 345-6300</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31"/>
        </w:trPr>
        <w:tc>
          <w:tcPr>
            <w:tcW w:w="7500" w:type="dxa"/>
            <w:vAlign w:val="bottom"/>
            <w:gridSpan w:val="5"/>
          </w:tcPr>
          <w:p>
            <w:pPr>
              <w:jc w:val="center"/>
              <w:ind w:left="36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700" w:type="dxa"/>
            <w:vAlign w:val="bottom"/>
          </w:tcPr>
          <w:p>
            <w:pPr>
              <w:spacing w:after="0"/>
              <w:rPr>
                <w:sz w:val="20"/>
                <w:szCs w:val="20"/>
                <w:color w:val="auto"/>
              </w:rPr>
            </w:pPr>
          </w:p>
        </w:tc>
      </w:tr>
      <w:tr>
        <w:trPr>
          <w:trHeight w:val="350"/>
        </w:trPr>
        <w:tc>
          <w:tcPr>
            <w:tcW w:w="49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44"/>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240" w:type="dxa"/>
            <w:vAlign w:val="bottom"/>
          </w:tcPr>
          <w:p>
            <w:pPr>
              <w:spacing w:after="0"/>
              <w:rPr>
                <w:sz w:val="24"/>
                <w:szCs w:val="24"/>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center"/>
              <w:ind w:right="300"/>
              <w:spacing w:after="0"/>
              <w:rPr>
                <w:sz w:val="20"/>
                <w:szCs w:val="20"/>
                <w:color w:val="auto"/>
              </w:rPr>
            </w:pPr>
            <w:r>
              <w:rPr>
                <w:rFonts w:ascii="Arial" w:cs="Arial" w:eastAsia="Arial" w:hAnsi="Arial"/>
                <w:sz w:val="16"/>
                <w:szCs w:val="16"/>
                <w:color w:val="auto"/>
              </w:rPr>
              <w:t>Name of each exchange on which registered</w:t>
            </w:r>
          </w:p>
        </w:tc>
      </w:tr>
      <w:tr>
        <w:trPr>
          <w:trHeight w:val="223"/>
        </w:trPr>
        <w:tc>
          <w:tcPr>
            <w:tcW w:w="4940" w:type="dxa"/>
            <w:vAlign w:val="bottom"/>
            <w:gridSpan w:val="2"/>
          </w:tcPr>
          <w:p>
            <w:pPr>
              <w:jc w:val="center"/>
              <w:ind w:right="240"/>
              <w:spacing w:after="0"/>
              <w:rPr>
                <w:sz w:val="20"/>
                <w:szCs w:val="20"/>
                <w:color w:val="auto"/>
              </w:rPr>
            </w:pPr>
            <w:r>
              <w:rPr>
                <w:rFonts w:ascii="Arial" w:cs="Arial" w:eastAsia="Arial" w:hAnsi="Arial"/>
                <w:sz w:val="16"/>
                <w:szCs w:val="16"/>
                <w:color w:val="auto"/>
              </w:rPr>
              <w:t>Class B Common Stock, par value $1.00 per share</w:t>
            </w:r>
          </w:p>
        </w:tc>
        <w:tc>
          <w:tcPr>
            <w:tcW w:w="2560" w:type="dxa"/>
            <w:vAlign w:val="bottom"/>
            <w:gridSpan w:val="3"/>
          </w:tcPr>
          <w:p>
            <w:pPr>
              <w:jc w:val="center"/>
              <w:ind w:right="560"/>
              <w:spacing w:after="0"/>
              <w:rPr>
                <w:sz w:val="20"/>
                <w:szCs w:val="20"/>
                <w:color w:val="auto"/>
              </w:rPr>
            </w:pPr>
            <w:r>
              <w:rPr>
                <w:rFonts w:ascii="Arial" w:cs="Arial" w:eastAsia="Arial" w:hAnsi="Arial"/>
                <w:sz w:val="16"/>
                <w:szCs w:val="16"/>
                <w:color w:val="auto"/>
              </w:rPr>
              <w:t>GHC</w:t>
            </w:r>
          </w:p>
        </w:tc>
        <w:tc>
          <w:tcPr>
            <w:tcW w:w="3700" w:type="dxa"/>
            <w:vAlign w:val="bottom"/>
          </w:tcPr>
          <w:p>
            <w:pPr>
              <w:jc w:val="center"/>
              <w:ind w:right="300"/>
              <w:spacing w:after="0"/>
              <w:rPr>
                <w:sz w:val="20"/>
                <w:szCs w:val="20"/>
                <w:color w:val="auto"/>
              </w:rPr>
            </w:pPr>
            <w:r>
              <w:rPr>
                <w:rFonts w:ascii="Arial" w:cs="Arial" w:eastAsia="Arial" w:hAnsi="Arial"/>
                <w:sz w:val="16"/>
                <w:szCs w:val="16"/>
                <w:color w:val="auto"/>
              </w:rPr>
              <w:t>New York Stock Exchange</w:t>
            </w:r>
          </w:p>
        </w:tc>
      </w:tr>
    </w:tbl>
    <w:p>
      <w:pPr>
        <w:spacing w:after="0" w:line="221" w:lineRule="exact"/>
        <w:rPr>
          <w:sz w:val="24"/>
          <w:szCs w:val="24"/>
          <w:color w:val="auto"/>
        </w:rPr>
      </w:pPr>
    </w:p>
    <w:p>
      <w:pPr>
        <w:ind w:right="40"/>
        <w:spacing w:after="0" w:line="20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8" w:lineRule="exact"/>
        <w:rPr>
          <w:sz w:val="24"/>
          <w:szCs w:val="24"/>
          <w:color w:val="auto"/>
        </w:rPr>
      </w:pPr>
    </w:p>
    <w:p>
      <w:pPr>
        <w:ind w:right="240"/>
        <w:spacing w:after="0" w:line="20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1"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1" w:lineRule="exact"/>
        <w:rPr>
          <w:sz w:val="24"/>
          <w:szCs w:val="24"/>
          <w:color w:val="auto"/>
        </w:rPr>
      </w:pPr>
    </w:p>
    <w:tbl>
      <w:tblPr>
        <w:tblLayout w:type="fixed"/>
        <w:tblInd w:w="100" w:type="dxa"/>
        <w:tblCellMar>
          <w:top w:w="0" w:type="dxa"/>
          <w:left w:w="0" w:type="dxa"/>
          <w:bottom w:w="0" w:type="dxa"/>
          <w:right w:w="0" w:type="dxa"/>
        </w:tblCellMar>
      </w:tblPr>
      <w:tr>
        <w:trPr>
          <w:trHeight w:val="189"/>
        </w:trPr>
        <w:tc>
          <w:tcPr>
            <w:tcW w:w="2380" w:type="dxa"/>
            <w:vAlign w:val="bottom"/>
            <w:vMerge w:val="restart"/>
          </w:tcPr>
          <w:p>
            <w:pPr>
              <w:spacing w:after="0" w:line="40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5"/>
                <w:szCs w:val="35"/>
                <w:color w:val="auto"/>
                <w:vertAlign w:val="superscript"/>
              </w:rPr>
              <w:t>☒</w:t>
            </w:r>
          </w:p>
        </w:tc>
        <w:tc>
          <w:tcPr>
            <w:tcW w:w="1480" w:type="dxa"/>
            <w:vAlign w:val="bottom"/>
          </w:tcPr>
          <w:p>
            <w:pPr>
              <w:jc w:val="center"/>
              <w:spacing w:after="0"/>
              <w:rPr>
                <w:sz w:val="20"/>
                <w:szCs w:val="20"/>
                <w:color w:val="auto"/>
              </w:rPr>
            </w:pPr>
            <w:r>
              <w:rPr>
                <w:rFonts w:ascii="Arial" w:cs="Arial" w:eastAsia="Arial" w:hAnsi="Arial"/>
                <w:sz w:val="16"/>
                <w:szCs w:val="16"/>
                <w:color w:val="auto"/>
                <w:w w:val="99"/>
              </w:rPr>
              <w:t>Accelerated</w:t>
            </w:r>
          </w:p>
        </w:tc>
        <w:tc>
          <w:tcPr>
            <w:tcW w:w="700" w:type="dxa"/>
            <w:vAlign w:val="bottom"/>
            <w:vMerge w:val="restart"/>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75"/>
        </w:trPr>
        <w:tc>
          <w:tcPr>
            <w:tcW w:w="2380" w:type="dxa"/>
            <w:vAlign w:val="bottom"/>
            <w:vMerge w:val="continue"/>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filer</w:t>
            </w:r>
          </w:p>
        </w:tc>
        <w:tc>
          <w:tcPr>
            <w:tcW w:w="580" w:type="dxa"/>
            <w:vAlign w:val="bottom"/>
            <w:vMerge w:val="continue"/>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6"/>
                <w:szCs w:val="16"/>
                <w:color w:val="auto"/>
              </w:rPr>
              <w:t>company</w:t>
            </w:r>
          </w:p>
        </w:tc>
        <w:tc>
          <w:tcPr>
            <w:tcW w:w="3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ind w:right="1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10"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July 31, 2020:</w:t>
      </w:r>
    </w:p>
    <w:p>
      <w:pPr>
        <w:spacing w:after="0" w:line="104"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9"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4,148,198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1355" w:right="359" w:bottom="1440" w:gutter="0" w:footer="0" w:header="0"/>
        </w:sectPr>
      </w:pPr>
    </w:p>
    <w:bookmarkStart w:id="1" w:name="page2"/>
    <w:bookmarkEnd w:id="1"/>
    <w:p>
      <w:pPr>
        <w:jc w:val="center"/>
        <w:ind w:left="840"/>
        <w:spacing w:after="0"/>
        <w:rPr>
          <w:sz w:val="20"/>
          <w:szCs w:val="20"/>
          <w:color w:val="auto"/>
        </w:rPr>
      </w:pPr>
      <w:r>
        <w:rPr>
          <w:rFonts w:ascii="Arial" w:cs="Arial" w:eastAsia="Arial" w:hAnsi="Arial"/>
          <w:sz w:val="18"/>
          <w:szCs w:val="18"/>
          <w:b w:val="1"/>
          <w:bCs w:val="1"/>
          <w:color w:val="auto"/>
        </w:rPr>
        <w:t>GRAHAM HOLDINGS COMPANY</w:t>
      </w:r>
    </w:p>
    <w:p>
      <w:pPr>
        <w:spacing w:after="0" w:line="104" w:lineRule="exact"/>
        <w:rPr>
          <w:sz w:val="20"/>
          <w:szCs w:val="20"/>
          <w:color w:val="auto"/>
        </w:rPr>
      </w:pPr>
    </w:p>
    <w:p>
      <w:pPr>
        <w:jc w:val="center"/>
        <w:ind w:left="840"/>
        <w:spacing w:after="0"/>
        <w:rPr>
          <w:sz w:val="20"/>
          <w:szCs w:val="20"/>
          <w:color w:val="auto"/>
        </w:rPr>
      </w:pPr>
      <w:r>
        <w:rPr>
          <w:rFonts w:ascii="Arial" w:cs="Arial" w:eastAsia="Arial" w:hAnsi="Arial"/>
          <w:sz w:val="18"/>
          <w:szCs w:val="18"/>
          <w:b w:val="1"/>
          <w:bCs w:val="1"/>
          <w:color w:val="auto"/>
        </w:rPr>
        <w:t>Index to Form 10-Q</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PART I. FINANCIAL INFORMATION</w:t>
      </w:r>
    </w:p>
    <w:p>
      <w:pPr>
        <w:spacing w:after="0" w:line="275"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color w:val="auto"/>
        </w:rPr>
        <w:t>Financial Statements</w:t>
      </w:r>
    </w:p>
    <w:p>
      <w:pPr>
        <w:spacing w:after="0" w:line="302"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Condensed Consolidated Statements of Operations (Unaudited) for the Three and Six Months Ended June 30, 2020 and 2019</w:t>
      </w:r>
    </w:p>
    <w:p>
      <w:pPr>
        <w:spacing w:after="0" w:line="289" w:lineRule="exact"/>
        <w:rPr>
          <w:sz w:val="20"/>
          <w:szCs w:val="20"/>
          <w:color w:val="auto"/>
        </w:rPr>
      </w:pPr>
    </w:p>
    <w:p>
      <w:pPr>
        <w:ind w:left="1060"/>
        <w:spacing w:after="0" w:line="260" w:lineRule="auto"/>
        <w:rPr>
          <w:sz w:val="20"/>
          <w:szCs w:val="20"/>
          <w:color w:val="auto"/>
        </w:rPr>
      </w:pPr>
      <w:r>
        <w:rPr>
          <w:rFonts w:ascii="Arial" w:cs="Arial" w:eastAsia="Arial" w:hAnsi="Arial"/>
          <w:sz w:val="16"/>
          <w:szCs w:val="16"/>
          <w:color w:val="auto"/>
        </w:rPr>
        <w:t>Condensed Consolidated Statements of Comprehensive (Loss) Income (Unaudited) for the Three and Six Months Ended June 30, 2020 and 2019</w:t>
      </w:r>
    </w:p>
    <w:p>
      <w:pPr>
        <w:spacing w:after="0" w:line="263"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Condensed Consolidated Balance Sheets at June 30, 2020 (Unaudited) and December 31, 2019</w:t>
      </w:r>
    </w:p>
    <w:p>
      <w:pPr>
        <w:spacing w:after="0" w:line="289"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Condensed Consolidated Statements of Cash Flows (Unaudited) for the Six Months Ended June 30, 2020 and 2019</w:t>
      </w:r>
    </w:p>
    <w:p>
      <w:pPr>
        <w:spacing w:after="0" w:line="329" w:lineRule="exact"/>
        <w:rPr>
          <w:sz w:val="20"/>
          <w:szCs w:val="20"/>
          <w:color w:val="auto"/>
        </w:rPr>
      </w:pPr>
    </w:p>
    <w:p>
      <w:pPr>
        <w:ind w:left="1060" w:right="360"/>
        <w:spacing w:after="0" w:line="260" w:lineRule="auto"/>
        <w:rPr>
          <w:sz w:val="20"/>
          <w:szCs w:val="20"/>
          <w:color w:val="auto"/>
        </w:rPr>
      </w:pPr>
      <w:r>
        <w:rPr>
          <w:rFonts w:ascii="Arial" w:cs="Arial" w:eastAsia="Arial" w:hAnsi="Arial"/>
          <w:sz w:val="16"/>
          <w:szCs w:val="16"/>
          <w:color w:val="auto"/>
        </w:rPr>
        <w:t>Condensed Consolidated Statements of Changes in Common Stockholders' Equity (Unaudited) for the Three and Six Months Ended June 30, 2020 and 2019</w:t>
      </w:r>
    </w:p>
    <w:p>
      <w:pPr>
        <w:spacing w:after="0" w:line="249"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Notes to Condensed Consolidated Financial Statements (Unaudited)</w:t>
      </w:r>
    </w:p>
    <w:p>
      <w:pPr>
        <w:spacing w:after="0" w:line="35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Organization, Basis of Presentation and Recent Accounting Pronouncements</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Acquisitions and Dispositions of Businesses</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Investments</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Accounts Receivable</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Inventories, Contracts in Progress and Vehicle Floor Plan Payable</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Goodwill and Other Intangible Assets</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Debt</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Fair Value Measurements</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Income Taxes</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Revenue From Contracts With Customers</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Earnings Per Share</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Pension and Postretirement Plans</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Other Non-Operating Income</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Accumulated Other Comprehensive Income (Loss)</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Contingencies</w:t>
      </w:r>
    </w:p>
    <w:p>
      <w:pPr>
        <w:spacing w:after="0" w:line="86"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Business Segments</w:t>
      </w:r>
    </w:p>
    <w:p>
      <w:pPr>
        <w:spacing w:after="0" w:line="316"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Management’s Discussion and Analysis of Results of Operations and Financial Condition</w:t>
      </w:r>
    </w:p>
    <w:p>
      <w:pPr>
        <w:spacing w:after="0" w:line="275"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275"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color w:val="auto"/>
        </w:rPr>
        <w:t>Controls and Procedures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PART II. OTHER INFORMATION</w:t>
      </w:r>
    </w:p>
    <w:p>
      <w:pPr>
        <w:spacing w:after="0" w:line="316"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316"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color w:val="auto"/>
        </w:rPr>
        <w:t>Exhibits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636270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1</w:t>
        </w:r>
      </w:hyperlink>
    </w:p>
    <w:p>
      <w:pPr>
        <w:spacing w:after="0" w:line="200" w:lineRule="exact"/>
        <w:rPr>
          <w:sz w:val="20"/>
          <w:szCs w:val="20"/>
          <w:color w:val="auto"/>
        </w:rPr>
      </w:pPr>
    </w:p>
    <w:p>
      <w:pPr>
        <w:spacing w:after="0" w:line="278" w:lineRule="exact"/>
        <w:rPr>
          <w:sz w:val="20"/>
          <w:szCs w:val="20"/>
          <w:color w:val="auto"/>
        </w:rPr>
      </w:pPr>
    </w:p>
    <w:p>
      <w:pPr>
        <w:jc w:val="right"/>
        <w:spacing w:after="0"/>
        <w:rPr>
          <w:rFonts w:ascii="Arial" w:cs="Arial" w:eastAsia="Arial" w:hAnsi="Arial"/>
          <w:sz w:val="16"/>
          <w:szCs w:val="16"/>
          <w:u w:val="single" w:color="auto"/>
          <w:color w:val="0000FF"/>
        </w:rPr>
      </w:pPr>
      <w:hyperlink w:anchor="page3">
        <w:r>
          <w:rPr>
            <w:rFonts w:ascii="Arial" w:cs="Arial" w:eastAsia="Arial" w:hAnsi="Arial"/>
            <w:sz w:val="16"/>
            <w:szCs w:val="16"/>
            <w:u w:val="single" w:color="auto"/>
            <w:color w:val="0000FF"/>
          </w:rPr>
          <w:t>2</w:t>
        </w:r>
      </w:hyperlink>
    </w:p>
    <w:p>
      <w:pPr>
        <w:spacing w:after="0" w:line="289" w:lineRule="exact"/>
        <w:rPr>
          <w:sz w:val="20"/>
          <w:szCs w:val="20"/>
          <w:color w:val="auto"/>
        </w:rPr>
      </w:pPr>
    </w:p>
    <w:p>
      <w:pPr>
        <w:jc w:val="right"/>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3</w:t>
        </w:r>
      </w:hyperlink>
    </w:p>
    <w:p>
      <w:pPr>
        <w:spacing w:after="0" w:line="289" w:lineRule="exact"/>
        <w:rPr>
          <w:sz w:val="20"/>
          <w:szCs w:val="20"/>
          <w:color w:val="auto"/>
        </w:rPr>
      </w:pPr>
    </w:p>
    <w:p>
      <w:pPr>
        <w:jc w:val="right"/>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4</w:t>
        </w:r>
      </w:hyperlink>
    </w:p>
    <w:p>
      <w:pPr>
        <w:spacing w:after="0" w:line="200" w:lineRule="exact"/>
        <w:rPr>
          <w:sz w:val="20"/>
          <w:szCs w:val="20"/>
          <w:color w:val="auto"/>
        </w:rPr>
      </w:pPr>
    </w:p>
    <w:p>
      <w:pPr>
        <w:spacing w:after="0" w:line="318" w:lineRule="exact"/>
        <w:rPr>
          <w:sz w:val="20"/>
          <w:szCs w:val="20"/>
          <w:color w:val="auto"/>
        </w:rPr>
      </w:pPr>
    </w:p>
    <w:p>
      <w:pPr>
        <w:jc w:val="right"/>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5</w:t>
        </w:r>
      </w:hyperlink>
    </w:p>
    <w:p>
      <w:pPr>
        <w:spacing w:after="0" w:line="275" w:lineRule="exact"/>
        <w:rPr>
          <w:sz w:val="20"/>
          <w:szCs w:val="20"/>
          <w:color w:val="auto"/>
        </w:rPr>
      </w:pPr>
    </w:p>
    <w:p>
      <w:pPr>
        <w:jc w:val="right"/>
        <w:spacing w:after="0"/>
        <w:rPr>
          <w:rFonts w:ascii="Arial" w:cs="Arial" w:eastAsia="Arial" w:hAnsi="Arial"/>
          <w:sz w:val="16"/>
          <w:szCs w:val="16"/>
          <w:u w:val="single" w:color="auto"/>
          <w:color w:val="0000FF"/>
        </w:rPr>
      </w:pPr>
      <w:hyperlink w:anchor="page8">
        <w:r>
          <w:rPr>
            <w:rFonts w:ascii="Arial" w:cs="Arial" w:eastAsia="Arial" w:hAnsi="Arial"/>
            <w:sz w:val="16"/>
            <w:szCs w:val="16"/>
            <w:u w:val="single" w:color="auto"/>
            <w:color w:val="0000FF"/>
          </w:rPr>
          <w:t>6</w:t>
        </w:r>
      </w:hyperlink>
    </w:p>
    <w:p>
      <w:pPr>
        <w:spacing w:after="0" w:line="356" w:lineRule="exact"/>
        <w:rPr>
          <w:sz w:val="20"/>
          <w:szCs w:val="20"/>
          <w:color w:val="auto"/>
        </w:rPr>
      </w:pPr>
    </w:p>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6</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9">
        <w:r>
          <w:rPr>
            <w:rFonts w:ascii="Arial" w:cs="Arial" w:eastAsia="Arial" w:hAnsi="Arial"/>
            <w:sz w:val="16"/>
            <w:szCs w:val="16"/>
            <w:u w:val="single" w:color="auto"/>
            <w:color w:val="0000FF"/>
          </w:rPr>
          <w:t>7</w:t>
        </w:r>
      </w:hyperlink>
    </w:p>
    <w:p>
      <w:pPr>
        <w:spacing w:after="0" w:line="86" w:lineRule="exact"/>
        <w:rPr>
          <w:sz w:val="20"/>
          <w:szCs w:val="20"/>
          <w:color w:val="auto"/>
        </w:rPr>
      </w:pPr>
    </w:p>
    <w:p>
      <w:pPr>
        <w:jc w:val="right"/>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9</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3">
        <w:r>
          <w:rPr>
            <w:rFonts w:ascii="Arial" w:cs="Arial" w:eastAsia="Arial" w:hAnsi="Arial"/>
            <w:sz w:val="16"/>
            <w:szCs w:val="16"/>
            <w:u w:val="single" w:color="auto"/>
            <w:color w:val="0000FF"/>
          </w:rPr>
          <w:t>10</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3">
        <w:r>
          <w:rPr>
            <w:rFonts w:ascii="Arial" w:cs="Arial" w:eastAsia="Arial" w:hAnsi="Arial"/>
            <w:sz w:val="16"/>
            <w:szCs w:val="16"/>
            <w:u w:val="single" w:color="auto"/>
            <w:color w:val="0000FF"/>
          </w:rPr>
          <w:t>10</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11</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5">
        <w:r>
          <w:rPr>
            <w:rFonts w:ascii="Arial" w:cs="Arial" w:eastAsia="Arial" w:hAnsi="Arial"/>
            <w:sz w:val="16"/>
            <w:szCs w:val="16"/>
            <w:u w:val="single" w:color="auto"/>
            <w:color w:val="0000FF"/>
          </w:rPr>
          <w:t>12</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7">
        <w:r>
          <w:rPr>
            <w:rFonts w:ascii="Arial" w:cs="Arial" w:eastAsia="Arial" w:hAnsi="Arial"/>
            <w:sz w:val="16"/>
            <w:szCs w:val="16"/>
            <w:u w:val="single" w:color="auto"/>
            <w:color w:val="0000FF"/>
          </w:rPr>
          <w:t>14</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15</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19">
        <w:r>
          <w:rPr>
            <w:rFonts w:ascii="Arial" w:cs="Arial" w:eastAsia="Arial" w:hAnsi="Arial"/>
            <w:sz w:val="16"/>
            <w:szCs w:val="16"/>
            <w:u w:val="single" w:color="auto"/>
            <w:color w:val="0000FF"/>
          </w:rPr>
          <w:t>15</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20">
        <w:r>
          <w:rPr>
            <w:rFonts w:ascii="Arial" w:cs="Arial" w:eastAsia="Arial" w:hAnsi="Arial"/>
            <w:sz w:val="16"/>
            <w:szCs w:val="16"/>
            <w:u w:val="single" w:color="auto"/>
            <w:color w:val="0000FF"/>
          </w:rPr>
          <w:t>17</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21">
        <w:r>
          <w:rPr>
            <w:rFonts w:ascii="Arial" w:cs="Arial" w:eastAsia="Arial" w:hAnsi="Arial"/>
            <w:sz w:val="16"/>
            <w:szCs w:val="16"/>
            <w:u w:val="single" w:color="auto"/>
            <w:color w:val="0000FF"/>
          </w:rPr>
          <w:t>18</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23">
        <w:r>
          <w:rPr>
            <w:rFonts w:ascii="Arial" w:cs="Arial" w:eastAsia="Arial" w:hAnsi="Arial"/>
            <w:sz w:val="16"/>
            <w:szCs w:val="16"/>
            <w:u w:val="single" w:color="auto"/>
            <w:color w:val="0000FF"/>
          </w:rPr>
          <w:t>19</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24">
        <w:r>
          <w:rPr>
            <w:rFonts w:ascii="Arial" w:cs="Arial" w:eastAsia="Arial" w:hAnsi="Arial"/>
            <w:sz w:val="16"/>
            <w:szCs w:val="16"/>
            <w:u w:val="single" w:color="auto"/>
            <w:color w:val="0000FF"/>
          </w:rPr>
          <w:t>20</w:t>
        </w:r>
      </w:hyperlink>
    </w:p>
    <w:p>
      <w:pPr>
        <w:spacing w:after="0" w:line="86" w:lineRule="exact"/>
        <w:rPr>
          <w:sz w:val="20"/>
          <w:szCs w:val="20"/>
          <w:color w:val="auto"/>
        </w:rPr>
      </w:pPr>
    </w:p>
    <w:p>
      <w:pPr>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21</w:t>
        </w:r>
      </w:hyperlink>
    </w:p>
    <w:p>
      <w:pPr>
        <w:spacing w:after="0" w:line="32" w:lineRule="exact"/>
        <w:rPr>
          <w:sz w:val="20"/>
          <w:szCs w:val="20"/>
          <w:color w:val="auto"/>
        </w:rPr>
      </w:pPr>
    </w:p>
    <w:p>
      <w:pPr>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21</w:t>
        </w:r>
      </w:hyperlink>
    </w:p>
    <w:p>
      <w:pPr>
        <w:spacing w:after="0" w:line="370" w:lineRule="exact"/>
        <w:rPr>
          <w:sz w:val="20"/>
          <w:szCs w:val="20"/>
          <w:color w:val="auto"/>
        </w:rPr>
      </w:pPr>
    </w:p>
    <w:p>
      <w:pPr>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26</w:t>
        </w:r>
      </w:hyperlink>
    </w:p>
    <w:p>
      <w:pPr>
        <w:spacing w:after="0" w:line="275" w:lineRule="exact"/>
        <w:rPr>
          <w:sz w:val="20"/>
          <w:szCs w:val="20"/>
          <w:color w:val="auto"/>
        </w:rPr>
      </w:pPr>
    </w:p>
    <w:p>
      <w:pPr>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37</w:t>
        </w:r>
      </w:hyperlink>
    </w:p>
    <w:p>
      <w:pPr>
        <w:spacing w:after="0" w:line="275" w:lineRule="exact"/>
        <w:rPr>
          <w:sz w:val="20"/>
          <w:szCs w:val="20"/>
          <w:color w:val="auto"/>
        </w:rPr>
      </w:pPr>
    </w:p>
    <w:p>
      <w:pPr>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38</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38</w:t>
        </w:r>
      </w:hyperlink>
    </w:p>
    <w:p>
      <w:pPr>
        <w:spacing w:after="0" w:line="316" w:lineRule="exact"/>
        <w:rPr>
          <w:sz w:val="20"/>
          <w:szCs w:val="20"/>
          <w:color w:val="auto"/>
        </w:rPr>
      </w:pPr>
    </w:p>
    <w:p>
      <w:pPr>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39</w:t>
        </w:r>
      </w:hyperlink>
    </w:p>
    <w:p>
      <w:pPr>
        <w:spacing w:after="0" w:line="275" w:lineRule="exact"/>
        <w:rPr>
          <w:sz w:val="20"/>
          <w:szCs w:val="20"/>
          <w:color w:val="auto"/>
        </w:rPr>
      </w:pPr>
    </w:p>
    <w:p>
      <w:pPr>
        <w:spacing w:after="0"/>
        <w:rPr>
          <w:rFonts w:ascii="Arial" w:cs="Arial" w:eastAsia="Arial" w:hAnsi="Arial"/>
          <w:sz w:val="16"/>
          <w:szCs w:val="16"/>
          <w:u w:val="single" w:color="auto"/>
          <w:color w:val="0000FF"/>
        </w:rPr>
      </w:pPr>
      <w:hyperlink w:anchor="page43">
        <w:r>
          <w:rPr>
            <w:rFonts w:ascii="Arial" w:cs="Arial" w:eastAsia="Arial" w:hAnsi="Arial"/>
            <w:sz w:val="16"/>
            <w:szCs w:val="16"/>
            <w:u w:val="single" w:color="auto"/>
            <w:color w:val="0000FF"/>
          </w:rPr>
          <w:t>40</w:t>
        </w:r>
      </w:hyperlink>
    </w:p>
    <w:p>
      <w:pPr>
        <w:sectPr>
          <w:pgSz w:w="11900" w:h="16838" w:orient="portrait"/>
          <w:cols w:equalWidth="0" w:num="2">
            <w:col w:w="10380" w:space="620"/>
            <w:col w:w="180"/>
          </w:cols>
          <w:pgMar w:left="340" w:top="1048"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320" w:type="dxa"/>
            <w:vAlign w:val="bottom"/>
            <w:gridSpan w:val="3"/>
          </w:tcPr>
          <w:p>
            <w:pPr>
              <w:jc w:val="right"/>
              <w:ind w:right="57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0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2019</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652,871</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737,602</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1,385,128</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1,429,801</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Operating</w:t>
            </w:r>
          </w:p>
        </w:tc>
        <w:tc>
          <w:tcPr>
            <w:tcW w:w="28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433,767</w:t>
            </w:r>
          </w:p>
        </w:tc>
        <w:tc>
          <w:tcPr>
            <w:tcW w:w="4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481,154</w:t>
            </w:r>
          </w:p>
        </w:tc>
        <w:tc>
          <w:tcPr>
            <w:tcW w:w="32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931,194</w:t>
            </w:r>
          </w:p>
        </w:tc>
        <w:tc>
          <w:tcPr>
            <w:tcW w:w="40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932,509</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164,476</w:t>
            </w:r>
          </w:p>
        </w:tc>
        <w:tc>
          <w:tcPr>
            <w:tcW w:w="4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171,028</w:t>
            </w:r>
          </w:p>
        </w:tc>
        <w:tc>
          <w:tcPr>
            <w:tcW w:w="32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343,951</w:t>
            </w:r>
          </w:p>
        </w:tc>
        <w:tc>
          <w:tcPr>
            <w:tcW w:w="40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345,286</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Depreciation of property, plant and equipment</w:t>
            </w:r>
          </w:p>
        </w:tc>
        <w:tc>
          <w:tcPr>
            <w:tcW w:w="28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22,913</w:t>
            </w:r>
          </w:p>
        </w:tc>
        <w:tc>
          <w:tcPr>
            <w:tcW w:w="4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13,884</w:t>
            </w:r>
          </w:p>
        </w:tc>
        <w:tc>
          <w:tcPr>
            <w:tcW w:w="32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39,617</w:t>
            </w:r>
          </w:p>
        </w:tc>
        <w:tc>
          <w:tcPr>
            <w:tcW w:w="40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27,407</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14,327</w:t>
            </w:r>
          </w:p>
        </w:tc>
        <w:tc>
          <w:tcPr>
            <w:tcW w:w="4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12,880</w:t>
            </w:r>
          </w:p>
        </w:tc>
        <w:tc>
          <w:tcPr>
            <w:tcW w:w="32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28,492</w:t>
            </w:r>
          </w:p>
        </w:tc>
        <w:tc>
          <w:tcPr>
            <w:tcW w:w="40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25,940</w:t>
            </w:r>
          </w:p>
        </w:tc>
        <w:tc>
          <w:tcPr>
            <w:tcW w:w="0" w:type="dxa"/>
            <w:vAlign w:val="bottom"/>
          </w:tcPr>
          <w:p>
            <w:pPr>
              <w:spacing w:after="0"/>
              <w:rPr>
                <w:sz w:val="1"/>
                <w:szCs w:val="1"/>
                <w:color w:val="auto"/>
              </w:rPr>
            </w:pPr>
          </w:p>
        </w:tc>
      </w:tr>
      <w:tr>
        <w:trPr>
          <w:trHeight w:val="256"/>
        </w:trPr>
        <w:tc>
          <w:tcPr>
            <w:tcW w:w="6060" w:type="dxa"/>
            <w:vAlign w:val="bottom"/>
          </w:tcPr>
          <w:p>
            <w:pPr>
              <w:ind w:left="220"/>
              <w:spacing w:after="0"/>
              <w:rPr>
                <w:sz w:val="20"/>
                <w:szCs w:val="20"/>
                <w:color w:val="auto"/>
              </w:rPr>
            </w:pPr>
            <w:r>
              <w:rPr>
                <w:rFonts w:ascii="Arial" w:cs="Arial" w:eastAsia="Arial" w:hAnsi="Arial"/>
                <w:sz w:val="16"/>
                <w:szCs w:val="16"/>
                <w:color w:val="auto"/>
              </w:rPr>
              <w:t>Impairment of goodwill and other long-lived assets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11,511</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693</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27,912</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646,994</w:t>
            </w: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679,639</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1,371,166</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1,331,835</w:t>
            </w:r>
          </w:p>
        </w:tc>
        <w:tc>
          <w:tcPr>
            <w:tcW w:w="0" w:type="dxa"/>
            <w:vAlign w:val="bottom"/>
          </w:tcPr>
          <w:p>
            <w:pPr>
              <w:spacing w:after="0"/>
              <w:rPr>
                <w:sz w:val="1"/>
                <w:szCs w:val="1"/>
                <w:color w:val="auto"/>
              </w:rPr>
            </w:pPr>
          </w:p>
        </w:tc>
      </w:tr>
      <w:tr>
        <w:trPr>
          <w:trHeight w:val="224"/>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w:t>
            </w:r>
          </w:p>
        </w:tc>
        <w:tc>
          <w:tcPr>
            <w:tcW w:w="28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5,877</w:t>
            </w:r>
          </w:p>
        </w:tc>
        <w:tc>
          <w:tcPr>
            <w:tcW w:w="4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57,963</w:t>
            </w:r>
          </w:p>
        </w:tc>
        <w:tc>
          <w:tcPr>
            <w:tcW w:w="320" w:type="dxa"/>
            <w:vAlign w:val="bottom"/>
          </w:tcPr>
          <w:p>
            <w:pPr>
              <w:spacing w:after="0"/>
              <w:rPr>
                <w:sz w:val="19"/>
                <w:szCs w:val="19"/>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13,962</w:t>
            </w:r>
          </w:p>
        </w:tc>
        <w:tc>
          <w:tcPr>
            <w:tcW w:w="40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97,966</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Equity in earnings (losses) of affiliates, net</w:t>
            </w:r>
          </w:p>
        </w:tc>
        <w:tc>
          <w:tcPr>
            <w:tcW w:w="28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1,182</w:t>
            </w:r>
          </w:p>
        </w:tc>
        <w:tc>
          <w:tcPr>
            <w:tcW w:w="4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1,467</w:t>
            </w:r>
          </w:p>
        </w:tc>
        <w:tc>
          <w:tcPr>
            <w:tcW w:w="32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(365)</w:t>
            </w:r>
          </w:p>
        </w:tc>
        <w:tc>
          <w:tcPr>
            <w:tcW w:w="40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3,146</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8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954</w:t>
            </w:r>
          </w:p>
        </w:tc>
        <w:tc>
          <w:tcPr>
            <w:tcW w:w="4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1,579</w:t>
            </w:r>
          </w:p>
        </w:tc>
        <w:tc>
          <w:tcPr>
            <w:tcW w:w="32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2,105</w:t>
            </w:r>
          </w:p>
        </w:tc>
        <w:tc>
          <w:tcPr>
            <w:tcW w:w="40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3,279</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1"/>
                <w:szCs w:val="21"/>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b w:val="1"/>
                <w:bCs w:val="1"/>
                <w:color w:val="auto"/>
              </w:rPr>
              <w:t>(7,377)</w:t>
            </w:r>
          </w:p>
        </w:tc>
        <w:tc>
          <w:tcPr>
            <w:tcW w:w="4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(8,386)</w:t>
            </w:r>
          </w:p>
        </w:tc>
        <w:tc>
          <w:tcPr>
            <w:tcW w:w="32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(15,055)</w:t>
            </w:r>
          </w:p>
        </w:tc>
        <w:tc>
          <w:tcPr>
            <w:tcW w:w="400" w:type="dxa"/>
            <w:vAlign w:val="bottom"/>
          </w:tcPr>
          <w:p>
            <w:pPr>
              <w:spacing w:after="0"/>
              <w:rPr>
                <w:sz w:val="21"/>
                <w:szCs w:val="21"/>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(15,811)</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8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12,136</w:t>
            </w:r>
          </w:p>
        </w:tc>
        <w:tc>
          <w:tcPr>
            <w:tcW w:w="4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12,253</w:t>
            </w:r>
          </w:p>
        </w:tc>
        <w:tc>
          <w:tcPr>
            <w:tcW w:w="32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30,539</w:t>
            </w:r>
          </w:p>
        </w:tc>
        <w:tc>
          <w:tcPr>
            <w:tcW w:w="40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32,181</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Gain (loss) on marketable equity securities, net</w:t>
            </w:r>
          </w:p>
        </w:tc>
        <w:tc>
          <w:tcPr>
            <w:tcW w:w="28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39,890</w:t>
            </w:r>
          </w:p>
        </w:tc>
        <w:tc>
          <w:tcPr>
            <w:tcW w:w="4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7,791</w:t>
            </w:r>
          </w:p>
        </w:tc>
        <w:tc>
          <w:tcPr>
            <w:tcW w:w="320" w:type="dxa"/>
            <w:vAlign w:val="bottom"/>
          </w:tcPr>
          <w:p>
            <w:pPr>
              <w:spacing w:after="0"/>
              <w:rPr>
                <w:sz w:val="21"/>
                <w:szCs w:val="21"/>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(60,503)</w:t>
            </w:r>
          </w:p>
        </w:tc>
        <w:tc>
          <w:tcPr>
            <w:tcW w:w="40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31,857</w:t>
            </w:r>
          </w:p>
        </w:tc>
        <w:tc>
          <w:tcPr>
            <w:tcW w:w="0" w:type="dxa"/>
            <w:vAlign w:val="bottom"/>
          </w:tcPr>
          <w:p>
            <w:pPr>
              <w:spacing w:after="0"/>
              <w:rPr>
                <w:sz w:val="1"/>
                <w:szCs w:val="1"/>
                <w:color w:val="auto"/>
              </w:rPr>
            </w:pPr>
          </w:p>
        </w:tc>
      </w:tr>
      <w:tr>
        <w:trPr>
          <w:trHeight w:val="256"/>
        </w:trPr>
        <w:tc>
          <w:tcPr>
            <w:tcW w:w="606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8,100</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1,228</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10,788</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30,579</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8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60,762</w:t>
            </w:r>
          </w:p>
        </w:tc>
        <w:tc>
          <w:tcPr>
            <w:tcW w:w="4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73,895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(18,529)</w:t>
            </w:r>
          </w:p>
        </w:tc>
        <w:tc>
          <w:tcPr>
            <w:tcW w:w="40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183,197</w:t>
            </w:r>
          </w:p>
        </w:tc>
        <w:tc>
          <w:tcPr>
            <w:tcW w:w="0" w:type="dxa"/>
            <w:vAlign w:val="bottom"/>
          </w:tcPr>
          <w:p>
            <w:pPr>
              <w:spacing w:after="0"/>
              <w:rPr>
                <w:sz w:val="1"/>
                <w:szCs w:val="1"/>
                <w:color w:val="auto"/>
              </w:rPr>
            </w:pPr>
          </w:p>
        </w:tc>
      </w:tr>
      <w:tr>
        <w:trPr>
          <w:trHeight w:val="256"/>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Provision for (Benefit from) Income Taxes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41,900</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16,700</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(3,500)</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44,300</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8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18,862</w:t>
            </w:r>
          </w:p>
        </w:tc>
        <w:tc>
          <w:tcPr>
            <w:tcW w:w="4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57,195</w:t>
            </w:r>
          </w:p>
        </w:tc>
        <w:tc>
          <w:tcPr>
            <w:tcW w:w="320" w:type="dxa"/>
            <w:vAlign w:val="bottom"/>
          </w:tcPr>
          <w:p>
            <w:pPr>
              <w:spacing w:after="0"/>
              <w:rPr>
                <w:sz w:val="19"/>
                <w:szCs w:val="19"/>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(15,029)</w:t>
            </w:r>
          </w:p>
        </w:tc>
        <w:tc>
          <w:tcPr>
            <w:tcW w:w="40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138,897</w:t>
            </w:r>
          </w:p>
        </w:tc>
        <w:tc>
          <w:tcPr>
            <w:tcW w:w="0" w:type="dxa"/>
            <w:vAlign w:val="bottom"/>
          </w:tcPr>
          <w:p>
            <w:pPr>
              <w:spacing w:after="0"/>
              <w:rPr>
                <w:sz w:val="1"/>
                <w:szCs w:val="1"/>
                <w:color w:val="auto"/>
              </w:rPr>
            </w:pPr>
          </w:p>
        </w:tc>
      </w:tr>
      <w:tr>
        <w:trPr>
          <w:trHeight w:val="256"/>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Net (Income) Loss Attributable to Noncontrolling Interests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(114)</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638</w:t>
            </w:r>
          </w:p>
        </w:tc>
        <w:tc>
          <w:tcPr>
            <w:tcW w:w="4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57"/>
        </w:trPr>
        <w:tc>
          <w:tcPr>
            <w:tcW w:w="606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Net Income (Loss) Attributable to Graham Holdings Company Common</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18,854</w:t>
            </w:r>
          </w:p>
        </w:tc>
        <w:tc>
          <w:tcPr>
            <w:tcW w:w="440" w:type="dxa"/>
            <w:vAlign w:val="bottom"/>
            <w:vMerge w:val="restart"/>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79"/>
              <w:spacing w:after="0"/>
              <w:rPr>
                <w:sz w:val="20"/>
                <w:szCs w:val="20"/>
                <w:color w:val="auto"/>
              </w:rPr>
            </w:pPr>
            <w:r>
              <w:rPr>
                <w:rFonts w:ascii="Arial" w:cs="Arial" w:eastAsia="Arial" w:hAnsi="Arial"/>
                <w:sz w:val="16"/>
                <w:szCs w:val="16"/>
                <w:color w:val="auto"/>
              </w:rPr>
              <w:t>57,081</w:t>
            </w:r>
          </w:p>
        </w:tc>
        <w:tc>
          <w:tcPr>
            <w:tcW w:w="3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(14,391)</w:t>
            </w:r>
          </w:p>
        </w:tc>
        <w:tc>
          <w:tcPr>
            <w:tcW w:w="40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79"/>
              <w:spacing w:after="0"/>
              <w:rPr>
                <w:sz w:val="20"/>
                <w:szCs w:val="20"/>
                <w:color w:val="auto"/>
              </w:rPr>
            </w:pPr>
            <w:r>
              <w:rPr>
                <w:rFonts w:ascii="Arial" w:cs="Arial" w:eastAsia="Arial" w:hAnsi="Arial"/>
                <w:sz w:val="16"/>
                <w:szCs w:val="16"/>
                <w:color w:val="auto"/>
              </w:rPr>
              <w:t>138,829</w:t>
            </w:r>
          </w:p>
        </w:tc>
        <w:tc>
          <w:tcPr>
            <w:tcW w:w="0" w:type="dxa"/>
            <w:vAlign w:val="bottom"/>
          </w:tcPr>
          <w:p>
            <w:pPr>
              <w:spacing w:after="0"/>
              <w:rPr>
                <w:sz w:val="1"/>
                <w:szCs w:val="1"/>
                <w:color w:val="auto"/>
              </w:rPr>
            </w:pPr>
          </w:p>
        </w:tc>
      </w:tr>
      <w:tr>
        <w:trPr>
          <w:trHeight w:val="212"/>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2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line="178" w:lineRule="exact"/>
              <w:rPr>
                <w:sz w:val="20"/>
                <w:szCs w:val="20"/>
                <w:color w:val="auto"/>
              </w:rPr>
            </w:pPr>
            <w:r>
              <w:rPr>
                <w:rFonts w:ascii="Arial" w:cs="Arial" w:eastAsia="Arial" w:hAnsi="Arial"/>
                <w:sz w:val="16"/>
                <w:szCs w:val="16"/>
                <w:b w:val="1"/>
                <w:bCs w:val="1"/>
                <w:color w:val="auto"/>
              </w:rPr>
              <w:t>Per Share Information Attributable to Graham Holdings Company Common</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60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Stockholders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Basic net income (loss) per common share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3.61</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10.74</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(2.77)</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26.12</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8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5,196</w:t>
            </w:r>
          </w:p>
        </w:tc>
        <w:tc>
          <w:tcPr>
            <w:tcW w:w="4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5,285</w:t>
            </w:r>
          </w:p>
        </w:tc>
        <w:tc>
          <w:tcPr>
            <w:tcW w:w="32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5,235</w:t>
            </w:r>
          </w:p>
        </w:tc>
        <w:tc>
          <w:tcPr>
            <w:tcW w:w="40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5,285</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Diluted net income (loss) per common share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3.60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10.65</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(2.77)</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25.91</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8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5,201</w:t>
            </w:r>
          </w:p>
        </w:tc>
        <w:tc>
          <w:tcPr>
            <w:tcW w:w="4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5,329</w:t>
            </w:r>
          </w:p>
        </w:tc>
        <w:tc>
          <w:tcPr>
            <w:tcW w:w="320" w:type="dxa"/>
            <w:vAlign w:val="bottom"/>
          </w:tcPr>
          <w:p>
            <w:pPr>
              <w:spacing w:after="0"/>
              <w:rPr>
                <w:sz w:val="21"/>
                <w:szCs w:val="21"/>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b w:val="1"/>
                <w:bCs w:val="1"/>
                <w:color w:val="auto"/>
              </w:rPr>
              <w:t>5,235</w:t>
            </w:r>
          </w:p>
        </w:tc>
        <w:tc>
          <w:tcPr>
            <w:tcW w:w="40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5,328</w:t>
            </w: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 (UNAUDITED)</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2200" w:type="dxa"/>
            <w:vAlign w:val="bottom"/>
            <w:gridSpan w:val="2"/>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8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68"/>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June 30</w:t>
            </w:r>
          </w:p>
        </w:tc>
      </w:tr>
      <w:tr>
        <w:trPr>
          <w:trHeight w:val="203"/>
        </w:trPr>
        <w:tc>
          <w:tcPr>
            <w:tcW w:w="6840" w:type="dxa"/>
            <w:vAlign w:val="bottom"/>
          </w:tcPr>
          <w:p>
            <w:pPr>
              <w:spacing w:after="0"/>
              <w:rPr>
                <w:sz w:val="20"/>
                <w:szCs w:val="20"/>
                <w:color w:val="auto"/>
              </w:rPr>
            </w:pPr>
            <w:r>
              <w:rPr>
                <w:rFonts w:ascii="Arial" w:cs="Arial" w:eastAsia="Arial" w:hAnsi="Arial"/>
                <w:sz w:val="14"/>
                <w:szCs w:val="14"/>
                <w:color w:val="auto"/>
              </w:rPr>
              <w:t>(in thousands)</w:t>
            </w:r>
          </w:p>
        </w:tc>
        <w:tc>
          <w:tcPr>
            <w:tcW w:w="740" w:type="dxa"/>
            <w:vAlign w:val="bottom"/>
          </w:tcPr>
          <w:p>
            <w:pPr>
              <w:ind w:left="360"/>
              <w:spacing w:after="0"/>
              <w:rPr>
                <w:sz w:val="20"/>
                <w:szCs w:val="20"/>
                <w:color w:val="auto"/>
              </w:rPr>
            </w:pPr>
            <w:r>
              <w:rPr>
                <w:rFonts w:ascii="Arial" w:cs="Arial" w:eastAsia="Arial" w:hAnsi="Arial"/>
                <w:sz w:val="14"/>
                <w:szCs w:val="14"/>
                <w:b w:val="1"/>
                <w:bCs w:val="1"/>
                <w:color w:val="auto"/>
              </w:rPr>
              <w:t>2020</w:t>
            </w:r>
          </w:p>
        </w:tc>
        <w:tc>
          <w:tcPr>
            <w:tcW w:w="1460" w:type="dxa"/>
            <w:vAlign w:val="bottom"/>
          </w:tcPr>
          <w:p>
            <w:pPr>
              <w:jc w:val="right"/>
              <w:ind w:right="328"/>
              <w:spacing w:after="0"/>
              <w:rPr>
                <w:sz w:val="20"/>
                <w:szCs w:val="20"/>
                <w:color w:val="auto"/>
              </w:rPr>
            </w:pPr>
            <w:r>
              <w:rPr>
                <w:rFonts w:ascii="Arial" w:cs="Arial" w:eastAsia="Arial" w:hAnsi="Arial"/>
                <w:sz w:val="14"/>
                <w:szCs w:val="14"/>
                <w:color w:val="auto"/>
              </w:rPr>
              <w:t>2019</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400" w:type="dxa"/>
            <w:vAlign w:val="bottom"/>
          </w:tcPr>
          <w:p>
            <w:pPr>
              <w:jc w:val="right"/>
              <w:ind w:right="268"/>
              <w:spacing w:after="0"/>
              <w:rPr>
                <w:sz w:val="20"/>
                <w:szCs w:val="20"/>
                <w:color w:val="auto"/>
              </w:rPr>
            </w:pPr>
            <w:r>
              <w:rPr>
                <w:rFonts w:ascii="Arial" w:cs="Arial" w:eastAsia="Arial" w:hAnsi="Arial"/>
                <w:sz w:val="14"/>
                <w:szCs w:val="14"/>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Income (Loss)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Foreign currency translation adjustments: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Translation adjustments arising during the period</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Pension and other postretirement plans: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Amortization of net prior service cost (credit) included in net income (loss)</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Amortization of net actuarial loss (gain) included in net income (loss)</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Cash flow hedges (loss) gain</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Income tax (expense) benefit related to items of other comprehensive income (loss)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Income (Loss), Net of Tax</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Comprehensive Income (Loss)</w:t>
      </w:r>
    </w:p>
    <w:p>
      <w:pPr>
        <w:spacing w:after="0" w:line="7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Comprehensive (income) loss attributable to noncontrolling interests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Comprehensive Income (Loss) Attributable to Graham Holdings Company</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380" w:hanging="356"/>
        <w:spacing w:after="0"/>
        <w:tabs>
          <w:tab w:leader="none" w:pos="38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18,862   </w:t>
      </w:r>
      <w:r>
        <w:rPr>
          <w:rFonts w:ascii="Arial" w:cs="Arial" w:eastAsia="Arial" w:hAnsi="Arial"/>
          <w:sz w:val="16"/>
          <w:szCs w:val="16"/>
          <w:color w:val="auto"/>
        </w:rPr>
        <w:t>$   57,195</w:t>
      </w:r>
      <w:r>
        <w:rPr>
          <w:rFonts w:ascii="Arial" w:cs="Arial" w:eastAsia="Arial" w:hAnsi="Arial"/>
          <w:sz w:val="16"/>
          <w:szCs w:val="16"/>
          <w:b w:val="1"/>
          <w:bCs w:val="1"/>
          <w:color w:val="auto"/>
        </w:rPr>
        <w:t xml:space="preserve">   $  (15,029)   </w:t>
      </w:r>
      <w:r>
        <w:rPr>
          <w:rFonts w:ascii="Arial" w:cs="Arial" w:eastAsia="Arial" w:hAnsi="Arial"/>
          <w:sz w:val="16"/>
          <w:szCs w:val="16"/>
          <w:color w:val="auto"/>
        </w:rPr>
        <w:t>$  138,897</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16,405</w:t>
            </w:r>
          </w:p>
        </w:tc>
        <w:tc>
          <w:tcPr>
            <w:tcW w:w="320" w:type="dxa"/>
            <w:vAlign w:val="bottom"/>
          </w:tcPr>
          <w:p>
            <w:pPr>
              <w:spacing w:after="0"/>
              <w:rPr>
                <w:sz w:val="18"/>
                <w:szCs w:val="18"/>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(11,104)</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(20,971)</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(1,071)</w:t>
            </w:r>
          </w:p>
        </w:tc>
      </w:tr>
      <w:tr>
        <w:trPr>
          <w:trHeight w:val="486"/>
        </w:trPr>
        <w:tc>
          <w:tcPr>
            <w:tcW w:w="240" w:type="dxa"/>
            <w:vAlign w:val="bottom"/>
          </w:tcPr>
          <w:p>
            <w:pPr>
              <w:spacing w:after="0"/>
              <w:rPr>
                <w:sz w:val="24"/>
                <w:szCs w:val="24"/>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668</w:t>
            </w:r>
          </w:p>
        </w:tc>
        <w:tc>
          <w:tcPr>
            <w:tcW w:w="320" w:type="dxa"/>
            <w:vAlign w:val="bottom"/>
          </w:tcPr>
          <w:p>
            <w:pPr>
              <w:spacing w:after="0"/>
              <w:rPr>
                <w:sz w:val="24"/>
                <w:szCs w:val="24"/>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(931)</w:t>
            </w: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1,339</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(2,278)</w:t>
            </w:r>
          </w:p>
        </w:tc>
      </w:tr>
      <w:tr>
        <w:trPr>
          <w:trHeight w:val="256"/>
        </w:trPr>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390</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(475)</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610</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(1,023)</w:t>
            </w:r>
          </w:p>
        </w:tc>
      </w:tr>
      <w:tr>
        <w:trPr>
          <w:trHeight w:val="223"/>
        </w:trPr>
        <w:tc>
          <w:tcPr>
            <w:tcW w:w="24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1,058</w:t>
            </w:r>
          </w:p>
        </w:tc>
        <w:tc>
          <w:tcPr>
            <w:tcW w:w="3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(1,406)</w:t>
            </w: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rPr>
              <w:t>1,949</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(3,301)</w:t>
            </w:r>
          </w:p>
        </w:tc>
      </w:tr>
      <w:tr>
        <w:trPr>
          <w:trHeight w:val="256"/>
        </w:trPr>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(143)</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(1,721)</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(427)</w:t>
            </w:r>
          </w:p>
        </w:tc>
      </w:tr>
      <w:tr>
        <w:trPr>
          <w:trHeight w:val="224"/>
        </w:trPr>
        <w:tc>
          <w:tcPr>
            <w:tcW w:w="24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17,320</w:t>
            </w:r>
          </w:p>
        </w:tc>
        <w:tc>
          <w:tcPr>
            <w:tcW w:w="320" w:type="dxa"/>
            <w:vAlign w:val="bottom"/>
          </w:tcPr>
          <w:p>
            <w:pPr>
              <w:spacing w:after="0"/>
              <w:rPr>
                <w:sz w:val="19"/>
                <w:szCs w:val="19"/>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(12,470)</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(20,743)</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(4,799)</w:t>
            </w:r>
          </w:p>
        </w:tc>
      </w:tr>
      <w:tr>
        <w:trPr>
          <w:trHeight w:val="256"/>
        </w:trPr>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(252)</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375</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(132)</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994</w:t>
            </w:r>
          </w:p>
        </w:tc>
      </w:tr>
      <w:tr>
        <w:trPr>
          <w:trHeight w:val="237"/>
        </w:trPr>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17,068</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(12,095)</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(20,875)</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(3,805)</w:t>
            </w:r>
          </w:p>
        </w:tc>
      </w:tr>
      <w:tr>
        <w:trPr>
          <w:trHeight w:val="224"/>
        </w:trPr>
        <w:tc>
          <w:tcPr>
            <w:tcW w:w="24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rPr>
              <w:t>35,930</w:t>
            </w:r>
          </w:p>
        </w:tc>
        <w:tc>
          <w:tcPr>
            <w:tcW w:w="320" w:type="dxa"/>
            <w:vAlign w:val="bottom"/>
          </w:tcPr>
          <w:p>
            <w:pPr>
              <w:spacing w:after="0"/>
              <w:rPr>
                <w:sz w:val="19"/>
                <w:szCs w:val="19"/>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45,100</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(35,904)</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135,092</w:t>
            </w:r>
          </w:p>
        </w:tc>
      </w:tr>
      <w:tr>
        <w:trPr>
          <w:trHeight w:val="256"/>
        </w:trPr>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638</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w:t>
            </w:r>
          </w:p>
        </w:tc>
      </w:tr>
      <w:tr>
        <w:trPr>
          <w:trHeight w:val="345"/>
        </w:trPr>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35,922</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44,986</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(35,266)</w:t>
            </w: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  135,024</w:t>
            </w:r>
          </w:p>
        </w:tc>
      </w:tr>
      <w:tr>
        <w:trPr>
          <w:trHeight w:val="27"/>
        </w:trPr>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6140" w:space="720"/>
            <w:col w:w="4380"/>
          </w:cols>
          <w:pgMar w:left="320" w:top="1048" w:right="339" w:bottom="1440" w:gutter="0" w:footer="0" w:header="0"/>
          <w:type w:val="continuous"/>
        </w:sectPr>
      </w:pP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40"/>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5"/>
                <w:szCs w:val="15"/>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6"/>
        </w:trPr>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3"/>
        </w:trPr>
        <w:tc>
          <w:tcPr>
            <w:tcW w:w="8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center"/>
              <w:ind w:right="12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20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260,247</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200,165</w:t>
            </w:r>
          </w:p>
        </w:tc>
        <w:tc>
          <w:tcPr>
            <w:tcW w:w="0" w:type="dxa"/>
            <w:vAlign w:val="bottom"/>
          </w:tcPr>
          <w:p>
            <w:pPr>
              <w:spacing w:after="0"/>
              <w:rPr>
                <w:sz w:val="1"/>
                <w:szCs w:val="1"/>
                <w:color w:val="auto"/>
              </w:rPr>
            </w:pPr>
          </w:p>
        </w:tc>
      </w:tr>
      <w:tr>
        <w:trPr>
          <w:trHeight w:val="243"/>
        </w:trPr>
        <w:tc>
          <w:tcPr>
            <w:tcW w:w="8200" w:type="dxa"/>
            <w:vAlign w:val="bottom"/>
          </w:tcPr>
          <w:p>
            <w:pPr>
              <w:ind w:left="20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16,043</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13,879</w:t>
            </w:r>
          </w:p>
        </w:tc>
        <w:tc>
          <w:tcPr>
            <w:tcW w:w="0" w:type="dxa"/>
            <w:vAlign w:val="bottom"/>
          </w:tcPr>
          <w:p>
            <w:pPr>
              <w:spacing w:after="0"/>
              <w:rPr>
                <w:sz w:val="1"/>
                <w:szCs w:val="1"/>
                <w:color w:val="auto"/>
              </w:rPr>
            </w:pPr>
          </w:p>
        </w:tc>
      </w:tr>
      <w:tr>
        <w:trPr>
          <w:trHeight w:val="243"/>
        </w:trPr>
        <w:tc>
          <w:tcPr>
            <w:tcW w:w="8200" w:type="dxa"/>
            <w:vAlign w:val="bottom"/>
          </w:tcPr>
          <w:p>
            <w:pPr>
              <w:ind w:left="20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444,742</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599,967</w:t>
            </w:r>
          </w:p>
        </w:tc>
        <w:tc>
          <w:tcPr>
            <w:tcW w:w="0" w:type="dxa"/>
            <w:vAlign w:val="bottom"/>
          </w:tcPr>
          <w:p>
            <w:pPr>
              <w:spacing w:after="0"/>
              <w:rPr>
                <w:sz w:val="1"/>
                <w:szCs w:val="1"/>
                <w:color w:val="auto"/>
              </w:rPr>
            </w:pPr>
          </w:p>
        </w:tc>
      </w:tr>
      <w:tr>
        <w:trPr>
          <w:trHeight w:val="243"/>
        </w:trPr>
        <w:tc>
          <w:tcPr>
            <w:tcW w:w="8200" w:type="dxa"/>
            <w:vAlign w:val="bottom"/>
          </w:tcPr>
          <w:p>
            <w:pPr>
              <w:ind w:left="20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452,231</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624,216</w:t>
            </w:r>
          </w:p>
        </w:tc>
        <w:tc>
          <w:tcPr>
            <w:tcW w:w="0" w:type="dxa"/>
            <w:vAlign w:val="bottom"/>
          </w:tcPr>
          <w:p>
            <w:pPr>
              <w:spacing w:after="0"/>
              <w:rPr>
                <w:sz w:val="1"/>
                <w:szCs w:val="1"/>
                <w:color w:val="auto"/>
              </w:rPr>
            </w:pPr>
          </w:p>
        </w:tc>
      </w:tr>
      <w:tr>
        <w:trPr>
          <w:trHeight w:val="243"/>
        </w:trPr>
        <w:tc>
          <w:tcPr>
            <w:tcW w:w="8200" w:type="dxa"/>
            <w:vAlign w:val="bottom"/>
          </w:tcPr>
          <w:p>
            <w:pPr>
              <w:ind w:left="200"/>
              <w:spacing w:after="0"/>
              <w:rPr>
                <w:sz w:val="20"/>
                <w:szCs w:val="20"/>
                <w:color w:val="auto"/>
              </w:rPr>
            </w:pPr>
            <w:r>
              <w:rPr>
                <w:rFonts w:ascii="Arial" w:cs="Arial" w:eastAsia="Arial" w:hAnsi="Arial"/>
                <w:sz w:val="16"/>
                <w:szCs w:val="16"/>
                <w:color w:val="auto"/>
              </w:rPr>
              <w:t>Inventories and contracts in progress</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121,490</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120,834</w:t>
            </w:r>
          </w:p>
        </w:tc>
        <w:tc>
          <w:tcPr>
            <w:tcW w:w="0" w:type="dxa"/>
            <w:vAlign w:val="bottom"/>
          </w:tcPr>
          <w:p>
            <w:pPr>
              <w:spacing w:after="0"/>
              <w:rPr>
                <w:sz w:val="1"/>
                <w:szCs w:val="1"/>
                <w:color w:val="auto"/>
              </w:rPr>
            </w:pPr>
          </w:p>
        </w:tc>
      </w:tr>
      <w:tr>
        <w:trPr>
          <w:trHeight w:val="243"/>
        </w:trPr>
        <w:tc>
          <w:tcPr>
            <w:tcW w:w="8200" w:type="dxa"/>
            <w:vAlign w:val="bottom"/>
          </w:tcPr>
          <w:p>
            <w:pPr>
              <w:ind w:left="200"/>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75,857</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92,289</w:t>
            </w:r>
          </w:p>
        </w:tc>
        <w:tc>
          <w:tcPr>
            <w:tcW w:w="0" w:type="dxa"/>
            <w:vAlign w:val="bottom"/>
          </w:tcPr>
          <w:p>
            <w:pPr>
              <w:spacing w:after="0"/>
              <w:rPr>
                <w:sz w:val="1"/>
                <w:szCs w:val="1"/>
                <w:color w:val="auto"/>
              </w:rPr>
            </w:pPr>
          </w:p>
        </w:tc>
      </w:tr>
      <w:tr>
        <w:trPr>
          <w:trHeight w:val="243"/>
        </w:trPr>
        <w:tc>
          <w:tcPr>
            <w:tcW w:w="8200" w:type="dxa"/>
            <w:vAlign w:val="bottom"/>
          </w:tcPr>
          <w:p>
            <w:pPr>
              <w:ind w:left="200"/>
              <w:spacing w:after="0"/>
              <w:rPr>
                <w:sz w:val="20"/>
                <w:szCs w:val="20"/>
                <w:color w:val="auto"/>
              </w:rPr>
            </w:pPr>
            <w:r>
              <w:rPr>
                <w:rFonts w:ascii="Arial" w:cs="Arial" w:eastAsia="Arial" w:hAnsi="Arial"/>
                <w:sz w:val="16"/>
                <w:szCs w:val="16"/>
                <w:color w:val="auto"/>
              </w:rPr>
              <w:t>Income taxes receivable</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36,848</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10,735</w:t>
            </w:r>
          </w:p>
        </w:tc>
        <w:tc>
          <w:tcPr>
            <w:tcW w:w="0" w:type="dxa"/>
            <w:vAlign w:val="bottom"/>
          </w:tcPr>
          <w:p>
            <w:pPr>
              <w:spacing w:after="0"/>
              <w:rPr>
                <w:sz w:val="1"/>
                <w:szCs w:val="1"/>
                <w:color w:val="auto"/>
              </w:rPr>
            </w:pPr>
          </w:p>
        </w:tc>
      </w:tr>
      <w:tr>
        <w:trPr>
          <w:trHeight w:val="256"/>
        </w:trPr>
        <w:tc>
          <w:tcPr>
            <w:tcW w:w="8200" w:type="dxa"/>
            <w:vAlign w:val="bottom"/>
          </w:tcPr>
          <w:p>
            <w:pPr>
              <w:ind w:left="20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939</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24"/>
        </w:trPr>
        <w:tc>
          <w:tcPr>
            <w:tcW w:w="8200" w:type="dxa"/>
            <w:vAlign w:val="bottom"/>
          </w:tcPr>
          <w:p>
            <w:pPr>
              <w:ind w:left="44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Pr>
          <w:p>
            <w:pPr>
              <w:spacing w:after="0"/>
              <w:rPr>
                <w:sz w:val="19"/>
                <w:szCs w:val="19"/>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1,408,397</w:t>
            </w:r>
          </w:p>
        </w:tc>
        <w:tc>
          <w:tcPr>
            <w:tcW w:w="30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1,663,485</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376,681</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384,670</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Right-of-Use Assets</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481,589</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526,417</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156,677</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162,249</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1,440,379</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1,388,279</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115,913</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140,197</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231,887</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233,481</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1,315,174</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1,292,350</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4,666</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11,629</w:t>
            </w:r>
          </w:p>
        </w:tc>
        <w:tc>
          <w:tcPr>
            <w:tcW w:w="0" w:type="dxa"/>
            <w:vAlign w:val="bottom"/>
          </w:tcPr>
          <w:p>
            <w:pPr>
              <w:spacing w:after="0"/>
              <w:rPr>
                <w:sz w:val="1"/>
                <w:szCs w:val="1"/>
                <w:color w:val="auto"/>
              </w:rPr>
            </w:pPr>
          </w:p>
        </w:tc>
      </w:tr>
      <w:tr>
        <w:trPr>
          <w:trHeight w:val="256"/>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 (includes $2,784 and $0 of restricted cash)</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140,954</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128,479</w:t>
            </w:r>
          </w:p>
        </w:tc>
        <w:tc>
          <w:tcPr>
            <w:tcW w:w="0" w:type="dxa"/>
            <w:vAlign w:val="bottom"/>
          </w:tcPr>
          <w:p>
            <w:pPr>
              <w:spacing w:after="0"/>
              <w:rPr>
                <w:sz w:val="1"/>
                <w:szCs w:val="1"/>
                <w:color w:val="auto"/>
              </w:rPr>
            </w:pPr>
          </w:p>
        </w:tc>
      </w:tr>
      <w:tr>
        <w:trPr>
          <w:trHeight w:val="243"/>
        </w:trPr>
        <w:tc>
          <w:tcPr>
            <w:tcW w:w="8200" w:type="dxa"/>
            <w:vAlign w:val="bottom"/>
          </w:tcPr>
          <w:p>
            <w:pPr>
              <w:ind w:left="44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5,672,317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5,931,236</w:t>
            </w:r>
          </w:p>
        </w:tc>
        <w:tc>
          <w:tcPr>
            <w:tcW w:w="0" w:type="dxa"/>
            <w:vAlign w:val="bottom"/>
          </w:tcPr>
          <w:p>
            <w:pPr>
              <w:spacing w:after="0"/>
              <w:rPr>
                <w:sz w:val="1"/>
                <w:szCs w:val="1"/>
                <w:color w:val="auto"/>
              </w:rPr>
            </w:pPr>
          </w:p>
        </w:tc>
      </w:tr>
      <w:tr>
        <w:trPr>
          <w:trHeight w:val="20"/>
        </w:trPr>
        <w:tc>
          <w:tcPr>
            <w:tcW w:w="8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8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433,672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507,701</w:t>
            </w:r>
          </w:p>
        </w:tc>
        <w:tc>
          <w:tcPr>
            <w:tcW w:w="0" w:type="dxa"/>
            <w:vAlign w:val="bottom"/>
          </w:tcPr>
          <w:p>
            <w:pPr>
              <w:spacing w:after="0"/>
              <w:rPr>
                <w:sz w:val="1"/>
                <w:szCs w:val="1"/>
                <w:color w:val="auto"/>
              </w:rPr>
            </w:pPr>
          </w:p>
        </w:tc>
      </w:tr>
      <w:tr>
        <w:trPr>
          <w:trHeight w:val="243"/>
        </w:trPr>
        <w:tc>
          <w:tcPr>
            <w:tcW w:w="820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280,321</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355,156</w:t>
            </w:r>
          </w:p>
        </w:tc>
        <w:tc>
          <w:tcPr>
            <w:tcW w:w="0" w:type="dxa"/>
            <w:vAlign w:val="bottom"/>
          </w:tcPr>
          <w:p>
            <w:pPr>
              <w:spacing w:after="0"/>
              <w:rPr>
                <w:sz w:val="1"/>
                <w:szCs w:val="1"/>
                <w:color w:val="auto"/>
              </w:rPr>
            </w:pPr>
          </w:p>
        </w:tc>
      </w:tr>
      <w:tr>
        <w:trPr>
          <w:trHeight w:val="243"/>
        </w:trPr>
        <w:tc>
          <w:tcPr>
            <w:tcW w:w="8200" w:type="dxa"/>
            <w:vAlign w:val="bottom"/>
          </w:tcPr>
          <w:p>
            <w:pPr>
              <w:ind w:left="20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3,029</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4,121</w:t>
            </w:r>
          </w:p>
        </w:tc>
        <w:tc>
          <w:tcPr>
            <w:tcW w:w="0" w:type="dxa"/>
            <w:vAlign w:val="bottom"/>
          </w:tcPr>
          <w:p>
            <w:pPr>
              <w:spacing w:after="0"/>
              <w:rPr>
                <w:sz w:val="1"/>
                <w:szCs w:val="1"/>
                <w:color w:val="auto"/>
              </w:rPr>
            </w:pPr>
          </w:p>
        </w:tc>
      </w:tr>
      <w:tr>
        <w:trPr>
          <w:trHeight w:val="243"/>
        </w:trPr>
        <w:tc>
          <w:tcPr>
            <w:tcW w:w="8200" w:type="dxa"/>
            <w:vAlign w:val="bottom"/>
          </w:tcPr>
          <w:p>
            <w:pPr>
              <w:ind w:left="200"/>
              <w:spacing w:after="0"/>
              <w:rPr>
                <w:sz w:val="20"/>
                <w:szCs w:val="20"/>
                <w:color w:val="auto"/>
              </w:rPr>
            </w:pPr>
            <w:r>
              <w:rPr>
                <w:rFonts w:ascii="Arial" w:cs="Arial" w:eastAsia="Arial" w:hAnsi="Arial"/>
                <w:sz w:val="16"/>
                <w:szCs w:val="16"/>
                <w:color w:val="auto"/>
              </w:rPr>
              <w:t>Current portion of lease liabilities</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87,652</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92,714</w:t>
            </w:r>
          </w:p>
        </w:tc>
        <w:tc>
          <w:tcPr>
            <w:tcW w:w="0" w:type="dxa"/>
            <w:vAlign w:val="bottom"/>
          </w:tcPr>
          <w:p>
            <w:pPr>
              <w:spacing w:after="0"/>
              <w:rPr>
                <w:sz w:val="1"/>
                <w:szCs w:val="1"/>
                <w:color w:val="auto"/>
              </w:rPr>
            </w:pPr>
          </w:p>
        </w:tc>
      </w:tr>
      <w:tr>
        <w:trPr>
          <w:trHeight w:val="243"/>
        </w:trPr>
        <w:tc>
          <w:tcPr>
            <w:tcW w:w="8200" w:type="dxa"/>
            <w:vAlign w:val="bottom"/>
          </w:tcPr>
          <w:p>
            <w:pPr>
              <w:ind w:left="20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5,858</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82,179</w:t>
            </w:r>
          </w:p>
        </w:tc>
        <w:tc>
          <w:tcPr>
            <w:tcW w:w="0" w:type="dxa"/>
            <w:vAlign w:val="bottom"/>
          </w:tcPr>
          <w:p>
            <w:pPr>
              <w:spacing w:after="0"/>
              <w:rPr>
                <w:sz w:val="1"/>
                <w:szCs w:val="1"/>
                <w:color w:val="auto"/>
              </w:rPr>
            </w:pPr>
          </w:p>
        </w:tc>
      </w:tr>
      <w:tr>
        <w:trPr>
          <w:trHeight w:val="256"/>
        </w:trPr>
        <w:tc>
          <w:tcPr>
            <w:tcW w:w="8200" w:type="dxa"/>
            <w:vAlign w:val="bottom"/>
          </w:tcPr>
          <w:p>
            <w:pPr>
              <w:ind w:left="200"/>
              <w:spacing w:after="0"/>
              <w:rPr>
                <w:sz w:val="20"/>
                <w:szCs w:val="20"/>
                <w:color w:val="auto"/>
              </w:rPr>
            </w:pPr>
            <w:r>
              <w:rPr>
                <w:rFonts w:ascii="Arial" w:cs="Arial" w:eastAsia="Arial" w:hAnsi="Arial"/>
                <w:sz w:val="16"/>
                <w:szCs w:val="16"/>
                <w:color w:val="auto"/>
              </w:rPr>
              <w:t>Dividends declared</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7,572</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200" w:type="dxa"/>
            <w:vAlign w:val="bottom"/>
          </w:tcPr>
          <w:p>
            <w:pPr>
              <w:ind w:left="44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Pr>
          <w:p>
            <w:pPr>
              <w:spacing w:after="0"/>
              <w:rPr>
                <w:sz w:val="19"/>
                <w:szCs w:val="19"/>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818,104</w:t>
            </w:r>
          </w:p>
        </w:tc>
        <w:tc>
          <w:tcPr>
            <w:tcW w:w="30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1,041,871</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189,084</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193,836</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75,552</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27,223</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405,955</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427,372</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829</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4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451,874</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477,004</w:t>
            </w:r>
          </w:p>
        </w:tc>
        <w:tc>
          <w:tcPr>
            <w:tcW w:w="0" w:type="dxa"/>
            <w:vAlign w:val="bottom"/>
          </w:tcPr>
          <w:p>
            <w:pPr>
              <w:spacing w:after="0"/>
              <w:rPr>
                <w:sz w:val="1"/>
                <w:szCs w:val="1"/>
                <w:color w:val="auto"/>
              </w:rPr>
            </w:pPr>
          </w:p>
        </w:tc>
      </w:tr>
      <w:tr>
        <w:trPr>
          <w:trHeight w:val="256"/>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505,672</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430,650</w:t>
            </w:r>
          </w:p>
        </w:tc>
        <w:tc>
          <w:tcPr>
            <w:tcW w:w="0" w:type="dxa"/>
            <w:vAlign w:val="bottom"/>
          </w:tcPr>
          <w:p>
            <w:pPr>
              <w:spacing w:after="0"/>
              <w:rPr>
                <w:sz w:val="1"/>
                <w:szCs w:val="1"/>
                <w:color w:val="auto"/>
              </w:rPr>
            </w:pPr>
          </w:p>
        </w:tc>
      </w:tr>
      <w:tr>
        <w:trPr>
          <w:trHeight w:val="237"/>
        </w:trPr>
        <w:tc>
          <w:tcPr>
            <w:tcW w:w="8200" w:type="dxa"/>
            <w:vAlign w:val="bottom"/>
          </w:tcPr>
          <w:p>
            <w:pPr>
              <w:ind w:left="44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2,447,070</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2,598,785</w:t>
            </w:r>
          </w:p>
        </w:tc>
        <w:tc>
          <w:tcPr>
            <w:tcW w:w="0" w:type="dxa"/>
            <w:vAlign w:val="bottom"/>
          </w:tcPr>
          <w:p>
            <w:pPr>
              <w:spacing w:after="0"/>
              <w:rPr>
                <w:sz w:val="1"/>
                <w:szCs w:val="1"/>
                <w:color w:val="auto"/>
              </w:rPr>
            </w:pPr>
          </w:p>
        </w:tc>
      </w:tr>
      <w:tr>
        <w:trPr>
          <w:trHeight w:val="236"/>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11,831</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5,655</w:t>
            </w:r>
          </w:p>
        </w:tc>
        <w:tc>
          <w:tcPr>
            <w:tcW w:w="0" w:type="dxa"/>
            <w:vAlign w:val="bottom"/>
          </w:tcPr>
          <w:p>
            <w:pPr>
              <w:spacing w:after="0"/>
              <w:rPr>
                <w:sz w:val="1"/>
                <w:szCs w:val="1"/>
                <w:color w:val="auto"/>
              </w:rPr>
            </w:pPr>
          </w:p>
        </w:tc>
      </w:tr>
      <w:tr>
        <w:trPr>
          <w:trHeight w:val="236"/>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20,000</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43"/>
        </w:trPr>
        <w:tc>
          <w:tcPr>
            <w:tcW w:w="8200" w:type="dxa"/>
            <w:vAlign w:val="bottom"/>
          </w:tcPr>
          <w:p>
            <w:pPr>
              <w:ind w:left="200"/>
              <w:spacing w:after="0"/>
              <w:rPr>
                <w:sz w:val="20"/>
                <w:szCs w:val="20"/>
                <w:color w:val="auto"/>
              </w:rPr>
            </w:pPr>
            <w:r>
              <w:rPr>
                <w:rFonts w:ascii="Arial" w:cs="Arial" w:eastAsia="Arial" w:hAnsi="Arial"/>
                <w:sz w:val="16"/>
                <w:szCs w:val="16"/>
                <w:color w:val="auto"/>
              </w:rPr>
              <w:t>Capital in excess of par value</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384,804</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381,669</w:t>
            </w:r>
          </w:p>
        </w:tc>
        <w:tc>
          <w:tcPr>
            <w:tcW w:w="0" w:type="dxa"/>
            <w:vAlign w:val="bottom"/>
          </w:tcPr>
          <w:p>
            <w:pPr>
              <w:spacing w:after="0"/>
              <w:rPr>
                <w:sz w:val="1"/>
                <w:szCs w:val="1"/>
                <w:color w:val="auto"/>
              </w:rPr>
            </w:pPr>
          </w:p>
        </w:tc>
      </w:tr>
      <w:tr>
        <w:trPr>
          <w:trHeight w:val="243"/>
        </w:trPr>
        <w:tc>
          <w:tcPr>
            <w:tcW w:w="820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6,497,166</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6,534,427</w:t>
            </w:r>
          </w:p>
        </w:tc>
        <w:tc>
          <w:tcPr>
            <w:tcW w:w="0" w:type="dxa"/>
            <w:vAlign w:val="bottom"/>
          </w:tcPr>
          <w:p>
            <w:pPr>
              <w:spacing w:after="0"/>
              <w:rPr>
                <w:sz w:val="1"/>
                <w:szCs w:val="1"/>
                <w:color w:val="auto"/>
              </w:rPr>
            </w:pPr>
          </w:p>
        </w:tc>
      </w:tr>
      <w:tr>
        <w:trPr>
          <w:trHeight w:val="243"/>
        </w:trPr>
        <w:tc>
          <w:tcPr>
            <w:tcW w:w="8200" w:type="dxa"/>
            <w:vAlign w:val="bottom"/>
          </w:tcPr>
          <w:p>
            <w:pPr>
              <w:ind w:left="200"/>
              <w:spacing w:after="0"/>
              <w:rPr>
                <w:sz w:val="20"/>
                <w:szCs w:val="20"/>
                <w:color w:val="auto"/>
              </w:rPr>
            </w:pPr>
            <w:r>
              <w:rPr>
                <w:rFonts w:ascii="Arial" w:cs="Arial" w:eastAsia="Arial" w:hAnsi="Arial"/>
                <w:sz w:val="16"/>
                <w:szCs w:val="16"/>
                <w:color w:val="auto"/>
              </w:rPr>
              <w:t>Accumulated other comprehensive income, net of tax</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440"/>
              <w:spacing w:after="0"/>
              <w:rPr>
                <w:sz w:val="20"/>
                <w:szCs w:val="20"/>
                <w:color w:val="auto"/>
              </w:rPr>
            </w:pPr>
            <w:r>
              <w:rPr>
                <w:rFonts w:ascii="Arial" w:cs="Arial" w:eastAsia="Arial" w:hAnsi="Arial"/>
                <w:sz w:val="16"/>
                <w:szCs w:val="16"/>
                <w:color w:val="auto"/>
              </w:rPr>
              <w:t>Cumulative foreign currency translation adjustment</w:t>
            </w:r>
          </w:p>
        </w:tc>
        <w:tc>
          <w:tcPr>
            <w:tcW w:w="220" w:type="dxa"/>
            <w:vAlign w:val="bottom"/>
          </w:tcPr>
          <w:p>
            <w:pPr>
              <w:spacing w:after="0"/>
              <w:rPr>
                <w:sz w:val="21"/>
                <w:szCs w:val="21"/>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(42,859)</w:t>
            </w:r>
          </w:p>
        </w:tc>
        <w:tc>
          <w:tcPr>
            <w:tcW w:w="3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(21,888)</w:t>
            </w:r>
          </w:p>
        </w:tc>
        <w:tc>
          <w:tcPr>
            <w:tcW w:w="0" w:type="dxa"/>
            <w:vAlign w:val="bottom"/>
          </w:tcPr>
          <w:p>
            <w:pPr>
              <w:spacing w:after="0"/>
              <w:rPr>
                <w:sz w:val="1"/>
                <w:szCs w:val="1"/>
                <w:color w:val="auto"/>
              </w:rPr>
            </w:pPr>
          </w:p>
        </w:tc>
      </w:tr>
      <w:tr>
        <w:trPr>
          <w:trHeight w:val="243"/>
        </w:trPr>
        <w:tc>
          <w:tcPr>
            <w:tcW w:w="8200" w:type="dxa"/>
            <w:vAlign w:val="bottom"/>
          </w:tcPr>
          <w:p>
            <w:pPr>
              <w:ind w:left="440"/>
              <w:spacing w:after="0"/>
              <w:rPr>
                <w:sz w:val="20"/>
                <w:szCs w:val="20"/>
                <w:color w:val="auto"/>
              </w:rPr>
            </w:pPr>
            <w:r>
              <w:rPr>
                <w:rFonts w:ascii="Arial" w:cs="Arial" w:eastAsia="Arial" w:hAnsi="Arial"/>
                <w:sz w:val="16"/>
                <w:szCs w:val="16"/>
                <w:color w:val="auto"/>
              </w:rPr>
              <w:t>Unrealized gain on pensions and other postretirement plans</w:t>
            </w:r>
          </w:p>
        </w:tc>
        <w:tc>
          <w:tcPr>
            <w:tcW w:w="220" w:type="dxa"/>
            <w:vAlign w:val="bottom"/>
          </w:tcPr>
          <w:p>
            <w:pPr>
              <w:spacing w:after="0"/>
              <w:rPr>
                <w:sz w:val="21"/>
                <w:szCs w:val="21"/>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b w:val="1"/>
                <w:bCs w:val="1"/>
                <w:color w:val="auto"/>
              </w:rPr>
              <w:t>327,344</w:t>
            </w:r>
          </w:p>
        </w:tc>
        <w:tc>
          <w:tcPr>
            <w:tcW w:w="300" w:type="dxa"/>
            <w:vAlign w:val="bottom"/>
          </w:tcPr>
          <w:p>
            <w:pPr>
              <w:spacing w:after="0"/>
              <w:rPr>
                <w:sz w:val="21"/>
                <w:szCs w:val="21"/>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325,921</w:t>
            </w:r>
          </w:p>
        </w:tc>
        <w:tc>
          <w:tcPr>
            <w:tcW w:w="0" w:type="dxa"/>
            <w:vAlign w:val="bottom"/>
          </w:tcPr>
          <w:p>
            <w:pPr>
              <w:spacing w:after="0"/>
              <w:rPr>
                <w:sz w:val="1"/>
                <w:szCs w:val="1"/>
                <w:color w:val="auto"/>
              </w:rPr>
            </w:pPr>
          </w:p>
        </w:tc>
      </w:tr>
      <w:tr>
        <w:trPr>
          <w:trHeight w:val="243"/>
        </w:trPr>
        <w:tc>
          <w:tcPr>
            <w:tcW w:w="8200" w:type="dxa"/>
            <w:vAlign w:val="bottom"/>
          </w:tcPr>
          <w:p>
            <w:pPr>
              <w:ind w:left="440"/>
              <w:spacing w:after="0"/>
              <w:rPr>
                <w:sz w:val="20"/>
                <w:szCs w:val="20"/>
                <w:color w:val="auto"/>
              </w:rPr>
            </w:pPr>
            <w:r>
              <w:rPr>
                <w:rFonts w:ascii="Arial" w:cs="Arial" w:eastAsia="Arial" w:hAnsi="Arial"/>
                <w:sz w:val="16"/>
                <w:szCs w:val="16"/>
                <w:color w:val="auto"/>
              </w:rPr>
              <w:t>Cash flow hedges</w:t>
            </w:r>
          </w:p>
        </w:tc>
        <w:tc>
          <w:tcPr>
            <w:tcW w:w="220" w:type="dxa"/>
            <w:vAlign w:val="bottom"/>
          </w:tcPr>
          <w:p>
            <w:pPr>
              <w:spacing w:after="0"/>
              <w:rPr>
                <w:sz w:val="21"/>
                <w:szCs w:val="21"/>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(2,065)</w:t>
            </w:r>
          </w:p>
        </w:tc>
        <w:tc>
          <w:tcPr>
            <w:tcW w:w="3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56"/>
        </w:trPr>
        <w:tc>
          <w:tcPr>
            <w:tcW w:w="8200" w:type="dxa"/>
            <w:vAlign w:val="bottom"/>
          </w:tcPr>
          <w:p>
            <w:pPr>
              <w:ind w:left="200"/>
              <w:spacing w:after="0"/>
              <w:rPr>
                <w:sz w:val="20"/>
                <w:szCs w:val="20"/>
                <w:color w:val="auto"/>
              </w:rPr>
            </w:pPr>
            <w:r>
              <w:rPr>
                <w:rFonts w:ascii="Arial" w:cs="Arial" w:eastAsia="Arial" w:hAnsi="Arial"/>
                <w:sz w:val="16"/>
                <w:szCs w:val="16"/>
                <w:color w:val="auto"/>
              </w:rPr>
              <w:t>Cost of Class B common stock held in treasury</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(3,977,722)</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(3,920,152)</w:t>
            </w:r>
          </w:p>
        </w:tc>
        <w:tc>
          <w:tcPr>
            <w:tcW w:w="0" w:type="dxa"/>
            <w:vAlign w:val="bottom"/>
          </w:tcPr>
          <w:p>
            <w:pPr>
              <w:spacing w:after="0"/>
              <w:rPr>
                <w:sz w:val="1"/>
                <w:szCs w:val="1"/>
                <w:color w:val="auto"/>
              </w:rPr>
            </w:pPr>
          </w:p>
        </w:tc>
      </w:tr>
      <w:tr>
        <w:trPr>
          <w:trHeight w:val="236"/>
        </w:trPr>
        <w:tc>
          <w:tcPr>
            <w:tcW w:w="8200" w:type="dxa"/>
            <w:vAlign w:val="bottom"/>
          </w:tcPr>
          <w:p>
            <w:pPr>
              <w:ind w:left="440"/>
              <w:spacing w:after="0"/>
              <w:rPr>
                <w:sz w:val="20"/>
                <w:szCs w:val="20"/>
                <w:color w:val="auto"/>
              </w:rPr>
            </w:pPr>
            <w:r>
              <w:rPr>
                <w:rFonts w:ascii="Arial" w:cs="Arial" w:eastAsia="Arial" w:hAnsi="Arial"/>
                <w:sz w:val="16"/>
                <w:szCs w:val="16"/>
                <w:b w:val="1"/>
                <w:bCs w:val="1"/>
                <w:color w:val="auto"/>
              </w:rPr>
              <w:t>Total Common Stockholders’ Equity</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3,206,668</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3,319,239</w:t>
            </w:r>
          </w:p>
        </w:tc>
        <w:tc>
          <w:tcPr>
            <w:tcW w:w="0" w:type="dxa"/>
            <w:vAlign w:val="bottom"/>
          </w:tcPr>
          <w:p>
            <w:pPr>
              <w:spacing w:after="0"/>
              <w:rPr>
                <w:sz w:val="1"/>
                <w:szCs w:val="1"/>
                <w:color w:val="auto"/>
              </w:rPr>
            </w:pPr>
          </w:p>
        </w:tc>
      </w:tr>
      <w:tr>
        <w:trPr>
          <w:trHeight w:val="236"/>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6,748</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7,557</w:t>
            </w:r>
          </w:p>
        </w:tc>
        <w:tc>
          <w:tcPr>
            <w:tcW w:w="0" w:type="dxa"/>
            <w:vAlign w:val="bottom"/>
          </w:tcPr>
          <w:p>
            <w:pPr>
              <w:spacing w:after="0"/>
              <w:rPr>
                <w:sz w:val="1"/>
                <w:szCs w:val="1"/>
                <w:color w:val="auto"/>
              </w:rPr>
            </w:pPr>
          </w:p>
        </w:tc>
      </w:tr>
      <w:tr>
        <w:trPr>
          <w:trHeight w:val="236"/>
        </w:trPr>
        <w:tc>
          <w:tcPr>
            <w:tcW w:w="8200" w:type="dxa"/>
            <w:vAlign w:val="bottom"/>
          </w:tcPr>
          <w:p>
            <w:pPr>
              <w:ind w:left="440"/>
              <w:spacing w:after="0"/>
              <w:rPr>
                <w:sz w:val="20"/>
                <w:szCs w:val="20"/>
                <w:color w:val="auto"/>
              </w:rPr>
            </w:pPr>
            <w:r>
              <w:rPr>
                <w:rFonts w:ascii="Arial" w:cs="Arial" w:eastAsia="Arial" w:hAnsi="Arial"/>
                <w:sz w:val="16"/>
                <w:szCs w:val="16"/>
                <w:b w:val="1"/>
                <w:bCs w:val="1"/>
                <w:color w:val="auto"/>
              </w:rPr>
              <w:t>Total Equity</w:t>
            </w: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3,213,416</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3,326,796</w:t>
            </w:r>
          </w:p>
        </w:tc>
        <w:tc>
          <w:tcPr>
            <w:tcW w:w="0" w:type="dxa"/>
            <w:vAlign w:val="bottom"/>
          </w:tcPr>
          <w:p>
            <w:pPr>
              <w:spacing w:after="0"/>
              <w:rPr>
                <w:sz w:val="1"/>
                <w:szCs w:val="1"/>
                <w:color w:val="auto"/>
              </w:rPr>
            </w:pPr>
          </w:p>
        </w:tc>
      </w:tr>
      <w:tr>
        <w:trPr>
          <w:trHeight w:val="243"/>
        </w:trPr>
        <w:tc>
          <w:tcPr>
            <w:tcW w:w="8200" w:type="dxa"/>
            <w:vAlign w:val="bottom"/>
          </w:tcPr>
          <w:p>
            <w:pPr>
              <w:ind w:left="640"/>
              <w:spacing w:after="0"/>
              <w:rPr>
                <w:sz w:val="20"/>
                <w:szCs w:val="20"/>
                <w:color w:val="auto"/>
              </w:rPr>
            </w:pPr>
            <w:r>
              <w:rPr>
                <w:rFonts w:ascii="Arial" w:cs="Arial" w:eastAsia="Arial" w:hAnsi="Arial"/>
                <w:sz w:val="16"/>
                <w:szCs w:val="16"/>
                <w:b w:val="1"/>
                <w:bCs w:val="1"/>
                <w:color w:val="auto"/>
              </w:rPr>
              <w:t>Total Liabilities and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5,672,317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5,931,236</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75" w:right="359" w:bottom="133" w:gutter="0" w:footer="0" w:header="0"/>
        </w:sect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1075" w:right="359" w:bottom="133"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176530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66"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45"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r>
      <w:tr>
        <w:trPr>
          <w:trHeight w:val="203"/>
        </w:trPr>
        <w:tc>
          <w:tcPr>
            <w:tcW w:w="8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2019</w:t>
            </w:r>
          </w:p>
        </w:tc>
      </w:tr>
      <w:tr>
        <w:trPr>
          <w:trHeight w:val="223"/>
        </w:trPr>
        <w:tc>
          <w:tcPr>
            <w:tcW w:w="888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8880" w:type="dxa"/>
            <w:vAlign w:val="bottom"/>
          </w:tcPr>
          <w:p>
            <w:pPr>
              <w:ind w:left="20"/>
              <w:spacing w:after="0"/>
              <w:rPr>
                <w:sz w:val="20"/>
                <w:szCs w:val="20"/>
                <w:color w:val="auto"/>
              </w:rPr>
            </w:pPr>
            <w:r>
              <w:rPr>
                <w:rFonts w:ascii="Arial" w:cs="Arial" w:eastAsia="Arial" w:hAnsi="Arial"/>
                <w:sz w:val="16"/>
                <w:szCs w:val="16"/>
                <w:b w:val="1"/>
                <w:bCs w:val="1"/>
                <w:color w:val="auto"/>
              </w:rPr>
              <w:t>Net (Loss) Income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(15,029)</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138,897</w:t>
            </w:r>
          </w:p>
        </w:tc>
      </w:tr>
      <w:tr>
        <w:trPr>
          <w:trHeight w:val="243"/>
        </w:trPr>
        <w:tc>
          <w:tcPr>
            <w:tcW w:w="8880" w:type="dxa"/>
            <w:vAlign w:val="bottom"/>
          </w:tcPr>
          <w:p>
            <w:pPr>
              <w:ind w:left="20"/>
              <w:spacing w:after="0"/>
              <w:rPr>
                <w:sz w:val="20"/>
                <w:szCs w:val="20"/>
                <w:color w:val="auto"/>
              </w:rPr>
            </w:pPr>
            <w:r>
              <w:rPr>
                <w:rFonts w:ascii="Arial" w:cs="Arial" w:eastAsia="Arial" w:hAnsi="Arial"/>
                <w:sz w:val="16"/>
                <w:szCs w:val="16"/>
                <w:color w:val="auto"/>
              </w:rPr>
              <w:t>Adjustments to reconcile net (loss) income to net cash provided by (used in) operating activities: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Depreciation, amortization and goodwill and other long-lived asset impairments</w:t>
            </w:r>
          </w:p>
        </w:tc>
        <w:tc>
          <w:tcPr>
            <w:tcW w:w="2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96,021</w:t>
            </w:r>
          </w:p>
        </w:tc>
        <w:tc>
          <w:tcPr>
            <w:tcW w:w="36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54,040</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Amortization of lease right-of-use asset</w:t>
            </w:r>
          </w:p>
        </w:tc>
        <w:tc>
          <w:tcPr>
            <w:tcW w:w="2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50,954</w:t>
            </w:r>
          </w:p>
        </w:tc>
        <w:tc>
          <w:tcPr>
            <w:tcW w:w="36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40,871</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Net pension benefit and special separation benefit expense</w:t>
            </w:r>
          </w:p>
        </w:tc>
        <w:tc>
          <w:tcPr>
            <w:tcW w:w="2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(21,409)</w:t>
            </w:r>
          </w:p>
        </w:tc>
        <w:tc>
          <w:tcPr>
            <w:tcW w:w="3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(19,763)</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Loss (gain) on marketable equity securities and cost method investments, net</w:t>
            </w:r>
          </w:p>
        </w:tc>
        <w:tc>
          <w:tcPr>
            <w:tcW w:w="2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60,509</w:t>
            </w:r>
          </w:p>
        </w:tc>
        <w:tc>
          <w:tcPr>
            <w:tcW w:w="3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(33,268)</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Gain on disposition of businesses, property, plant and equipment and investments, net</w:t>
            </w:r>
          </w:p>
        </w:tc>
        <w:tc>
          <w:tcPr>
            <w:tcW w:w="2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(5,444)</w:t>
            </w:r>
          </w:p>
        </w:tc>
        <w:tc>
          <w:tcPr>
            <w:tcW w:w="3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(28,981)</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Provision for doubtful trade receivables</w:t>
            </w:r>
          </w:p>
        </w:tc>
        <w:tc>
          <w:tcPr>
            <w:tcW w:w="2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7,241</w:t>
            </w:r>
          </w:p>
        </w:tc>
        <w:tc>
          <w:tcPr>
            <w:tcW w:w="36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109</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Stock-based compensation expense, net</w:t>
            </w:r>
          </w:p>
        </w:tc>
        <w:tc>
          <w:tcPr>
            <w:tcW w:w="2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3,135</w:t>
            </w:r>
          </w:p>
        </w:tc>
        <w:tc>
          <w:tcPr>
            <w:tcW w:w="36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3,227</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Foreign exchange gain</w:t>
            </w:r>
          </w:p>
        </w:tc>
        <w:tc>
          <w:tcPr>
            <w:tcW w:w="2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(3,220)</w:t>
            </w:r>
          </w:p>
        </w:tc>
        <w:tc>
          <w:tcPr>
            <w:tcW w:w="3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(623)</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Equity in losses (earnings) of affiliates, net of distributions</w:t>
            </w:r>
          </w:p>
        </w:tc>
        <w:tc>
          <w:tcPr>
            <w:tcW w:w="2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4,263</w:t>
            </w:r>
          </w:p>
        </w:tc>
        <w:tc>
          <w:tcPr>
            <w:tcW w:w="3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(396)</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(Benefit from) provision for deferred income taxes</w:t>
            </w:r>
          </w:p>
        </w:tc>
        <w:tc>
          <w:tcPr>
            <w:tcW w:w="2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(1,349)</w:t>
            </w:r>
          </w:p>
        </w:tc>
        <w:tc>
          <w:tcPr>
            <w:tcW w:w="36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13,481</w:t>
            </w:r>
          </w:p>
        </w:tc>
      </w:tr>
      <w:tr>
        <w:trPr>
          <w:trHeight w:val="229"/>
        </w:trPr>
        <w:tc>
          <w:tcPr>
            <w:tcW w:w="888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8880" w:type="dxa"/>
            <w:vAlign w:val="bottom"/>
          </w:tcPr>
          <w:p>
            <w:pPr>
              <w:ind w:left="44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164,314</w:t>
            </w:r>
          </w:p>
        </w:tc>
        <w:tc>
          <w:tcPr>
            <w:tcW w:w="36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27,072</w:t>
            </w:r>
          </w:p>
        </w:tc>
      </w:tr>
      <w:tr>
        <w:trPr>
          <w:trHeight w:val="243"/>
        </w:trPr>
        <w:tc>
          <w:tcPr>
            <w:tcW w:w="8880" w:type="dxa"/>
            <w:vAlign w:val="bottom"/>
          </w:tcPr>
          <w:p>
            <w:pPr>
              <w:ind w:left="44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2,840</w:t>
            </w:r>
          </w:p>
        </w:tc>
        <w:tc>
          <w:tcPr>
            <w:tcW w:w="3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(21,878)</w:t>
            </w:r>
          </w:p>
        </w:tc>
      </w:tr>
      <w:tr>
        <w:trPr>
          <w:trHeight w:val="243"/>
        </w:trPr>
        <w:tc>
          <w:tcPr>
            <w:tcW w:w="8880" w:type="dxa"/>
            <w:vAlign w:val="bottom"/>
          </w:tcPr>
          <w:p>
            <w:pPr>
              <w:ind w:left="44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(99,496)</w:t>
            </w:r>
          </w:p>
        </w:tc>
        <w:tc>
          <w:tcPr>
            <w:tcW w:w="3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(56,125)</w:t>
            </w:r>
          </w:p>
        </w:tc>
      </w:tr>
      <w:tr>
        <w:trPr>
          <w:trHeight w:val="243"/>
        </w:trPr>
        <w:tc>
          <w:tcPr>
            <w:tcW w:w="8880" w:type="dxa"/>
            <w:vAlign w:val="bottom"/>
          </w:tcPr>
          <w:p>
            <w:pPr>
              <w:ind w:left="440"/>
              <w:spacing w:after="0"/>
              <w:rPr>
                <w:sz w:val="20"/>
                <w:szCs w:val="20"/>
                <w:color w:val="auto"/>
              </w:rPr>
            </w:pPr>
            <w:r>
              <w:rPr>
                <w:rFonts w:ascii="Arial" w:cs="Arial" w:eastAsia="Arial" w:hAnsi="Arial"/>
                <w:sz w:val="16"/>
                <w:szCs w:val="16"/>
                <w:color w:val="auto"/>
              </w:rPr>
              <w:t>Deferred revenue</w:t>
            </w:r>
          </w:p>
        </w:tc>
        <w:tc>
          <w:tcPr>
            <w:tcW w:w="2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(69,105)</w:t>
            </w:r>
          </w:p>
        </w:tc>
        <w:tc>
          <w:tcPr>
            <w:tcW w:w="3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(66,542)</w:t>
            </w:r>
          </w:p>
        </w:tc>
      </w:tr>
      <w:tr>
        <w:trPr>
          <w:trHeight w:val="243"/>
        </w:trPr>
        <w:tc>
          <w:tcPr>
            <w:tcW w:w="8880" w:type="dxa"/>
            <w:vAlign w:val="bottom"/>
          </w:tcPr>
          <w:p>
            <w:pPr>
              <w:ind w:left="440"/>
              <w:spacing w:after="0"/>
              <w:rPr>
                <w:sz w:val="20"/>
                <w:szCs w:val="20"/>
                <w:color w:val="auto"/>
              </w:rPr>
            </w:pPr>
            <w:r>
              <w:rPr>
                <w:rFonts w:ascii="Arial" w:cs="Arial" w:eastAsia="Arial" w:hAnsi="Arial"/>
                <w:sz w:val="16"/>
                <w:szCs w:val="16"/>
                <w:color w:val="auto"/>
              </w:rPr>
              <w:t>Income taxes receivable</w:t>
            </w:r>
          </w:p>
        </w:tc>
        <w:tc>
          <w:tcPr>
            <w:tcW w:w="2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(6,434)</w:t>
            </w:r>
          </w:p>
        </w:tc>
        <w:tc>
          <w:tcPr>
            <w:tcW w:w="36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6,778</w:t>
            </w:r>
          </w:p>
        </w:tc>
      </w:tr>
      <w:tr>
        <w:trPr>
          <w:trHeight w:val="243"/>
        </w:trPr>
        <w:tc>
          <w:tcPr>
            <w:tcW w:w="8880" w:type="dxa"/>
            <w:vAlign w:val="bottom"/>
          </w:tcPr>
          <w:p>
            <w:pPr>
              <w:ind w:left="440"/>
              <w:spacing w:after="0"/>
              <w:rPr>
                <w:sz w:val="20"/>
                <w:szCs w:val="20"/>
                <w:color w:val="auto"/>
              </w:rPr>
            </w:pPr>
            <w:r>
              <w:rPr>
                <w:rFonts w:ascii="Arial" w:cs="Arial" w:eastAsia="Arial" w:hAnsi="Arial"/>
                <w:sz w:val="16"/>
                <w:szCs w:val="16"/>
                <w:color w:val="auto"/>
              </w:rPr>
              <w:t>Other assets and other liabilities, net</w:t>
            </w:r>
          </w:p>
        </w:tc>
        <w:tc>
          <w:tcPr>
            <w:tcW w:w="2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(46,081)</w:t>
            </w:r>
          </w:p>
        </w:tc>
        <w:tc>
          <w:tcPr>
            <w:tcW w:w="3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(74,251)</w:t>
            </w:r>
          </w:p>
        </w:tc>
      </w:tr>
      <w:tr>
        <w:trPr>
          <w:trHeight w:val="256"/>
        </w:trPr>
        <w:tc>
          <w:tcPr>
            <w:tcW w:w="8880" w:type="dxa"/>
            <w:vAlign w:val="bottom"/>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(359)</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677</w:t>
            </w:r>
          </w:p>
        </w:tc>
      </w:tr>
      <w:tr>
        <w:trPr>
          <w:trHeight w:val="237"/>
        </w:trPr>
        <w:tc>
          <w:tcPr>
            <w:tcW w:w="8880" w:type="dxa"/>
            <w:vAlign w:val="bottom"/>
          </w:tcPr>
          <w:p>
            <w:pPr>
              <w:ind w:left="440"/>
              <w:spacing w:after="0"/>
              <w:rPr>
                <w:sz w:val="20"/>
                <w:szCs w:val="20"/>
                <w:color w:val="auto"/>
              </w:rPr>
            </w:pPr>
            <w:r>
              <w:rPr>
                <w:rFonts w:ascii="Arial" w:cs="Arial" w:eastAsia="Arial" w:hAnsi="Arial"/>
                <w:sz w:val="16"/>
                <w:szCs w:val="16"/>
                <w:color w:val="auto"/>
              </w:rPr>
              <w:t>Net Cash Provided by (Used in) Operating Activities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121,351</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(16,675)</w:t>
            </w:r>
          </w:p>
        </w:tc>
      </w:tr>
      <w:tr>
        <w:trPr>
          <w:trHeight w:val="223"/>
        </w:trPr>
        <w:tc>
          <w:tcPr>
            <w:tcW w:w="88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Investments in certain businesses, net of cash acquired</w:t>
            </w:r>
          </w:p>
        </w:tc>
        <w:tc>
          <w:tcPr>
            <w:tcW w:w="2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(20,080)</w:t>
            </w:r>
          </w:p>
        </w:tc>
        <w:tc>
          <w:tcPr>
            <w:tcW w:w="3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(84,071)</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Purchases of property, plant and equipment</w:t>
            </w:r>
          </w:p>
        </w:tc>
        <w:tc>
          <w:tcPr>
            <w:tcW w:w="2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(40,209)</w:t>
            </w:r>
          </w:p>
        </w:tc>
        <w:tc>
          <w:tcPr>
            <w:tcW w:w="3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(52,703)</w:t>
            </w:r>
          </w:p>
        </w:tc>
      </w:tr>
      <w:tr>
        <w:trPr>
          <w:trHeight w:val="243"/>
        </w:trPr>
        <w:tc>
          <w:tcPr>
            <w:tcW w:w="8880" w:type="dxa"/>
            <w:vAlign w:val="bottom"/>
          </w:tcPr>
          <w:p>
            <w:pPr>
              <w:ind w:left="220"/>
              <w:spacing w:after="0"/>
              <w:rPr>
                <w:sz w:val="20"/>
                <w:szCs w:val="20"/>
                <w:color w:val="auto"/>
              </w:rPr>
            </w:pPr>
            <w:r>
              <w:rPr>
                <w:rFonts w:ascii="Arial" w:cs="Arial" w:eastAsia="Arial" w:hAnsi="Arial"/>
                <w:sz w:val="16"/>
                <w:szCs w:val="16"/>
                <w:color w:val="auto"/>
              </w:rPr>
              <w:t>Net proceeds from disposition of businesses, property, plant and equipment and investments</w:t>
            </w:r>
          </w:p>
        </w:tc>
        <w:tc>
          <w:tcPr>
            <w:tcW w:w="2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862</w:t>
            </w:r>
          </w:p>
        </w:tc>
        <w:tc>
          <w:tcPr>
            <w:tcW w:w="36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53,414</w:t>
            </w:r>
          </w:p>
        </w:tc>
      </w:tr>
      <w:tr>
        <w:trPr>
          <w:trHeight w:val="243"/>
        </w:trPr>
        <w:tc>
          <w:tcPr>
            <w:tcW w:w="8880" w:type="dxa"/>
            <w:vAlign w:val="bottom"/>
          </w:tcPr>
          <w:p>
            <w:pPr>
              <w:ind w:left="22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2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(8,011)</w:t>
            </w:r>
          </w:p>
        </w:tc>
        <w:tc>
          <w:tcPr>
            <w:tcW w:w="3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(24,342)</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Proceeds from sales of marketable equity securities</w:t>
            </w:r>
          </w:p>
        </w:tc>
        <w:tc>
          <w:tcPr>
            <w:tcW w:w="2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93,775</w:t>
            </w:r>
          </w:p>
        </w:tc>
        <w:tc>
          <w:tcPr>
            <w:tcW w:w="36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17,162</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Purchases of marketable equity securities</w:t>
            </w:r>
          </w:p>
        </w:tc>
        <w:tc>
          <w:tcPr>
            <w:tcW w:w="2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(7,499)</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Loan to related party</w:t>
            </w:r>
          </w:p>
        </w:tc>
        <w:tc>
          <w:tcPr>
            <w:tcW w:w="2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(3,500)</w:t>
            </w:r>
          </w:p>
        </w:tc>
      </w:tr>
      <w:tr>
        <w:trPr>
          <w:trHeight w:val="256"/>
        </w:trPr>
        <w:tc>
          <w:tcPr>
            <w:tcW w:w="8880" w:type="dxa"/>
            <w:vAlign w:val="bottom"/>
          </w:tcPr>
          <w:p>
            <w:pPr>
              <w:ind w:left="200"/>
              <w:spacing w:after="0"/>
              <w:rPr>
                <w:sz w:val="20"/>
                <w:szCs w:val="20"/>
                <w:color w:val="auto"/>
              </w:rPr>
            </w:pPr>
            <w:r>
              <w:rPr>
                <w:rFonts w:ascii="Arial" w:cs="Arial" w:eastAsia="Arial" w:hAnsi="Arial"/>
                <w:sz w:val="16"/>
                <w:szCs w:val="16"/>
                <w:color w:val="auto"/>
              </w:rPr>
              <w:t>Return of investment in equity affiliates</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314</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638</w:t>
            </w:r>
          </w:p>
        </w:tc>
      </w:tr>
      <w:tr>
        <w:trPr>
          <w:trHeight w:val="236"/>
        </w:trPr>
        <w:tc>
          <w:tcPr>
            <w:tcW w:w="8880" w:type="dxa"/>
            <w:vAlign w:val="bottom"/>
          </w:tcPr>
          <w:p>
            <w:pPr>
              <w:ind w:left="440"/>
              <w:spacing w:after="0"/>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26,651</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(100,901)</w:t>
            </w:r>
          </w:p>
        </w:tc>
      </w:tr>
      <w:tr>
        <w:trPr>
          <w:trHeight w:val="223"/>
        </w:trPr>
        <w:tc>
          <w:tcPr>
            <w:tcW w:w="88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Issuance of borrowings</w:t>
            </w:r>
          </w:p>
        </w:tc>
        <w:tc>
          <w:tcPr>
            <w:tcW w:w="2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76,984</w:t>
            </w:r>
          </w:p>
        </w:tc>
        <w:tc>
          <w:tcPr>
            <w:tcW w:w="36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30,000</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Repayments of borrowings</w:t>
            </w:r>
          </w:p>
        </w:tc>
        <w:tc>
          <w:tcPr>
            <w:tcW w:w="2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(75,206)</w:t>
            </w:r>
          </w:p>
        </w:tc>
        <w:tc>
          <w:tcPr>
            <w:tcW w:w="3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(1,006)</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Common shares repurchased</w:t>
            </w:r>
          </w:p>
        </w:tc>
        <w:tc>
          <w:tcPr>
            <w:tcW w:w="2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(62,905)</w:t>
            </w:r>
          </w:p>
        </w:tc>
        <w:tc>
          <w:tcPr>
            <w:tcW w:w="36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Net (payments) proceeds from vehicle floor plan payable</w:t>
            </w:r>
          </w:p>
        </w:tc>
        <w:tc>
          <w:tcPr>
            <w:tcW w:w="2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(11,063)</w:t>
            </w:r>
          </w:p>
        </w:tc>
        <w:tc>
          <w:tcPr>
            <w:tcW w:w="36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24,618</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(15,289)</w:t>
            </w:r>
          </w:p>
        </w:tc>
        <w:tc>
          <w:tcPr>
            <w:tcW w:w="3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(14,779)</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Issuance of noncontrolling interest</w:t>
            </w:r>
          </w:p>
        </w:tc>
        <w:tc>
          <w:tcPr>
            <w:tcW w:w="2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6,000</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Proceeds from exercise of stock options</w:t>
            </w:r>
          </w:p>
        </w:tc>
        <w:tc>
          <w:tcPr>
            <w:tcW w:w="2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5,335</w:t>
            </w:r>
          </w:p>
        </w:tc>
        <w:tc>
          <w:tcPr>
            <w:tcW w:w="36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Deferred payments of acquisition</w:t>
            </w:r>
          </w:p>
        </w:tc>
        <w:tc>
          <w:tcPr>
            <w:tcW w:w="240" w:type="dxa"/>
            <w:vAlign w:val="bottom"/>
          </w:tcPr>
          <w:p>
            <w:pPr>
              <w:spacing w:after="0"/>
              <w:rPr>
                <w:sz w:val="21"/>
                <w:szCs w:val="21"/>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(5,010)</w:t>
            </w:r>
          </w:p>
        </w:tc>
        <w:tc>
          <w:tcPr>
            <w:tcW w:w="360" w:type="dxa"/>
            <w:vAlign w:val="bottom"/>
          </w:tcPr>
          <w:p>
            <w:pPr>
              <w:spacing w:after="0"/>
              <w:rPr>
                <w:sz w:val="21"/>
                <w:szCs w:val="21"/>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43"/>
        </w:trPr>
        <w:tc>
          <w:tcPr>
            <w:tcW w:w="8880" w:type="dxa"/>
            <w:vAlign w:val="bottom"/>
          </w:tcPr>
          <w:p>
            <w:pPr>
              <w:ind w:left="200"/>
              <w:spacing w:after="0"/>
              <w:rPr>
                <w:sz w:val="20"/>
                <w:szCs w:val="20"/>
                <w:color w:val="auto"/>
              </w:rPr>
            </w:pPr>
            <w:r>
              <w:rPr>
                <w:rFonts w:ascii="Arial" w:cs="Arial" w:eastAsia="Arial" w:hAnsi="Arial"/>
                <w:sz w:val="16"/>
                <w:szCs w:val="16"/>
                <w:color w:val="auto"/>
              </w:rPr>
              <w:t>Proceeds from (repayments of) bank overdrafts</w:t>
            </w:r>
          </w:p>
        </w:tc>
        <w:tc>
          <w:tcPr>
            <w:tcW w:w="240" w:type="dxa"/>
            <w:vAlign w:val="bottom"/>
          </w:tcPr>
          <w:p>
            <w:pPr>
              <w:spacing w:after="0"/>
              <w:rPr>
                <w:sz w:val="21"/>
                <w:szCs w:val="21"/>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9,135</w:t>
            </w:r>
          </w:p>
        </w:tc>
        <w:tc>
          <w:tcPr>
            <w:tcW w:w="36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(3,933)</w:t>
            </w:r>
          </w:p>
        </w:tc>
      </w:tr>
      <w:tr>
        <w:trPr>
          <w:trHeight w:val="256"/>
        </w:trPr>
        <w:tc>
          <w:tcPr>
            <w:tcW w:w="8880" w:type="dxa"/>
            <w:vAlign w:val="bottom"/>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(583)</w:t>
            </w:r>
          </w:p>
        </w:tc>
      </w:tr>
      <w:tr>
        <w:trPr>
          <w:trHeight w:val="236"/>
        </w:trPr>
        <w:tc>
          <w:tcPr>
            <w:tcW w:w="8880" w:type="dxa"/>
            <w:vAlign w:val="bottom"/>
          </w:tcPr>
          <w:p>
            <w:pPr>
              <w:ind w:left="440"/>
              <w:spacing w:after="0"/>
              <w:rPr>
                <w:sz w:val="20"/>
                <w:szCs w:val="20"/>
                <w:color w:val="auto"/>
              </w:rPr>
            </w:pPr>
            <w:r>
              <w:rPr>
                <w:rFonts w:ascii="Arial" w:cs="Arial" w:eastAsia="Arial" w:hAnsi="Arial"/>
                <w:sz w:val="16"/>
                <w:szCs w:val="16"/>
                <w:color w:val="auto"/>
              </w:rPr>
              <w:t>Net Cash (Used in) Provided by Financing Activities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(78,019)</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40,317</w:t>
            </w:r>
          </w:p>
        </w:tc>
      </w:tr>
      <w:tr>
        <w:trPr>
          <w:trHeight w:val="236"/>
        </w:trPr>
        <w:tc>
          <w:tcPr>
            <w:tcW w:w="8880" w:type="dxa"/>
            <w:vAlign w:val="bottom"/>
          </w:tcPr>
          <w:p>
            <w:pPr>
              <w:ind w:left="20"/>
              <w:spacing w:after="0"/>
              <w:rPr>
                <w:sz w:val="20"/>
                <w:szCs w:val="20"/>
                <w:color w:val="auto"/>
              </w:rPr>
            </w:pPr>
            <w:r>
              <w:rPr>
                <w:rFonts w:ascii="Arial" w:cs="Arial" w:eastAsia="Arial" w:hAnsi="Arial"/>
                <w:sz w:val="16"/>
                <w:szCs w:val="16"/>
                <w:b w:val="1"/>
                <w:bCs w:val="1"/>
                <w:color w:val="auto"/>
              </w:rPr>
              <w:t>Effect of Currency Exchange Rate Change</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(4,953)</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778</w:t>
            </w:r>
          </w:p>
        </w:tc>
      </w:tr>
      <w:tr>
        <w:trPr>
          <w:trHeight w:val="223"/>
        </w:trPr>
        <w:tc>
          <w:tcPr>
            <w:tcW w:w="8880" w:type="dxa"/>
            <w:vAlign w:val="bottom"/>
          </w:tcPr>
          <w:p>
            <w:pPr>
              <w:ind w:left="20"/>
              <w:spacing w:after="0"/>
              <w:rPr>
                <w:sz w:val="20"/>
                <w:szCs w:val="20"/>
                <w:color w:val="auto"/>
              </w:rPr>
            </w:pPr>
            <w:r>
              <w:rPr>
                <w:rFonts w:ascii="Arial" w:cs="Arial" w:eastAsia="Arial" w:hAnsi="Arial"/>
                <w:sz w:val="16"/>
                <w:szCs w:val="16"/>
                <w:b w:val="1"/>
                <w:bCs w:val="1"/>
                <w:color w:val="auto"/>
              </w:rPr>
              <w:t>Net Increase (Decrease) in Cash and Cash Equivalents and Restricted Cash</w:t>
            </w:r>
          </w:p>
        </w:tc>
        <w:tc>
          <w:tcPr>
            <w:tcW w:w="240" w:type="dxa"/>
            <w:vAlign w:val="bottom"/>
          </w:tcPr>
          <w:p>
            <w:pPr>
              <w:spacing w:after="0"/>
              <w:rPr>
                <w:sz w:val="19"/>
                <w:szCs w:val="19"/>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b w:val="1"/>
                <w:bCs w:val="1"/>
                <w:color w:val="auto"/>
              </w:rPr>
              <w:t>65,030</w:t>
            </w:r>
          </w:p>
        </w:tc>
        <w:tc>
          <w:tcPr>
            <w:tcW w:w="36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(76,481)</w:t>
            </w:r>
          </w:p>
        </w:tc>
      </w:tr>
      <w:tr>
        <w:trPr>
          <w:trHeight w:val="256"/>
        </w:trPr>
        <w:tc>
          <w:tcPr>
            <w:tcW w:w="8880" w:type="dxa"/>
            <w:vAlign w:val="bottom"/>
          </w:tcPr>
          <w:p>
            <w:pPr>
              <w:ind w:left="2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214,044</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264,115</w:t>
            </w:r>
          </w:p>
        </w:tc>
      </w:tr>
      <w:tr>
        <w:trPr>
          <w:trHeight w:val="243"/>
        </w:trPr>
        <w:tc>
          <w:tcPr>
            <w:tcW w:w="8880" w:type="dxa"/>
            <w:vAlign w:val="bottom"/>
          </w:tcPr>
          <w:p>
            <w:pPr>
              <w:ind w:left="2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279,074</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187,634</w:t>
            </w:r>
          </w:p>
        </w:tc>
      </w:tr>
      <w:tr>
        <w:trPr>
          <w:trHeight w:val="21"/>
        </w:trPr>
        <w:tc>
          <w:tcPr>
            <w:tcW w:w="8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1048" w:right="359" w:bottom="914"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8" w:right="359" w:bottom="914"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3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Arial" w:cs="Arial" w:eastAsia="Arial" w:hAnsi="Arial"/>
                <w:sz w:val="11"/>
                <w:szCs w:val="11"/>
                <w:color w:val="auto"/>
              </w:rPr>
              <w:t>Capital in</w:t>
            </w: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80" w:type="dxa"/>
            <w:vAlign w:val="bottom"/>
            <w:gridSpan w:val="2"/>
          </w:tcPr>
          <w:p>
            <w:pPr>
              <w:jc w:val="center"/>
              <w:ind w:left="15"/>
              <w:spacing w:after="0"/>
              <w:rPr>
                <w:sz w:val="20"/>
                <w:szCs w:val="20"/>
                <w:color w:val="auto"/>
              </w:rPr>
            </w:pPr>
            <w:r>
              <w:rPr>
                <w:rFonts w:ascii="Arial" w:cs="Arial" w:eastAsia="Arial" w:hAnsi="Arial"/>
                <w:sz w:val="11"/>
                <w:szCs w:val="11"/>
                <w:color w:val="auto"/>
                <w:w w:val="97"/>
              </w:rPr>
              <w:t>Accumulated Other</w:t>
            </w: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center"/>
              <w:ind w:right="75"/>
              <w:spacing w:after="0"/>
              <w:rPr>
                <w:sz w:val="20"/>
                <w:szCs w:val="20"/>
                <w:color w:val="auto"/>
              </w:rPr>
            </w:pPr>
            <w:r>
              <w:rPr>
                <w:rFonts w:ascii="Arial" w:cs="Arial" w:eastAsia="Arial" w:hAnsi="Arial"/>
                <w:sz w:val="11"/>
                <w:szCs w:val="11"/>
                <w:color w:val="auto"/>
                <w:w w:val="96"/>
              </w:rPr>
              <w:t>Redeemable</w:t>
            </w:r>
          </w:p>
        </w:tc>
      </w:tr>
      <w:tr>
        <w:trPr>
          <w:trHeight w:val="122"/>
        </w:trPr>
        <w:tc>
          <w:tcPr>
            <w:tcW w:w="3620" w:type="dxa"/>
            <w:vAlign w:val="bottom"/>
          </w:tcPr>
          <w:p>
            <w:pPr>
              <w:spacing w:after="0"/>
              <w:rPr>
                <w:sz w:val="10"/>
                <w:szCs w:val="10"/>
                <w:color w:val="auto"/>
              </w:rPr>
            </w:pPr>
          </w:p>
        </w:tc>
        <w:tc>
          <w:tcPr>
            <w:tcW w:w="620" w:type="dxa"/>
            <w:vAlign w:val="bottom"/>
          </w:tcPr>
          <w:p>
            <w:pPr>
              <w:jc w:val="right"/>
              <w:ind w:right="16"/>
              <w:spacing w:after="0" w:line="122" w:lineRule="exact"/>
              <w:rPr>
                <w:sz w:val="20"/>
                <w:szCs w:val="20"/>
                <w:color w:val="auto"/>
              </w:rPr>
            </w:pPr>
            <w:r>
              <w:rPr>
                <w:rFonts w:ascii="Arial" w:cs="Arial" w:eastAsia="Arial" w:hAnsi="Arial"/>
                <w:sz w:val="11"/>
                <w:szCs w:val="11"/>
                <w:color w:val="auto"/>
              </w:rPr>
              <w:t>Common</w:t>
            </w:r>
          </w:p>
        </w:tc>
        <w:tc>
          <w:tcPr>
            <w:tcW w:w="780" w:type="dxa"/>
            <w:vAlign w:val="bottom"/>
          </w:tcPr>
          <w:p>
            <w:pPr>
              <w:ind w:left="200"/>
              <w:spacing w:after="0" w:line="122" w:lineRule="exact"/>
              <w:rPr>
                <w:sz w:val="20"/>
                <w:szCs w:val="20"/>
                <w:color w:val="auto"/>
              </w:rPr>
            </w:pPr>
            <w:r>
              <w:rPr>
                <w:rFonts w:ascii="Arial" w:cs="Arial" w:eastAsia="Arial" w:hAnsi="Arial"/>
                <w:sz w:val="11"/>
                <w:szCs w:val="11"/>
                <w:color w:val="auto"/>
              </w:rPr>
              <w:t>Excess of</w:t>
            </w:r>
          </w:p>
        </w:tc>
        <w:tc>
          <w:tcPr>
            <w:tcW w:w="180" w:type="dxa"/>
            <w:vAlign w:val="bottom"/>
          </w:tcPr>
          <w:p>
            <w:pPr>
              <w:spacing w:after="0"/>
              <w:rPr>
                <w:sz w:val="10"/>
                <w:szCs w:val="10"/>
                <w:color w:val="auto"/>
              </w:rPr>
            </w:pPr>
          </w:p>
        </w:tc>
        <w:tc>
          <w:tcPr>
            <w:tcW w:w="740" w:type="dxa"/>
            <w:vAlign w:val="bottom"/>
          </w:tcPr>
          <w:p>
            <w:pPr>
              <w:jc w:val="right"/>
              <w:ind w:right="134"/>
              <w:spacing w:after="0" w:line="122" w:lineRule="exact"/>
              <w:rPr>
                <w:sz w:val="20"/>
                <w:szCs w:val="20"/>
                <w:color w:val="auto"/>
              </w:rPr>
            </w:pPr>
            <w:r>
              <w:rPr>
                <w:rFonts w:ascii="Arial" w:cs="Arial" w:eastAsia="Arial" w:hAnsi="Arial"/>
                <w:sz w:val="11"/>
                <w:szCs w:val="11"/>
                <w:color w:val="auto"/>
              </w:rPr>
              <w:t>Retained</w:t>
            </w:r>
          </w:p>
        </w:tc>
        <w:tc>
          <w:tcPr>
            <w:tcW w:w="180" w:type="dxa"/>
            <w:vAlign w:val="bottom"/>
          </w:tcPr>
          <w:p>
            <w:pPr>
              <w:spacing w:after="0"/>
              <w:rPr>
                <w:sz w:val="10"/>
                <w:szCs w:val="10"/>
                <w:color w:val="auto"/>
              </w:rPr>
            </w:pPr>
          </w:p>
        </w:tc>
        <w:tc>
          <w:tcPr>
            <w:tcW w:w="900" w:type="dxa"/>
            <w:vAlign w:val="bottom"/>
          </w:tcPr>
          <w:p>
            <w:pPr>
              <w:jc w:val="center"/>
              <w:ind w:right="35"/>
              <w:spacing w:after="0" w:line="122" w:lineRule="exact"/>
              <w:rPr>
                <w:sz w:val="20"/>
                <w:szCs w:val="20"/>
                <w:color w:val="auto"/>
              </w:rPr>
            </w:pPr>
            <w:r>
              <w:rPr>
                <w:rFonts w:ascii="Arial" w:cs="Arial" w:eastAsia="Arial" w:hAnsi="Arial"/>
                <w:sz w:val="11"/>
                <w:szCs w:val="11"/>
                <w:color w:val="auto"/>
                <w:w w:val="98"/>
              </w:rPr>
              <w:t>Comprehensive</w:t>
            </w:r>
          </w:p>
        </w:tc>
        <w:tc>
          <w:tcPr>
            <w:tcW w:w="180" w:type="dxa"/>
            <w:vAlign w:val="bottom"/>
          </w:tcPr>
          <w:p>
            <w:pPr>
              <w:spacing w:after="0"/>
              <w:rPr>
                <w:sz w:val="10"/>
                <w:szCs w:val="10"/>
                <w:color w:val="auto"/>
              </w:rPr>
            </w:pPr>
          </w:p>
        </w:tc>
        <w:tc>
          <w:tcPr>
            <w:tcW w:w="800" w:type="dxa"/>
            <w:vAlign w:val="bottom"/>
          </w:tcPr>
          <w:p>
            <w:pPr>
              <w:jc w:val="right"/>
              <w:ind w:right="195"/>
              <w:spacing w:after="0" w:line="122" w:lineRule="exact"/>
              <w:rPr>
                <w:sz w:val="20"/>
                <w:szCs w:val="20"/>
                <w:color w:val="auto"/>
              </w:rPr>
            </w:pPr>
            <w:r>
              <w:rPr>
                <w:rFonts w:ascii="Arial" w:cs="Arial" w:eastAsia="Arial" w:hAnsi="Arial"/>
                <w:sz w:val="11"/>
                <w:szCs w:val="11"/>
                <w:color w:val="auto"/>
              </w:rPr>
              <w:t>Treasury</w:t>
            </w:r>
          </w:p>
        </w:tc>
        <w:tc>
          <w:tcPr>
            <w:tcW w:w="160" w:type="dxa"/>
            <w:vAlign w:val="bottom"/>
          </w:tcPr>
          <w:p>
            <w:pPr>
              <w:spacing w:after="0"/>
              <w:rPr>
                <w:sz w:val="10"/>
                <w:szCs w:val="10"/>
                <w:color w:val="auto"/>
              </w:rPr>
            </w:pPr>
          </w:p>
        </w:tc>
        <w:tc>
          <w:tcPr>
            <w:tcW w:w="820" w:type="dxa"/>
            <w:vAlign w:val="bottom"/>
          </w:tcPr>
          <w:p>
            <w:pPr>
              <w:jc w:val="right"/>
              <w:ind w:right="55"/>
              <w:spacing w:after="0" w:line="122" w:lineRule="exact"/>
              <w:rPr>
                <w:sz w:val="20"/>
                <w:szCs w:val="20"/>
                <w:color w:val="auto"/>
              </w:rPr>
            </w:pPr>
            <w:r>
              <w:rPr>
                <w:rFonts w:ascii="Arial" w:cs="Arial" w:eastAsia="Arial" w:hAnsi="Arial"/>
                <w:sz w:val="11"/>
                <w:szCs w:val="11"/>
                <w:color w:val="auto"/>
                <w:w w:val="96"/>
              </w:rPr>
              <w:t>Noncontrolling</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center"/>
              <w:ind w:right="75"/>
              <w:spacing w:after="0" w:line="122" w:lineRule="exact"/>
              <w:rPr>
                <w:sz w:val="20"/>
                <w:szCs w:val="20"/>
                <w:color w:val="auto"/>
              </w:rPr>
            </w:pPr>
            <w:r>
              <w:rPr>
                <w:rFonts w:ascii="Arial" w:cs="Arial" w:eastAsia="Arial" w:hAnsi="Arial"/>
                <w:sz w:val="11"/>
                <w:szCs w:val="11"/>
                <w:color w:val="auto"/>
                <w:w w:val="96"/>
              </w:rPr>
              <w:t>Noncontrolling</w:t>
            </w:r>
          </w:p>
        </w:tc>
      </w:tr>
      <w:tr>
        <w:trPr>
          <w:trHeight w:val="130"/>
        </w:trPr>
        <w:tc>
          <w:tcPr>
            <w:tcW w:w="3620" w:type="dxa"/>
            <w:vAlign w:val="bottom"/>
          </w:tcPr>
          <w:p>
            <w:pPr>
              <w:ind w:left="20"/>
              <w:spacing w:after="0"/>
              <w:rPr>
                <w:sz w:val="20"/>
                <w:szCs w:val="20"/>
                <w:color w:val="auto"/>
              </w:rPr>
            </w:pPr>
            <w:r>
              <w:rPr>
                <w:rFonts w:ascii="Arial" w:cs="Arial" w:eastAsia="Arial" w:hAnsi="Arial"/>
                <w:sz w:val="11"/>
                <w:szCs w:val="11"/>
                <w:color w:val="auto"/>
              </w:rPr>
              <w:t>(in thousands)</w:t>
            </w:r>
          </w:p>
        </w:tc>
        <w:tc>
          <w:tcPr>
            <w:tcW w:w="620" w:type="dxa"/>
            <w:vAlign w:val="bottom"/>
          </w:tcPr>
          <w:p>
            <w:pPr>
              <w:jc w:val="right"/>
              <w:ind w:right="76"/>
              <w:spacing w:after="0"/>
              <w:rPr>
                <w:sz w:val="20"/>
                <w:szCs w:val="20"/>
                <w:color w:val="auto"/>
              </w:rPr>
            </w:pPr>
            <w:r>
              <w:rPr>
                <w:rFonts w:ascii="Arial" w:cs="Arial" w:eastAsia="Arial" w:hAnsi="Arial"/>
                <w:sz w:val="11"/>
                <w:szCs w:val="11"/>
                <w:color w:val="auto"/>
              </w:rPr>
              <w:t>Stock</w:t>
            </w:r>
          </w:p>
        </w:tc>
        <w:tc>
          <w:tcPr>
            <w:tcW w:w="780" w:type="dxa"/>
            <w:vAlign w:val="bottom"/>
          </w:tcPr>
          <w:p>
            <w:pPr>
              <w:ind w:left="220"/>
              <w:spacing w:after="0"/>
              <w:rPr>
                <w:sz w:val="20"/>
                <w:szCs w:val="20"/>
                <w:color w:val="auto"/>
              </w:rPr>
            </w:pPr>
            <w:r>
              <w:rPr>
                <w:rFonts w:ascii="Arial" w:cs="Arial" w:eastAsia="Arial" w:hAnsi="Arial"/>
                <w:sz w:val="11"/>
                <w:szCs w:val="11"/>
                <w:color w:val="auto"/>
              </w:rPr>
              <w:t>Par Value</w:t>
            </w:r>
          </w:p>
        </w:tc>
        <w:tc>
          <w:tcPr>
            <w:tcW w:w="180" w:type="dxa"/>
            <w:vAlign w:val="bottom"/>
          </w:tcPr>
          <w:p>
            <w:pPr>
              <w:spacing w:after="0"/>
              <w:rPr>
                <w:sz w:val="11"/>
                <w:szCs w:val="11"/>
                <w:color w:val="auto"/>
              </w:rPr>
            </w:pPr>
          </w:p>
        </w:tc>
        <w:tc>
          <w:tcPr>
            <w:tcW w:w="740" w:type="dxa"/>
            <w:vAlign w:val="bottom"/>
          </w:tcPr>
          <w:p>
            <w:pPr>
              <w:jc w:val="right"/>
              <w:ind w:right="134"/>
              <w:spacing w:after="0"/>
              <w:rPr>
                <w:sz w:val="20"/>
                <w:szCs w:val="20"/>
                <w:color w:val="auto"/>
              </w:rPr>
            </w:pPr>
            <w:r>
              <w:rPr>
                <w:rFonts w:ascii="Arial" w:cs="Arial" w:eastAsia="Arial" w:hAnsi="Arial"/>
                <w:sz w:val="11"/>
                <w:szCs w:val="11"/>
                <w:color w:val="auto"/>
              </w:rPr>
              <w:t>Earnings</w:t>
            </w:r>
          </w:p>
        </w:tc>
        <w:tc>
          <w:tcPr>
            <w:tcW w:w="180" w:type="dxa"/>
            <w:vAlign w:val="bottom"/>
          </w:tcPr>
          <w:p>
            <w:pPr>
              <w:spacing w:after="0"/>
              <w:rPr>
                <w:sz w:val="11"/>
                <w:szCs w:val="11"/>
                <w:color w:val="auto"/>
              </w:rPr>
            </w:pPr>
          </w:p>
        </w:tc>
        <w:tc>
          <w:tcPr>
            <w:tcW w:w="900" w:type="dxa"/>
            <w:vAlign w:val="bottom"/>
          </w:tcPr>
          <w:p>
            <w:pPr>
              <w:jc w:val="center"/>
              <w:ind w:right="35"/>
              <w:spacing w:after="0"/>
              <w:rPr>
                <w:sz w:val="20"/>
                <w:szCs w:val="20"/>
                <w:color w:val="auto"/>
              </w:rPr>
            </w:pPr>
            <w:r>
              <w:rPr>
                <w:rFonts w:ascii="Arial" w:cs="Arial" w:eastAsia="Arial" w:hAnsi="Arial"/>
                <w:sz w:val="11"/>
                <w:szCs w:val="11"/>
                <w:color w:val="auto"/>
                <w:w w:val="99"/>
              </w:rPr>
              <w:t>Income</w:t>
            </w:r>
          </w:p>
        </w:tc>
        <w:tc>
          <w:tcPr>
            <w:tcW w:w="180" w:type="dxa"/>
            <w:vAlign w:val="bottom"/>
          </w:tcPr>
          <w:p>
            <w:pPr>
              <w:spacing w:after="0"/>
              <w:rPr>
                <w:sz w:val="11"/>
                <w:szCs w:val="11"/>
                <w:color w:val="auto"/>
              </w:rPr>
            </w:pPr>
          </w:p>
        </w:tc>
        <w:tc>
          <w:tcPr>
            <w:tcW w:w="800" w:type="dxa"/>
            <w:vAlign w:val="bottom"/>
          </w:tcPr>
          <w:p>
            <w:pPr>
              <w:jc w:val="right"/>
              <w:ind w:right="255"/>
              <w:spacing w:after="0"/>
              <w:rPr>
                <w:sz w:val="20"/>
                <w:szCs w:val="20"/>
                <w:color w:val="auto"/>
              </w:rPr>
            </w:pPr>
            <w:r>
              <w:rPr>
                <w:rFonts w:ascii="Arial" w:cs="Arial" w:eastAsia="Arial" w:hAnsi="Arial"/>
                <w:sz w:val="11"/>
                <w:szCs w:val="11"/>
                <w:color w:val="auto"/>
              </w:rPr>
              <w:t>Stock</w:t>
            </w:r>
          </w:p>
        </w:tc>
        <w:tc>
          <w:tcPr>
            <w:tcW w:w="160" w:type="dxa"/>
            <w:vAlign w:val="bottom"/>
          </w:tcPr>
          <w:p>
            <w:pPr>
              <w:spacing w:after="0"/>
              <w:rPr>
                <w:sz w:val="11"/>
                <w:szCs w:val="11"/>
                <w:color w:val="auto"/>
              </w:rPr>
            </w:pPr>
          </w:p>
        </w:tc>
        <w:tc>
          <w:tcPr>
            <w:tcW w:w="820" w:type="dxa"/>
            <w:vAlign w:val="bottom"/>
          </w:tcPr>
          <w:p>
            <w:pPr>
              <w:jc w:val="right"/>
              <w:ind w:right="195"/>
              <w:spacing w:after="0"/>
              <w:rPr>
                <w:sz w:val="20"/>
                <w:szCs w:val="20"/>
                <w:color w:val="auto"/>
              </w:rPr>
            </w:pPr>
            <w:r>
              <w:rPr>
                <w:rFonts w:ascii="Arial" w:cs="Arial" w:eastAsia="Arial" w:hAnsi="Arial"/>
                <w:sz w:val="11"/>
                <w:szCs w:val="11"/>
                <w:color w:val="auto"/>
              </w:rPr>
              <w:t>Interest</w:t>
            </w:r>
          </w:p>
        </w:tc>
        <w:tc>
          <w:tcPr>
            <w:tcW w:w="200" w:type="dxa"/>
            <w:vAlign w:val="bottom"/>
          </w:tcPr>
          <w:p>
            <w:pPr>
              <w:spacing w:after="0"/>
              <w:rPr>
                <w:sz w:val="11"/>
                <w:szCs w:val="11"/>
                <w:color w:val="auto"/>
              </w:rPr>
            </w:pPr>
          </w:p>
        </w:tc>
        <w:tc>
          <w:tcPr>
            <w:tcW w:w="820" w:type="dxa"/>
            <w:vAlign w:val="bottom"/>
          </w:tcPr>
          <w:p>
            <w:pPr>
              <w:jc w:val="right"/>
              <w:ind w:right="133"/>
              <w:spacing w:after="0"/>
              <w:rPr>
                <w:sz w:val="20"/>
                <w:szCs w:val="20"/>
                <w:color w:val="auto"/>
              </w:rPr>
            </w:pPr>
            <w:r>
              <w:rPr>
                <w:rFonts w:ascii="Arial" w:cs="Arial" w:eastAsia="Arial" w:hAnsi="Arial"/>
                <w:sz w:val="11"/>
                <w:szCs w:val="11"/>
                <w:color w:val="auto"/>
              </w:rPr>
              <w:t>Total Equity</w:t>
            </w:r>
          </w:p>
        </w:tc>
        <w:tc>
          <w:tcPr>
            <w:tcW w:w="240" w:type="dxa"/>
            <w:vAlign w:val="bottom"/>
          </w:tcPr>
          <w:p>
            <w:pPr>
              <w:spacing w:after="0"/>
              <w:rPr>
                <w:sz w:val="11"/>
                <w:szCs w:val="11"/>
                <w:color w:val="auto"/>
              </w:rPr>
            </w:pPr>
          </w:p>
        </w:tc>
        <w:tc>
          <w:tcPr>
            <w:tcW w:w="940" w:type="dxa"/>
            <w:vAlign w:val="bottom"/>
          </w:tcPr>
          <w:p>
            <w:pPr>
              <w:jc w:val="center"/>
              <w:ind w:right="75"/>
              <w:spacing w:after="0"/>
              <w:rPr>
                <w:sz w:val="20"/>
                <w:szCs w:val="20"/>
                <w:color w:val="auto"/>
              </w:rPr>
            </w:pPr>
            <w:r>
              <w:rPr>
                <w:rFonts w:ascii="Arial" w:cs="Arial" w:eastAsia="Arial" w:hAnsi="Arial"/>
                <w:sz w:val="11"/>
                <w:szCs w:val="11"/>
                <w:color w:val="auto"/>
                <w:w w:val="97"/>
              </w:rPr>
              <w:t>Interest</w:t>
            </w:r>
          </w:p>
        </w:tc>
      </w:tr>
      <w:tr>
        <w:trPr>
          <w:trHeight w:val="22"/>
        </w:trPr>
        <w:tc>
          <w:tcPr>
            <w:tcW w:w="3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2"/>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2019</w:t>
            </w:r>
          </w:p>
        </w:tc>
        <w:tc>
          <w:tcPr>
            <w:tcW w:w="620" w:type="dxa"/>
            <w:vAlign w:val="bottom"/>
          </w:tcPr>
          <w:p>
            <w:pPr>
              <w:jc w:val="right"/>
              <w:ind w:right="16"/>
              <w:spacing w:after="0"/>
              <w:rPr>
                <w:sz w:val="20"/>
                <w:szCs w:val="20"/>
                <w:color w:val="auto"/>
              </w:rPr>
            </w:pPr>
            <w:r>
              <w:rPr>
                <w:rFonts w:ascii="Arial" w:cs="Arial" w:eastAsia="Arial" w:hAnsi="Arial"/>
                <w:sz w:val="13"/>
                <w:szCs w:val="13"/>
                <w:b w:val="1"/>
                <w:bCs w:val="1"/>
                <w:color w:val="auto"/>
              </w:rPr>
              <w:t>$ 20,000</w:t>
            </w:r>
          </w:p>
        </w:tc>
        <w:tc>
          <w:tcPr>
            <w:tcW w:w="780" w:type="dxa"/>
            <w:vAlign w:val="bottom"/>
          </w:tcPr>
          <w:p>
            <w:pPr>
              <w:jc w:val="right"/>
              <w:ind w:right="36"/>
              <w:spacing w:after="0"/>
              <w:rPr>
                <w:sz w:val="20"/>
                <w:szCs w:val="20"/>
                <w:color w:val="auto"/>
              </w:rPr>
            </w:pPr>
            <w:r>
              <w:rPr>
                <w:rFonts w:ascii="Arial" w:cs="Arial" w:eastAsia="Arial" w:hAnsi="Arial"/>
                <w:sz w:val="13"/>
                <w:szCs w:val="13"/>
                <w:b w:val="1"/>
                <w:bCs w:val="1"/>
                <w:color w:val="auto"/>
              </w:rPr>
              <w:t>$ 381,669</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ind w:right="34"/>
              <w:spacing w:after="0"/>
              <w:rPr>
                <w:sz w:val="20"/>
                <w:szCs w:val="20"/>
                <w:color w:val="auto"/>
              </w:rPr>
            </w:pPr>
            <w:r>
              <w:rPr>
                <w:rFonts w:ascii="Arial" w:cs="Arial" w:eastAsia="Arial" w:hAnsi="Arial"/>
                <w:sz w:val="13"/>
                <w:szCs w:val="13"/>
                <w:b w:val="1"/>
                <w:bCs w:val="1"/>
                <w:color w:val="auto"/>
              </w:rPr>
              <w:t>6,534,427</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ind w:right="35"/>
              <w:spacing w:after="0"/>
              <w:rPr>
                <w:sz w:val="20"/>
                <w:szCs w:val="20"/>
                <w:color w:val="auto"/>
              </w:rPr>
            </w:pPr>
            <w:r>
              <w:rPr>
                <w:rFonts w:ascii="Arial" w:cs="Arial" w:eastAsia="Arial" w:hAnsi="Arial"/>
                <w:sz w:val="13"/>
                <w:szCs w:val="13"/>
                <w:b w:val="1"/>
                <w:bCs w:val="1"/>
                <w:color w:val="auto"/>
              </w:rPr>
              <w:t>303,295</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(3,920,152)</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35"/>
              <w:spacing w:after="0"/>
              <w:rPr>
                <w:sz w:val="20"/>
                <w:szCs w:val="20"/>
                <w:color w:val="auto"/>
              </w:rPr>
            </w:pPr>
            <w:r>
              <w:rPr>
                <w:rFonts w:ascii="Arial" w:cs="Arial" w:eastAsia="Arial" w:hAnsi="Arial"/>
                <w:sz w:val="13"/>
                <w:szCs w:val="13"/>
                <w:b w:val="1"/>
                <w:bCs w:val="1"/>
                <w:color w:val="auto"/>
              </w:rPr>
              <w:t>7,557</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73"/>
              <w:spacing w:after="0"/>
              <w:rPr>
                <w:sz w:val="20"/>
                <w:szCs w:val="20"/>
                <w:color w:val="auto"/>
              </w:rPr>
            </w:pPr>
            <w:r>
              <w:rPr>
                <w:rFonts w:ascii="Arial" w:cs="Arial" w:eastAsia="Arial" w:hAnsi="Arial"/>
                <w:sz w:val="13"/>
                <w:szCs w:val="13"/>
                <w:b w:val="1"/>
                <w:bCs w:val="1"/>
                <w:color w:val="auto"/>
              </w:rPr>
              <w:t>3,326,796</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ind w:right="95"/>
              <w:spacing w:after="0"/>
              <w:rPr>
                <w:sz w:val="20"/>
                <w:szCs w:val="20"/>
                <w:color w:val="auto"/>
              </w:rPr>
            </w:pPr>
            <w:r>
              <w:rPr>
                <w:rFonts w:ascii="Arial" w:cs="Arial" w:eastAsia="Arial" w:hAnsi="Arial"/>
                <w:sz w:val="13"/>
                <w:szCs w:val="13"/>
                <w:b w:val="1"/>
                <w:bCs w:val="1"/>
                <w:color w:val="auto"/>
              </w:rPr>
              <w:t>5,655</w:t>
            </w:r>
          </w:p>
        </w:tc>
      </w:tr>
      <w:tr>
        <w:trPr>
          <w:trHeight w:val="203"/>
        </w:trPr>
        <w:tc>
          <w:tcPr>
            <w:tcW w:w="3620" w:type="dxa"/>
            <w:vAlign w:val="bottom"/>
          </w:tcPr>
          <w:p>
            <w:pPr>
              <w:ind w:left="20"/>
              <w:spacing w:after="0"/>
              <w:rPr>
                <w:sz w:val="20"/>
                <w:szCs w:val="20"/>
                <w:color w:val="auto"/>
              </w:rPr>
            </w:pPr>
            <w:r>
              <w:rPr>
                <w:rFonts w:ascii="Arial" w:cs="Arial" w:eastAsia="Arial" w:hAnsi="Arial"/>
                <w:sz w:val="13"/>
                <w:szCs w:val="13"/>
                <w:color w:val="auto"/>
              </w:rPr>
              <w:t>Net loss for the period</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(33,891)</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(33,891)</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3"/>
                <w:szCs w:val="13"/>
                <w:color w:val="auto"/>
              </w:rPr>
              <w:t>Net loss attributable to noncontrolling interests</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772</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(772)</w:t>
            </w:r>
          </w:p>
        </w:tc>
        <w:tc>
          <w:tcPr>
            <w:tcW w:w="200" w:type="dxa"/>
            <w:vAlign w:val="bottom"/>
          </w:tcPr>
          <w:p>
            <w:pPr>
              <w:spacing w:after="0"/>
              <w:rPr>
                <w:sz w:val="17"/>
                <w:szCs w:val="17"/>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9"/>
        </w:trPr>
        <w:tc>
          <w:tcPr>
            <w:tcW w:w="362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62"/>
        </w:trPr>
        <w:tc>
          <w:tcPr>
            <w:tcW w:w="362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(126)</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(126)</w:t>
            </w:r>
          </w:p>
        </w:tc>
        <w:tc>
          <w:tcPr>
            <w:tcW w:w="240" w:type="dxa"/>
            <w:vAlign w:val="bottom"/>
          </w:tcPr>
          <w:p>
            <w:pPr>
              <w:spacing w:after="0"/>
              <w:rPr>
                <w:sz w:val="14"/>
                <w:szCs w:val="14"/>
                <w:color w:val="auto"/>
              </w:rPr>
            </w:pPr>
          </w:p>
        </w:tc>
        <w:tc>
          <w:tcPr>
            <w:tcW w:w="940" w:type="dxa"/>
            <w:vAlign w:val="bottom"/>
          </w:tcPr>
          <w:p>
            <w:pPr>
              <w:jc w:val="right"/>
              <w:ind w:right="95"/>
              <w:spacing w:after="0"/>
              <w:rPr>
                <w:sz w:val="20"/>
                <w:szCs w:val="20"/>
                <w:color w:val="auto"/>
              </w:rPr>
            </w:pPr>
            <w:r>
              <w:rPr>
                <w:rFonts w:ascii="Arial" w:cs="Arial" w:eastAsia="Arial" w:hAnsi="Arial"/>
                <w:sz w:val="13"/>
                <w:szCs w:val="13"/>
                <w:color w:val="auto"/>
              </w:rPr>
              <w:t>126</w:t>
            </w:r>
          </w:p>
        </w:tc>
      </w:tr>
      <w:tr>
        <w:trPr>
          <w:trHeight w:val="203"/>
        </w:trPr>
        <w:tc>
          <w:tcPr>
            <w:tcW w:w="362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(15,289)</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(15,289)</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3"/>
                <w:szCs w:val="13"/>
                <w:color w:val="auto"/>
              </w:rPr>
              <w:t>Repurchase of Class B common stock</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(33,610)</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(33,610)</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3"/>
                <w:szCs w:val="13"/>
                <w:color w:val="auto"/>
              </w:rPr>
              <w:t>Issuance of Class B common stock</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5,335</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5,335</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9"/>
        </w:trPr>
        <w:tc>
          <w:tcPr>
            <w:tcW w:w="362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62"/>
        </w:trPr>
        <w:tc>
          <w:tcPr>
            <w:tcW w:w="362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620" w:type="dxa"/>
            <w:vAlign w:val="bottom"/>
          </w:tcPr>
          <w:p>
            <w:pPr>
              <w:spacing w:after="0"/>
              <w:rPr>
                <w:sz w:val="14"/>
                <w:szCs w:val="14"/>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1,568</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1,568</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3"/>
                <w:szCs w:val="13"/>
                <w:color w:val="auto"/>
              </w:rPr>
              <w:t>Other comprehensive loss, net of income taxes</w:t>
            </w: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(37,943)</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(37,943)</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188"/>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As of March 31, 2020</w:t>
            </w:r>
          </w:p>
        </w:tc>
        <w:tc>
          <w:tcPr>
            <w:tcW w:w="620" w:type="dxa"/>
            <w:vAlign w:val="bottom"/>
          </w:tcPr>
          <w:p>
            <w:pPr>
              <w:jc w:val="right"/>
              <w:ind w:right="16"/>
              <w:spacing w:after="0"/>
              <w:rPr>
                <w:sz w:val="20"/>
                <w:szCs w:val="20"/>
                <w:color w:val="auto"/>
              </w:rPr>
            </w:pPr>
            <w:r>
              <w:rPr>
                <w:rFonts w:ascii="Arial" w:cs="Arial" w:eastAsia="Arial" w:hAnsi="Arial"/>
                <w:sz w:val="13"/>
                <w:szCs w:val="13"/>
                <w:b w:val="1"/>
                <w:bCs w:val="1"/>
                <w:color w:val="auto"/>
              </w:rPr>
              <w:t>$ 20,000</w:t>
            </w:r>
          </w:p>
        </w:tc>
        <w:tc>
          <w:tcPr>
            <w:tcW w:w="780" w:type="dxa"/>
            <w:vAlign w:val="bottom"/>
          </w:tcPr>
          <w:p>
            <w:pPr>
              <w:jc w:val="right"/>
              <w:ind w:right="36"/>
              <w:spacing w:after="0"/>
              <w:rPr>
                <w:sz w:val="20"/>
                <w:szCs w:val="20"/>
                <w:color w:val="auto"/>
              </w:rPr>
            </w:pPr>
            <w:r>
              <w:rPr>
                <w:rFonts w:ascii="Arial" w:cs="Arial" w:eastAsia="Arial" w:hAnsi="Arial"/>
                <w:sz w:val="13"/>
                <w:szCs w:val="13"/>
                <w:b w:val="1"/>
                <w:bCs w:val="1"/>
                <w:color w:val="auto"/>
              </w:rPr>
              <w:t>$ 383,237</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ind w:right="34"/>
              <w:spacing w:after="0"/>
              <w:rPr>
                <w:sz w:val="20"/>
                <w:szCs w:val="20"/>
                <w:color w:val="auto"/>
              </w:rPr>
            </w:pPr>
            <w:r>
              <w:rPr>
                <w:rFonts w:ascii="Arial" w:cs="Arial" w:eastAsia="Arial" w:hAnsi="Arial"/>
                <w:sz w:val="13"/>
                <w:szCs w:val="13"/>
                <w:b w:val="1"/>
                <w:bCs w:val="1"/>
                <w:color w:val="auto"/>
              </w:rPr>
              <w:t>6,485,893</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ind w:right="35"/>
              <w:spacing w:after="0"/>
              <w:rPr>
                <w:sz w:val="20"/>
                <w:szCs w:val="20"/>
                <w:color w:val="auto"/>
              </w:rPr>
            </w:pPr>
            <w:r>
              <w:rPr>
                <w:rFonts w:ascii="Arial" w:cs="Arial" w:eastAsia="Arial" w:hAnsi="Arial"/>
                <w:sz w:val="13"/>
                <w:szCs w:val="13"/>
                <w:b w:val="1"/>
                <w:bCs w:val="1"/>
                <w:color w:val="auto"/>
              </w:rPr>
              <w:t>265,352</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(3,948,427)</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35"/>
              <w:spacing w:after="0"/>
              <w:rPr>
                <w:sz w:val="20"/>
                <w:szCs w:val="20"/>
                <w:color w:val="auto"/>
              </w:rPr>
            </w:pPr>
            <w:r>
              <w:rPr>
                <w:rFonts w:ascii="Arial" w:cs="Arial" w:eastAsia="Arial" w:hAnsi="Arial"/>
                <w:sz w:val="13"/>
                <w:szCs w:val="13"/>
                <w:b w:val="1"/>
                <w:bCs w:val="1"/>
                <w:color w:val="auto"/>
              </w:rPr>
              <w:t>6,785</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73"/>
              <w:spacing w:after="0"/>
              <w:rPr>
                <w:sz w:val="20"/>
                <w:szCs w:val="20"/>
                <w:color w:val="auto"/>
              </w:rPr>
            </w:pPr>
            <w:r>
              <w:rPr>
                <w:rFonts w:ascii="Arial" w:cs="Arial" w:eastAsia="Arial" w:hAnsi="Arial"/>
                <w:sz w:val="13"/>
                <w:szCs w:val="13"/>
                <w:b w:val="1"/>
                <w:bCs w:val="1"/>
                <w:color w:val="auto"/>
              </w:rPr>
              <w:t>3,212,840</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ind w:right="95"/>
              <w:spacing w:after="0"/>
              <w:rPr>
                <w:sz w:val="20"/>
                <w:szCs w:val="20"/>
                <w:color w:val="auto"/>
              </w:rPr>
            </w:pPr>
            <w:r>
              <w:rPr>
                <w:rFonts w:ascii="Arial" w:cs="Arial" w:eastAsia="Arial" w:hAnsi="Arial"/>
                <w:sz w:val="13"/>
                <w:szCs w:val="13"/>
                <w:b w:val="1"/>
                <w:bCs w:val="1"/>
                <w:color w:val="auto"/>
              </w:rPr>
              <w:t>5,781</w:t>
            </w:r>
          </w:p>
        </w:tc>
      </w:tr>
      <w:tr>
        <w:trPr>
          <w:trHeight w:val="203"/>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Net income for the period</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b w:val="1"/>
                <w:bCs w:val="1"/>
                <w:color w:val="auto"/>
              </w:rPr>
              <w:t>18,862</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b w:val="1"/>
                <w:bCs w:val="1"/>
                <w:color w:val="auto"/>
              </w:rPr>
              <w:t>18,862</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Net loss attributable to noncontrolling interests</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b w:val="1"/>
                <w:bCs w:val="1"/>
                <w:color w:val="auto"/>
              </w:rPr>
              <w:t>37</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(37)</w:t>
            </w:r>
          </w:p>
        </w:tc>
        <w:tc>
          <w:tcPr>
            <w:tcW w:w="200" w:type="dxa"/>
            <w:vAlign w:val="bottom"/>
          </w:tcPr>
          <w:p>
            <w:pPr>
              <w:spacing w:after="0"/>
              <w:rPr>
                <w:sz w:val="17"/>
                <w:szCs w:val="17"/>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Acquisition of redeemable noncontrolling interest</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7"/>
                <w:szCs w:val="17"/>
                <w:color w:val="auto"/>
              </w:rPr>
            </w:pPr>
          </w:p>
        </w:tc>
        <w:tc>
          <w:tcPr>
            <w:tcW w:w="940" w:type="dxa"/>
            <w:vAlign w:val="bottom"/>
          </w:tcPr>
          <w:p>
            <w:pPr>
              <w:jc w:val="right"/>
              <w:ind w:right="95"/>
              <w:spacing w:after="0"/>
              <w:rPr>
                <w:sz w:val="20"/>
                <w:szCs w:val="20"/>
                <w:color w:val="auto"/>
              </w:rPr>
            </w:pPr>
            <w:r>
              <w:rPr>
                <w:rFonts w:ascii="Arial" w:cs="Arial" w:eastAsia="Arial" w:hAnsi="Arial"/>
                <w:sz w:val="13"/>
                <w:szCs w:val="13"/>
                <w:b w:val="1"/>
                <w:bCs w:val="1"/>
                <w:color w:val="auto"/>
              </w:rPr>
              <w:t>6,005</w:t>
            </w:r>
          </w:p>
        </w:tc>
      </w:tr>
      <w:tr>
        <w:trPr>
          <w:trHeight w:val="173"/>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Net income attributable to redeemable noncontrolling</w:t>
            </w: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8"/>
        </w:trPr>
        <w:tc>
          <w:tcPr>
            <w:tcW w:w="3620" w:type="dxa"/>
            <w:vAlign w:val="bottom"/>
          </w:tcPr>
          <w:p>
            <w:pPr>
              <w:ind w:left="180"/>
              <w:spacing w:after="0"/>
              <w:rPr>
                <w:sz w:val="20"/>
                <w:szCs w:val="20"/>
                <w:color w:val="auto"/>
              </w:rPr>
            </w:pPr>
            <w:r>
              <w:rPr>
                <w:rFonts w:ascii="Arial" w:cs="Arial" w:eastAsia="Arial" w:hAnsi="Arial"/>
                <w:sz w:val="13"/>
                <w:szCs w:val="13"/>
                <w:b w:val="1"/>
                <w:bCs w:val="1"/>
                <w:color w:val="auto"/>
              </w:rPr>
              <w:t>interests</w:t>
            </w: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(45)</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b w:val="1"/>
                <w:bCs w:val="1"/>
                <w:color w:val="auto"/>
              </w:rPr>
              <w:t>(45)</w:t>
            </w:r>
          </w:p>
        </w:tc>
        <w:tc>
          <w:tcPr>
            <w:tcW w:w="240" w:type="dxa"/>
            <w:vAlign w:val="bottom"/>
          </w:tcPr>
          <w:p>
            <w:pPr>
              <w:spacing w:after="0"/>
              <w:rPr>
                <w:sz w:val="15"/>
                <w:szCs w:val="15"/>
                <w:color w:val="auto"/>
              </w:rPr>
            </w:pPr>
          </w:p>
        </w:tc>
        <w:tc>
          <w:tcPr>
            <w:tcW w:w="940" w:type="dxa"/>
            <w:vAlign w:val="bottom"/>
          </w:tcPr>
          <w:p>
            <w:pPr>
              <w:jc w:val="right"/>
              <w:ind w:right="95"/>
              <w:spacing w:after="0"/>
              <w:rPr>
                <w:sz w:val="20"/>
                <w:szCs w:val="20"/>
                <w:color w:val="auto"/>
              </w:rPr>
            </w:pPr>
            <w:r>
              <w:rPr>
                <w:rFonts w:ascii="Arial" w:cs="Arial" w:eastAsia="Arial" w:hAnsi="Arial"/>
                <w:sz w:val="13"/>
                <w:szCs w:val="13"/>
                <w:b w:val="1"/>
                <w:bCs w:val="1"/>
                <w:color w:val="auto"/>
              </w:rPr>
              <w:t>45</w:t>
            </w:r>
          </w:p>
        </w:tc>
      </w:tr>
      <w:tr>
        <w:trPr>
          <w:trHeight w:val="203"/>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Dividends on common stock</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rPr>
              <w:t>(7,581)</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b w:val="1"/>
                <w:bCs w:val="1"/>
                <w:color w:val="auto"/>
              </w:rPr>
              <w:t>(7,581)</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Repurchase of Class B common stock</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(29,295)</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b w:val="1"/>
                <w:bCs w:val="1"/>
                <w:color w:val="auto"/>
              </w:rPr>
              <w:t>(29,295)</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73"/>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Amortization of unearned stock compensation and</w:t>
            </w: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8"/>
        </w:trPr>
        <w:tc>
          <w:tcPr>
            <w:tcW w:w="3620" w:type="dxa"/>
            <w:vAlign w:val="bottom"/>
          </w:tcPr>
          <w:p>
            <w:pPr>
              <w:ind w:left="180"/>
              <w:spacing w:after="0"/>
              <w:rPr>
                <w:sz w:val="20"/>
                <w:szCs w:val="20"/>
                <w:color w:val="auto"/>
              </w:rPr>
            </w:pPr>
            <w:r>
              <w:rPr>
                <w:rFonts w:ascii="Arial" w:cs="Arial" w:eastAsia="Arial" w:hAnsi="Arial"/>
                <w:sz w:val="13"/>
                <w:szCs w:val="13"/>
                <w:b w:val="1"/>
                <w:bCs w:val="1"/>
                <w:color w:val="auto"/>
              </w:rPr>
              <w:t>stock option expense</w:t>
            </w:r>
          </w:p>
        </w:tc>
        <w:tc>
          <w:tcPr>
            <w:tcW w:w="620" w:type="dxa"/>
            <w:vAlign w:val="bottom"/>
          </w:tcPr>
          <w:p>
            <w:pPr>
              <w:spacing w:after="0"/>
              <w:rPr>
                <w:sz w:val="15"/>
                <w:szCs w:val="15"/>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b w:val="1"/>
                <w:bCs w:val="1"/>
                <w:color w:val="auto"/>
              </w:rPr>
              <w:t>1,567</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b w:val="1"/>
                <w:bCs w:val="1"/>
                <w:color w:val="auto"/>
              </w:rPr>
              <w:t>1,567</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Other comprehensive income, net of income taxes</w:t>
            </w: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17,068</w:t>
            </w: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17,068</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As of June 30, 2020</w:t>
            </w: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b w:val="1"/>
                <w:bCs w:val="1"/>
                <w:color w:val="auto"/>
              </w:rPr>
              <w:t>$ 20,000</w:t>
            </w: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b w:val="1"/>
                <w:bCs w:val="1"/>
                <w:color w:val="auto"/>
              </w:rPr>
              <w:t>$ 384,804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b w:val="1"/>
                <w:bCs w:val="1"/>
                <w:color w:val="auto"/>
              </w:rPr>
              <w:t>6,497,166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282,420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(3,977,722)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6,748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3,213,416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11,831</w:t>
            </w:r>
          </w:p>
        </w:tc>
      </w:tr>
      <w:tr>
        <w:trPr>
          <w:trHeight w:val="20"/>
        </w:trPr>
        <w:tc>
          <w:tcPr>
            <w:tcW w:w="3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63"/>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As of December 31, 2018</w:t>
            </w:r>
          </w:p>
        </w:tc>
        <w:tc>
          <w:tcPr>
            <w:tcW w:w="620" w:type="dxa"/>
            <w:vAlign w:val="bottom"/>
          </w:tcPr>
          <w:p>
            <w:pPr>
              <w:jc w:val="right"/>
              <w:ind w:right="16"/>
              <w:spacing w:after="0"/>
              <w:rPr>
                <w:sz w:val="20"/>
                <w:szCs w:val="20"/>
                <w:color w:val="auto"/>
              </w:rPr>
            </w:pPr>
            <w:r>
              <w:rPr>
                <w:rFonts w:ascii="Arial" w:cs="Arial" w:eastAsia="Arial" w:hAnsi="Arial"/>
                <w:sz w:val="13"/>
                <w:szCs w:val="13"/>
                <w:b w:val="1"/>
                <w:bCs w:val="1"/>
                <w:color w:val="auto"/>
              </w:rPr>
              <w:t>$ 20,000</w:t>
            </w:r>
          </w:p>
        </w:tc>
        <w:tc>
          <w:tcPr>
            <w:tcW w:w="780" w:type="dxa"/>
            <w:vAlign w:val="bottom"/>
          </w:tcPr>
          <w:p>
            <w:pPr>
              <w:jc w:val="right"/>
              <w:ind w:right="36"/>
              <w:spacing w:after="0"/>
              <w:rPr>
                <w:sz w:val="20"/>
                <w:szCs w:val="20"/>
                <w:color w:val="auto"/>
              </w:rPr>
            </w:pPr>
            <w:r>
              <w:rPr>
                <w:rFonts w:ascii="Arial" w:cs="Arial" w:eastAsia="Arial" w:hAnsi="Arial"/>
                <w:sz w:val="13"/>
                <w:szCs w:val="13"/>
                <w:b w:val="1"/>
                <w:bCs w:val="1"/>
                <w:color w:val="auto"/>
              </w:rPr>
              <w:t>$ 378,837</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ind w:right="34"/>
              <w:spacing w:after="0"/>
              <w:rPr>
                <w:sz w:val="20"/>
                <w:szCs w:val="20"/>
                <w:color w:val="auto"/>
              </w:rPr>
            </w:pPr>
            <w:r>
              <w:rPr>
                <w:rFonts w:ascii="Arial" w:cs="Arial" w:eastAsia="Arial" w:hAnsi="Arial"/>
                <w:sz w:val="13"/>
                <w:szCs w:val="13"/>
                <w:b w:val="1"/>
                <w:bCs w:val="1"/>
                <w:color w:val="auto"/>
              </w:rPr>
              <w:t>6,236,125</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ind w:right="35"/>
              <w:spacing w:after="0"/>
              <w:rPr>
                <w:sz w:val="20"/>
                <w:szCs w:val="20"/>
                <w:color w:val="auto"/>
              </w:rPr>
            </w:pPr>
            <w:r>
              <w:rPr>
                <w:rFonts w:ascii="Arial" w:cs="Arial" w:eastAsia="Arial" w:hAnsi="Arial"/>
                <w:sz w:val="13"/>
                <w:szCs w:val="13"/>
                <w:b w:val="1"/>
                <w:bCs w:val="1"/>
                <w:color w:val="auto"/>
              </w:rPr>
              <w:t>203,829</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(3,922,009)</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35"/>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73"/>
              <w:spacing w:after="0"/>
              <w:rPr>
                <w:sz w:val="20"/>
                <w:szCs w:val="20"/>
                <w:color w:val="auto"/>
              </w:rPr>
            </w:pPr>
            <w:r>
              <w:rPr>
                <w:rFonts w:ascii="Arial" w:cs="Arial" w:eastAsia="Arial" w:hAnsi="Arial"/>
                <w:sz w:val="13"/>
                <w:szCs w:val="13"/>
                <w:b w:val="1"/>
                <w:bCs w:val="1"/>
                <w:color w:val="auto"/>
              </w:rPr>
              <w:t>2,916,782</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ind w:right="95"/>
              <w:spacing w:after="0"/>
              <w:rPr>
                <w:sz w:val="20"/>
                <w:szCs w:val="20"/>
                <w:color w:val="auto"/>
              </w:rPr>
            </w:pPr>
            <w:r>
              <w:rPr>
                <w:rFonts w:ascii="Arial" w:cs="Arial" w:eastAsia="Arial" w:hAnsi="Arial"/>
                <w:sz w:val="13"/>
                <w:szCs w:val="13"/>
                <w:b w:val="1"/>
                <w:bCs w:val="1"/>
                <w:color w:val="auto"/>
              </w:rPr>
              <w:t>4,346</w:t>
            </w:r>
          </w:p>
        </w:tc>
      </w:tr>
      <w:tr>
        <w:trPr>
          <w:trHeight w:val="203"/>
        </w:trPr>
        <w:tc>
          <w:tcPr>
            <w:tcW w:w="3620" w:type="dxa"/>
            <w:vAlign w:val="bottom"/>
          </w:tcPr>
          <w:p>
            <w:pPr>
              <w:ind w:left="20"/>
              <w:spacing w:after="0"/>
              <w:rPr>
                <w:sz w:val="20"/>
                <w:szCs w:val="20"/>
                <w:color w:val="auto"/>
              </w:rPr>
            </w:pPr>
            <w:r>
              <w:rPr>
                <w:rFonts w:ascii="Arial" w:cs="Arial" w:eastAsia="Arial" w:hAnsi="Arial"/>
                <w:sz w:val="13"/>
                <w:szCs w:val="13"/>
                <w:color w:val="auto"/>
              </w:rPr>
              <w:t>Net income for the period</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81,702</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81,702</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3"/>
                <w:szCs w:val="13"/>
                <w:color w:val="auto"/>
              </w:rPr>
              <w:t>Issuance of noncontrolling interest</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35"/>
              <w:spacing w:after="0"/>
              <w:rPr>
                <w:sz w:val="20"/>
                <w:szCs w:val="20"/>
                <w:color w:val="auto"/>
              </w:rPr>
            </w:pPr>
            <w:r>
              <w:rPr>
                <w:rFonts w:ascii="Arial" w:cs="Arial" w:eastAsia="Arial" w:hAnsi="Arial"/>
                <w:sz w:val="13"/>
                <w:szCs w:val="13"/>
                <w:color w:val="auto"/>
              </w:rPr>
              <w:t>6,000</w:t>
            </w:r>
          </w:p>
        </w:tc>
        <w:tc>
          <w:tcPr>
            <w:tcW w:w="200" w:type="dxa"/>
            <w:vAlign w:val="bottom"/>
          </w:tcPr>
          <w:p>
            <w:pPr>
              <w:spacing w:after="0"/>
              <w:rPr>
                <w:sz w:val="17"/>
                <w:szCs w:val="17"/>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6,000</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3"/>
                <w:szCs w:val="13"/>
                <w:color w:val="auto"/>
              </w:rPr>
              <w:t>Net loss attributable to noncontrolling interest</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34"/>
              <w:spacing w:after="0"/>
              <w:rPr>
                <w:sz w:val="20"/>
                <w:szCs w:val="20"/>
                <w:color w:val="auto"/>
              </w:rPr>
            </w:pPr>
            <w:r>
              <w:rPr>
                <w:rFonts w:ascii="Arial" w:cs="Arial" w:eastAsia="Arial" w:hAnsi="Arial"/>
                <w:sz w:val="13"/>
                <w:szCs w:val="13"/>
                <w:color w:val="auto"/>
              </w:rPr>
              <w:t>62</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(62)</w:t>
            </w:r>
          </w:p>
        </w:tc>
        <w:tc>
          <w:tcPr>
            <w:tcW w:w="200" w:type="dxa"/>
            <w:vAlign w:val="bottom"/>
          </w:tcPr>
          <w:p>
            <w:pPr>
              <w:spacing w:after="0"/>
              <w:rPr>
                <w:sz w:val="17"/>
                <w:szCs w:val="17"/>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9"/>
        </w:trPr>
        <w:tc>
          <w:tcPr>
            <w:tcW w:w="3620" w:type="dxa"/>
            <w:vAlign w:val="bottom"/>
          </w:tcPr>
          <w:p>
            <w:pPr>
              <w:ind w:left="20"/>
              <w:spacing w:after="0"/>
              <w:rPr>
                <w:sz w:val="20"/>
                <w:szCs w:val="20"/>
                <w:color w:val="auto"/>
              </w:rPr>
            </w:pPr>
            <w:r>
              <w:rPr>
                <w:rFonts w:ascii="Arial" w:cs="Arial" w:eastAsia="Arial" w:hAnsi="Arial"/>
                <w:sz w:val="13"/>
                <w:szCs w:val="13"/>
                <w:color w:val="auto"/>
              </w:rPr>
              <w:t>Net income attributable to redeemable noncontrolling</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62"/>
        </w:trPr>
        <w:tc>
          <w:tcPr>
            <w:tcW w:w="362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(16)</w:t>
            </w:r>
          </w:p>
        </w:tc>
        <w:tc>
          <w:tcPr>
            <w:tcW w:w="240" w:type="dxa"/>
            <w:vAlign w:val="bottom"/>
          </w:tcPr>
          <w:p>
            <w:pPr>
              <w:spacing w:after="0"/>
              <w:rPr>
                <w:sz w:val="14"/>
                <w:szCs w:val="14"/>
                <w:color w:val="auto"/>
              </w:rPr>
            </w:pPr>
          </w:p>
        </w:tc>
        <w:tc>
          <w:tcPr>
            <w:tcW w:w="940" w:type="dxa"/>
            <w:vAlign w:val="bottom"/>
          </w:tcPr>
          <w:p>
            <w:pPr>
              <w:jc w:val="right"/>
              <w:ind w:right="95"/>
              <w:spacing w:after="0"/>
              <w:rPr>
                <w:sz w:val="20"/>
                <w:szCs w:val="20"/>
                <w:color w:val="auto"/>
              </w:rPr>
            </w:pPr>
            <w:r>
              <w:rPr>
                <w:rFonts w:ascii="Arial" w:cs="Arial" w:eastAsia="Arial" w:hAnsi="Arial"/>
                <w:sz w:val="13"/>
                <w:szCs w:val="13"/>
                <w:color w:val="auto"/>
              </w:rPr>
              <w:t>16</w:t>
            </w:r>
          </w:p>
        </w:tc>
      </w:tr>
      <w:tr>
        <w:trPr>
          <w:trHeight w:val="189"/>
        </w:trPr>
        <w:tc>
          <w:tcPr>
            <w:tcW w:w="3620" w:type="dxa"/>
            <w:vAlign w:val="bottom"/>
          </w:tcPr>
          <w:p>
            <w:pPr>
              <w:ind w:left="20"/>
              <w:spacing w:after="0"/>
              <w:rPr>
                <w:sz w:val="20"/>
                <w:szCs w:val="20"/>
                <w:color w:val="auto"/>
              </w:rPr>
            </w:pPr>
            <w:r>
              <w:rPr>
                <w:rFonts w:ascii="Arial" w:cs="Arial" w:eastAsia="Arial" w:hAnsi="Arial"/>
                <w:sz w:val="13"/>
                <w:szCs w:val="13"/>
                <w:color w:val="auto"/>
              </w:rPr>
              <w:t>Change in redemption value of redeemable noncontrolling</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62"/>
        </w:trPr>
        <w:tc>
          <w:tcPr>
            <w:tcW w:w="3620" w:type="dxa"/>
            <w:vAlign w:val="bottom"/>
          </w:tcPr>
          <w:p>
            <w:pPr>
              <w:ind w:left="180"/>
              <w:spacing w:after="0"/>
              <w:rPr>
                <w:sz w:val="20"/>
                <w:szCs w:val="20"/>
                <w:color w:val="auto"/>
              </w:rPr>
            </w:pPr>
            <w:r>
              <w:rPr>
                <w:rFonts w:ascii="Arial" w:cs="Arial" w:eastAsia="Arial" w:hAnsi="Arial"/>
                <w:sz w:val="13"/>
                <w:szCs w:val="13"/>
                <w:color w:val="auto"/>
              </w:rPr>
              <w:t>interests</w:t>
            </w:r>
          </w:p>
        </w:tc>
        <w:tc>
          <w:tcPr>
            <w:tcW w:w="6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(54)</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(54)</w:t>
            </w:r>
          </w:p>
        </w:tc>
        <w:tc>
          <w:tcPr>
            <w:tcW w:w="240" w:type="dxa"/>
            <w:vAlign w:val="bottom"/>
          </w:tcPr>
          <w:p>
            <w:pPr>
              <w:spacing w:after="0"/>
              <w:rPr>
                <w:sz w:val="14"/>
                <w:szCs w:val="14"/>
                <w:color w:val="auto"/>
              </w:rPr>
            </w:pPr>
          </w:p>
        </w:tc>
        <w:tc>
          <w:tcPr>
            <w:tcW w:w="940" w:type="dxa"/>
            <w:vAlign w:val="bottom"/>
          </w:tcPr>
          <w:p>
            <w:pPr>
              <w:jc w:val="right"/>
              <w:ind w:right="95"/>
              <w:spacing w:after="0"/>
              <w:rPr>
                <w:sz w:val="20"/>
                <w:szCs w:val="20"/>
                <w:color w:val="auto"/>
              </w:rPr>
            </w:pPr>
            <w:r>
              <w:rPr>
                <w:rFonts w:ascii="Arial" w:cs="Arial" w:eastAsia="Arial" w:hAnsi="Arial"/>
                <w:sz w:val="13"/>
                <w:szCs w:val="13"/>
                <w:color w:val="auto"/>
              </w:rPr>
              <w:t>54</w:t>
            </w:r>
          </w:p>
        </w:tc>
      </w:tr>
      <w:tr>
        <w:trPr>
          <w:trHeight w:val="203"/>
        </w:trPr>
        <w:tc>
          <w:tcPr>
            <w:tcW w:w="3620" w:type="dxa"/>
            <w:vAlign w:val="bottom"/>
          </w:tcPr>
          <w:p>
            <w:pPr>
              <w:ind w:left="20"/>
              <w:spacing w:after="0"/>
              <w:rPr>
                <w:sz w:val="20"/>
                <w:szCs w:val="20"/>
                <w:color w:val="auto"/>
              </w:rPr>
            </w:pPr>
            <w:r>
              <w:rPr>
                <w:rFonts w:ascii="Arial" w:cs="Arial" w:eastAsia="Arial" w:hAnsi="Arial"/>
                <w:sz w:val="13"/>
                <w:szCs w:val="13"/>
                <w:color w:val="auto"/>
              </w:rPr>
              <w:t>Dividends on common stock</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(14,779)</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(14,779)</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9"/>
        </w:trPr>
        <w:tc>
          <w:tcPr>
            <w:tcW w:w="3620" w:type="dxa"/>
            <w:vAlign w:val="bottom"/>
          </w:tcPr>
          <w:p>
            <w:pPr>
              <w:ind w:left="20"/>
              <w:spacing w:after="0"/>
              <w:rPr>
                <w:sz w:val="20"/>
                <w:szCs w:val="20"/>
                <w:color w:val="auto"/>
              </w:rPr>
            </w:pPr>
            <w:r>
              <w:rPr>
                <w:rFonts w:ascii="Arial" w:cs="Arial" w:eastAsia="Arial" w:hAnsi="Arial"/>
                <w:sz w:val="13"/>
                <w:szCs w:val="13"/>
                <w:color w:val="auto"/>
              </w:rPr>
              <w:t>Issuance of Class B common stock, net of restricted stock</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62"/>
        </w:trPr>
        <w:tc>
          <w:tcPr>
            <w:tcW w:w="3620" w:type="dxa"/>
            <w:vAlign w:val="bottom"/>
          </w:tcPr>
          <w:p>
            <w:pPr>
              <w:ind w:left="180"/>
              <w:spacing w:after="0"/>
              <w:rPr>
                <w:sz w:val="20"/>
                <w:szCs w:val="20"/>
                <w:color w:val="auto"/>
              </w:rPr>
            </w:pPr>
            <w:r>
              <w:rPr>
                <w:rFonts w:ascii="Arial" w:cs="Arial" w:eastAsia="Arial" w:hAnsi="Arial"/>
                <w:sz w:val="13"/>
                <w:szCs w:val="13"/>
                <w:color w:val="auto"/>
              </w:rPr>
              <w:t>award forfeitures</w:t>
            </w:r>
          </w:p>
        </w:tc>
        <w:tc>
          <w:tcPr>
            <w:tcW w:w="6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(3,783)</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3,755</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33"/>
              <w:spacing w:after="0"/>
              <w:rPr>
                <w:sz w:val="20"/>
                <w:szCs w:val="20"/>
                <w:color w:val="auto"/>
              </w:rPr>
            </w:pPr>
            <w:r>
              <w:rPr>
                <w:rFonts w:ascii="Arial" w:cs="Arial" w:eastAsia="Arial" w:hAnsi="Arial"/>
                <w:sz w:val="13"/>
                <w:szCs w:val="13"/>
                <w:color w:val="auto"/>
              </w:rPr>
              <w:t>(28)</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3620" w:type="dxa"/>
            <w:vAlign w:val="bottom"/>
          </w:tcPr>
          <w:p>
            <w:pPr>
              <w:ind w:left="20"/>
              <w:spacing w:after="0"/>
              <w:rPr>
                <w:sz w:val="20"/>
                <w:szCs w:val="20"/>
                <w:color w:val="auto"/>
              </w:rPr>
            </w:pPr>
            <w:r>
              <w:rPr>
                <w:rFonts w:ascii="Arial" w:cs="Arial" w:eastAsia="Arial" w:hAnsi="Arial"/>
                <w:sz w:val="13"/>
                <w:szCs w:val="13"/>
                <w:color w:val="auto"/>
              </w:rPr>
              <w:t>Amortization of unearned stock compensation and stock</w:t>
            </w:r>
          </w:p>
        </w:tc>
        <w:tc>
          <w:tcPr>
            <w:tcW w:w="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62"/>
        </w:trPr>
        <w:tc>
          <w:tcPr>
            <w:tcW w:w="3620" w:type="dxa"/>
            <w:vAlign w:val="bottom"/>
          </w:tcPr>
          <w:p>
            <w:pPr>
              <w:ind w:left="180"/>
              <w:spacing w:after="0"/>
              <w:rPr>
                <w:sz w:val="20"/>
                <w:szCs w:val="20"/>
                <w:color w:val="auto"/>
              </w:rPr>
            </w:pPr>
            <w:r>
              <w:rPr>
                <w:rFonts w:ascii="Arial" w:cs="Arial" w:eastAsia="Arial" w:hAnsi="Arial"/>
                <w:sz w:val="13"/>
                <w:szCs w:val="13"/>
                <w:color w:val="auto"/>
              </w:rPr>
              <w:t>option expense</w:t>
            </w:r>
          </w:p>
        </w:tc>
        <w:tc>
          <w:tcPr>
            <w:tcW w:w="620" w:type="dxa"/>
            <w:vAlign w:val="bottom"/>
          </w:tcPr>
          <w:p>
            <w:pPr>
              <w:spacing w:after="0"/>
              <w:rPr>
                <w:sz w:val="14"/>
                <w:szCs w:val="14"/>
                <w:color w:val="auto"/>
              </w:rPr>
            </w:pPr>
          </w:p>
        </w:tc>
        <w:tc>
          <w:tcPr>
            <w:tcW w:w="780" w:type="dxa"/>
            <w:vAlign w:val="bottom"/>
          </w:tcPr>
          <w:p>
            <w:pPr>
              <w:jc w:val="right"/>
              <w:ind w:right="36"/>
              <w:spacing w:after="0"/>
              <w:rPr>
                <w:sz w:val="20"/>
                <w:szCs w:val="20"/>
                <w:color w:val="auto"/>
              </w:rPr>
            </w:pPr>
            <w:r>
              <w:rPr>
                <w:rFonts w:ascii="Arial" w:cs="Arial" w:eastAsia="Arial" w:hAnsi="Arial"/>
                <w:sz w:val="13"/>
                <w:szCs w:val="13"/>
                <w:color w:val="auto"/>
              </w:rPr>
              <w:t>1,639</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1,639</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3620" w:type="dxa"/>
            <w:vAlign w:val="bottom"/>
          </w:tcPr>
          <w:p>
            <w:pPr>
              <w:ind w:left="20"/>
              <w:spacing w:after="0"/>
              <w:rPr>
                <w:sz w:val="20"/>
                <w:szCs w:val="20"/>
                <w:color w:val="auto"/>
              </w:rPr>
            </w:pPr>
            <w:r>
              <w:rPr>
                <w:rFonts w:ascii="Arial" w:cs="Arial" w:eastAsia="Arial" w:hAnsi="Arial"/>
                <w:sz w:val="13"/>
                <w:szCs w:val="13"/>
                <w:color w:val="auto"/>
              </w:rPr>
              <w:t>Other comprehensive income, net of income taxes</w:t>
            </w: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Arial" w:cs="Arial" w:eastAsia="Arial" w:hAnsi="Arial"/>
                <w:sz w:val="13"/>
                <w:szCs w:val="13"/>
                <w:color w:val="auto"/>
              </w:rPr>
              <w:t>8,290</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73"/>
              <w:spacing w:after="0"/>
              <w:rPr>
                <w:sz w:val="20"/>
                <w:szCs w:val="20"/>
                <w:color w:val="auto"/>
              </w:rPr>
            </w:pPr>
            <w:r>
              <w:rPr>
                <w:rFonts w:ascii="Arial" w:cs="Arial" w:eastAsia="Arial" w:hAnsi="Arial"/>
                <w:sz w:val="13"/>
                <w:szCs w:val="13"/>
                <w:color w:val="auto"/>
              </w:rPr>
              <w:t>8,290</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3620" w:type="dxa"/>
            <w:vAlign w:val="bottom"/>
          </w:tcPr>
          <w:p>
            <w:pPr>
              <w:ind w:left="20"/>
              <w:spacing w:after="0"/>
              <w:rPr>
                <w:sz w:val="20"/>
                <w:szCs w:val="20"/>
                <w:color w:val="auto"/>
              </w:rPr>
            </w:pPr>
            <w:r>
              <w:rPr>
                <w:rFonts w:ascii="Arial" w:cs="Arial" w:eastAsia="Arial" w:hAnsi="Arial"/>
                <w:sz w:val="13"/>
                <w:szCs w:val="13"/>
                <w:color w:val="auto"/>
              </w:rPr>
              <w:t>Purchase of redeemable noncontrolling interest</w:t>
            </w:r>
          </w:p>
        </w:tc>
        <w:tc>
          <w:tcPr>
            <w:tcW w:w="6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(550)</w:t>
            </w:r>
          </w:p>
        </w:tc>
      </w:tr>
      <w:tr>
        <w:trPr>
          <w:trHeight w:val="188"/>
        </w:trPr>
        <w:tc>
          <w:tcPr>
            <w:tcW w:w="3620" w:type="dxa"/>
            <w:vAlign w:val="bottom"/>
          </w:tcPr>
          <w:p>
            <w:pPr>
              <w:ind w:left="20"/>
              <w:spacing w:after="0"/>
              <w:rPr>
                <w:sz w:val="20"/>
                <w:szCs w:val="20"/>
                <w:color w:val="auto"/>
              </w:rPr>
            </w:pPr>
            <w:r>
              <w:rPr>
                <w:rFonts w:ascii="Arial" w:cs="Arial" w:eastAsia="Arial" w:hAnsi="Arial"/>
                <w:sz w:val="13"/>
                <w:szCs w:val="13"/>
                <w:b w:val="1"/>
                <w:bCs w:val="1"/>
                <w:color w:val="auto"/>
              </w:rPr>
              <w:t>As of March 31, 2019</w:t>
            </w:r>
          </w:p>
        </w:tc>
        <w:tc>
          <w:tcPr>
            <w:tcW w:w="620" w:type="dxa"/>
            <w:vAlign w:val="bottom"/>
          </w:tcPr>
          <w:p>
            <w:pPr>
              <w:jc w:val="right"/>
              <w:ind w:right="16"/>
              <w:spacing w:after="0"/>
              <w:rPr>
                <w:sz w:val="20"/>
                <w:szCs w:val="20"/>
                <w:color w:val="auto"/>
              </w:rPr>
            </w:pPr>
            <w:r>
              <w:rPr>
                <w:rFonts w:ascii="Arial" w:cs="Arial" w:eastAsia="Arial" w:hAnsi="Arial"/>
                <w:sz w:val="13"/>
                <w:szCs w:val="13"/>
                <w:b w:val="1"/>
                <w:bCs w:val="1"/>
                <w:color w:val="auto"/>
              </w:rPr>
              <w:t>$ 20,000</w:t>
            </w:r>
          </w:p>
        </w:tc>
        <w:tc>
          <w:tcPr>
            <w:tcW w:w="780" w:type="dxa"/>
            <w:vAlign w:val="bottom"/>
          </w:tcPr>
          <w:p>
            <w:pPr>
              <w:jc w:val="right"/>
              <w:ind w:right="36"/>
              <w:spacing w:after="0"/>
              <w:rPr>
                <w:sz w:val="20"/>
                <w:szCs w:val="20"/>
                <w:color w:val="auto"/>
              </w:rPr>
            </w:pPr>
            <w:r>
              <w:rPr>
                <w:rFonts w:ascii="Arial" w:cs="Arial" w:eastAsia="Arial" w:hAnsi="Arial"/>
                <w:sz w:val="13"/>
                <w:szCs w:val="13"/>
                <w:b w:val="1"/>
                <w:bCs w:val="1"/>
                <w:color w:val="auto"/>
              </w:rPr>
              <w:t>$ 376,639</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ind w:right="34"/>
              <w:spacing w:after="0"/>
              <w:rPr>
                <w:sz w:val="20"/>
                <w:szCs w:val="20"/>
                <w:color w:val="auto"/>
              </w:rPr>
            </w:pPr>
            <w:r>
              <w:rPr>
                <w:rFonts w:ascii="Arial" w:cs="Arial" w:eastAsia="Arial" w:hAnsi="Arial"/>
                <w:sz w:val="13"/>
                <w:szCs w:val="13"/>
                <w:b w:val="1"/>
                <w:bCs w:val="1"/>
                <w:color w:val="auto"/>
              </w:rPr>
              <w:t>6,303,094</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ind w:right="35"/>
              <w:spacing w:after="0"/>
              <w:rPr>
                <w:sz w:val="20"/>
                <w:szCs w:val="20"/>
                <w:color w:val="auto"/>
              </w:rPr>
            </w:pPr>
            <w:r>
              <w:rPr>
                <w:rFonts w:ascii="Arial" w:cs="Arial" w:eastAsia="Arial" w:hAnsi="Arial"/>
                <w:sz w:val="13"/>
                <w:szCs w:val="13"/>
                <w:b w:val="1"/>
                <w:bCs w:val="1"/>
                <w:color w:val="auto"/>
              </w:rPr>
              <w:t>212,119</w:t>
            </w: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(3,918,254)</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35"/>
              <w:spacing w:after="0"/>
              <w:rPr>
                <w:sz w:val="20"/>
                <w:szCs w:val="20"/>
                <w:color w:val="auto"/>
              </w:rPr>
            </w:pPr>
            <w:r>
              <w:rPr>
                <w:rFonts w:ascii="Arial" w:cs="Arial" w:eastAsia="Arial" w:hAnsi="Arial"/>
                <w:sz w:val="13"/>
                <w:szCs w:val="13"/>
                <w:b w:val="1"/>
                <w:bCs w:val="1"/>
                <w:color w:val="auto"/>
              </w:rPr>
              <w:t>5,938</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73"/>
              <w:spacing w:after="0"/>
              <w:rPr>
                <w:sz w:val="20"/>
                <w:szCs w:val="20"/>
                <w:color w:val="auto"/>
              </w:rPr>
            </w:pPr>
            <w:r>
              <w:rPr>
                <w:rFonts w:ascii="Arial" w:cs="Arial" w:eastAsia="Arial" w:hAnsi="Arial"/>
                <w:sz w:val="13"/>
                <w:szCs w:val="13"/>
                <w:b w:val="1"/>
                <w:bCs w:val="1"/>
                <w:color w:val="auto"/>
              </w:rPr>
              <w:t>2,999,536</w:t>
            </w: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ind w:right="95"/>
              <w:spacing w:after="0"/>
              <w:rPr>
                <w:sz w:val="20"/>
                <w:szCs w:val="20"/>
                <w:color w:val="auto"/>
              </w:rPr>
            </w:pPr>
            <w:r>
              <w:rPr>
                <w:rFonts w:ascii="Arial" w:cs="Arial" w:eastAsia="Arial" w:hAnsi="Arial"/>
                <w:sz w:val="13"/>
                <w:szCs w:val="13"/>
                <w:b w:val="1"/>
                <w:bCs w:val="1"/>
                <w:color w:val="auto"/>
              </w:rPr>
              <w:t>3,866</w:t>
            </w:r>
          </w:p>
        </w:tc>
      </w:tr>
    </w:tbl>
    <w:p>
      <w:pPr>
        <w:spacing w:after="0" w:line="40" w:lineRule="exact"/>
        <w:rPr>
          <w:sz w:val="20"/>
          <w:szCs w:val="20"/>
          <w:color w:val="auto"/>
        </w:rPr>
      </w:pPr>
    </w:p>
    <w:p>
      <w:pPr>
        <w:sectPr>
          <w:pgSz w:w="11900" w:h="16838" w:orient="portrait"/>
          <w:cols w:equalWidth="0" w:num="1">
            <w:col w:w="11220"/>
          </w:cols>
          <w:pgMar w:left="320" w:top="1048" w:right="359" w:bottom="1440" w:gutter="0" w:footer="0" w:header="0"/>
        </w:sectPr>
      </w:pPr>
    </w:p>
    <w:p>
      <w:pPr>
        <w:ind w:left="60"/>
        <w:spacing w:after="0"/>
        <w:rPr>
          <w:sz w:val="20"/>
          <w:szCs w:val="20"/>
          <w:color w:val="auto"/>
        </w:rPr>
      </w:pPr>
      <w:r>
        <w:rPr>
          <w:rFonts w:ascii="Arial" w:cs="Arial" w:eastAsia="Arial" w:hAnsi="Arial"/>
          <w:sz w:val="13"/>
          <w:szCs w:val="13"/>
          <w:color w:val="auto"/>
        </w:rPr>
        <w:t>Net income for the period</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Net income attributable to noncontrolling interests</w:t>
      </w:r>
    </w:p>
    <w:p>
      <w:pPr>
        <w:spacing w:after="0" w:line="53" w:lineRule="exact"/>
        <w:rPr>
          <w:sz w:val="20"/>
          <w:szCs w:val="20"/>
          <w:color w:val="auto"/>
        </w:rPr>
      </w:pPr>
    </w:p>
    <w:p>
      <w:pPr>
        <w:ind w:left="220" w:right="180" w:hanging="161"/>
        <w:spacing w:after="0" w:line="258" w:lineRule="auto"/>
        <w:rPr>
          <w:sz w:val="20"/>
          <w:szCs w:val="20"/>
          <w:color w:val="auto"/>
        </w:rPr>
      </w:pPr>
      <w:r>
        <w:rPr>
          <w:rFonts w:ascii="Arial" w:cs="Arial" w:eastAsia="Arial" w:hAnsi="Arial"/>
          <w:sz w:val="13"/>
          <w:szCs w:val="13"/>
          <w:color w:val="auto"/>
        </w:rPr>
        <w:t>Net income attributable to redeemable noncontrolling interests</w:t>
      </w:r>
    </w:p>
    <w:p>
      <w:pPr>
        <w:spacing w:after="0" w:line="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Dividends on common stock</w:t>
      </w:r>
    </w:p>
    <w:p>
      <w:pPr>
        <w:spacing w:after="0" w:line="53" w:lineRule="exact"/>
        <w:rPr>
          <w:sz w:val="20"/>
          <w:szCs w:val="20"/>
          <w:color w:val="auto"/>
        </w:rPr>
      </w:pPr>
    </w:p>
    <w:p>
      <w:pPr>
        <w:ind w:left="220" w:hanging="161"/>
        <w:spacing w:after="0" w:line="258" w:lineRule="auto"/>
        <w:rPr>
          <w:sz w:val="20"/>
          <w:szCs w:val="20"/>
          <w:color w:val="auto"/>
        </w:rPr>
      </w:pPr>
      <w:r>
        <w:rPr>
          <w:rFonts w:ascii="Arial" w:cs="Arial" w:eastAsia="Arial" w:hAnsi="Arial"/>
          <w:sz w:val="13"/>
          <w:szCs w:val="13"/>
          <w:color w:val="auto"/>
        </w:rPr>
        <w:t>Amortization of unearned stock compensation and stock option expense</w:t>
      </w:r>
    </w:p>
    <w:p>
      <w:pPr>
        <w:spacing w:after="0" w:line="30" w:lineRule="exact"/>
        <w:rPr>
          <w:sz w:val="20"/>
          <w:szCs w:val="20"/>
          <w:color w:val="auto"/>
        </w:rPr>
      </w:pPr>
    </w:p>
    <w:p>
      <w:pPr>
        <w:ind w:left="60" w:right="540"/>
        <w:spacing w:after="0" w:line="410" w:lineRule="auto"/>
        <w:rPr>
          <w:sz w:val="20"/>
          <w:szCs w:val="20"/>
          <w:color w:val="auto"/>
        </w:rPr>
      </w:pPr>
      <w:r>
        <w:rPr>
          <w:rFonts w:ascii="Arial" w:cs="Arial" w:eastAsia="Arial" w:hAnsi="Arial"/>
          <w:sz w:val="13"/>
          <w:szCs w:val="13"/>
          <w:color w:val="auto"/>
        </w:rPr>
        <w:t xml:space="preserve">Other comprehensive loss, net of income taxes </w:t>
      </w:r>
      <w:r>
        <w:rPr>
          <w:rFonts w:ascii="Arial" w:cs="Arial" w:eastAsia="Arial" w:hAnsi="Arial"/>
          <w:sz w:val="13"/>
          <w:szCs w:val="13"/>
          <w:b w:val="1"/>
          <w:bCs w:val="1"/>
          <w:color w:val="auto"/>
        </w:rPr>
        <w:t>As of June 30, 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right"/>
              <w:ind w:right="33"/>
              <w:spacing w:after="0"/>
              <w:rPr>
                <w:sz w:val="20"/>
                <w:szCs w:val="20"/>
                <w:color w:val="auto"/>
              </w:rPr>
            </w:pPr>
            <w:r>
              <w:rPr>
                <w:rFonts w:ascii="Arial" w:cs="Arial" w:eastAsia="Arial" w:hAnsi="Arial"/>
                <w:sz w:val="13"/>
                <w:szCs w:val="13"/>
                <w:color w:val="auto"/>
              </w:rPr>
              <w:t>57,195</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57,195</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3"/>
        </w:trPr>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(104)</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104</w:t>
            </w: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51"/>
        </w:trPr>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(10)</w:t>
            </w:r>
          </w:p>
        </w:tc>
        <w:tc>
          <w:tcPr>
            <w:tcW w:w="440" w:type="dxa"/>
            <w:vAlign w:val="bottom"/>
          </w:tcPr>
          <w:p>
            <w:pPr>
              <w:spacing w:after="0"/>
              <w:rPr>
                <w:sz w:val="24"/>
                <w:szCs w:val="24"/>
                <w:color w:val="auto"/>
              </w:rPr>
            </w:pPr>
          </w:p>
        </w:tc>
        <w:tc>
          <w:tcPr>
            <w:tcW w:w="740" w:type="dxa"/>
            <w:vAlign w:val="bottom"/>
          </w:tcPr>
          <w:p>
            <w:pPr>
              <w:jc w:val="right"/>
              <w:ind w:right="93"/>
              <w:spacing w:after="0"/>
              <w:rPr>
                <w:sz w:val="20"/>
                <w:szCs w:val="20"/>
                <w:color w:val="auto"/>
              </w:rPr>
            </w:pPr>
            <w:r>
              <w:rPr>
                <w:rFonts w:ascii="Arial" w:cs="Arial" w:eastAsia="Arial" w:hAnsi="Arial"/>
                <w:sz w:val="13"/>
                <w:szCs w:val="13"/>
                <w:color w:val="auto"/>
              </w:rPr>
              <w:t>10</w:t>
            </w:r>
          </w:p>
        </w:tc>
      </w:tr>
      <w:tr>
        <w:trPr>
          <w:trHeight w:val="203"/>
        </w:trPr>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(7,388)</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ind w:right="33"/>
              <w:spacing w:after="0"/>
              <w:rPr>
                <w:sz w:val="20"/>
                <w:szCs w:val="20"/>
                <w:color w:val="auto"/>
              </w:rPr>
            </w:pPr>
            <w:r>
              <w:rPr>
                <w:rFonts w:ascii="Arial" w:cs="Arial" w:eastAsia="Arial" w:hAnsi="Arial"/>
                <w:sz w:val="13"/>
                <w:szCs w:val="13"/>
                <w:color w:val="auto"/>
              </w:rPr>
              <w:t>(7,388)</w:t>
            </w: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51"/>
        </w:trPr>
        <w:tc>
          <w:tcPr>
            <w:tcW w:w="620" w:type="dxa"/>
            <w:vAlign w:val="bottom"/>
          </w:tcPr>
          <w:p>
            <w:pPr>
              <w:spacing w:after="0"/>
              <w:rPr>
                <w:sz w:val="24"/>
                <w:szCs w:val="24"/>
                <w:color w:val="auto"/>
              </w:rPr>
            </w:pPr>
          </w:p>
        </w:tc>
        <w:tc>
          <w:tcPr>
            <w:tcW w:w="760" w:type="dxa"/>
            <w:vAlign w:val="bottom"/>
          </w:tcPr>
          <w:p>
            <w:pPr>
              <w:jc w:val="right"/>
              <w:ind w:right="13"/>
              <w:spacing w:after="0"/>
              <w:rPr>
                <w:sz w:val="20"/>
                <w:szCs w:val="20"/>
                <w:color w:val="auto"/>
              </w:rPr>
            </w:pPr>
            <w:r>
              <w:rPr>
                <w:rFonts w:ascii="Arial" w:cs="Arial" w:eastAsia="Arial" w:hAnsi="Arial"/>
                <w:sz w:val="13"/>
                <w:szCs w:val="13"/>
                <w:color w:val="auto"/>
              </w:rPr>
              <w:t>1,616</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jc w:val="right"/>
              <w:ind w:right="73"/>
              <w:spacing w:after="0"/>
              <w:rPr>
                <w:sz w:val="20"/>
                <w:szCs w:val="20"/>
                <w:color w:val="auto"/>
              </w:rPr>
            </w:pPr>
            <w:r>
              <w:rPr>
                <w:rFonts w:ascii="Arial" w:cs="Arial" w:eastAsia="Arial" w:hAnsi="Arial"/>
                <w:sz w:val="13"/>
                <w:szCs w:val="13"/>
                <w:color w:val="auto"/>
              </w:rPr>
              <w:t>1,616</w:t>
            </w: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0"/>
        </w:trPr>
        <w:tc>
          <w:tcPr>
            <w:tcW w:w="6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(12,095)</w:t>
            </w: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(12,095)</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196"/>
        </w:trPr>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$ 20,000</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$ 378,255</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$ 6,352,787</w:t>
            </w:r>
          </w:p>
        </w:tc>
        <w:tc>
          <w:tcPr>
            <w:tcW w:w="3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200,024</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(3,918,254)</w:t>
            </w:r>
          </w:p>
        </w:tc>
        <w:tc>
          <w:tcPr>
            <w:tcW w:w="34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6,042</w:t>
            </w:r>
          </w:p>
        </w:tc>
        <w:tc>
          <w:tcPr>
            <w:tcW w:w="10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  3,038,854</w:t>
            </w:r>
          </w:p>
        </w:tc>
        <w:tc>
          <w:tcPr>
            <w:tcW w:w="4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3,876</w:t>
            </w:r>
          </w:p>
        </w:tc>
      </w:tr>
      <w:tr>
        <w:trPr>
          <w:trHeight w:val="27"/>
        </w:trPr>
        <w:tc>
          <w:tcPr>
            <w:tcW w:w="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bl>
    <w:p>
      <w:pPr>
        <w:spacing w:after="0" w:line="207" w:lineRule="exact"/>
        <w:rPr>
          <w:sz w:val="20"/>
          <w:szCs w:val="20"/>
          <w:color w:val="auto"/>
        </w:rPr>
      </w:pPr>
    </w:p>
    <w:p>
      <w:pPr>
        <w:sectPr>
          <w:pgSz w:w="11900" w:h="16838" w:orient="portrait"/>
          <w:cols w:equalWidth="0" w:num="2">
            <w:col w:w="3400" w:space="260"/>
            <w:col w:w="7560"/>
          </w:cols>
          <w:pgMar w:left="320" w:top="1048" w:right="359" w:bottom="1440" w:gutter="0" w:footer="0" w:header="0"/>
          <w:type w:val="continuous"/>
        </w:sect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8" w:right="359" w:bottom="1440" w:gutter="0" w:footer="0" w:header="0"/>
          <w:type w:val="continuous"/>
        </w:sectPr>
      </w:pPr>
    </w:p>
    <w:bookmarkStart w:id="8" w:name="page9"/>
    <w:bookmarkEnd w:id="8"/>
    <w:p>
      <w:pPr>
        <w:ind w:left="4240"/>
        <w:spacing w:after="0"/>
        <w:rPr>
          <w:sz w:val="20"/>
          <w:szCs w:val="20"/>
          <w:color w:val="auto"/>
        </w:rPr>
      </w:pPr>
      <w:r>
        <w:rPr>
          <w:rFonts w:ascii="Arial" w:cs="Arial" w:eastAsia="Arial" w:hAnsi="Arial"/>
          <w:sz w:val="18"/>
          <w:szCs w:val="18"/>
          <w:b w:val="1"/>
          <w:bCs w:val="1"/>
          <w:color w:val="auto"/>
        </w:rPr>
        <w:t>GRAHAM HOLDINGS COMPANY</w:t>
      </w:r>
    </w:p>
    <w:p>
      <w:pPr>
        <w:spacing w:after="0" w:line="14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4"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66" w:lineRule="exact"/>
        <w:rPr>
          <w:sz w:val="20"/>
          <w:szCs w:val="20"/>
          <w:color w:val="auto"/>
        </w:rPr>
      </w:pPr>
    </w:p>
    <w:p>
      <w:pPr>
        <w:ind w:right="180"/>
        <w:spacing w:after="0" w:line="225" w:lineRule="auto"/>
        <w:rPr>
          <w:sz w:val="20"/>
          <w:szCs w:val="20"/>
          <w:color w:val="auto"/>
        </w:rPr>
      </w:pPr>
      <w:r>
        <w:rPr>
          <w:rFonts w:ascii="Arial" w:cs="Arial" w:eastAsia="Arial" w:hAnsi="Arial"/>
          <w:sz w:val="18"/>
          <w:szCs w:val="18"/>
          <w:color w:val="auto"/>
        </w:rPr>
        <w:t>Graham Holdings Company (the Company), is a diversified education and media company. The Company’s Kaplan subsidiary provides a wide variety of educational services, both domestically and outside the United States. The Company’s media operations comprise the ownership and operation of seven television broadcasting stations, several websites and print publications, and a marketing solutions provider. The Company’s other business operations include manufacturing, automotive dealerships, restaurants and entertainment venues, custom framing services and home health and hospice services.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spacing w:after="0" w:line="4" w:lineRule="exact"/>
        <w:rPr>
          <w:sz w:val="20"/>
          <w:szCs w:val="20"/>
          <w:color w:val="auto"/>
        </w:rPr>
      </w:pPr>
    </w:p>
    <w:p>
      <w:pPr>
        <w:ind w:right="40" w:firstLine="8"/>
        <w:spacing w:after="0" w:line="222" w:lineRule="auto"/>
        <w:tabs>
          <w:tab w:leader="none" w:pos="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and six months ended June 30, 2020 and 2019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2019.</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13" w:lineRule="exact"/>
        <w:rPr>
          <w:sz w:val="20"/>
          <w:szCs w:val="20"/>
          <w:color w:val="auto"/>
        </w:rPr>
      </w:pPr>
    </w:p>
    <w:p>
      <w:pPr>
        <w:ind w:right="60"/>
        <w:spacing w:after="0" w:line="230"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37" w:lineRule="exact"/>
        <w:rPr>
          <w:sz w:val="20"/>
          <w:szCs w:val="20"/>
          <w:color w:val="auto"/>
        </w:rPr>
      </w:pPr>
    </w:p>
    <w:p>
      <w:pPr>
        <w:ind w:right="40"/>
        <w:spacing w:after="0" w:line="222" w:lineRule="auto"/>
        <w:rPr>
          <w:sz w:val="20"/>
          <w:szCs w:val="20"/>
          <w:color w:val="auto"/>
        </w:rPr>
      </w:pPr>
      <w:r>
        <w:rPr>
          <w:rFonts w:ascii="Arial" w:cs="Arial" w:eastAsia="Arial" w:hAnsi="Arial"/>
          <w:sz w:val="18"/>
          <w:szCs w:val="18"/>
          <w:color w:val="auto"/>
        </w:rPr>
        <w:t>The Company assessed certain accounting matters that generally require consideration of forecasted financial information, in context with the information reasonably available to the Company and the unknown future impacts of the novel coronavirus (COVID-19) pandemic as of June 30, 2020 and through the date of this filing. The accounting matters assessed included, but were not limited to, the Company’s carrying value of goodwill and other long-lived assets, allowance for doubtful accounts, inventory valuation and related reserves, fair value of financial assets, valuation allowances for tax assets and revenue recognition. Other than the goodwill, indefinite-lived asset and other long-lived asset impairment charges (see Notes 6, 8 and 16), there were no other impacts to the Company’s condensed consolidated financial statements as of and for the six months ended June 30, 2020 resulting from our assessments. The Company’s future assessment of the magnitude and duration of COVID-19, as well as other factors, could result in material impacts to the Company’s condensed consolidated financial statements in future reporting periods.</w:t>
      </w:r>
    </w:p>
    <w:p>
      <w:pPr>
        <w:spacing w:after="0" w:line="118" w:lineRule="exact"/>
        <w:rPr>
          <w:sz w:val="20"/>
          <w:szCs w:val="20"/>
          <w:color w:val="auto"/>
        </w:rPr>
      </w:pPr>
    </w:p>
    <w:p>
      <w:pPr>
        <w:jc w:val="both"/>
        <w:ind w:right="80"/>
        <w:spacing w:after="0" w:line="233"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 Certain amounts in previously issued condensed consolidated financial statements have been reclassified to conform</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presentation for the period ended June 30, 2020. This includes the reclassification of $22.6 million and $ 48.5 million from operating to selling, general and administrative in the Condensed Consolidated Statements of Operations for the three and six months ended June 30, 2019, respectively.</w:t>
      </w:r>
    </w:p>
    <w:p>
      <w:pPr>
        <w:spacing w:after="0" w:line="114"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June 2016, the FASB issued new guidance that requires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assets measured at amortized cost, including accounts receivable, to be measured using the current expected credit losses model (CECL). CECL requires current expected credit losses to be measured upon the initial recognition of a financial asset by considering all available relevant information, including information about past events, current conditions and reasonable and supportable forecasts of future economic conditions. The standard was adopted by the Company in the first quarter of 2020 and did not have a significant impact on its Condensed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44"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During 2020, the Company acquired three businesses: two in education, and one in other businesses for $96.8 million in cash</w:t>
      </w:r>
      <w:r>
        <w:rPr>
          <w:rFonts w:ascii="Arial" w:cs="Arial" w:eastAsia="Arial" w:hAnsi="Arial"/>
          <w:sz w:val="18"/>
          <w:szCs w:val="18"/>
          <w:b w:val="1"/>
          <w:bCs w:val="1"/>
          <w:color w:val="auto"/>
        </w:rPr>
        <w:t xml:space="preserve"> </w:t>
      </w:r>
      <w:r>
        <w:rPr>
          <w:rFonts w:ascii="Arial" w:cs="Arial" w:eastAsia="Arial" w:hAnsi="Arial"/>
          <w:sz w:val="18"/>
          <w:szCs w:val="18"/>
          <w:color w:val="auto"/>
        </w:rPr>
        <w:t>and contingent consideration. The assets and liabilities of the companies acquired were recorded at their estimated fair values at the date of acquisition.</w:t>
      </w:r>
    </w:p>
    <w:p>
      <w:pPr>
        <w:spacing w:after="0" w:line="135"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In the first three months of 2020, Kaplan acquired two small businesses; one in its professional (U.S.) division and one in its international division.</w:t>
      </w:r>
    </w:p>
    <w:p>
      <w:pPr>
        <w:spacing w:after="0" w:line="135"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In May 2020, the Company acquired an additional interest in Framebridge, Inc. for cash and contingent consideration that resulted in the Company obtaining control of the investee. Following the acquisition, the Company owns 93.4% of Framebridge. The Company previously accounted for Framebridge under the equity method, and included it in Investments in Affiliates on the Condensed Consolidated Balance Sheet (see Note 3). The contingent consideration is primarily based on Framebridge achieving revenue milestones within a specific time period. The fair value of the contingent consideration at the acquisition date was $50.6 million, determined using a monte carlo simulation. The fair value of the redeemable noncontrolling interest in Framebridge was $6.0 million as of the acquisition date, determined using a market approach. The minority shareholder has an option to put 20% of the minority shares annually starting in 2024. The acquisition is expected to provide benefits in the future by diversifying the Company’s business operations and is included in other businesses.</w:t>
      </w:r>
    </w:p>
    <w:p>
      <w:pPr>
        <w:spacing w:after="0" w:line="136" w:lineRule="exact"/>
        <w:rPr>
          <w:sz w:val="20"/>
          <w:szCs w:val="20"/>
          <w:color w:val="auto"/>
        </w:rPr>
      </w:pPr>
    </w:p>
    <w:p>
      <w:pPr>
        <w:ind w:right="320"/>
        <w:spacing w:after="0" w:line="229" w:lineRule="auto"/>
        <w:rPr>
          <w:sz w:val="20"/>
          <w:szCs w:val="20"/>
          <w:color w:val="auto"/>
        </w:rPr>
      </w:pPr>
      <w:r>
        <w:rPr>
          <w:rFonts w:ascii="Arial" w:cs="Arial" w:eastAsia="Arial" w:hAnsi="Arial"/>
          <w:sz w:val="18"/>
          <w:szCs w:val="18"/>
          <w:color w:val="auto"/>
        </w:rPr>
        <w:t>During 2019, the Company acquired eight businesses, one in education, three in healthcare, one in manufacturing, and three in other businesses for $211.8 million in cash and contingent consideration and the assumption of $25.8 million in floor plan payables. The assets and liabilities of the companies acquired were recorded at their estimated fair values at the date of acquisition.</w:t>
      </w:r>
    </w:p>
    <w:p>
      <w:pPr>
        <w:spacing w:after="0" w:line="137" w:lineRule="exact"/>
        <w:rPr>
          <w:sz w:val="20"/>
          <w:szCs w:val="20"/>
          <w:color w:val="auto"/>
        </w:rPr>
      </w:pPr>
    </w:p>
    <w:p>
      <w:pPr>
        <w:ind w:right="100"/>
        <w:spacing w:after="0" w:line="222" w:lineRule="auto"/>
        <w:rPr>
          <w:sz w:val="20"/>
          <w:szCs w:val="20"/>
          <w:color w:val="auto"/>
        </w:rPr>
      </w:pPr>
      <w:r>
        <w:rPr>
          <w:rFonts w:ascii="Arial" w:cs="Arial" w:eastAsia="Arial" w:hAnsi="Arial"/>
          <w:sz w:val="18"/>
          <w:szCs w:val="18"/>
          <w:color w:val="auto"/>
        </w:rPr>
        <w:t>On January 31, 2019, the Company acquired an interest in two automotive dealerships for cash and the assumption of floor plan payables (see Note 5). In connection with the acquisition, the automotive subsidiary of the Company borrowed $ 30 million to finance the acquisition and entered into an interest rate swap to fix the interest rate on the debt at 4.7% per annum (see Note 7). The Company has a 90% interest in the automotive subsidiary. The Company also entered into a management services agreement with an entity affiliated with Christopher J. Ourisman, a member of the Ourisman Automotive Group family of dealerships. Mr. Ourisman and his team operate and manage the dealerships. The Company paid a fee of $2.3 million for the year ended December 31, 2019 in connection with the management services provided under this agreement. In addition, the Company advanced $3.5 million to the minority shareholder, an entity controlled by Mr. Ourisman, at an interest rate of 6% per annum. The minority shareholder has the option to acquire up to an additional 10% interest in the automotive subsidiary. The acquisition is expected to provide benefits in the future by diversifying the Company’s business operations and is included in other businesses.</w:t>
      </w:r>
    </w:p>
    <w:p>
      <w:pPr>
        <w:spacing w:after="0" w:line="137"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In July 2019, Graham Healthcare Group (GHG) acquired a 100% interest in a small business which is expected to provide certain strategic benefits in the future and is included in healthcare. On July 11, 2019, Kaplan acquired a 100% interest in Heverald, the owner of ESL Education, Europe’s largest language-travel agency and Alpadia, a chain of German and French language schools and junior summer camps. The acquisition is expected to provide synergies within Kaplan’s International English business and is included in Kaplan’s international division.</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On July 31, 2019, the Company announced the closing of its acquisition of Clyde’s Restaurant Group (CRG). CRG owns and operates 12 restaurants and entertainment venues in the Washington, DC metropolitan area, including Old Ebbitt Grill and The Hamilton. In connection with the acquisition, the Company entered into several leases with an entity affiliated with some of CRG’s senior managers. The acquisition is expected to provide benefits in the future by diversifying the Company’s business operations and is included in other businesses.</w:t>
      </w:r>
    </w:p>
    <w:p>
      <w:pPr>
        <w:spacing w:after="0" w:line="135"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September 2019, Joyce/Dayton Corp. acquired the assets of a small business. The acquisition is expected to complement current product offerings and is included in manufacturing.</w:t>
      </w:r>
    </w:p>
    <w:p>
      <w:pPr>
        <w:spacing w:after="0" w:line="135"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On December 1, 2019, GHG acquired 75% of the preferred shares of CSI Pharmacy Holding Company, LLC, (CSI). In connection with the acquisition, CSI entered into an $11.25 million Term Loan (see Note 7) to finance the acquisition. CSI is a specialty and home infusion pharmacy which provides intravenous immunoglobulin therapies to patients. The minority shareholders may put up to 50% of their preferred shares to GHG and the first put period begins in 2022. A second put period for another tranche of preferred shares begins in 2024. The fair value of the redeemable noncontrolling interest in CSI was $1.7 million at the acquisition date, determined using an income approach. The acquisition is expected to expand the product offerings of the healthcare division.</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0" w:name="page11"/>
    <w:bookmarkEnd w:id="10"/>
    <w:p>
      <w:pPr>
        <w:ind w:right="360"/>
        <w:spacing w:after="0" w:line="229" w:lineRule="auto"/>
        <w:rPr>
          <w:sz w:val="20"/>
          <w:szCs w:val="20"/>
          <w:color w:val="auto"/>
        </w:rPr>
      </w:pPr>
      <w:r>
        <w:rPr>
          <w:rFonts w:ascii="Arial" w:cs="Arial" w:eastAsia="Arial" w:hAnsi="Arial"/>
          <w:sz w:val="18"/>
          <w:szCs w:val="18"/>
          <w:color w:val="auto"/>
        </w:rPr>
        <w:t>Acquisition-related costs for acquisitions that closed during the first six months of 2020 were $1.1 million and were expensed as incurred. The aggregate purchase price of the 2020 and 2019 acquisitions was allocated as follows (2020 on a preliminary basis), based on acquisition date fair values to the following assets and liabilities: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Purchase Price Allocation</w:t>
            </w:r>
          </w:p>
        </w:tc>
      </w:tr>
      <w:tr>
        <w:trPr>
          <w:trHeight w:val="203"/>
        </w:trPr>
        <w:tc>
          <w:tcPr>
            <w:tcW w:w="6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20" w:type="dxa"/>
            <w:vAlign w:val="bottom"/>
          </w:tcPr>
          <w:p>
            <w:pPr>
              <w:jc w:val="right"/>
              <w:ind w:right="321"/>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7"/>
                <w:szCs w:val="17"/>
                <w:color w:val="auto"/>
              </w:rPr>
            </w:pPr>
          </w:p>
        </w:tc>
        <w:tc>
          <w:tcPr>
            <w:tcW w:w="1980" w:type="dxa"/>
            <w:vAlign w:val="bottom"/>
          </w:tcPr>
          <w:p>
            <w:pPr>
              <w:jc w:val="right"/>
              <w:ind w:right="660"/>
              <w:spacing w:after="0"/>
              <w:rPr>
                <w:sz w:val="20"/>
                <w:szCs w:val="20"/>
                <w:color w:val="auto"/>
              </w:rPr>
            </w:pPr>
            <w:r>
              <w:rPr>
                <w:rFonts w:ascii="Arial" w:cs="Arial" w:eastAsia="Arial" w:hAnsi="Arial"/>
                <w:sz w:val="14"/>
                <w:szCs w:val="14"/>
                <w:b w:val="1"/>
                <w:bCs w:val="1"/>
                <w:color w:val="auto"/>
              </w:rPr>
              <w:t>Year Ended</w:t>
            </w:r>
          </w:p>
        </w:tc>
      </w:tr>
      <w:tr>
        <w:trPr>
          <w:trHeight w:val="222"/>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June 30, 2020</w:t>
            </w: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682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820" w:type="dxa"/>
            <w:vAlign w:val="bottom"/>
          </w:tcPr>
          <w:p>
            <w:pPr>
              <w:jc w:val="right"/>
              <w:ind w:right="21"/>
              <w:spacing w:after="0"/>
              <w:rPr>
                <w:sz w:val="20"/>
                <w:szCs w:val="20"/>
                <w:color w:val="auto"/>
              </w:rPr>
            </w:pPr>
            <w:r>
              <w:rPr>
                <w:rFonts w:ascii="Arial" w:cs="Arial" w:eastAsia="Arial" w:hAnsi="Arial"/>
                <w:sz w:val="16"/>
                <w:szCs w:val="16"/>
                <w:b w:val="1"/>
                <w:bCs w:val="1"/>
                <w:color w:val="auto"/>
              </w:rPr>
              <w:t>745</w:t>
            </w:r>
          </w:p>
        </w:tc>
        <w:tc>
          <w:tcPr>
            <w:tcW w:w="340" w:type="dxa"/>
            <w:vAlign w:val="bottom"/>
          </w:tcPr>
          <w:p>
            <w:pPr>
              <w:jc w:val="center"/>
              <w:ind w:right="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ind w:right="80"/>
              <w:spacing w:after="0"/>
              <w:rPr>
                <w:sz w:val="20"/>
                <w:szCs w:val="20"/>
                <w:color w:val="auto"/>
              </w:rPr>
            </w:pPr>
            <w:r>
              <w:rPr>
                <w:rFonts w:ascii="Arial" w:cs="Arial" w:eastAsia="Arial" w:hAnsi="Arial"/>
                <w:sz w:val="16"/>
                <w:szCs w:val="16"/>
                <w:color w:val="auto"/>
              </w:rPr>
              <w:t>6,762</w:t>
            </w:r>
          </w:p>
        </w:tc>
      </w:tr>
      <w:tr>
        <w:trPr>
          <w:trHeight w:val="243"/>
        </w:trPr>
        <w:tc>
          <w:tcPr>
            <w:tcW w:w="682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80" w:type="dxa"/>
            <w:vAlign w:val="bottom"/>
          </w:tcPr>
          <w:p>
            <w:pPr>
              <w:spacing w:after="0"/>
              <w:rPr>
                <w:sz w:val="21"/>
                <w:szCs w:val="21"/>
                <w:color w:val="auto"/>
              </w:rPr>
            </w:pPr>
          </w:p>
        </w:tc>
        <w:tc>
          <w:tcPr>
            <w:tcW w:w="1820" w:type="dxa"/>
            <w:vAlign w:val="bottom"/>
          </w:tcPr>
          <w:p>
            <w:pPr>
              <w:jc w:val="right"/>
              <w:ind w:right="21"/>
              <w:spacing w:after="0"/>
              <w:rPr>
                <w:sz w:val="20"/>
                <w:szCs w:val="20"/>
                <w:color w:val="auto"/>
              </w:rPr>
            </w:pPr>
            <w:r>
              <w:rPr>
                <w:rFonts w:ascii="Arial" w:cs="Arial" w:eastAsia="Arial" w:hAnsi="Arial"/>
                <w:sz w:val="16"/>
                <w:szCs w:val="16"/>
                <w:b w:val="1"/>
                <w:bCs w:val="1"/>
                <w:color w:val="auto"/>
              </w:rPr>
              <w:t>3,496</w:t>
            </w:r>
          </w:p>
        </w:tc>
        <w:tc>
          <w:tcPr>
            <w:tcW w:w="340" w:type="dxa"/>
            <w:vAlign w:val="bottom"/>
          </w:tcPr>
          <w:p>
            <w:pPr>
              <w:spacing w:after="0"/>
              <w:rPr>
                <w:sz w:val="21"/>
                <w:szCs w:val="21"/>
                <w:color w:val="auto"/>
              </w:rPr>
            </w:pPr>
          </w:p>
        </w:tc>
        <w:tc>
          <w:tcPr>
            <w:tcW w:w="1980" w:type="dxa"/>
            <w:vAlign w:val="bottom"/>
          </w:tcPr>
          <w:p>
            <w:pPr>
              <w:jc w:val="right"/>
              <w:ind w:right="80"/>
              <w:spacing w:after="0"/>
              <w:rPr>
                <w:sz w:val="20"/>
                <w:szCs w:val="20"/>
                <w:color w:val="auto"/>
              </w:rPr>
            </w:pPr>
            <w:r>
              <w:rPr>
                <w:rFonts w:ascii="Arial" w:cs="Arial" w:eastAsia="Arial" w:hAnsi="Arial"/>
                <w:sz w:val="16"/>
                <w:szCs w:val="16"/>
                <w:color w:val="auto"/>
              </w:rPr>
              <w:t>34,134</w:t>
            </w:r>
          </w:p>
        </w:tc>
      </w:tr>
      <w:tr>
        <w:trPr>
          <w:trHeight w:val="243"/>
        </w:trPr>
        <w:tc>
          <w:tcPr>
            <w:tcW w:w="682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80" w:type="dxa"/>
            <w:vAlign w:val="bottom"/>
          </w:tcPr>
          <w:p>
            <w:pPr>
              <w:spacing w:after="0"/>
              <w:rPr>
                <w:sz w:val="21"/>
                <w:szCs w:val="21"/>
                <w:color w:val="auto"/>
              </w:rPr>
            </w:pPr>
          </w:p>
        </w:tc>
        <w:tc>
          <w:tcPr>
            <w:tcW w:w="1820" w:type="dxa"/>
            <w:vAlign w:val="bottom"/>
          </w:tcPr>
          <w:p>
            <w:pPr>
              <w:jc w:val="right"/>
              <w:ind w:right="21"/>
              <w:spacing w:after="0"/>
              <w:rPr>
                <w:sz w:val="20"/>
                <w:szCs w:val="20"/>
                <w:color w:val="auto"/>
              </w:rPr>
            </w:pPr>
            <w:r>
              <w:rPr>
                <w:rFonts w:ascii="Arial" w:cs="Arial" w:eastAsia="Arial" w:hAnsi="Arial"/>
                <w:sz w:val="16"/>
                <w:szCs w:val="16"/>
                <w:b w:val="1"/>
                <w:bCs w:val="1"/>
                <w:color w:val="auto"/>
              </w:rPr>
              <w:t>3,346</w:t>
            </w:r>
          </w:p>
        </w:tc>
        <w:tc>
          <w:tcPr>
            <w:tcW w:w="340" w:type="dxa"/>
            <w:vAlign w:val="bottom"/>
          </w:tcPr>
          <w:p>
            <w:pPr>
              <w:spacing w:after="0"/>
              <w:rPr>
                <w:sz w:val="21"/>
                <w:szCs w:val="21"/>
                <w:color w:val="auto"/>
              </w:rPr>
            </w:pPr>
          </w:p>
        </w:tc>
        <w:tc>
          <w:tcPr>
            <w:tcW w:w="1980" w:type="dxa"/>
            <w:vAlign w:val="bottom"/>
          </w:tcPr>
          <w:p>
            <w:pPr>
              <w:jc w:val="right"/>
              <w:ind w:right="80"/>
              <w:spacing w:after="0"/>
              <w:rPr>
                <w:sz w:val="20"/>
                <w:szCs w:val="20"/>
                <w:color w:val="auto"/>
              </w:rPr>
            </w:pPr>
            <w:r>
              <w:rPr>
                <w:rFonts w:ascii="Arial" w:cs="Arial" w:eastAsia="Arial" w:hAnsi="Arial"/>
                <w:sz w:val="16"/>
                <w:szCs w:val="16"/>
                <w:color w:val="auto"/>
              </w:rPr>
              <w:t>56,391</w:t>
            </w:r>
          </w:p>
        </w:tc>
      </w:tr>
      <w:tr>
        <w:trPr>
          <w:trHeight w:val="243"/>
        </w:trPr>
        <w:tc>
          <w:tcPr>
            <w:tcW w:w="682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280" w:type="dxa"/>
            <w:vAlign w:val="bottom"/>
          </w:tcPr>
          <w:p>
            <w:pPr>
              <w:spacing w:after="0"/>
              <w:rPr>
                <w:sz w:val="21"/>
                <w:szCs w:val="21"/>
                <w:color w:val="auto"/>
              </w:rPr>
            </w:pPr>
          </w:p>
        </w:tc>
        <w:tc>
          <w:tcPr>
            <w:tcW w:w="1820" w:type="dxa"/>
            <w:vAlign w:val="bottom"/>
          </w:tcPr>
          <w:p>
            <w:pPr>
              <w:jc w:val="right"/>
              <w:ind w:right="21"/>
              <w:spacing w:after="0"/>
              <w:rPr>
                <w:sz w:val="20"/>
                <w:szCs w:val="20"/>
                <w:color w:val="auto"/>
              </w:rPr>
            </w:pPr>
            <w:r>
              <w:rPr>
                <w:rFonts w:ascii="Arial" w:cs="Arial" w:eastAsia="Arial" w:hAnsi="Arial"/>
                <w:sz w:val="16"/>
                <w:szCs w:val="16"/>
                <w:b w:val="1"/>
                <w:bCs w:val="1"/>
                <w:color w:val="auto"/>
              </w:rPr>
              <w:t>6,556</w:t>
            </w:r>
          </w:p>
        </w:tc>
        <w:tc>
          <w:tcPr>
            <w:tcW w:w="340" w:type="dxa"/>
            <w:vAlign w:val="bottom"/>
          </w:tcPr>
          <w:p>
            <w:pPr>
              <w:spacing w:after="0"/>
              <w:rPr>
                <w:sz w:val="21"/>
                <w:szCs w:val="21"/>
                <w:color w:val="auto"/>
              </w:rPr>
            </w:pPr>
          </w:p>
        </w:tc>
        <w:tc>
          <w:tcPr>
            <w:tcW w:w="1980" w:type="dxa"/>
            <w:vAlign w:val="bottom"/>
          </w:tcPr>
          <w:p>
            <w:pPr>
              <w:jc w:val="right"/>
              <w:ind w:right="80"/>
              <w:spacing w:after="0"/>
              <w:rPr>
                <w:sz w:val="20"/>
                <w:szCs w:val="20"/>
                <w:color w:val="auto"/>
              </w:rPr>
            </w:pPr>
            <w:r>
              <w:rPr>
                <w:rFonts w:ascii="Arial" w:cs="Arial" w:eastAsia="Arial" w:hAnsi="Arial"/>
                <w:sz w:val="16"/>
                <w:szCs w:val="16"/>
                <w:color w:val="auto"/>
              </w:rPr>
              <w:t>98,505</w:t>
            </w:r>
          </w:p>
        </w:tc>
      </w:tr>
      <w:tr>
        <w:trPr>
          <w:trHeight w:val="243"/>
        </w:trPr>
        <w:tc>
          <w:tcPr>
            <w:tcW w:w="68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21"/>
                <w:szCs w:val="21"/>
                <w:color w:val="auto"/>
              </w:rPr>
            </w:pPr>
          </w:p>
        </w:tc>
        <w:tc>
          <w:tcPr>
            <w:tcW w:w="1820" w:type="dxa"/>
            <w:vAlign w:val="bottom"/>
          </w:tcPr>
          <w:p>
            <w:pPr>
              <w:jc w:val="right"/>
              <w:ind w:right="21"/>
              <w:spacing w:after="0"/>
              <w:rPr>
                <w:sz w:val="20"/>
                <w:szCs w:val="20"/>
                <w:color w:val="auto"/>
              </w:rPr>
            </w:pPr>
            <w:r>
              <w:rPr>
                <w:rFonts w:ascii="Arial" w:cs="Arial" w:eastAsia="Arial" w:hAnsi="Arial"/>
                <w:sz w:val="16"/>
                <w:szCs w:val="16"/>
                <w:b w:val="1"/>
                <w:bCs w:val="1"/>
                <w:color w:val="auto"/>
              </w:rPr>
              <w:t>76,920</w:t>
            </w:r>
          </w:p>
        </w:tc>
        <w:tc>
          <w:tcPr>
            <w:tcW w:w="340" w:type="dxa"/>
            <w:vAlign w:val="bottom"/>
          </w:tcPr>
          <w:p>
            <w:pPr>
              <w:spacing w:after="0"/>
              <w:rPr>
                <w:sz w:val="21"/>
                <w:szCs w:val="21"/>
                <w:color w:val="auto"/>
              </w:rPr>
            </w:pPr>
          </w:p>
        </w:tc>
        <w:tc>
          <w:tcPr>
            <w:tcW w:w="1980" w:type="dxa"/>
            <w:vAlign w:val="bottom"/>
          </w:tcPr>
          <w:p>
            <w:pPr>
              <w:jc w:val="right"/>
              <w:ind w:right="80"/>
              <w:spacing w:after="0"/>
              <w:rPr>
                <w:sz w:val="20"/>
                <w:szCs w:val="20"/>
                <w:color w:val="auto"/>
              </w:rPr>
            </w:pPr>
            <w:r>
              <w:rPr>
                <w:rFonts w:ascii="Arial" w:cs="Arial" w:eastAsia="Arial" w:hAnsi="Arial"/>
                <w:sz w:val="16"/>
                <w:szCs w:val="16"/>
                <w:color w:val="auto"/>
              </w:rPr>
              <w:t>84,669</w:t>
            </w:r>
          </w:p>
        </w:tc>
      </w:tr>
      <w:tr>
        <w:trPr>
          <w:trHeight w:val="243"/>
        </w:trPr>
        <w:tc>
          <w:tcPr>
            <w:tcW w:w="682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280" w:type="dxa"/>
            <w:vAlign w:val="bottom"/>
          </w:tcPr>
          <w:p>
            <w:pPr>
              <w:spacing w:after="0"/>
              <w:rPr>
                <w:sz w:val="21"/>
                <w:szCs w:val="21"/>
                <w:color w:val="auto"/>
              </w:rPr>
            </w:pPr>
          </w:p>
        </w:tc>
        <w:tc>
          <w:tcPr>
            <w:tcW w:w="18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1"/>
                <w:szCs w:val="21"/>
                <w:color w:val="auto"/>
              </w:rPr>
            </w:pPr>
          </w:p>
        </w:tc>
        <w:tc>
          <w:tcPr>
            <w:tcW w:w="1980" w:type="dxa"/>
            <w:vAlign w:val="bottom"/>
          </w:tcPr>
          <w:p>
            <w:pPr>
              <w:jc w:val="right"/>
              <w:ind w:right="80"/>
              <w:spacing w:after="0"/>
              <w:rPr>
                <w:sz w:val="20"/>
                <w:szCs w:val="20"/>
                <w:color w:val="auto"/>
              </w:rPr>
            </w:pPr>
            <w:r>
              <w:rPr>
                <w:rFonts w:ascii="Arial" w:cs="Arial" w:eastAsia="Arial" w:hAnsi="Arial"/>
                <w:sz w:val="16"/>
                <w:szCs w:val="16"/>
                <w:color w:val="auto"/>
              </w:rPr>
              <w:t>46,900</w:t>
            </w:r>
          </w:p>
        </w:tc>
      </w:tr>
      <w:tr>
        <w:trPr>
          <w:trHeight w:val="243"/>
        </w:trPr>
        <w:tc>
          <w:tcPr>
            <w:tcW w:w="682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80" w:type="dxa"/>
            <w:vAlign w:val="bottom"/>
          </w:tcPr>
          <w:p>
            <w:pPr>
              <w:spacing w:after="0"/>
              <w:rPr>
                <w:sz w:val="21"/>
                <w:szCs w:val="21"/>
                <w:color w:val="auto"/>
              </w:rPr>
            </w:pPr>
          </w:p>
        </w:tc>
        <w:tc>
          <w:tcPr>
            <w:tcW w:w="1820" w:type="dxa"/>
            <w:vAlign w:val="bottom"/>
          </w:tcPr>
          <w:p>
            <w:pPr>
              <w:jc w:val="right"/>
              <w:ind w:right="21"/>
              <w:spacing w:after="0"/>
              <w:rPr>
                <w:sz w:val="20"/>
                <w:szCs w:val="20"/>
                <w:color w:val="auto"/>
              </w:rPr>
            </w:pPr>
            <w:r>
              <w:rPr>
                <w:rFonts w:ascii="Arial" w:cs="Arial" w:eastAsia="Arial" w:hAnsi="Arial"/>
                <w:sz w:val="16"/>
                <w:szCs w:val="16"/>
                <w:b w:val="1"/>
                <w:bCs w:val="1"/>
                <w:color w:val="auto"/>
              </w:rPr>
              <w:t>14,589</w:t>
            </w:r>
          </w:p>
        </w:tc>
        <w:tc>
          <w:tcPr>
            <w:tcW w:w="340" w:type="dxa"/>
            <w:vAlign w:val="bottom"/>
          </w:tcPr>
          <w:p>
            <w:pPr>
              <w:spacing w:after="0"/>
              <w:rPr>
                <w:sz w:val="21"/>
                <w:szCs w:val="21"/>
                <w:color w:val="auto"/>
              </w:rPr>
            </w:pPr>
          </w:p>
        </w:tc>
        <w:tc>
          <w:tcPr>
            <w:tcW w:w="1980" w:type="dxa"/>
            <w:vAlign w:val="bottom"/>
          </w:tcPr>
          <w:p>
            <w:pPr>
              <w:jc w:val="right"/>
              <w:ind w:right="80"/>
              <w:spacing w:after="0"/>
              <w:rPr>
                <w:sz w:val="20"/>
                <w:szCs w:val="20"/>
                <w:color w:val="auto"/>
              </w:rPr>
            </w:pPr>
            <w:r>
              <w:rPr>
                <w:rFonts w:ascii="Arial" w:cs="Arial" w:eastAsia="Arial" w:hAnsi="Arial"/>
                <w:sz w:val="16"/>
                <w:szCs w:val="16"/>
                <w:color w:val="auto"/>
              </w:rPr>
              <w:t>21,291</w:t>
            </w:r>
          </w:p>
        </w:tc>
      </w:tr>
      <w:tr>
        <w:trPr>
          <w:trHeight w:val="243"/>
        </w:trPr>
        <w:tc>
          <w:tcPr>
            <w:tcW w:w="682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1"/>
                <w:szCs w:val="21"/>
                <w:color w:val="auto"/>
              </w:rPr>
            </w:pPr>
          </w:p>
        </w:tc>
        <w:tc>
          <w:tcPr>
            <w:tcW w:w="1820" w:type="dxa"/>
            <w:vAlign w:val="bottom"/>
          </w:tcPr>
          <w:p>
            <w:pPr>
              <w:jc w:val="right"/>
              <w:ind w:right="21"/>
              <w:spacing w:after="0"/>
              <w:rPr>
                <w:sz w:val="20"/>
                <w:szCs w:val="20"/>
                <w:color w:val="auto"/>
              </w:rPr>
            </w:pPr>
            <w:r>
              <w:rPr>
                <w:rFonts w:ascii="Arial" w:cs="Arial" w:eastAsia="Arial" w:hAnsi="Arial"/>
                <w:sz w:val="16"/>
                <w:szCs w:val="16"/>
                <w:b w:val="1"/>
                <w:bCs w:val="1"/>
                <w:color w:val="auto"/>
              </w:rPr>
              <w:t>1,054</w:t>
            </w:r>
          </w:p>
        </w:tc>
        <w:tc>
          <w:tcPr>
            <w:tcW w:w="340" w:type="dxa"/>
            <w:vAlign w:val="bottom"/>
          </w:tcPr>
          <w:p>
            <w:pPr>
              <w:spacing w:after="0"/>
              <w:rPr>
                <w:sz w:val="21"/>
                <w:szCs w:val="21"/>
                <w:color w:val="auto"/>
              </w:rPr>
            </w:pPr>
          </w:p>
        </w:tc>
        <w:tc>
          <w:tcPr>
            <w:tcW w:w="1980" w:type="dxa"/>
            <w:vAlign w:val="bottom"/>
          </w:tcPr>
          <w:p>
            <w:pPr>
              <w:jc w:val="right"/>
              <w:ind w:right="80"/>
              <w:spacing w:after="0"/>
              <w:rPr>
                <w:sz w:val="20"/>
                <w:szCs w:val="20"/>
                <w:color w:val="auto"/>
              </w:rPr>
            </w:pPr>
            <w:r>
              <w:rPr>
                <w:rFonts w:ascii="Arial" w:cs="Arial" w:eastAsia="Arial" w:hAnsi="Arial"/>
                <w:sz w:val="16"/>
                <w:szCs w:val="16"/>
                <w:color w:val="auto"/>
              </w:rPr>
              <w:t>8,308</w:t>
            </w:r>
          </w:p>
        </w:tc>
      </w:tr>
      <w:tr>
        <w:trPr>
          <w:trHeight w:val="243"/>
        </w:trPr>
        <w:tc>
          <w:tcPr>
            <w:tcW w:w="682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1"/>
                <w:szCs w:val="21"/>
                <w:color w:val="auto"/>
              </w:rPr>
            </w:pPr>
          </w:p>
        </w:tc>
        <w:tc>
          <w:tcPr>
            <w:tcW w:w="1820" w:type="dxa"/>
            <w:vAlign w:val="bottom"/>
          </w:tcPr>
          <w:p>
            <w:pPr>
              <w:jc w:val="right"/>
              <w:ind w:right="21"/>
              <w:spacing w:after="0"/>
              <w:rPr>
                <w:sz w:val="20"/>
                <w:szCs w:val="20"/>
                <w:color w:val="auto"/>
              </w:rPr>
            </w:pPr>
            <w:r>
              <w:rPr>
                <w:rFonts w:ascii="Arial" w:cs="Arial" w:eastAsia="Arial" w:hAnsi="Arial"/>
                <w:sz w:val="16"/>
                <w:szCs w:val="16"/>
                <w:b w:val="1"/>
                <w:bCs w:val="1"/>
                <w:color w:val="auto"/>
              </w:rPr>
              <w:t>13,476</w:t>
            </w:r>
          </w:p>
        </w:tc>
        <w:tc>
          <w:tcPr>
            <w:tcW w:w="340" w:type="dxa"/>
            <w:vAlign w:val="bottom"/>
          </w:tcPr>
          <w:p>
            <w:pPr>
              <w:spacing w:after="0"/>
              <w:rPr>
                <w:sz w:val="21"/>
                <w:szCs w:val="21"/>
                <w:color w:val="auto"/>
              </w:rPr>
            </w:pPr>
          </w:p>
        </w:tc>
        <w:tc>
          <w:tcPr>
            <w:tcW w:w="1980" w:type="dxa"/>
            <w:vAlign w:val="bottom"/>
          </w:tcPr>
          <w:p>
            <w:pPr>
              <w:jc w:val="right"/>
              <w:ind w:right="20"/>
              <w:spacing w:after="0"/>
              <w:rPr>
                <w:sz w:val="20"/>
                <w:szCs w:val="20"/>
                <w:color w:val="auto"/>
              </w:rPr>
            </w:pPr>
            <w:r>
              <w:rPr>
                <w:rFonts w:ascii="Arial" w:cs="Arial" w:eastAsia="Arial" w:hAnsi="Arial"/>
                <w:sz w:val="16"/>
                <w:szCs w:val="16"/>
                <w:color w:val="auto"/>
              </w:rPr>
              <w:t>(2,703)</w:t>
            </w:r>
          </w:p>
        </w:tc>
      </w:tr>
      <w:tr>
        <w:trPr>
          <w:trHeight w:val="243"/>
        </w:trPr>
        <w:tc>
          <w:tcPr>
            <w:tcW w:w="6820" w:type="dxa"/>
            <w:vAlign w:val="bottom"/>
          </w:tcPr>
          <w:p>
            <w:pPr>
              <w:ind w:left="20"/>
              <w:spacing w:after="0"/>
              <w:rPr>
                <w:sz w:val="20"/>
                <w:szCs w:val="20"/>
                <w:color w:val="auto"/>
              </w:rPr>
            </w:pPr>
            <w:r>
              <w:rPr>
                <w:rFonts w:ascii="Arial" w:cs="Arial" w:eastAsia="Arial" w:hAnsi="Arial"/>
                <w:sz w:val="16"/>
                <w:szCs w:val="16"/>
                <w:color w:val="auto"/>
              </w:rPr>
              <w:t>Floor plan payables</w:t>
            </w:r>
          </w:p>
        </w:tc>
        <w:tc>
          <w:tcPr>
            <w:tcW w:w="280" w:type="dxa"/>
            <w:vAlign w:val="bottom"/>
          </w:tcPr>
          <w:p>
            <w:pPr>
              <w:spacing w:after="0"/>
              <w:rPr>
                <w:sz w:val="21"/>
                <w:szCs w:val="21"/>
                <w:color w:val="auto"/>
              </w:rPr>
            </w:pPr>
          </w:p>
        </w:tc>
        <w:tc>
          <w:tcPr>
            <w:tcW w:w="18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1"/>
                <w:szCs w:val="21"/>
                <w:color w:val="auto"/>
              </w:rPr>
            </w:pPr>
          </w:p>
        </w:tc>
        <w:tc>
          <w:tcPr>
            <w:tcW w:w="1980" w:type="dxa"/>
            <w:vAlign w:val="bottom"/>
          </w:tcPr>
          <w:p>
            <w:pPr>
              <w:jc w:val="right"/>
              <w:ind w:right="20"/>
              <w:spacing w:after="0"/>
              <w:rPr>
                <w:sz w:val="20"/>
                <w:szCs w:val="20"/>
                <w:color w:val="auto"/>
              </w:rPr>
            </w:pPr>
            <w:r>
              <w:rPr>
                <w:rFonts w:ascii="Arial" w:cs="Arial" w:eastAsia="Arial" w:hAnsi="Arial"/>
                <w:sz w:val="16"/>
                <w:szCs w:val="16"/>
                <w:color w:val="auto"/>
              </w:rPr>
              <w:t>(25,755)</w:t>
            </w:r>
          </w:p>
        </w:tc>
      </w:tr>
      <w:tr>
        <w:trPr>
          <w:trHeight w:val="243"/>
        </w:trPr>
        <w:tc>
          <w:tcPr>
            <w:tcW w:w="682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(15,451)</w:t>
            </w:r>
          </w:p>
        </w:tc>
        <w:tc>
          <w:tcPr>
            <w:tcW w:w="340" w:type="dxa"/>
            <w:vAlign w:val="bottom"/>
          </w:tcPr>
          <w:p>
            <w:pPr>
              <w:spacing w:after="0"/>
              <w:rPr>
                <w:sz w:val="21"/>
                <w:szCs w:val="21"/>
                <w:color w:val="auto"/>
              </w:rPr>
            </w:pPr>
          </w:p>
        </w:tc>
        <w:tc>
          <w:tcPr>
            <w:tcW w:w="1980" w:type="dxa"/>
            <w:vAlign w:val="bottom"/>
          </w:tcPr>
          <w:p>
            <w:pPr>
              <w:jc w:val="right"/>
              <w:ind w:right="20"/>
              <w:spacing w:after="0"/>
              <w:rPr>
                <w:sz w:val="20"/>
                <w:szCs w:val="20"/>
                <w:color w:val="auto"/>
              </w:rPr>
            </w:pPr>
            <w:r>
              <w:rPr>
                <w:rFonts w:ascii="Arial" w:cs="Arial" w:eastAsia="Arial" w:hAnsi="Arial"/>
                <w:sz w:val="16"/>
                <w:szCs w:val="16"/>
                <w:color w:val="auto"/>
              </w:rPr>
              <w:t>(42,555)</w:t>
            </w:r>
          </w:p>
        </w:tc>
      </w:tr>
      <w:tr>
        <w:trPr>
          <w:trHeight w:val="243"/>
        </w:trPr>
        <w:tc>
          <w:tcPr>
            <w:tcW w:w="682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(6,601)</w:t>
            </w:r>
          </w:p>
        </w:tc>
        <w:tc>
          <w:tcPr>
            <w:tcW w:w="340" w:type="dxa"/>
            <w:vAlign w:val="bottom"/>
          </w:tcPr>
          <w:p>
            <w:pPr>
              <w:spacing w:after="0"/>
              <w:rPr>
                <w:sz w:val="21"/>
                <w:szCs w:val="21"/>
                <w:color w:val="auto"/>
              </w:rPr>
            </w:pPr>
          </w:p>
        </w:tc>
        <w:tc>
          <w:tcPr>
            <w:tcW w:w="1980" w:type="dxa"/>
            <w:vAlign w:val="bottom"/>
          </w:tcPr>
          <w:p>
            <w:pPr>
              <w:jc w:val="right"/>
              <w:ind w:right="20"/>
              <w:spacing w:after="0"/>
              <w:rPr>
                <w:sz w:val="20"/>
                <w:szCs w:val="20"/>
                <w:color w:val="auto"/>
              </w:rPr>
            </w:pPr>
            <w:r>
              <w:rPr>
                <w:rFonts w:ascii="Arial" w:cs="Arial" w:eastAsia="Arial" w:hAnsi="Arial"/>
                <w:sz w:val="16"/>
                <w:szCs w:val="16"/>
                <w:color w:val="auto"/>
              </w:rPr>
              <w:t>(99,131)</w:t>
            </w:r>
          </w:p>
        </w:tc>
      </w:tr>
      <w:tr>
        <w:trPr>
          <w:trHeight w:val="243"/>
        </w:trPr>
        <w:tc>
          <w:tcPr>
            <w:tcW w:w="682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28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6"/>
                <w:szCs w:val="16"/>
                <w:b w:val="1"/>
                <w:bCs w:val="1"/>
                <w:color w:val="auto"/>
              </w:rPr>
              <w:t>(6,005)</w:t>
            </w:r>
          </w:p>
        </w:tc>
        <w:tc>
          <w:tcPr>
            <w:tcW w:w="340" w:type="dxa"/>
            <w:vAlign w:val="bottom"/>
          </w:tcPr>
          <w:p>
            <w:pPr>
              <w:spacing w:after="0"/>
              <w:rPr>
                <w:sz w:val="21"/>
                <w:szCs w:val="21"/>
                <w:color w:val="auto"/>
              </w:rPr>
            </w:pPr>
          </w:p>
        </w:tc>
        <w:tc>
          <w:tcPr>
            <w:tcW w:w="1980" w:type="dxa"/>
            <w:vAlign w:val="bottom"/>
          </w:tcPr>
          <w:p>
            <w:pPr>
              <w:jc w:val="right"/>
              <w:ind w:right="20"/>
              <w:spacing w:after="0"/>
              <w:rPr>
                <w:sz w:val="20"/>
                <w:szCs w:val="20"/>
                <w:color w:val="auto"/>
              </w:rPr>
            </w:pPr>
            <w:r>
              <w:rPr>
                <w:rFonts w:ascii="Arial" w:cs="Arial" w:eastAsia="Arial" w:hAnsi="Arial"/>
                <w:sz w:val="16"/>
                <w:szCs w:val="16"/>
                <w:color w:val="auto"/>
              </w:rPr>
              <w:t>(1,715)</w:t>
            </w:r>
          </w:p>
        </w:tc>
      </w:tr>
      <w:tr>
        <w:trPr>
          <w:trHeight w:val="256"/>
        </w:trPr>
        <w:tc>
          <w:tcPr>
            <w:tcW w:w="682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2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(1,154)</w:t>
            </w:r>
          </w:p>
        </w:tc>
      </w:tr>
      <w:tr>
        <w:trPr>
          <w:trHeight w:val="243"/>
        </w:trPr>
        <w:tc>
          <w:tcPr>
            <w:tcW w:w="6820" w:type="dxa"/>
            <w:vAlign w:val="bottom"/>
          </w:tcPr>
          <w:p>
            <w:pPr>
              <w:ind w:left="20"/>
              <w:spacing w:after="0"/>
              <w:rPr>
                <w:sz w:val="20"/>
                <w:szCs w:val="20"/>
                <w:color w:val="auto"/>
              </w:rPr>
            </w:pPr>
            <w:r>
              <w:rPr>
                <w:rFonts w:ascii="Arial" w:cs="Arial" w:eastAsia="Arial" w:hAnsi="Arial"/>
                <w:sz w:val="16"/>
                <w:szCs w:val="16"/>
                <w:color w:val="auto"/>
              </w:rPr>
              <w:t>Aggregate purchase price, net of cash acquired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92,125</w:t>
            </w:r>
          </w:p>
        </w:tc>
        <w:tc>
          <w:tcPr>
            <w:tcW w:w="3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183,947</w:t>
            </w:r>
          </w:p>
        </w:tc>
      </w:tr>
      <w:tr>
        <w:trPr>
          <w:trHeight w:val="21"/>
        </w:trPr>
        <w:tc>
          <w:tcPr>
            <w:tcW w:w="6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22" w:lineRule="auto"/>
        <w:rPr>
          <w:sz w:val="20"/>
          <w:szCs w:val="20"/>
          <w:color w:val="auto"/>
        </w:rPr>
      </w:pPr>
      <w:r>
        <w:rPr>
          <w:rFonts w:ascii="Arial" w:cs="Arial" w:eastAsia="Arial" w:hAnsi="Arial"/>
          <w:sz w:val="18"/>
          <w:szCs w:val="18"/>
          <w:color w:val="auto"/>
        </w:rPr>
        <w:t>The 2020 fair values recorded were based upon preliminary valuations and the estimates and assumptions used in such valuations are subject to change within the measurement period (up to one year from the acquisition date). The 2019 values above reflect a measurement period adjustment related to the lease right-of-use assets, current and noncurrent lease liabilities and the finalization of working capital. The recording of deferred tax assets or liabilities, working capital and the final amount of residual goodwill and other intangibles are not yet finalized. 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The Company expects to deduct $3.2 million and $70.7 million of goodwill for income tax purposes for the acquisitions completed in 2020 and 2019, respectively.</w:t>
      </w:r>
    </w:p>
    <w:p>
      <w:pPr>
        <w:spacing w:after="0" w:line="140" w:lineRule="exact"/>
        <w:rPr>
          <w:sz w:val="20"/>
          <w:szCs w:val="20"/>
          <w:color w:val="auto"/>
        </w:rPr>
      </w:pPr>
    </w:p>
    <w:p>
      <w:pPr>
        <w:ind w:right="280"/>
        <w:spacing w:after="0" w:line="223" w:lineRule="auto"/>
        <w:rPr>
          <w:sz w:val="20"/>
          <w:szCs w:val="20"/>
          <w:color w:val="auto"/>
        </w:rPr>
      </w:pPr>
      <w:r>
        <w:rPr>
          <w:rFonts w:ascii="Arial" w:cs="Arial" w:eastAsia="Arial" w:hAnsi="Arial"/>
          <w:sz w:val="18"/>
          <w:szCs w:val="18"/>
          <w:color w:val="auto"/>
        </w:rPr>
        <w:t>The acquired companies were consolidated into the Company’s financial statements starting on their respective acquisition dates. The Company’s Condensed Consolidated Statements of Operations for the second quarter of 2020 include aggregate revenues and operating losses for the companies acquired in 2020 of $4.3 million and $2.1 million, respectively. The Company’s Condensed Consolidated Statements of Operations include aggregate revenues and operating losses of $5.0 million and $2.0 million, respectively, for the first six months of 2020. The following unaudited pro forma financial information presents the Company’s results as if the current year acquisitions had occurred at the beginning of 2019. The unaudited pro forma information also includes the 2019 acquisitions as if they occurred at the beginning of 2018: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3"/>
          </w:tcPr>
          <w:p>
            <w:pPr>
              <w:jc w:val="right"/>
              <w:ind w:right="64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560" w:type="dxa"/>
            <w:vAlign w:val="bottom"/>
            <w:gridSpan w:val="3"/>
          </w:tcPr>
          <w:p>
            <w:pPr>
              <w:jc w:val="right"/>
              <w:ind w:right="74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r>
      <w:tr>
        <w:trPr>
          <w:trHeight w:val="210"/>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2019</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2019</w:t>
            </w:r>
          </w:p>
        </w:tc>
      </w:tr>
      <w:tr>
        <w:trPr>
          <w:trHeight w:val="223"/>
        </w:trPr>
        <w:tc>
          <w:tcPr>
            <w:tcW w:w="540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64"/>
              <w:spacing w:after="0"/>
              <w:rPr>
                <w:sz w:val="20"/>
                <w:szCs w:val="20"/>
                <w:color w:val="auto"/>
              </w:rPr>
            </w:pPr>
            <w:r>
              <w:rPr>
                <w:rFonts w:ascii="Arial" w:cs="Arial" w:eastAsia="Arial" w:hAnsi="Arial"/>
                <w:sz w:val="16"/>
                <w:szCs w:val="16"/>
                <w:b w:val="1"/>
                <w:bCs w:val="1"/>
                <w:color w:val="auto"/>
              </w:rPr>
              <w:t>654,001</w:t>
            </w:r>
          </w:p>
        </w:tc>
        <w:tc>
          <w:tcPr>
            <w:tcW w:w="5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790,145</w:t>
            </w:r>
          </w:p>
        </w:tc>
        <w:tc>
          <w:tcPr>
            <w:tcW w:w="4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84"/>
              <w:spacing w:after="0"/>
              <w:rPr>
                <w:sz w:val="20"/>
                <w:szCs w:val="20"/>
                <w:color w:val="auto"/>
              </w:rPr>
            </w:pPr>
            <w:r>
              <w:rPr>
                <w:rFonts w:ascii="Arial" w:cs="Arial" w:eastAsia="Arial" w:hAnsi="Arial"/>
                <w:sz w:val="16"/>
                <w:szCs w:val="16"/>
                <w:b w:val="1"/>
                <w:bCs w:val="1"/>
                <w:color w:val="auto"/>
              </w:rPr>
              <w:t>1,392,331</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1,548,156</w:t>
            </w:r>
          </w:p>
        </w:tc>
      </w:tr>
      <w:tr>
        <w:trPr>
          <w:trHeight w:val="243"/>
        </w:trPr>
        <w:tc>
          <w:tcPr>
            <w:tcW w:w="54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320" w:type="dxa"/>
            <w:vAlign w:val="bottom"/>
          </w:tcPr>
          <w:p>
            <w:pPr>
              <w:spacing w:after="0"/>
              <w:rPr>
                <w:sz w:val="21"/>
                <w:szCs w:val="21"/>
                <w:color w:val="auto"/>
              </w:rPr>
            </w:pPr>
          </w:p>
        </w:tc>
        <w:tc>
          <w:tcPr>
            <w:tcW w:w="1060" w:type="dxa"/>
            <w:vAlign w:val="bottom"/>
          </w:tcPr>
          <w:p>
            <w:pPr>
              <w:jc w:val="right"/>
              <w:ind w:right="64"/>
              <w:spacing w:after="0"/>
              <w:rPr>
                <w:sz w:val="20"/>
                <w:szCs w:val="20"/>
                <w:color w:val="auto"/>
              </w:rPr>
            </w:pPr>
            <w:r>
              <w:rPr>
                <w:rFonts w:ascii="Arial" w:cs="Arial" w:eastAsia="Arial" w:hAnsi="Arial"/>
                <w:sz w:val="16"/>
                <w:szCs w:val="16"/>
                <w:b w:val="1"/>
                <w:bCs w:val="1"/>
                <w:color w:val="auto"/>
              </w:rPr>
              <w:t>18,246</w:t>
            </w:r>
          </w:p>
        </w:tc>
        <w:tc>
          <w:tcPr>
            <w:tcW w:w="500" w:type="dxa"/>
            <w:vAlign w:val="bottom"/>
          </w:tcPr>
          <w:p>
            <w:pPr>
              <w:spacing w:after="0"/>
              <w:rPr>
                <w:sz w:val="21"/>
                <w:szCs w:val="21"/>
                <w:color w:val="auto"/>
              </w:rPr>
            </w:pP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49,653</w:t>
            </w:r>
          </w:p>
        </w:tc>
        <w:tc>
          <w:tcPr>
            <w:tcW w:w="420" w:type="dxa"/>
            <w:vAlign w:val="bottom"/>
          </w:tcPr>
          <w:p>
            <w:pPr>
              <w:spacing w:after="0"/>
              <w:rPr>
                <w:sz w:val="21"/>
                <w:szCs w:val="21"/>
                <w:color w:val="auto"/>
              </w:rPr>
            </w:pPr>
          </w:p>
        </w:tc>
        <w:tc>
          <w:tcPr>
            <w:tcW w:w="1080" w:type="dxa"/>
            <w:vAlign w:val="bottom"/>
          </w:tcPr>
          <w:p>
            <w:pPr>
              <w:jc w:val="right"/>
              <w:ind w:right="44"/>
              <w:spacing w:after="0"/>
              <w:rPr>
                <w:sz w:val="20"/>
                <w:szCs w:val="20"/>
                <w:color w:val="auto"/>
              </w:rPr>
            </w:pPr>
            <w:r>
              <w:rPr>
                <w:rFonts w:ascii="Arial" w:cs="Arial" w:eastAsia="Arial" w:hAnsi="Arial"/>
                <w:sz w:val="16"/>
                <w:szCs w:val="16"/>
                <w:b w:val="1"/>
                <w:bCs w:val="1"/>
                <w:color w:val="auto"/>
              </w:rPr>
              <w:t>(21,648)</w:t>
            </w:r>
          </w:p>
        </w:tc>
        <w:tc>
          <w:tcPr>
            <w:tcW w:w="480" w:type="dxa"/>
            <w:vAlign w:val="bottom"/>
          </w:tcPr>
          <w:p>
            <w:pPr>
              <w:spacing w:after="0"/>
              <w:rPr>
                <w:sz w:val="21"/>
                <w:szCs w:val="21"/>
                <w:color w:val="auto"/>
              </w:rPr>
            </w:pPr>
          </w:p>
        </w:tc>
        <w:tc>
          <w:tcPr>
            <w:tcW w:w="1000" w:type="dxa"/>
            <w:vAlign w:val="bottom"/>
          </w:tcPr>
          <w:p>
            <w:pPr>
              <w:jc w:val="right"/>
              <w:ind w:right="82"/>
              <w:spacing w:after="0"/>
              <w:rPr>
                <w:sz w:val="20"/>
                <w:szCs w:val="20"/>
                <w:color w:val="auto"/>
              </w:rPr>
            </w:pPr>
            <w:r>
              <w:rPr>
                <w:rFonts w:ascii="Arial" w:cs="Arial" w:eastAsia="Arial" w:hAnsi="Arial"/>
                <w:sz w:val="16"/>
                <w:szCs w:val="16"/>
                <w:color w:val="auto"/>
              </w:rPr>
              <w:t>123,822</w:t>
            </w:r>
          </w:p>
        </w:tc>
      </w:tr>
    </w:tbl>
    <w:p>
      <w:pPr>
        <w:spacing w:after="0" w:line="221"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 results of operations of the acquired companies and adjustments for depreciation and amortization of identified assets and the effect of pre-acquisition transaction related expenses incurred by the Company and the acquired entities. The pro forma information does not include efficiencies, cost reductions and synergies expected to result from the acquisitions. They are not the results that would have been realized had these entities been part of the Company during the periods presented and are not necessarily indicative of the Company’s consolidated results of operations in future periods.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Sale of Businesses. </w:t>
      </w:r>
      <w:r>
        <w:rPr>
          <w:rFonts w:ascii="Arial" w:cs="Arial" w:eastAsia="Arial" w:hAnsi="Arial"/>
          <w:sz w:val="18"/>
          <w:szCs w:val="18"/>
          <w:color w:val="auto"/>
        </w:rPr>
        <w:t>In November 2019, Kaplan UK completed the sale of a small business which was included in Kaplan International.</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1" w:name="page12"/>
    <w:bookmarkEnd w:id="11"/>
    <w:p>
      <w:pPr>
        <w:ind w:right="40"/>
        <w:spacing w:after="0" w:line="224"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During 2019, the Company established GHC One as a vehicle to invest in a portfolio of healthcare businesses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with a group of senior managers of GHG. As a holder of preferred units, the Company is obligated to contribute 95% of the capital required for the acquisition of portfolio investments with the remaining 5% of the capital coming from the group of senior managers. The operating agreement of GHC One requires the dissolution of the entity on March 31, 2026, at which time the net assets will be distributed to its members. As a preferred unit holder, the Company will receive an amount up to its contributed capital plus a preferred annual return of 8% (guaranteed return) after the group of senior managers has received a redemption of their 5% interest in net assets (manager return). All distributions in excess of the manager and guaranteed return will be paid to common unit holders, which currently comprise the group of senior managers of GHG. The Company may convert its preferred units to common units at any time after which it will receive 80% of all distributions in excess of the manager return, with the remaining 20% of excess distributions going to the group of senior managers as holders of the other common units.</w:t>
      </w:r>
    </w:p>
    <w:p>
      <w:pPr>
        <w:spacing w:after="0" w:line="142" w:lineRule="exact"/>
        <w:rPr>
          <w:sz w:val="20"/>
          <w:szCs w:val="20"/>
          <w:color w:val="auto"/>
        </w:rPr>
      </w:pPr>
    </w:p>
    <w:p>
      <w:pPr>
        <w:jc w:val="both"/>
        <w:ind w:right="360"/>
        <w:spacing w:after="0" w:line="229" w:lineRule="auto"/>
        <w:rPr>
          <w:sz w:val="20"/>
          <w:szCs w:val="20"/>
          <w:color w:val="auto"/>
        </w:rPr>
      </w:pPr>
      <w:r>
        <w:rPr>
          <w:rFonts w:ascii="Arial" w:cs="Arial" w:eastAsia="Arial" w:hAnsi="Arial"/>
          <w:sz w:val="18"/>
          <w:szCs w:val="18"/>
          <w:color w:val="auto"/>
        </w:rPr>
        <w:t>As of June 30, 2020, the Company held a controlling financial interest in GHC One and therefore includes the assets, liabilities, results of operations and cash flows in its consolidated financial statements. GHC One acquired CSI and another small business during 2019. The Company accounts for the minority ownership of the group of senior managers as a mandatorily redeemable noncontrolling interest.</w:t>
      </w:r>
    </w:p>
    <w:p>
      <w:pPr>
        <w:spacing w:after="0" w:line="21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In March 2019, a Hoover minority shareholder put some shares to the Company, which had a redemption value of $0.6 million. Following the redemption, the Company owns 98% of Hoover.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44"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b w:val="1"/>
          <w:bCs w:val="1"/>
          <w:color w:val="auto"/>
        </w:rPr>
        <w:t xml:space="preserve">Money Market Investments. </w:t>
      </w:r>
      <w:r>
        <w:rPr>
          <w:rFonts w:ascii="Arial" w:cs="Arial" w:eastAsia="Arial" w:hAnsi="Arial"/>
          <w:sz w:val="17"/>
          <w:szCs w:val="17"/>
          <w:color w:val="auto"/>
        </w:rPr>
        <w:t>As of June 30, 2020 and December 31, 2019, the Company had money market investments of $178.5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and $45.2 million, respectively, that are classified as cash and cash equivalents in the Company’s Condensed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216"/>
        </w:trPr>
        <w:tc>
          <w:tcPr>
            <w:tcW w:w="8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83"/>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8"/>
                <w:szCs w:val="18"/>
                <w:color w:val="auto"/>
              </w:rPr>
            </w:pPr>
          </w:p>
        </w:tc>
        <w:tc>
          <w:tcPr>
            <w:tcW w:w="1200" w:type="dxa"/>
            <w:vAlign w:val="bottom"/>
          </w:tcPr>
          <w:p>
            <w:pPr>
              <w:jc w:val="right"/>
              <w:ind w:right="163"/>
              <w:spacing w:after="0"/>
              <w:rPr>
                <w:sz w:val="20"/>
                <w:szCs w:val="20"/>
                <w:color w:val="auto"/>
              </w:rPr>
            </w:pPr>
            <w:r>
              <w:rPr>
                <w:rFonts w:ascii="Arial" w:cs="Arial" w:eastAsia="Arial" w:hAnsi="Arial"/>
                <w:sz w:val="14"/>
                <w:szCs w:val="14"/>
                <w:color w:val="auto"/>
              </w:rPr>
              <w:t>December 31,</w:t>
            </w:r>
          </w:p>
        </w:tc>
      </w:tr>
      <w:tr>
        <w:trPr>
          <w:trHeight w:val="196"/>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color w:val="auto"/>
              </w:rPr>
              <w:t>2019</w:t>
            </w:r>
          </w:p>
        </w:tc>
      </w:tr>
      <w:tr>
        <w:trPr>
          <w:trHeight w:val="223"/>
        </w:trPr>
        <w:tc>
          <w:tcPr>
            <w:tcW w:w="83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212,843</w:t>
            </w:r>
          </w:p>
        </w:tc>
        <w:tc>
          <w:tcPr>
            <w:tcW w:w="4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3"/>
              <w:spacing w:after="0"/>
              <w:rPr>
                <w:sz w:val="20"/>
                <w:szCs w:val="20"/>
                <w:color w:val="auto"/>
              </w:rPr>
            </w:pPr>
            <w:r>
              <w:rPr>
                <w:rFonts w:ascii="Arial" w:cs="Arial" w:eastAsia="Arial" w:hAnsi="Arial"/>
                <w:sz w:val="16"/>
                <w:szCs w:val="16"/>
                <w:color w:val="auto"/>
              </w:rPr>
              <w:t>282,349</w:t>
            </w:r>
          </w:p>
        </w:tc>
      </w:tr>
      <w:tr>
        <w:trPr>
          <w:trHeight w:val="256"/>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218,965</w:t>
            </w: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302,731</w:t>
            </w:r>
          </w:p>
        </w:tc>
      </w:tr>
      <w:tr>
        <w:trPr>
          <w:trHeight w:val="243"/>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431,808</w:t>
            </w: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585,080</w:t>
            </w:r>
          </w:p>
        </w:tc>
      </w:tr>
      <w:tr>
        <w:trPr>
          <w:trHeight w:val="20"/>
        </w:trPr>
        <w:tc>
          <w:tcPr>
            <w:tcW w:w="8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color w:val="auto"/>
        </w:rPr>
        <w:t>There were no purchases of marketable equity securities during the first six months of 2020. The Company purchased $7.5 million of marketable equity securities during the first six months of 2019.</w:t>
      </w:r>
    </w:p>
    <w:p>
      <w:pPr>
        <w:spacing w:after="0" w:line="135"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During the first six months of 2020, the gross cumulative realized gains from the sales of marketable equity securities were $23.0 million. The total proceeds from such sales were $93.8 million. During the first six months of 2019, the gross cumulative realized gains from the sales of marketable equity securities were $9.7 million. The total proceeds from such sales were $17.2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net gain (loss) on marketable equity securities comprised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3"/>
          </w:tcPr>
          <w:p>
            <w:pPr>
              <w:jc w:val="right"/>
              <w:ind w:right="281"/>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080" w:type="dxa"/>
            <w:vAlign w:val="bottom"/>
            <w:gridSpan w:val="3"/>
          </w:tcPr>
          <w:p>
            <w:pPr>
              <w:jc w:val="right"/>
              <w:ind w:right="48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Arial" w:cs="Arial" w:eastAsia="Arial" w:hAnsi="Arial"/>
                <w:sz w:val="16"/>
                <w:szCs w:val="16"/>
                <w:color w:val="auto"/>
              </w:rPr>
              <w:t>Gain (loss) on marketable equity securities, net</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64"/>
              <w:spacing w:after="0"/>
              <w:rPr>
                <w:sz w:val="20"/>
                <w:szCs w:val="20"/>
                <w:color w:val="auto"/>
              </w:rPr>
            </w:pPr>
            <w:r>
              <w:rPr>
                <w:rFonts w:ascii="Arial" w:cs="Arial" w:eastAsia="Arial" w:hAnsi="Arial"/>
                <w:sz w:val="16"/>
                <w:szCs w:val="16"/>
                <w:b w:val="1"/>
                <w:bCs w:val="1"/>
                <w:color w:val="auto"/>
              </w:rPr>
              <w:t>39,890</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7,791</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ind w:left="160"/>
              <w:spacing w:after="0"/>
              <w:rPr>
                <w:sz w:val="20"/>
                <w:szCs w:val="20"/>
                <w:color w:val="auto"/>
              </w:rPr>
            </w:pPr>
            <w:r>
              <w:rPr>
                <w:rFonts w:ascii="Arial" w:cs="Arial" w:eastAsia="Arial" w:hAnsi="Arial"/>
                <w:sz w:val="16"/>
                <w:szCs w:val="16"/>
                <w:b w:val="1"/>
                <w:bCs w:val="1"/>
                <w:color w:val="auto"/>
              </w:rPr>
              <w:t>(60,503)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31,857</w:t>
            </w:r>
          </w:p>
        </w:tc>
        <w:tc>
          <w:tcPr>
            <w:tcW w:w="0" w:type="dxa"/>
            <w:vAlign w:val="bottom"/>
          </w:tcPr>
          <w:p>
            <w:pPr>
              <w:spacing w:after="0"/>
              <w:rPr>
                <w:sz w:val="1"/>
                <w:szCs w:val="1"/>
                <w:color w:val="auto"/>
              </w:rPr>
            </w:pPr>
          </w:p>
        </w:tc>
      </w:tr>
      <w:tr>
        <w:trPr>
          <w:trHeight w:val="256"/>
        </w:trPr>
        <w:tc>
          <w:tcPr>
            <w:tcW w:w="6700" w:type="dxa"/>
            <w:vAlign w:val="bottom"/>
          </w:tcPr>
          <w:p>
            <w:pPr>
              <w:ind w:left="20"/>
              <w:spacing w:after="0"/>
              <w:rPr>
                <w:sz w:val="20"/>
                <w:szCs w:val="20"/>
                <w:color w:val="auto"/>
              </w:rPr>
            </w:pPr>
            <w:r>
              <w:rPr>
                <w:rFonts w:ascii="Arial" w:cs="Arial" w:eastAsia="Arial" w:hAnsi="Arial"/>
                <w:sz w:val="16"/>
                <w:szCs w:val="16"/>
                <w:color w:val="auto"/>
              </w:rPr>
              <w:t>Less: Net losses (gains) in earnings from marketable equity securities sold and donated</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4,608</w:t>
            </w:r>
          </w:p>
        </w:tc>
        <w:tc>
          <w:tcPr>
            <w:tcW w:w="3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13,382</w:t>
            </w: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(2,980)</w:t>
            </w:r>
          </w:p>
        </w:tc>
        <w:tc>
          <w:tcPr>
            <w:tcW w:w="0" w:type="dxa"/>
            <w:vAlign w:val="bottom"/>
          </w:tcPr>
          <w:p>
            <w:pPr>
              <w:spacing w:after="0"/>
              <w:rPr>
                <w:sz w:val="1"/>
                <w:szCs w:val="1"/>
                <w:color w:val="auto"/>
              </w:rPr>
            </w:pPr>
          </w:p>
        </w:tc>
      </w:tr>
      <w:tr>
        <w:trPr>
          <w:trHeight w:val="177"/>
        </w:trPr>
        <w:tc>
          <w:tcPr>
            <w:tcW w:w="6700" w:type="dxa"/>
            <w:vAlign w:val="bottom"/>
          </w:tcPr>
          <w:p>
            <w:pPr>
              <w:ind w:left="20"/>
              <w:spacing w:after="0" w:line="178" w:lineRule="exact"/>
              <w:rPr>
                <w:sz w:val="20"/>
                <w:szCs w:val="20"/>
                <w:color w:val="auto"/>
              </w:rPr>
            </w:pPr>
            <w:r>
              <w:rPr>
                <w:rFonts w:ascii="Arial" w:cs="Arial" w:eastAsia="Arial" w:hAnsi="Arial"/>
                <w:sz w:val="16"/>
                <w:szCs w:val="16"/>
                <w:color w:val="auto"/>
              </w:rPr>
              <w:t>Net unrealized gains (losses) in earnings from marketable equity securities still held at the</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ind w:right="64"/>
              <w:spacing w:after="0"/>
              <w:rPr>
                <w:sz w:val="20"/>
                <w:szCs w:val="20"/>
                <w:color w:val="auto"/>
              </w:rPr>
            </w:pPr>
            <w:r>
              <w:rPr>
                <w:rFonts w:ascii="Arial" w:cs="Arial" w:eastAsia="Arial" w:hAnsi="Arial"/>
                <w:sz w:val="16"/>
                <w:szCs w:val="16"/>
                <w:b w:val="1"/>
                <w:bCs w:val="1"/>
                <w:color w:val="auto"/>
              </w:rPr>
              <w:t>44,498</w:t>
            </w:r>
          </w:p>
        </w:tc>
        <w:tc>
          <w:tcPr>
            <w:tcW w:w="3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ind w:right="61"/>
              <w:spacing w:after="0"/>
              <w:rPr>
                <w:sz w:val="20"/>
                <w:szCs w:val="20"/>
                <w:color w:val="auto"/>
              </w:rPr>
            </w:pPr>
            <w:r>
              <w:rPr>
                <w:rFonts w:ascii="Arial" w:cs="Arial" w:eastAsia="Arial" w:hAnsi="Arial"/>
                <w:sz w:val="16"/>
                <w:szCs w:val="16"/>
                <w:color w:val="auto"/>
              </w:rPr>
              <w:t>7,793</w:t>
            </w:r>
          </w:p>
        </w:tc>
        <w:tc>
          <w:tcPr>
            <w:tcW w:w="3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(47,121)</w:t>
            </w:r>
          </w:p>
        </w:tc>
        <w:tc>
          <w:tcPr>
            <w:tcW w:w="40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81"/>
              <w:spacing w:after="0"/>
              <w:rPr>
                <w:sz w:val="20"/>
                <w:szCs w:val="20"/>
                <w:color w:val="auto"/>
              </w:rPr>
            </w:pPr>
            <w:r>
              <w:rPr>
                <w:rFonts w:ascii="Arial" w:cs="Arial" w:eastAsia="Arial" w:hAnsi="Arial"/>
                <w:sz w:val="16"/>
                <w:szCs w:val="16"/>
                <w:color w:val="auto"/>
              </w:rPr>
              <w:t>28,877</w:t>
            </w:r>
          </w:p>
        </w:tc>
        <w:tc>
          <w:tcPr>
            <w:tcW w:w="0" w:type="dxa"/>
            <w:vAlign w:val="bottom"/>
          </w:tcPr>
          <w:p>
            <w:pPr>
              <w:spacing w:after="0"/>
              <w:rPr>
                <w:sz w:val="1"/>
                <w:szCs w:val="1"/>
                <w:color w:val="auto"/>
              </w:rPr>
            </w:pPr>
          </w:p>
        </w:tc>
      </w:tr>
      <w:tr>
        <w:trPr>
          <w:trHeight w:val="192"/>
        </w:trPr>
        <w:tc>
          <w:tcPr>
            <w:tcW w:w="6700" w:type="dxa"/>
            <w:vAlign w:val="bottom"/>
          </w:tcPr>
          <w:p>
            <w:pPr>
              <w:ind w:left="180"/>
              <w:spacing w:after="0"/>
              <w:rPr>
                <w:sz w:val="20"/>
                <w:szCs w:val="20"/>
                <w:color w:val="auto"/>
              </w:rPr>
            </w:pPr>
            <w:r>
              <w:rPr>
                <w:rFonts w:ascii="Arial" w:cs="Arial" w:eastAsia="Arial" w:hAnsi="Arial"/>
                <w:sz w:val="16"/>
                <w:szCs w:val="16"/>
                <w:color w:val="auto"/>
              </w:rPr>
              <w:t>end of the period</w:t>
            </w:r>
          </w:p>
        </w:tc>
        <w:tc>
          <w:tcPr>
            <w:tcW w:w="2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June 30, 2020, the Company held an approximate 12% interest in Intersection Holdings, LLC, and in</w:t>
      </w:r>
      <w:r>
        <w:rPr>
          <w:rFonts w:ascii="Arial" w:cs="Arial" w:eastAsia="Arial" w:hAnsi="Arial"/>
          <w:sz w:val="18"/>
          <w:szCs w:val="18"/>
          <w:b w:val="1"/>
          <w:bCs w:val="1"/>
          <w:color w:val="auto"/>
        </w:rPr>
        <w:t xml:space="preserve"> </w:t>
      </w:r>
      <w:r>
        <w:rPr>
          <w:rFonts w:ascii="Arial" w:cs="Arial" w:eastAsia="Arial" w:hAnsi="Arial"/>
          <w:sz w:val="18"/>
          <w:szCs w:val="18"/>
          <w:color w:val="auto"/>
        </w:rPr>
        <w:t>several other affiliates; GHG held a 40% interest in Residential Home Health Illinois, a 42.5% interest in Residential Hospice Illinois, a 40% interest in the joint venture formed between GHG and a Michigan hospital, and a 40% interest in the joint venture formed between GHG and Allegheny Health Network (AHN). For the three and six months ended June 30, 2020, the Company recorded $2.2 million and $4.7 million, respectively, in revenue for services provided to the affiliates of GHG. For the three and six months ended June 30, 2019, the Company recorded $2.3 million and $4.6 million, respectively, in revenue for services provided to the affiliates of GHG.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2" w:name="page13"/>
    <w:bookmarkEnd w:id="12"/>
    <w:p>
      <w:pPr>
        <w:ind w:right="40"/>
        <w:spacing w:after="0" w:line="224" w:lineRule="auto"/>
        <w:rPr>
          <w:sz w:val="20"/>
          <w:szCs w:val="20"/>
          <w:color w:val="auto"/>
        </w:rPr>
      </w:pPr>
      <w:r>
        <w:rPr>
          <w:rFonts w:ascii="Arial" w:cs="Arial" w:eastAsia="Arial" w:hAnsi="Arial"/>
          <w:sz w:val="18"/>
          <w:szCs w:val="18"/>
          <w:color w:val="auto"/>
        </w:rPr>
        <w:t>In the first quarter of 2020, the Company recorded impairment charges of $3.6 million on two of its investments in affiliates as a result of the challenging economic environment for these businesses, of which $2.7 million related to the Company’s investment in Framebridge. The Company records its share of the earnings or losses of its affiliates from their most recent available financial statements. In some instances, the reporting period of the affiliates’ financial statements lags the Company’s financial reporting period, but such lag is never more than three months. It is possible that the Company’s results of operations for the six months ended June 30, 2020 does not capture the impact of the COVID-19 pandemic on the earnings or losses of the affiliates whose financial results are recorded on a lag basis.</w:t>
      </w:r>
    </w:p>
    <w:p>
      <w:pPr>
        <w:spacing w:after="0" w:line="137" w:lineRule="exact"/>
        <w:rPr>
          <w:sz w:val="20"/>
          <w:szCs w:val="20"/>
          <w:color w:val="auto"/>
        </w:rPr>
      </w:pPr>
    </w:p>
    <w:p>
      <w:pPr>
        <w:ind w:right="960"/>
        <w:spacing w:after="0" w:line="235" w:lineRule="auto"/>
        <w:rPr>
          <w:sz w:val="20"/>
          <w:szCs w:val="20"/>
          <w:color w:val="auto"/>
        </w:rPr>
      </w:pPr>
      <w:r>
        <w:rPr>
          <w:rFonts w:ascii="Arial" w:cs="Arial" w:eastAsia="Arial" w:hAnsi="Arial"/>
          <w:sz w:val="18"/>
          <w:szCs w:val="18"/>
          <w:color w:val="auto"/>
        </w:rPr>
        <w:t>The Company had $27.8 million and $ 25.6 million in its investment account that represents cumulative undistributed income in its investments in affiliates as of June 30, 2020 and December 31, 2019, respectively.</w:t>
      </w:r>
    </w:p>
    <w:p>
      <w:pPr>
        <w:spacing w:after="0" w:line="135"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In the second quarter of 2019, the Company made an investment in Framebridge, a custom framing service company based in Washington, DC. The Company accounted for this investment under the equity method, and included it in Investments in Affiliates on the Condensed Consolidated Balance Sheet. In May 2020, the Company made an additional investment in Framebridge (see Note 2) that resulted in the Company obtaining control of the investee. The results of operations, cash flows, assets and liabilities of Framebridge are included in the condensed consolidated financial statements of the Company from the date of the acquisition. Timothy J. O’Shaughnessy, President and Chief Executive Officer of Graham Holdings Company, was a personal investor in Framebridge and served as Chairman of the Board prior to the acquisition of the additional interest. The Company acquired Mr. O’Shaughnessy’s interest under the same terms as the other Framebridge investors.</w:t>
      </w:r>
    </w:p>
    <w:p>
      <w:pPr>
        <w:spacing w:after="0" w:line="135"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In February 2019, the Company sold its interest in Gimlet Media. In connection with this sale, the Company recorded a gain of $29.0 million in the first quarter of 2019. The total proceeds from the sale were $33.5 million.</w:t>
      </w:r>
    </w:p>
    <w:p>
      <w:pPr>
        <w:spacing w:after="0" w:line="135"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Additionally, Kaplan International Holdings Limited (KIHL) held a 45% interest in a joint venture formed with York University. KIHL loaned the joint venture £22 million, which loan is repayable over 25 years at an interest rate of 7% and guaranteed by the University of York. The loan is repayable by December 2041.</w:t>
      </w:r>
    </w:p>
    <w:p>
      <w:pPr>
        <w:spacing w:after="0" w:line="115"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as cost method investments, which are recorded at cost, less impairment, and adjusted for observable price changes for identical or similar investments of the same issuer. The carrying value of these investments was $38.5 million as of June 30, 2020 and December 31, 2019. During the first six months of 2020, the Company recorded impairment losses of $2.6 million to those equity securities. During the three and six months ended June 30, 2020, the Company recorded gains of $2.6 million to those equity securities based on observable transactions. During the first six months of 2019, the Company recorded gains of $1.4 million to those equity securities based on observable transactions.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ACCOUNTS RECEIVABLE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7"/>
                <w:szCs w:val="17"/>
                <w:color w:val="auto"/>
              </w:rPr>
            </w:pPr>
          </w:p>
        </w:tc>
      </w:tr>
      <w:tr>
        <w:trPr>
          <w:trHeight w:val="175"/>
        </w:trPr>
        <w:tc>
          <w:tcPr>
            <w:tcW w:w="8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123"/>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5"/>
                <w:szCs w:val="15"/>
                <w:color w:val="auto"/>
              </w:rPr>
            </w:pPr>
          </w:p>
        </w:tc>
        <w:tc>
          <w:tcPr>
            <w:tcW w:w="1120" w:type="dxa"/>
            <w:vAlign w:val="bottom"/>
          </w:tcPr>
          <w:p>
            <w:pPr>
              <w:jc w:val="right"/>
              <w:ind w:right="103"/>
              <w:spacing w:after="0"/>
              <w:rPr>
                <w:sz w:val="20"/>
                <w:szCs w:val="20"/>
                <w:color w:val="auto"/>
              </w:rPr>
            </w:pPr>
            <w:r>
              <w:rPr>
                <w:rFonts w:ascii="Arial" w:cs="Arial" w:eastAsia="Arial" w:hAnsi="Arial"/>
                <w:sz w:val="14"/>
                <w:szCs w:val="14"/>
                <w:color w:val="auto"/>
              </w:rPr>
              <w:t>December 31,</w:t>
            </w:r>
          </w:p>
        </w:tc>
      </w:tr>
      <w:tr>
        <w:trPr>
          <w:trHeight w:val="196"/>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2019</w:t>
            </w:r>
          </w:p>
        </w:tc>
      </w:tr>
      <w:tr>
        <w:trPr>
          <w:trHeight w:val="223"/>
        </w:trPr>
        <w:tc>
          <w:tcPr>
            <w:tcW w:w="852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$19,424 and $14,276</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430,642</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83"/>
              <w:spacing w:after="0"/>
              <w:rPr>
                <w:sz w:val="20"/>
                <w:szCs w:val="20"/>
                <w:color w:val="auto"/>
              </w:rPr>
            </w:pPr>
            <w:r>
              <w:rPr>
                <w:rFonts w:ascii="Arial" w:cs="Arial" w:eastAsia="Arial" w:hAnsi="Arial"/>
                <w:sz w:val="16"/>
                <w:szCs w:val="16"/>
                <w:color w:val="auto"/>
              </w:rPr>
              <w:t>595,321</w:t>
            </w:r>
          </w:p>
        </w:tc>
      </w:tr>
      <w:tr>
        <w:trPr>
          <w:trHeight w:val="256"/>
        </w:trPr>
        <w:tc>
          <w:tcPr>
            <w:tcW w:w="852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21,589</w:t>
            </w: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28,895</w:t>
            </w:r>
          </w:p>
        </w:tc>
      </w:tr>
      <w:tr>
        <w:trPr>
          <w:trHeight w:val="237"/>
        </w:trPr>
        <w:tc>
          <w:tcPr>
            <w:tcW w:w="85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452,231</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624,216</w:t>
            </w:r>
          </w:p>
        </w:tc>
      </w:tr>
      <w:tr>
        <w:trPr>
          <w:trHeight w:val="27"/>
        </w:trPr>
        <w:tc>
          <w:tcPr>
            <w:tcW w:w="8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ind w:right="500"/>
        <w:spacing w:after="0" w:line="229" w:lineRule="auto"/>
        <w:rPr>
          <w:sz w:val="20"/>
          <w:szCs w:val="20"/>
          <w:color w:val="auto"/>
        </w:rPr>
      </w:pPr>
      <w:r>
        <w:rPr>
          <w:rFonts w:ascii="Arial" w:cs="Arial" w:eastAsia="Arial" w:hAnsi="Arial"/>
          <w:sz w:val="18"/>
          <w:szCs w:val="18"/>
          <w:color w:val="auto"/>
        </w:rPr>
        <w:t>Credit loss expense was $4.8 million for the three months ended June 30, 2020, and credit loss recovery was $0.1 million for the three months ended June 30, 2019. Credit loss expense was $7.2 million and $0.1 million for the six months ended June 30, 2020 and 2019, respectively.</w:t>
      </w:r>
    </w:p>
    <w:p>
      <w:pPr>
        <w:spacing w:after="0" w:line="115" w:lineRule="exact"/>
        <w:rPr>
          <w:sz w:val="20"/>
          <w:szCs w:val="20"/>
          <w:color w:val="auto"/>
        </w:rPr>
      </w:pPr>
    </w:p>
    <w:p>
      <w:pPr>
        <w:ind w:right="3920"/>
        <w:spacing w:after="0" w:line="443" w:lineRule="auto"/>
        <w:rPr>
          <w:sz w:val="20"/>
          <w:szCs w:val="20"/>
          <w:color w:val="auto"/>
        </w:rPr>
      </w:pPr>
      <w:r>
        <w:rPr>
          <w:rFonts w:ascii="Arial" w:cs="Arial" w:eastAsia="Arial" w:hAnsi="Arial"/>
          <w:sz w:val="18"/>
          <w:szCs w:val="18"/>
          <w:b w:val="1"/>
          <w:bCs w:val="1"/>
          <w:color w:val="auto"/>
        </w:rPr>
        <w:t xml:space="preserve">5. INVENTORIES, CONTRACTS IN PROGRESS AND VEHICLE FLOOR PLAN PAYABLE </w:t>
      </w:r>
      <w:r>
        <w:rPr>
          <w:rFonts w:ascii="Arial" w:cs="Arial" w:eastAsia="Arial" w:hAnsi="Arial"/>
          <w:sz w:val="18"/>
          <w:szCs w:val="18"/>
          <w:color w:val="auto"/>
        </w:rPr>
        <w:t>Inventories and contracts in progress consist of the following: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r>
      <w:tr>
        <w:trPr>
          <w:trHeight w:val="175"/>
        </w:trPr>
        <w:tc>
          <w:tcPr>
            <w:tcW w:w="8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jc w:val="right"/>
              <w:ind w:right="182"/>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5"/>
                <w:szCs w:val="15"/>
                <w:color w:val="auto"/>
              </w:rPr>
            </w:pPr>
          </w:p>
        </w:tc>
        <w:tc>
          <w:tcPr>
            <w:tcW w:w="1200" w:type="dxa"/>
            <w:vAlign w:val="bottom"/>
          </w:tcPr>
          <w:p>
            <w:pPr>
              <w:jc w:val="right"/>
              <w:ind w:right="162"/>
              <w:spacing w:after="0"/>
              <w:rPr>
                <w:sz w:val="20"/>
                <w:szCs w:val="20"/>
                <w:color w:val="auto"/>
              </w:rPr>
            </w:pPr>
            <w:r>
              <w:rPr>
                <w:rFonts w:ascii="Arial" w:cs="Arial" w:eastAsia="Arial" w:hAnsi="Arial"/>
                <w:sz w:val="14"/>
                <w:szCs w:val="14"/>
                <w:color w:val="auto"/>
              </w:rPr>
              <w:t>December 31,</w:t>
            </w:r>
          </w:p>
        </w:tc>
      </w:tr>
      <w:tr>
        <w:trPr>
          <w:trHeight w:val="196"/>
        </w:trPr>
        <w:tc>
          <w:tcPr>
            <w:tcW w:w="8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2019</w:t>
            </w:r>
          </w:p>
        </w:tc>
      </w:tr>
      <w:tr>
        <w:trPr>
          <w:trHeight w:val="223"/>
        </w:trPr>
        <w:tc>
          <w:tcPr>
            <w:tcW w:w="836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40,287</w:t>
            </w:r>
          </w:p>
        </w:tc>
        <w:tc>
          <w:tcPr>
            <w:tcW w:w="4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35,119</w:t>
            </w:r>
          </w:p>
        </w:tc>
      </w:tr>
      <w:tr>
        <w:trPr>
          <w:trHeight w:val="243"/>
        </w:trPr>
        <w:tc>
          <w:tcPr>
            <w:tcW w:w="836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9,815</w:t>
            </w:r>
          </w:p>
        </w:tc>
        <w:tc>
          <w:tcPr>
            <w:tcW w:w="440" w:type="dxa"/>
            <w:vAlign w:val="bottom"/>
          </w:tcPr>
          <w:p>
            <w:pPr>
              <w:spacing w:after="0"/>
              <w:rPr>
                <w:sz w:val="21"/>
                <w:szCs w:val="21"/>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10,775</w:t>
            </w:r>
          </w:p>
        </w:tc>
      </w:tr>
      <w:tr>
        <w:trPr>
          <w:trHeight w:val="243"/>
        </w:trPr>
        <w:tc>
          <w:tcPr>
            <w:tcW w:w="836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65,799</w:t>
            </w:r>
          </w:p>
        </w:tc>
        <w:tc>
          <w:tcPr>
            <w:tcW w:w="440" w:type="dxa"/>
            <w:vAlign w:val="bottom"/>
          </w:tcPr>
          <w:p>
            <w:pPr>
              <w:spacing w:after="0"/>
              <w:rPr>
                <w:sz w:val="21"/>
                <w:szCs w:val="21"/>
                <w:color w:val="auto"/>
              </w:rPr>
            </w:pPr>
          </w:p>
        </w:tc>
        <w:tc>
          <w:tcPr>
            <w:tcW w:w="1200" w:type="dxa"/>
            <w:vAlign w:val="bottom"/>
          </w:tcPr>
          <w:p>
            <w:pPr>
              <w:jc w:val="right"/>
              <w:ind w:right="82"/>
              <w:spacing w:after="0"/>
              <w:rPr>
                <w:sz w:val="20"/>
                <w:szCs w:val="20"/>
                <w:color w:val="auto"/>
              </w:rPr>
            </w:pPr>
            <w:r>
              <w:rPr>
                <w:rFonts w:ascii="Arial" w:cs="Arial" w:eastAsia="Arial" w:hAnsi="Arial"/>
                <w:sz w:val="16"/>
                <w:szCs w:val="16"/>
                <w:color w:val="auto"/>
              </w:rPr>
              <w:t>70,602</w:t>
            </w:r>
          </w:p>
        </w:tc>
      </w:tr>
      <w:tr>
        <w:trPr>
          <w:trHeight w:val="256"/>
        </w:trPr>
        <w:tc>
          <w:tcPr>
            <w:tcW w:w="836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5,589</w:t>
            </w:r>
          </w:p>
        </w:tc>
        <w:tc>
          <w:tcPr>
            <w:tcW w:w="4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4,338</w:t>
            </w:r>
          </w:p>
        </w:tc>
      </w:tr>
      <w:tr>
        <w:trPr>
          <w:trHeight w:val="236"/>
        </w:trPr>
        <w:tc>
          <w:tcPr>
            <w:tcW w:w="836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121,490</w:t>
            </w: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120,834</w:t>
            </w:r>
          </w:p>
        </w:tc>
      </w:tr>
      <w:tr>
        <w:trPr>
          <w:trHeight w:val="27"/>
        </w:trPr>
        <w:tc>
          <w:tcPr>
            <w:tcW w:w="8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20"/>
          </w:cols>
          <w:pgMar w:left="320" w:top="1057" w:right="35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type w:val="continuous"/>
        </w:sectPr>
      </w:pPr>
    </w:p>
    <w:bookmarkStart w:id="13" w:name="page14"/>
    <w:bookmarkEnd w:id="13"/>
    <w:p>
      <w:pPr>
        <w:ind w:right="80"/>
        <w:spacing w:after="0" w:line="223" w:lineRule="auto"/>
        <w:rPr>
          <w:sz w:val="20"/>
          <w:szCs w:val="20"/>
          <w:color w:val="auto"/>
        </w:rPr>
      </w:pPr>
      <w:r>
        <w:rPr>
          <w:rFonts w:ascii="Arial" w:cs="Arial" w:eastAsia="Arial" w:hAnsi="Arial"/>
          <w:sz w:val="18"/>
          <w:szCs w:val="18"/>
          <w:color w:val="auto"/>
        </w:rPr>
        <w:t>The Company finances new and used vehicle inventory through a standardized floor plan facility (the “floor plan facility”) with Truist Bank. The vehicle floor plan facility bears interest at variable rates that are based on LIBOR plus 1.15% per annum. The weighted average interest rate for the floor plan facility was 1.6% and 3.4% for the three months ended June 30, 2020 and 2019, respectively. The weighted average interest rate for the floor plan facility was 2.2% and 3.5% for the six months ended June 30, 2020 and 2019, respectively. As of June 30, 2020, the aggregate capacity under the floor plan facility was $50 million, of which $29.1 million had been utilized, and is included in accounts payable and accrued liabilities in the Condensed Consolidated Balance Sheet. Changes in the vehicle floor plan payable are reported as cash flows from financing activities in the Condensed Consolidated Statements of Cash Flows.</w:t>
      </w:r>
    </w:p>
    <w:p>
      <w:pPr>
        <w:spacing w:after="0" w:line="139"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The floor plan facility is collateralized by vehicle inventory and other assets of the relevant dealership subsidiary, and contains a number of covenants, including, among others, covenants restricting the dealership subsidiary with respect to the creation of liens and changes in ownership, officers and key management personnel. The Company was in compliance with all of these restrictive covenants as of June 30, 2020.</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floor plan interest expense related to the vehicle floor plan arrangements is offset by amounts received from manufacturers in the form of floor plan assistance capitalized in inventory and recorded against operating expense in the Condensed Consolidated Statements of Operations when the associated inventory is sold. For the three months ended June 30, 2020 and 2019, the Company recognized a reduction in operating expense of $0.5 million and $0.8 million, respectively, related to manufacturer floor plan assistance. For the six months ended June 30, 2020 and 2019, the Company recognized a reduction in operating expense of $0.9 million and $1.2 million, respectively, related to manufacturer floor plan assistance.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66" w:lineRule="exact"/>
        <w:rPr>
          <w:sz w:val="20"/>
          <w:szCs w:val="20"/>
          <w:color w:val="auto"/>
        </w:rPr>
      </w:pPr>
    </w:p>
    <w:p>
      <w:pPr>
        <w:ind w:right="80"/>
        <w:spacing w:after="0" w:line="222" w:lineRule="auto"/>
        <w:rPr>
          <w:sz w:val="20"/>
          <w:szCs w:val="20"/>
          <w:color w:val="auto"/>
        </w:rPr>
      </w:pPr>
      <w:r>
        <w:rPr>
          <w:rFonts w:ascii="Arial" w:cs="Arial" w:eastAsia="Arial" w:hAnsi="Arial"/>
          <w:sz w:val="18"/>
          <w:szCs w:val="18"/>
          <w:color w:val="auto"/>
        </w:rPr>
        <w:t>In the first quarter of 2020, as a result of the uncertainty and challenging operating environment created by the COVID-19 pandemic, the Company performed an interim review of the goodwill, indefinite-lived intangibles and other long-lived assets of the CRG and automotive dealership reporting units and asset groups. As a result of the impairment reviews, the Company recorded a $9.7 million goodwill and indefinite-lived intangible asset impairment charge at CRG and a $6.7 million indefinite-lived intangible asset impairment charge at the auto dealerships. The Company estimated the fair value of the reporting units and indefinite-lived intangible assets by utilizing a discounted cash flow model. The carrying value of the CRG reporting unit and the indefinite-lived intangible assets exceeded the estimated fair value, resulting in a goodwill and indefinite-lived intangible asset impairment charge for the amount by which the carrying value exceeded the estimated fair value. CRG and the automotive dealerships are included in other businesses. Additional COVID-19 disruptions could result in future adverse changes in projections for future operating results or other key assumptions, such as projected revenue, profit margin, capital expenditures or cash flows associated with fair value estimates and could lead to additional future impairments, which could be material.</w:t>
      </w:r>
    </w:p>
    <w:p>
      <w:pPr>
        <w:spacing w:after="0" w:line="137"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Amortization of intangible assets for the three months ended June 30, 2020 and 2019, was $14.3 million and $12.9 million, respectively. Amortization of intangible assets for the six months ended June 30, 2020 and 2019, was $28.5 million and $25.9 million, respectively. Amortization of intangible assets is estimated to be approximately $28 million for the remainder of 2020, $52 million in 2021, $46 million in 2022, $37 million in 2023, $28 million in 2024 and $41 million thereafter. The changes in the carrying amount of goodwill, by segment,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jc w:val="right"/>
              <w:ind w:right="201"/>
              <w:spacing w:after="0"/>
              <w:rPr>
                <w:sz w:val="20"/>
                <w:szCs w:val="20"/>
                <w:color w:val="auto"/>
              </w:rPr>
            </w:pPr>
            <w:r>
              <w:rPr>
                <w:rFonts w:ascii="Arial" w:cs="Arial" w:eastAsia="Arial" w:hAnsi="Arial"/>
                <w:sz w:val="14"/>
                <w:szCs w:val="14"/>
                <w:b w:val="1"/>
                <w:bCs w:val="1"/>
                <w:color w:val="auto"/>
              </w:rPr>
              <w:t>Television</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right"/>
              <w:ind w:right="301"/>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6"/>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Education</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Broadcasting</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Manufacturing</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Healthcare</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SocialCode</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Businesses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217"/>
        </w:trPr>
        <w:tc>
          <w:tcPr>
            <w:tcW w:w="2480" w:type="dxa"/>
            <w:vAlign w:val="bottom"/>
          </w:tcPr>
          <w:p>
            <w:pPr>
              <w:ind w:left="20"/>
              <w:spacing w:after="0"/>
              <w:rPr>
                <w:sz w:val="20"/>
                <w:szCs w:val="20"/>
                <w:color w:val="auto"/>
              </w:rPr>
            </w:pPr>
            <w:r>
              <w:rPr>
                <w:rFonts w:ascii="Arial" w:cs="Arial" w:eastAsia="Arial" w:hAnsi="Arial"/>
                <w:sz w:val="16"/>
                <w:szCs w:val="16"/>
                <w:color w:val="auto"/>
              </w:rPr>
              <w:t>Balance as of December 31,</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5"/>
        </w:trPr>
        <w:tc>
          <w:tcPr>
            <w:tcW w:w="2480" w:type="dxa"/>
            <w:vAlign w:val="bottom"/>
          </w:tcPr>
          <w:p>
            <w:pPr>
              <w:ind w:left="20"/>
              <w:spacing w:after="0"/>
              <w:rPr>
                <w:sz w:val="20"/>
                <w:szCs w:val="20"/>
                <w:color w:val="auto"/>
              </w:rPr>
            </w:pPr>
            <w:r>
              <w:rPr>
                <w:rFonts w:ascii="Arial" w:cs="Arial" w:eastAsia="Arial" w:hAnsi="Arial"/>
                <w:sz w:val="16"/>
                <w:szCs w:val="16"/>
                <w:color w:val="auto"/>
              </w:rPr>
              <w:t>2019</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43"/>
        </w:trPr>
        <w:tc>
          <w:tcPr>
            <w:tcW w:w="248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1,140,958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190,815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234,993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98,421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15,860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53,684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1,734,731</w:t>
            </w:r>
          </w:p>
        </w:tc>
      </w:tr>
      <w:tr>
        <w:trPr>
          <w:trHeight w:val="210"/>
        </w:trPr>
        <w:tc>
          <w:tcPr>
            <w:tcW w:w="248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8"/>
        </w:trPr>
        <w:tc>
          <w:tcPr>
            <w:tcW w:w="2480" w:type="dxa"/>
            <w:vAlign w:val="bottom"/>
          </w:tcPr>
          <w:p>
            <w:pPr>
              <w:ind w:left="400"/>
              <w:spacing w:after="0"/>
              <w:rPr>
                <w:sz w:val="20"/>
                <w:szCs w:val="20"/>
                <w:color w:val="auto"/>
              </w:rPr>
            </w:pPr>
            <w:r>
              <w:rPr>
                <w:rFonts w:ascii="Arial" w:cs="Arial" w:eastAsia="Arial" w:hAnsi="Arial"/>
                <w:sz w:val="16"/>
                <w:szCs w:val="16"/>
                <w:color w:val="auto"/>
              </w:rPr>
              <w:t>losses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(331,151)</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(7,616)</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(7,685)</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(346,452)</w:t>
            </w:r>
          </w:p>
        </w:tc>
      </w:tr>
      <w:tr>
        <w:trPr>
          <w:trHeight w:val="223"/>
        </w:trPr>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809,807</w:t>
            </w:r>
          </w:p>
        </w:tc>
        <w:tc>
          <w:tcPr>
            <w:tcW w:w="240" w:type="dxa"/>
            <w:vAlign w:val="bottom"/>
          </w:tcPr>
          <w:p>
            <w:pPr>
              <w:spacing w:after="0"/>
              <w:rPr>
                <w:sz w:val="19"/>
                <w:szCs w:val="19"/>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190,815</w:t>
            </w:r>
          </w:p>
        </w:tc>
        <w:tc>
          <w:tcPr>
            <w:tcW w:w="260" w:type="dxa"/>
            <w:vAlign w:val="bottom"/>
          </w:tcPr>
          <w:p>
            <w:pPr>
              <w:spacing w:after="0"/>
              <w:rPr>
                <w:sz w:val="19"/>
                <w:szCs w:val="19"/>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color w:val="auto"/>
              </w:rPr>
              <w:t>227,377</w:t>
            </w:r>
          </w:p>
        </w:tc>
        <w:tc>
          <w:tcPr>
            <w:tcW w:w="240" w:type="dxa"/>
            <w:vAlign w:val="bottom"/>
          </w:tcPr>
          <w:p>
            <w:pPr>
              <w:spacing w:after="0"/>
              <w:rPr>
                <w:sz w:val="19"/>
                <w:szCs w:val="19"/>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98,421</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15,860</w:t>
            </w:r>
          </w:p>
        </w:tc>
        <w:tc>
          <w:tcPr>
            <w:tcW w:w="240" w:type="dxa"/>
            <w:vAlign w:val="bottom"/>
          </w:tcPr>
          <w:p>
            <w:pPr>
              <w:spacing w:after="0"/>
              <w:rPr>
                <w:sz w:val="19"/>
                <w:szCs w:val="19"/>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color w:val="auto"/>
              </w:rPr>
              <w:t>45,999</w:t>
            </w:r>
          </w:p>
        </w:tc>
        <w:tc>
          <w:tcPr>
            <w:tcW w:w="280" w:type="dxa"/>
            <w:vAlign w:val="bottom"/>
          </w:tcPr>
          <w:p>
            <w:pPr>
              <w:spacing w:after="0"/>
              <w:rPr>
                <w:sz w:val="19"/>
                <w:szCs w:val="19"/>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color w:val="auto"/>
              </w:rPr>
              <w:t>1,388,279</w:t>
            </w:r>
          </w:p>
        </w:tc>
      </w:tr>
      <w:tr>
        <w:trPr>
          <w:trHeight w:val="190"/>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Measurement period</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5"/>
        </w:trPr>
        <w:tc>
          <w:tcPr>
            <w:tcW w:w="2480" w:type="dxa"/>
            <w:vAlign w:val="bottom"/>
          </w:tcPr>
          <w:p>
            <w:pPr>
              <w:ind w:left="180"/>
              <w:spacing w:after="0"/>
              <w:rPr>
                <w:sz w:val="20"/>
                <w:szCs w:val="20"/>
                <w:color w:val="auto"/>
              </w:rPr>
            </w:pPr>
            <w:r>
              <w:rPr>
                <w:rFonts w:ascii="Arial" w:cs="Arial" w:eastAsia="Arial" w:hAnsi="Arial"/>
                <w:sz w:val="16"/>
                <w:szCs w:val="16"/>
                <w:b w:val="1"/>
                <w:bCs w:val="1"/>
                <w:color w:val="auto"/>
              </w:rPr>
              <w:t>adjustments</w:t>
            </w:r>
          </w:p>
        </w:tc>
        <w:tc>
          <w:tcPr>
            <w:tcW w:w="140" w:type="dxa"/>
            <w:vAlign w:val="bottom"/>
          </w:tcPr>
          <w:p>
            <w:pPr>
              <w:spacing w:after="0"/>
              <w:rPr>
                <w:sz w:val="18"/>
                <w:szCs w:val="18"/>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154</w:t>
            </w:r>
          </w:p>
        </w:tc>
        <w:tc>
          <w:tcPr>
            <w:tcW w:w="240" w:type="dxa"/>
            <w:vAlign w:val="bottom"/>
          </w:tcPr>
          <w:p>
            <w:pPr>
              <w:spacing w:after="0"/>
              <w:rPr>
                <w:sz w:val="18"/>
                <w:szCs w:val="18"/>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154</w:t>
            </w:r>
          </w:p>
        </w:tc>
      </w:tr>
      <w:tr>
        <w:trPr>
          <w:trHeight w:val="243"/>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4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13,022</w:t>
            </w:r>
          </w:p>
        </w:tc>
        <w:tc>
          <w:tcPr>
            <w:tcW w:w="240" w:type="dxa"/>
            <w:vAlign w:val="bottom"/>
          </w:tcPr>
          <w:p>
            <w:pPr>
              <w:spacing w:after="0"/>
              <w:rPr>
                <w:sz w:val="21"/>
                <w:szCs w:val="21"/>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63,898</w:t>
            </w:r>
          </w:p>
        </w:tc>
        <w:tc>
          <w:tcPr>
            <w:tcW w:w="28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76,920</w:t>
            </w:r>
          </w:p>
        </w:tc>
      </w:tr>
      <w:tr>
        <w:trPr>
          <w:trHeight w:val="243"/>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Impairment</w:t>
            </w:r>
          </w:p>
        </w:tc>
        <w:tc>
          <w:tcPr>
            <w:tcW w:w="14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(6,878)</w:t>
            </w:r>
          </w:p>
        </w:tc>
        <w:tc>
          <w:tcPr>
            <w:tcW w:w="28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(6,878)</w:t>
            </w:r>
          </w:p>
        </w:tc>
      </w:tr>
      <w:tr>
        <w:trPr>
          <w:trHeight w:val="190"/>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8"/>
        </w:trPr>
        <w:tc>
          <w:tcPr>
            <w:tcW w:w="2480" w:type="dxa"/>
            <w:vAlign w:val="bottom"/>
          </w:tcPr>
          <w:p>
            <w:pPr>
              <w:ind w:left="180"/>
              <w:spacing w:after="0"/>
              <w:rPr>
                <w:sz w:val="20"/>
                <w:szCs w:val="20"/>
                <w:color w:val="auto"/>
              </w:rPr>
            </w:pPr>
            <w:r>
              <w:rPr>
                <w:rFonts w:ascii="Arial" w:cs="Arial" w:eastAsia="Arial" w:hAnsi="Arial"/>
                <w:sz w:val="16"/>
                <w:szCs w:val="16"/>
                <w:b w:val="1"/>
                <w:bCs w:val="1"/>
                <w:color w:val="auto"/>
              </w:rPr>
              <w:t>rate changes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(18,096)</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(18,096)</w:t>
            </w:r>
          </w:p>
        </w:tc>
      </w:tr>
      <w:tr>
        <w:trPr>
          <w:trHeight w:val="223"/>
        </w:trPr>
        <w:tc>
          <w:tcPr>
            <w:tcW w:w="248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2020</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3"/>
        </w:trPr>
        <w:tc>
          <w:tcPr>
            <w:tcW w:w="248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4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1,136,038</w:t>
            </w:r>
          </w:p>
        </w:tc>
        <w:tc>
          <w:tcPr>
            <w:tcW w:w="240" w:type="dxa"/>
            <w:vAlign w:val="bottom"/>
          </w:tcPr>
          <w:p>
            <w:pPr>
              <w:spacing w:after="0"/>
              <w:rPr>
                <w:sz w:val="21"/>
                <w:szCs w:val="21"/>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190,815</w:t>
            </w:r>
          </w:p>
        </w:tc>
        <w:tc>
          <w:tcPr>
            <w:tcW w:w="260" w:type="dxa"/>
            <w:vAlign w:val="bottom"/>
          </w:tcPr>
          <w:p>
            <w:pPr>
              <w:spacing w:after="0"/>
              <w:rPr>
                <w:sz w:val="21"/>
                <w:szCs w:val="21"/>
                <w:color w:val="auto"/>
              </w:rPr>
            </w:pPr>
          </w:p>
        </w:tc>
        <w:tc>
          <w:tcPr>
            <w:tcW w:w="1200" w:type="dxa"/>
            <w:vAlign w:val="bottom"/>
          </w:tcPr>
          <w:p>
            <w:pPr>
              <w:jc w:val="right"/>
              <w:ind w:right="80"/>
              <w:spacing w:after="0"/>
              <w:rPr>
                <w:sz w:val="20"/>
                <w:szCs w:val="20"/>
                <w:color w:val="auto"/>
              </w:rPr>
            </w:pPr>
            <w:r>
              <w:rPr>
                <w:rFonts w:ascii="Arial" w:cs="Arial" w:eastAsia="Arial" w:hAnsi="Arial"/>
                <w:sz w:val="16"/>
                <w:szCs w:val="16"/>
                <w:b w:val="1"/>
                <w:bCs w:val="1"/>
                <w:color w:val="auto"/>
              </w:rPr>
              <w:t>234,993</w:t>
            </w:r>
          </w:p>
        </w:tc>
        <w:tc>
          <w:tcPr>
            <w:tcW w:w="240" w:type="dxa"/>
            <w:vAlign w:val="bottom"/>
          </w:tcPr>
          <w:p>
            <w:pPr>
              <w:spacing w:after="0"/>
              <w:rPr>
                <w:sz w:val="21"/>
                <w:szCs w:val="21"/>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b w:val="1"/>
                <w:bCs w:val="1"/>
                <w:color w:val="auto"/>
              </w:rPr>
              <w:t>98,421</w:t>
            </w:r>
          </w:p>
        </w:tc>
        <w:tc>
          <w:tcPr>
            <w:tcW w:w="240" w:type="dxa"/>
            <w:vAlign w:val="bottom"/>
          </w:tcPr>
          <w:p>
            <w:pPr>
              <w:spacing w:after="0"/>
              <w:rPr>
                <w:sz w:val="21"/>
                <w:szCs w:val="21"/>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15,860</w:t>
            </w:r>
          </w:p>
        </w:tc>
        <w:tc>
          <w:tcPr>
            <w:tcW w:w="240" w:type="dxa"/>
            <w:vAlign w:val="bottom"/>
          </w:tcPr>
          <w:p>
            <w:pPr>
              <w:spacing w:after="0"/>
              <w:rPr>
                <w:sz w:val="21"/>
                <w:szCs w:val="21"/>
                <w:color w:val="auto"/>
              </w:rPr>
            </w:pPr>
          </w:p>
        </w:tc>
        <w:tc>
          <w:tcPr>
            <w:tcW w:w="980" w:type="dxa"/>
            <w:vAlign w:val="bottom"/>
          </w:tcPr>
          <w:p>
            <w:pPr>
              <w:jc w:val="right"/>
              <w:ind w:right="81"/>
              <w:spacing w:after="0"/>
              <w:rPr>
                <w:sz w:val="20"/>
                <w:szCs w:val="20"/>
                <w:color w:val="auto"/>
              </w:rPr>
            </w:pPr>
            <w:r>
              <w:rPr>
                <w:rFonts w:ascii="Arial" w:cs="Arial" w:eastAsia="Arial" w:hAnsi="Arial"/>
                <w:sz w:val="16"/>
                <w:szCs w:val="16"/>
                <w:b w:val="1"/>
                <w:bCs w:val="1"/>
                <w:color w:val="auto"/>
              </w:rPr>
              <w:t>117,582</w:t>
            </w:r>
          </w:p>
        </w:tc>
        <w:tc>
          <w:tcPr>
            <w:tcW w:w="280" w:type="dxa"/>
            <w:vAlign w:val="bottom"/>
          </w:tcPr>
          <w:p>
            <w:pPr>
              <w:spacing w:after="0"/>
              <w:rPr>
                <w:sz w:val="21"/>
                <w:szCs w:val="21"/>
                <w:color w:val="auto"/>
              </w:rPr>
            </w:pPr>
          </w:p>
        </w:tc>
        <w:tc>
          <w:tcPr>
            <w:tcW w:w="940" w:type="dxa"/>
            <w:vAlign w:val="bottom"/>
          </w:tcPr>
          <w:p>
            <w:pPr>
              <w:jc w:val="right"/>
              <w:ind w:right="80"/>
              <w:spacing w:after="0"/>
              <w:rPr>
                <w:sz w:val="20"/>
                <w:szCs w:val="20"/>
                <w:color w:val="auto"/>
              </w:rPr>
            </w:pPr>
            <w:r>
              <w:rPr>
                <w:rFonts w:ascii="Arial" w:cs="Arial" w:eastAsia="Arial" w:hAnsi="Arial"/>
                <w:sz w:val="16"/>
                <w:szCs w:val="16"/>
                <w:b w:val="1"/>
                <w:bCs w:val="1"/>
                <w:color w:val="auto"/>
              </w:rPr>
              <w:t>1,793,709</w:t>
            </w:r>
          </w:p>
        </w:tc>
      </w:tr>
      <w:tr>
        <w:trPr>
          <w:trHeight w:val="190"/>
        </w:trPr>
        <w:tc>
          <w:tcPr>
            <w:tcW w:w="248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8"/>
        </w:trPr>
        <w:tc>
          <w:tcPr>
            <w:tcW w:w="2480" w:type="dxa"/>
            <w:vAlign w:val="bottom"/>
          </w:tcPr>
          <w:p>
            <w:pPr>
              <w:ind w:left="400"/>
              <w:spacing w:after="0"/>
              <w:rPr>
                <w:sz w:val="20"/>
                <w:szCs w:val="20"/>
                <w:color w:val="auto"/>
              </w:rPr>
            </w:pPr>
            <w:r>
              <w:rPr>
                <w:rFonts w:ascii="Arial" w:cs="Arial" w:eastAsia="Arial" w:hAnsi="Arial"/>
                <w:sz w:val="16"/>
                <w:szCs w:val="16"/>
                <w:b w:val="1"/>
                <w:bCs w:val="1"/>
                <w:color w:val="auto"/>
              </w:rPr>
              <w:t>losses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(331,151)</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(7,616)</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(14,563)</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(353,330)</w:t>
            </w:r>
          </w:p>
        </w:tc>
      </w:tr>
      <w:tr>
        <w:trPr>
          <w:trHeight w:val="236"/>
        </w:trPr>
        <w:tc>
          <w:tcPr>
            <w:tcW w:w="24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804,887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190,815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227,377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98,421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15,860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103,019</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1,440,379</w:t>
            </w:r>
          </w:p>
        </w:tc>
      </w:tr>
      <w:tr>
        <w:trPr>
          <w:trHeight w:val="27"/>
        </w:trPr>
        <w:tc>
          <w:tcPr>
            <w:tcW w:w="2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4" w:name="page15"/>
    <w:bookmarkEnd w:id="14"/>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381"/>
              <w:spacing w:after="0"/>
              <w:rPr>
                <w:sz w:val="20"/>
                <w:szCs w:val="20"/>
                <w:color w:val="auto"/>
              </w:rPr>
            </w:pPr>
            <w:r>
              <w:rPr>
                <w:rFonts w:ascii="Arial" w:cs="Arial" w:eastAsia="Arial" w:hAnsi="Arial"/>
                <w:sz w:val="14"/>
                <w:szCs w:val="14"/>
                <w:b w:val="1"/>
                <w:bCs w:val="1"/>
                <w:color w:val="auto"/>
              </w:rPr>
              <w:t>Kaplan</w:t>
            </w:r>
          </w:p>
        </w:tc>
        <w:tc>
          <w:tcPr>
            <w:tcW w:w="300" w:type="dxa"/>
            <w:vAlign w:val="bottom"/>
          </w:tcPr>
          <w:p>
            <w:pPr>
              <w:spacing w:after="0"/>
              <w:rPr>
                <w:sz w:val="14"/>
                <w:szCs w:val="14"/>
                <w:color w:val="auto"/>
              </w:rPr>
            </w:pPr>
          </w:p>
        </w:tc>
        <w:tc>
          <w:tcPr>
            <w:tcW w:w="1100" w:type="dxa"/>
            <w:vAlign w:val="bottom"/>
          </w:tcPr>
          <w:p>
            <w:pPr>
              <w:jc w:val="right"/>
              <w:ind w:right="381"/>
              <w:spacing w:after="0"/>
              <w:rPr>
                <w:sz w:val="20"/>
                <w:szCs w:val="20"/>
                <w:color w:val="auto"/>
              </w:rPr>
            </w:pPr>
            <w:r>
              <w:rPr>
                <w:rFonts w:ascii="Arial" w:cs="Arial" w:eastAsia="Arial" w:hAnsi="Arial"/>
                <w:sz w:val="14"/>
                <w:szCs w:val="14"/>
                <w:b w:val="1"/>
                <w:bCs w:val="1"/>
                <w:color w:val="auto"/>
              </w:rPr>
              <w:t>Higher</w:t>
            </w:r>
          </w:p>
        </w:tc>
        <w:tc>
          <w:tcPr>
            <w:tcW w:w="280" w:type="dxa"/>
            <w:vAlign w:val="bottom"/>
          </w:tcPr>
          <w:p>
            <w:pPr>
              <w:spacing w:after="0"/>
              <w:rPr>
                <w:sz w:val="14"/>
                <w:szCs w:val="14"/>
                <w:color w:val="auto"/>
              </w:rPr>
            </w:pPr>
          </w:p>
        </w:tc>
        <w:tc>
          <w:tcPr>
            <w:tcW w:w="1140" w:type="dxa"/>
            <w:vAlign w:val="bottom"/>
          </w:tcPr>
          <w:p>
            <w:pPr>
              <w:jc w:val="right"/>
              <w:ind w:right="461"/>
              <w:spacing w:after="0"/>
              <w:rPr>
                <w:sz w:val="20"/>
                <w:szCs w:val="20"/>
                <w:color w:val="auto"/>
              </w:rPr>
            </w:pPr>
            <w:r>
              <w:rPr>
                <w:rFonts w:ascii="Arial" w:cs="Arial" w:eastAsia="Arial" w:hAnsi="Arial"/>
                <w:sz w:val="14"/>
                <w:szCs w:val="14"/>
                <w:b w:val="1"/>
                <w:bCs w:val="1"/>
                <w:color w:val="auto"/>
              </w:rPr>
              <w:t>Test</w:t>
            </w: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6"/>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Education</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Preparation</w:t>
            </w:r>
          </w:p>
        </w:tc>
        <w:tc>
          <w:tcPr>
            <w:tcW w:w="14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Professional (U.S.)</w:t>
            </w: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223"/>
        </w:trPr>
        <w:tc>
          <w:tcPr>
            <w:tcW w:w="4160" w:type="dxa"/>
            <w:vAlign w:val="bottom"/>
          </w:tcPr>
          <w:p>
            <w:pPr>
              <w:ind w:left="20"/>
              <w:spacing w:after="0"/>
              <w:rPr>
                <w:sz w:val="20"/>
                <w:szCs w:val="20"/>
                <w:color w:val="auto"/>
              </w:rPr>
            </w:pPr>
            <w:r>
              <w:rPr>
                <w:rFonts w:ascii="Arial" w:cs="Arial" w:eastAsia="Arial" w:hAnsi="Arial"/>
                <w:sz w:val="16"/>
                <w:szCs w:val="16"/>
                <w:color w:val="auto"/>
              </w:rPr>
              <w:t>Balance as of December 31, 2019</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3"/>
        </w:trPr>
        <w:tc>
          <w:tcPr>
            <w:tcW w:w="416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595,604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174,564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166,920</w:t>
            </w:r>
          </w:p>
        </w:tc>
        <w:tc>
          <w:tcPr>
            <w:tcW w:w="400" w:type="dxa"/>
            <w:vAlign w:val="bottom"/>
          </w:tcPr>
          <w:p>
            <w:pPr>
              <w:ind w:lef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203,870</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1,140,958</w:t>
            </w:r>
          </w:p>
        </w:tc>
      </w:tr>
      <w:tr>
        <w:trPr>
          <w:trHeight w:val="256"/>
        </w:trPr>
        <w:tc>
          <w:tcPr>
            <w:tcW w:w="416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(111,324)</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(102,259)</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(117,568)</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(331,151)</w:t>
            </w:r>
          </w:p>
        </w:tc>
      </w:tr>
      <w:tr>
        <w:trPr>
          <w:trHeight w:val="224"/>
        </w:trPr>
        <w:tc>
          <w:tcPr>
            <w:tcW w:w="4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01"/>
              <w:spacing w:after="0"/>
              <w:rPr>
                <w:sz w:val="20"/>
                <w:szCs w:val="20"/>
                <w:color w:val="auto"/>
              </w:rPr>
            </w:pPr>
            <w:r>
              <w:rPr>
                <w:rFonts w:ascii="Arial" w:cs="Arial" w:eastAsia="Arial" w:hAnsi="Arial"/>
                <w:sz w:val="16"/>
                <w:szCs w:val="16"/>
                <w:color w:val="auto"/>
              </w:rPr>
              <w:t>595,604</w:t>
            </w:r>
          </w:p>
        </w:tc>
        <w:tc>
          <w:tcPr>
            <w:tcW w:w="300" w:type="dxa"/>
            <w:vAlign w:val="bottom"/>
          </w:tcPr>
          <w:p>
            <w:pPr>
              <w:spacing w:after="0"/>
              <w:rPr>
                <w:sz w:val="19"/>
                <w:szCs w:val="19"/>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color w:val="auto"/>
              </w:rPr>
              <w:t>63,240</w:t>
            </w:r>
          </w:p>
        </w:tc>
        <w:tc>
          <w:tcPr>
            <w:tcW w:w="280" w:type="dxa"/>
            <w:vAlign w:val="bottom"/>
          </w:tcPr>
          <w:p>
            <w:pPr>
              <w:spacing w:after="0"/>
              <w:rPr>
                <w:sz w:val="19"/>
                <w:szCs w:val="19"/>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64,661</w:t>
            </w:r>
          </w:p>
        </w:tc>
        <w:tc>
          <w:tcPr>
            <w:tcW w:w="400" w:type="dxa"/>
            <w:vAlign w:val="bottom"/>
          </w:tcPr>
          <w:p>
            <w:pPr>
              <w:spacing w:after="0"/>
              <w:rPr>
                <w:sz w:val="19"/>
                <w:szCs w:val="19"/>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86,302</w:t>
            </w:r>
          </w:p>
        </w:tc>
        <w:tc>
          <w:tcPr>
            <w:tcW w:w="340" w:type="dxa"/>
            <w:vAlign w:val="bottom"/>
          </w:tcPr>
          <w:p>
            <w:pPr>
              <w:spacing w:after="0"/>
              <w:rPr>
                <w:sz w:val="19"/>
                <w:szCs w:val="19"/>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809,807</w:t>
            </w:r>
          </w:p>
        </w:tc>
      </w:tr>
      <w:tr>
        <w:trPr>
          <w:trHeight w:val="243"/>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Measurement period adjustments</w:t>
            </w:r>
          </w:p>
        </w:tc>
        <w:tc>
          <w:tcPr>
            <w:tcW w:w="160" w:type="dxa"/>
            <w:vAlign w:val="bottom"/>
          </w:tcPr>
          <w:p>
            <w:pPr>
              <w:spacing w:after="0"/>
              <w:rPr>
                <w:sz w:val="21"/>
                <w:szCs w:val="21"/>
                <w:color w:val="auto"/>
              </w:rPr>
            </w:pPr>
          </w:p>
        </w:tc>
        <w:tc>
          <w:tcPr>
            <w:tcW w:w="1160" w:type="dxa"/>
            <w:vAlign w:val="bottom"/>
          </w:tcPr>
          <w:p>
            <w:pPr>
              <w:jc w:val="right"/>
              <w:ind w:right="101"/>
              <w:spacing w:after="0"/>
              <w:rPr>
                <w:sz w:val="20"/>
                <w:szCs w:val="20"/>
                <w:color w:val="auto"/>
              </w:rPr>
            </w:pPr>
            <w:r>
              <w:rPr>
                <w:rFonts w:ascii="Arial" w:cs="Arial" w:eastAsia="Arial" w:hAnsi="Arial"/>
                <w:sz w:val="16"/>
                <w:szCs w:val="16"/>
                <w:b w:val="1"/>
                <w:bCs w:val="1"/>
                <w:color w:val="auto"/>
              </w:rPr>
              <w:t>154</w:t>
            </w:r>
          </w:p>
        </w:tc>
        <w:tc>
          <w:tcPr>
            <w:tcW w:w="300" w:type="dxa"/>
            <w:vAlign w:val="bottom"/>
          </w:tcPr>
          <w:p>
            <w:pPr>
              <w:spacing w:after="0"/>
              <w:rPr>
                <w:sz w:val="21"/>
                <w:szCs w:val="21"/>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1"/>
                <w:szCs w:val="21"/>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154</w:t>
            </w:r>
          </w:p>
        </w:tc>
      </w:tr>
      <w:tr>
        <w:trPr>
          <w:trHeight w:val="243"/>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Acquisitions</w:t>
            </w:r>
          </w:p>
        </w:tc>
        <w:tc>
          <w:tcPr>
            <w:tcW w:w="160" w:type="dxa"/>
            <w:vAlign w:val="bottom"/>
          </w:tcPr>
          <w:p>
            <w:pPr>
              <w:spacing w:after="0"/>
              <w:rPr>
                <w:sz w:val="21"/>
                <w:szCs w:val="21"/>
                <w:color w:val="auto"/>
              </w:rPr>
            </w:pPr>
          </w:p>
        </w:tc>
        <w:tc>
          <w:tcPr>
            <w:tcW w:w="1160" w:type="dxa"/>
            <w:vAlign w:val="bottom"/>
          </w:tcPr>
          <w:p>
            <w:pPr>
              <w:jc w:val="right"/>
              <w:ind w:right="101"/>
              <w:spacing w:after="0"/>
              <w:rPr>
                <w:sz w:val="20"/>
                <w:szCs w:val="20"/>
                <w:color w:val="auto"/>
              </w:rPr>
            </w:pPr>
            <w:r>
              <w:rPr>
                <w:rFonts w:ascii="Arial" w:cs="Arial" w:eastAsia="Arial" w:hAnsi="Arial"/>
                <w:sz w:val="16"/>
                <w:szCs w:val="16"/>
                <w:b w:val="1"/>
                <w:bCs w:val="1"/>
                <w:color w:val="auto"/>
              </w:rPr>
              <w:t>9,788</w:t>
            </w:r>
          </w:p>
        </w:tc>
        <w:tc>
          <w:tcPr>
            <w:tcW w:w="300" w:type="dxa"/>
            <w:vAlign w:val="bottom"/>
          </w:tcPr>
          <w:p>
            <w:pPr>
              <w:spacing w:after="0"/>
              <w:rPr>
                <w:sz w:val="21"/>
                <w:szCs w:val="21"/>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1"/>
                <w:szCs w:val="21"/>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1"/>
                <w:szCs w:val="21"/>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3,234</w:t>
            </w:r>
          </w:p>
        </w:tc>
        <w:tc>
          <w:tcPr>
            <w:tcW w:w="34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13,022</w:t>
            </w:r>
          </w:p>
        </w:tc>
      </w:tr>
      <w:tr>
        <w:trPr>
          <w:trHeight w:val="256"/>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(18,013)</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(83)</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(18,096)</w:t>
            </w:r>
          </w:p>
        </w:tc>
      </w:tr>
      <w:tr>
        <w:trPr>
          <w:trHeight w:val="224"/>
        </w:trPr>
        <w:tc>
          <w:tcPr>
            <w:tcW w:w="416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2020</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3"/>
        </w:trPr>
        <w:tc>
          <w:tcPr>
            <w:tcW w:w="416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21"/>
                <w:szCs w:val="21"/>
                <w:color w:val="auto"/>
              </w:rPr>
            </w:pPr>
          </w:p>
        </w:tc>
        <w:tc>
          <w:tcPr>
            <w:tcW w:w="1160" w:type="dxa"/>
            <w:vAlign w:val="bottom"/>
          </w:tcPr>
          <w:p>
            <w:pPr>
              <w:jc w:val="right"/>
              <w:ind w:right="101"/>
              <w:spacing w:after="0"/>
              <w:rPr>
                <w:sz w:val="20"/>
                <w:szCs w:val="20"/>
                <w:color w:val="auto"/>
              </w:rPr>
            </w:pPr>
            <w:r>
              <w:rPr>
                <w:rFonts w:ascii="Arial" w:cs="Arial" w:eastAsia="Arial" w:hAnsi="Arial"/>
                <w:sz w:val="16"/>
                <w:szCs w:val="16"/>
                <w:b w:val="1"/>
                <w:bCs w:val="1"/>
                <w:color w:val="auto"/>
              </w:rPr>
              <w:t>587,533</w:t>
            </w:r>
          </w:p>
        </w:tc>
        <w:tc>
          <w:tcPr>
            <w:tcW w:w="300" w:type="dxa"/>
            <w:vAlign w:val="bottom"/>
          </w:tcPr>
          <w:p>
            <w:pPr>
              <w:spacing w:after="0"/>
              <w:rPr>
                <w:sz w:val="21"/>
                <w:szCs w:val="21"/>
                <w:color w:val="auto"/>
              </w:rPr>
            </w:pPr>
          </w:p>
        </w:tc>
        <w:tc>
          <w:tcPr>
            <w:tcW w:w="1100" w:type="dxa"/>
            <w:vAlign w:val="bottom"/>
          </w:tcPr>
          <w:p>
            <w:pPr>
              <w:jc w:val="right"/>
              <w:ind w:right="81"/>
              <w:spacing w:after="0"/>
              <w:rPr>
                <w:sz w:val="20"/>
                <w:szCs w:val="20"/>
                <w:color w:val="auto"/>
              </w:rPr>
            </w:pPr>
            <w:r>
              <w:rPr>
                <w:rFonts w:ascii="Arial" w:cs="Arial" w:eastAsia="Arial" w:hAnsi="Arial"/>
                <w:sz w:val="16"/>
                <w:szCs w:val="16"/>
                <w:b w:val="1"/>
                <w:bCs w:val="1"/>
                <w:color w:val="auto"/>
              </w:rPr>
              <w:t>174,564</w:t>
            </w:r>
          </w:p>
        </w:tc>
        <w:tc>
          <w:tcPr>
            <w:tcW w:w="280" w:type="dxa"/>
            <w:vAlign w:val="bottom"/>
          </w:tcPr>
          <w:p>
            <w:pPr>
              <w:spacing w:after="0"/>
              <w:rPr>
                <w:sz w:val="21"/>
                <w:szCs w:val="21"/>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b w:val="1"/>
                <w:bCs w:val="1"/>
                <w:color w:val="auto"/>
              </w:rPr>
              <w:t>166,920</w:t>
            </w:r>
          </w:p>
        </w:tc>
        <w:tc>
          <w:tcPr>
            <w:tcW w:w="400" w:type="dxa"/>
            <w:vAlign w:val="bottom"/>
          </w:tcPr>
          <w:p>
            <w:pPr>
              <w:spacing w:after="0"/>
              <w:rPr>
                <w:sz w:val="21"/>
                <w:szCs w:val="21"/>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207,021</w:t>
            </w:r>
          </w:p>
        </w:tc>
        <w:tc>
          <w:tcPr>
            <w:tcW w:w="340" w:type="dxa"/>
            <w:vAlign w:val="bottom"/>
          </w:tcPr>
          <w:p>
            <w:pPr>
              <w:spacing w:after="0"/>
              <w:rPr>
                <w:sz w:val="21"/>
                <w:szCs w:val="21"/>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b w:val="1"/>
                <w:bCs w:val="1"/>
                <w:color w:val="auto"/>
              </w:rPr>
              <w:t>1,136,038</w:t>
            </w:r>
          </w:p>
        </w:tc>
      </w:tr>
      <w:tr>
        <w:trPr>
          <w:trHeight w:val="256"/>
        </w:trPr>
        <w:tc>
          <w:tcPr>
            <w:tcW w:w="416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(111,324)</w:t>
            </w:r>
          </w:p>
        </w:tc>
        <w:tc>
          <w:tcPr>
            <w:tcW w:w="2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(102,259)</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(117,568)</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(331,151)</w:t>
            </w:r>
          </w:p>
        </w:tc>
      </w:tr>
      <w:tr>
        <w:trPr>
          <w:trHeight w:val="237"/>
        </w:trPr>
        <w:tc>
          <w:tcPr>
            <w:tcW w:w="41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587,533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63,240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64,661</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89,453</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804,887</w:t>
            </w:r>
          </w:p>
        </w:tc>
      </w:tr>
      <w:tr>
        <w:trPr>
          <w:trHeight w:val="27"/>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June 30, 2020</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rPr>
              <w:t>As of December 31, 2019</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101"/>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Gross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center"/>
              <w:ind w:right="122"/>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9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Useful Life</w:t>
            </w:r>
          </w:p>
        </w:tc>
        <w:tc>
          <w:tcPr>
            <w:tcW w:w="840" w:type="dxa"/>
            <w:vAlign w:val="bottom"/>
          </w:tcPr>
          <w:p>
            <w:pPr>
              <w:jc w:val="center"/>
              <w:ind w:right="10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200" w:type="dxa"/>
            <w:vAlign w:val="bottom"/>
          </w:tcPr>
          <w:p>
            <w:pPr>
              <w:jc w:val="center"/>
              <w:ind w:right="181"/>
              <w:spacing w:after="0"/>
              <w:rPr>
                <w:sz w:val="20"/>
                <w:szCs w:val="20"/>
                <w:color w:val="auto"/>
              </w:rPr>
            </w:pPr>
            <w:r>
              <w:rPr>
                <w:rFonts w:ascii="Arial" w:cs="Arial" w:eastAsia="Arial" w:hAnsi="Arial"/>
                <w:sz w:val="14"/>
                <w:szCs w:val="14"/>
                <w:b w:val="1"/>
                <w:bCs w:val="1"/>
                <w:color w:val="auto"/>
              </w:rPr>
              <w:t>Accumulated</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Net Carrying</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Carrying</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jc w:val="center"/>
              <w:ind w:right="81"/>
              <w:spacing w:after="0"/>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4"/>
                <w:szCs w:val="14"/>
                <w:color w:val="auto"/>
              </w:rPr>
            </w:pPr>
          </w:p>
        </w:tc>
        <w:tc>
          <w:tcPr>
            <w:tcW w:w="840" w:type="dxa"/>
            <w:vAlign w:val="bottom"/>
          </w:tcPr>
          <w:p>
            <w:pPr>
              <w:jc w:val="center"/>
              <w:ind w:right="12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5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Range</w:t>
            </w:r>
          </w:p>
        </w:tc>
        <w:tc>
          <w:tcPr>
            <w:tcW w:w="8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Amount</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rPr>
              <w:t>Amortization</w:t>
            </w: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920" w:type="dxa"/>
            <w:vAlign w:val="bottom"/>
          </w:tcPr>
          <w:p>
            <w:pPr>
              <w:spacing w:after="0"/>
              <w:rPr>
                <w:sz w:val="15"/>
                <w:szCs w:val="15"/>
                <w:color w:val="auto"/>
              </w:rPr>
            </w:pPr>
          </w:p>
        </w:tc>
        <w:tc>
          <w:tcPr>
            <w:tcW w:w="1500" w:type="dxa"/>
            <w:vAlign w:val="bottom"/>
            <w:gridSpan w:val="2"/>
          </w:tcPr>
          <w:p>
            <w:pPr>
              <w:jc w:val="center"/>
              <w:ind w:right="200"/>
              <w:spacing w:after="0" w:line="181" w:lineRule="exact"/>
              <w:rPr>
                <w:sz w:val="20"/>
                <w:szCs w:val="20"/>
                <w:color w:val="auto"/>
              </w:rPr>
            </w:pPr>
            <w:r>
              <w:rPr>
                <w:rFonts w:ascii="Arial" w:cs="Arial" w:eastAsia="Arial" w:hAnsi="Arial"/>
                <w:sz w:val="16"/>
                <w:szCs w:val="16"/>
                <w:b w:val="1"/>
                <w:bCs w:val="1"/>
                <w:color w:val="auto"/>
              </w:rPr>
              <w:t>2–10 years</w:t>
            </w:r>
          </w:p>
        </w:tc>
        <w:tc>
          <w:tcPr>
            <w:tcW w:w="84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292,300</w:t>
            </w:r>
          </w:p>
        </w:tc>
        <w:tc>
          <w:tcPr>
            <w:tcW w:w="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rPr>
              <w:t>161,020</w:t>
            </w: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rPr>
              <w:t>131,280</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92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4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291,626</w:t>
            </w: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144,625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147,001</w:t>
            </w:r>
          </w:p>
        </w:tc>
        <w:tc>
          <w:tcPr>
            <w:tcW w:w="0" w:type="dxa"/>
            <w:vAlign w:val="bottom"/>
          </w:tcPr>
          <w:p>
            <w:pPr>
              <w:spacing w:after="0"/>
              <w:rPr>
                <w:sz w:val="1"/>
                <w:szCs w:val="1"/>
                <w:color w:val="auto"/>
              </w:rPr>
            </w:pPr>
          </w:p>
        </w:tc>
      </w:tr>
      <w:tr>
        <w:trPr>
          <w:trHeight w:val="225"/>
        </w:trPr>
        <w:tc>
          <w:tcPr>
            <w:tcW w:w="2920" w:type="dxa"/>
            <w:vAlign w:val="bottom"/>
            <w:vMerge w:val="restart"/>
          </w:tcPr>
          <w:p>
            <w:pPr>
              <w:ind w:left="120"/>
              <w:spacing w:after="0"/>
              <w:rPr>
                <w:sz w:val="20"/>
                <w:szCs w:val="20"/>
                <w:color w:val="auto"/>
              </w:rPr>
            </w:pPr>
            <w:r>
              <w:rPr>
                <w:rFonts w:ascii="Arial" w:cs="Arial" w:eastAsia="Arial" w:hAnsi="Arial"/>
                <w:sz w:val="16"/>
                <w:szCs w:val="16"/>
                <w:color w:val="auto"/>
              </w:rPr>
              <w:t>Trade names and trademarks</w:t>
            </w: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2–10 years</w:t>
            </w:r>
          </w:p>
        </w:tc>
        <w:tc>
          <w:tcPr>
            <w:tcW w:w="84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108,854</w:t>
            </w:r>
          </w:p>
        </w:tc>
        <w:tc>
          <w:tcPr>
            <w:tcW w:w="240" w:type="dxa"/>
            <w:vAlign w:val="bottom"/>
          </w:tcPr>
          <w:p>
            <w:pPr>
              <w:spacing w:after="0"/>
              <w:rPr>
                <w:sz w:val="19"/>
                <w:szCs w:val="19"/>
                <w:color w:val="auto"/>
              </w:rPr>
            </w:pPr>
          </w:p>
        </w:tc>
        <w:tc>
          <w:tcPr>
            <w:tcW w:w="120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rPr>
              <w:t>47,929</w:t>
            </w:r>
          </w:p>
        </w:tc>
        <w:tc>
          <w:tcPr>
            <w:tcW w:w="180" w:type="dxa"/>
            <w:vAlign w:val="bottom"/>
          </w:tcPr>
          <w:p>
            <w:pPr>
              <w:spacing w:after="0"/>
              <w:rPr>
                <w:sz w:val="19"/>
                <w:szCs w:val="19"/>
                <w:color w:val="auto"/>
              </w:rPr>
            </w:pPr>
          </w:p>
        </w:tc>
        <w:tc>
          <w:tcPr>
            <w:tcW w:w="94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rPr>
              <w:t>60,925</w:t>
            </w:r>
          </w:p>
        </w:tc>
        <w:tc>
          <w:tcPr>
            <w:tcW w:w="1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87,190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vMerge w:val="restart"/>
          </w:tcPr>
          <w:p>
            <w:pPr>
              <w:jc w:val="right"/>
              <w:ind w:right="61"/>
              <w:spacing w:after="0"/>
              <w:rPr>
                <w:sz w:val="20"/>
                <w:szCs w:val="20"/>
                <w:color w:val="auto"/>
              </w:rPr>
            </w:pPr>
            <w:r>
              <w:rPr>
                <w:rFonts w:ascii="Arial" w:cs="Arial" w:eastAsia="Arial" w:hAnsi="Arial"/>
                <w:sz w:val="16"/>
                <w:szCs w:val="16"/>
                <w:color w:val="auto"/>
              </w:rPr>
              <w:t>42,770</w:t>
            </w:r>
          </w:p>
        </w:tc>
        <w:tc>
          <w:tcPr>
            <w:tcW w:w="280" w:type="dxa"/>
            <w:vAlign w:val="bottom"/>
          </w:tcPr>
          <w:p>
            <w:pPr>
              <w:spacing w:after="0"/>
              <w:rPr>
                <w:sz w:val="19"/>
                <w:szCs w:val="19"/>
                <w:color w:val="auto"/>
              </w:rPr>
            </w:pPr>
          </w:p>
        </w:tc>
        <w:tc>
          <w:tcPr>
            <w:tcW w:w="840" w:type="dxa"/>
            <w:vAlign w:val="bottom"/>
            <w:vMerge w:val="restart"/>
          </w:tcPr>
          <w:p>
            <w:pPr>
              <w:jc w:val="right"/>
              <w:ind w:right="82"/>
              <w:spacing w:after="0"/>
              <w:rPr>
                <w:sz w:val="20"/>
                <w:szCs w:val="20"/>
                <w:color w:val="auto"/>
              </w:rPr>
            </w:pPr>
            <w:r>
              <w:rPr>
                <w:rFonts w:ascii="Arial" w:cs="Arial" w:eastAsia="Arial" w:hAnsi="Arial"/>
                <w:sz w:val="16"/>
                <w:szCs w:val="16"/>
                <w:color w:val="auto"/>
              </w:rPr>
              <w:t>44,420</w:t>
            </w:r>
          </w:p>
        </w:tc>
        <w:tc>
          <w:tcPr>
            <w:tcW w:w="0" w:type="dxa"/>
            <w:vAlign w:val="bottom"/>
          </w:tcPr>
          <w:p>
            <w:pPr>
              <w:spacing w:after="0"/>
              <w:rPr>
                <w:sz w:val="1"/>
                <w:szCs w:val="1"/>
                <w:color w:val="auto"/>
              </w:rPr>
            </w:pPr>
          </w:p>
        </w:tc>
      </w:tr>
      <w:tr>
        <w:trPr>
          <w:trHeight w:val="162"/>
        </w:trPr>
        <w:tc>
          <w:tcPr>
            <w:tcW w:w="292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20" w:type="dxa"/>
            <w:vAlign w:val="bottom"/>
            <w:vMerge w:val="restart"/>
          </w:tcPr>
          <w:p>
            <w:pPr>
              <w:ind w:left="120"/>
              <w:spacing w:after="0"/>
              <w:rPr>
                <w:sz w:val="20"/>
                <w:szCs w:val="20"/>
                <w:color w:val="auto"/>
              </w:rPr>
            </w:pPr>
            <w:r>
              <w:rPr>
                <w:rFonts w:ascii="Arial" w:cs="Arial" w:eastAsia="Arial" w:hAnsi="Arial"/>
                <w:sz w:val="16"/>
                <w:szCs w:val="16"/>
                <w:color w:val="auto"/>
              </w:rPr>
              <w:t>Network affiliation agreements</w:t>
            </w: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10 years</w:t>
            </w:r>
          </w:p>
        </w:tc>
        <w:tc>
          <w:tcPr>
            <w:tcW w:w="84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20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rPr>
              <w:t>6,019</w:t>
            </w:r>
          </w:p>
        </w:tc>
        <w:tc>
          <w:tcPr>
            <w:tcW w:w="180" w:type="dxa"/>
            <w:vAlign w:val="bottom"/>
          </w:tcPr>
          <w:p>
            <w:pPr>
              <w:spacing w:after="0"/>
              <w:rPr>
                <w:sz w:val="19"/>
                <w:szCs w:val="19"/>
                <w:color w:val="auto"/>
              </w:rPr>
            </w:pPr>
          </w:p>
        </w:tc>
        <w:tc>
          <w:tcPr>
            <w:tcW w:w="94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rPr>
              <w:t>11,381</w:t>
            </w:r>
          </w:p>
        </w:tc>
        <w:tc>
          <w:tcPr>
            <w:tcW w:w="1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17,400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vMerge w:val="restart"/>
          </w:tcPr>
          <w:p>
            <w:pPr>
              <w:jc w:val="right"/>
              <w:ind w:right="61"/>
              <w:spacing w:after="0"/>
              <w:rPr>
                <w:sz w:val="20"/>
                <w:szCs w:val="20"/>
                <w:color w:val="auto"/>
              </w:rPr>
            </w:pPr>
            <w:r>
              <w:rPr>
                <w:rFonts w:ascii="Arial" w:cs="Arial" w:eastAsia="Arial" w:hAnsi="Arial"/>
                <w:sz w:val="16"/>
                <w:szCs w:val="16"/>
                <w:color w:val="auto"/>
              </w:rPr>
              <w:t>5,148</w:t>
            </w:r>
          </w:p>
        </w:tc>
        <w:tc>
          <w:tcPr>
            <w:tcW w:w="280" w:type="dxa"/>
            <w:vAlign w:val="bottom"/>
          </w:tcPr>
          <w:p>
            <w:pPr>
              <w:spacing w:after="0"/>
              <w:rPr>
                <w:sz w:val="19"/>
                <w:szCs w:val="19"/>
                <w:color w:val="auto"/>
              </w:rPr>
            </w:pPr>
          </w:p>
        </w:tc>
        <w:tc>
          <w:tcPr>
            <w:tcW w:w="840" w:type="dxa"/>
            <w:vAlign w:val="bottom"/>
            <w:vMerge w:val="restart"/>
          </w:tcPr>
          <w:p>
            <w:pPr>
              <w:jc w:val="right"/>
              <w:ind w:right="82"/>
              <w:spacing w:after="0"/>
              <w:rPr>
                <w:sz w:val="20"/>
                <w:szCs w:val="20"/>
                <w:color w:val="auto"/>
              </w:rPr>
            </w:pPr>
            <w:r>
              <w:rPr>
                <w:rFonts w:ascii="Arial" w:cs="Arial" w:eastAsia="Arial" w:hAnsi="Arial"/>
                <w:sz w:val="16"/>
                <w:szCs w:val="16"/>
                <w:color w:val="auto"/>
              </w:rPr>
              <w:t>12,252</w:t>
            </w:r>
          </w:p>
        </w:tc>
        <w:tc>
          <w:tcPr>
            <w:tcW w:w="0" w:type="dxa"/>
            <w:vAlign w:val="bottom"/>
          </w:tcPr>
          <w:p>
            <w:pPr>
              <w:spacing w:after="0"/>
              <w:rPr>
                <w:sz w:val="1"/>
                <w:szCs w:val="1"/>
                <w:color w:val="auto"/>
              </w:rPr>
            </w:pPr>
          </w:p>
        </w:tc>
      </w:tr>
      <w:tr>
        <w:trPr>
          <w:trHeight w:val="162"/>
        </w:trPr>
        <w:tc>
          <w:tcPr>
            <w:tcW w:w="292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20" w:type="dxa"/>
            <w:vAlign w:val="bottom"/>
            <w:vMerge w:val="restart"/>
          </w:tcPr>
          <w:p>
            <w:pPr>
              <w:ind w:left="120"/>
              <w:spacing w:after="0"/>
              <w:rPr>
                <w:sz w:val="20"/>
                <w:szCs w:val="20"/>
                <w:color w:val="auto"/>
              </w:rPr>
            </w:pPr>
            <w:r>
              <w:rPr>
                <w:rFonts w:ascii="Arial" w:cs="Arial" w:eastAsia="Arial" w:hAnsi="Arial"/>
                <w:sz w:val="16"/>
                <w:szCs w:val="16"/>
                <w:color w:val="auto"/>
              </w:rPr>
              <w:t>Databases and technology</w:t>
            </w: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3–6 years</w:t>
            </w:r>
          </w:p>
        </w:tc>
        <w:tc>
          <w:tcPr>
            <w:tcW w:w="84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34,210</w:t>
            </w:r>
          </w:p>
        </w:tc>
        <w:tc>
          <w:tcPr>
            <w:tcW w:w="240" w:type="dxa"/>
            <w:vAlign w:val="bottom"/>
          </w:tcPr>
          <w:p>
            <w:pPr>
              <w:spacing w:after="0"/>
              <w:rPr>
                <w:sz w:val="19"/>
                <w:szCs w:val="19"/>
                <w:color w:val="auto"/>
              </w:rPr>
            </w:pPr>
          </w:p>
        </w:tc>
        <w:tc>
          <w:tcPr>
            <w:tcW w:w="120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rPr>
              <w:t>16,010</w:t>
            </w:r>
          </w:p>
        </w:tc>
        <w:tc>
          <w:tcPr>
            <w:tcW w:w="180" w:type="dxa"/>
            <w:vAlign w:val="bottom"/>
          </w:tcPr>
          <w:p>
            <w:pPr>
              <w:spacing w:after="0"/>
              <w:rPr>
                <w:sz w:val="19"/>
                <w:szCs w:val="19"/>
                <w:color w:val="auto"/>
              </w:rPr>
            </w:pPr>
          </w:p>
        </w:tc>
        <w:tc>
          <w:tcPr>
            <w:tcW w:w="94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rPr>
              <w:t>18,200</w:t>
            </w:r>
          </w:p>
        </w:tc>
        <w:tc>
          <w:tcPr>
            <w:tcW w:w="1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30,623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vMerge w:val="restart"/>
          </w:tcPr>
          <w:p>
            <w:pPr>
              <w:jc w:val="right"/>
              <w:ind w:right="61"/>
              <w:spacing w:after="0"/>
              <w:rPr>
                <w:sz w:val="20"/>
                <w:szCs w:val="20"/>
                <w:color w:val="auto"/>
              </w:rPr>
            </w:pPr>
            <w:r>
              <w:rPr>
                <w:rFonts w:ascii="Arial" w:cs="Arial" w:eastAsia="Arial" w:hAnsi="Arial"/>
                <w:sz w:val="16"/>
                <w:szCs w:val="16"/>
                <w:color w:val="auto"/>
              </w:rPr>
              <w:t>12,850</w:t>
            </w:r>
          </w:p>
        </w:tc>
        <w:tc>
          <w:tcPr>
            <w:tcW w:w="280" w:type="dxa"/>
            <w:vAlign w:val="bottom"/>
          </w:tcPr>
          <w:p>
            <w:pPr>
              <w:spacing w:after="0"/>
              <w:rPr>
                <w:sz w:val="19"/>
                <w:szCs w:val="19"/>
                <w:color w:val="auto"/>
              </w:rPr>
            </w:pPr>
          </w:p>
        </w:tc>
        <w:tc>
          <w:tcPr>
            <w:tcW w:w="840" w:type="dxa"/>
            <w:vAlign w:val="bottom"/>
            <w:vMerge w:val="restart"/>
          </w:tcPr>
          <w:p>
            <w:pPr>
              <w:jc w:val="right"/>
              <w:ind w:right="82"/>
              <w:spacing w:after="0"/>
              <w:rPr>
                <w:sz w:val="20"/>
                <w:szCs w:val="20"/>
                <w:color w:val="auto"/>
              </w:rPr>
            </w:pPr>
            <w:r>
              <w:rPr>
                <w:rFonts w:ascii="Arial" w:cs="Arial" w:eastAsia="Arial" w:hAnsi="Arial"/>
                <w:sz w:val="16"/>
                <w:szCs w:val="16"/>
                <w:color w:val="auto"/>
              </w:rPr>
              <w:t>17,773</w:t>
            </w:r>
          </w:p>
        </w:tc>
        <w:tc>
          <w:tcPr>
            <w:tcW w:w="0" w:type="dxa"/>
            <w:vAlign w:val="bottom"/>
          </w:tcPr>
          <w:p>
            <w:pPr>
              <w:spacing w:after="0"/>
              <w:rPr>
                <w:sz w:val="1"/>
                <w:szCs w:val="1"/>
                <w:color w:val="auto"/>
              </w:rPr>
            </w:pPr>
          </w:p>
        </w:tc>
      </w:tr>
      <w:tr>
        <w:trPr>
          <w:trHeight w:val="162"/>
        </w:trPr>
        <w:tc>
          <w:tcPr>
            <w:tcW w:w="292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20" w:type="dxa"/>
            <w:vAlign w:val="bottom"/>
            <w:vMerge w:val="restart"/>
          </w:tcPr>
          <w:p>
            <w:pPr>
              <w:ind w:left="120"/>
              <w:spacing w:after="0"/>
              <w:rPr>
                <w:sz w:val="20"/>
                <w:szCs w:val="20"/>
                <w:color w:val="auto"/>
              </w:rPr>
            </w:pPr>
            <w:r>
              <w:rPr>
                <w:rFonts w:ascii="Arial" w:cs="Arial" w:eastAsia="Arial" w:hAnsi="Arial"/>
                <w:sz w:val="16"/>
                <w:szCs w:val="16"/>
                <w:color w:val="auto"/>
              </w:rPr>
              <w:t>Noncompete agreements</w:t>
            </w: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2–5 years</w:t>
            </w:r>
          </w:p>
        </w:tc>
        <w:tc>
          <w:tcPr>
            <w:tcW w:w="84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1,150</w:t>
            </w:r>
          </w:p>
        </w:tc>
        <w:tc>
          <w:tcPr>
            <w:tcW w:w="240" w:type="dxa"/>
            <w:vAlign w:val="bottom"/>
          </w:tcPr>
          <w:p>
            <w:pPr>
              <w:spacing w:after="0"/>
              <w:rPr>
                <w:sz w:val="19"/>
                <w:szCs w:val="19"/>
                <w:color w:val="auto"/>
              </w:rPr>
            </w:pPr>
          </w:p>
        </w:tc>
        <w:tc>
          <w:tcPr>
            <w:tcW w:w="120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rPr>
              <w:t>843</w:t>
            </w:r>
          </w:p>
        </w:tc>
        <w:tc>
          <w:tcPr>
            <w:tcW w:w="180" w:type="dxa"/>
            <w:vAlign w:val="bottom"/>
          </w:tcPr>
          <w:p>
            <w:pPr>
              <w:spacing w:after="0"/>
              <w:rPr>
                <w:sz w:val="19"/>
                <w:szCs w:val="19"/>
                <w:color w:val="auto"/>
              </w:rPr>
            </w:pPr>
          </w:p>
        </w:tc>
        <w:tc>
          <w:tcPr>
            <w:tcW w:w="94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rPr>
              <w:t>307</w:t>
            </w:r>
          </w:p>
        </w:tc>
        <w:tc>
          <w:tcPr>
            <w:tcW w:w="1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1,313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vMerge w:val="restart"/>
          </w:tcPr>
          <w:p>
            <w:pPr>
              <w:jc w:val="right"/>
              <w:ind w:right="61"/>
              <w:spacing w:after="0"/>
              <w:rPr>
                <w:sz w:val="20"/>
                <w:szCs w:val="20"/>
                <w:color w:val="auto"/>
              </w:rPr>
            </w:pPr>
            <w:r>
              <w:rPr>
                <w:rFonts w:ascii="Arial" w:cs="Arial" w:eastAsia="Arial" w:hAnsi="Arial"/>
                <w:sz w:val="16"/>
                <w:szCs w:val="16"/>
                <w:color w:val="auto"/>
              </w:rPr>
              <w:t>929</w:t>
            </w:r>
          </w:p>
        </w:tc>
        <w:tc>
          <w:tcPr>
            <w:tcW w:w="280" w:type="dxa"/>
            <w:vAlign w:val="bottom"/>
          </w:tcPr>
          <w:p>
            <w:pPr>
              <w:spacing w:after="0"/>
              <w:rPr>
                <w:sz w:val="19"/>
                <w:szCs w:val="19"/>
                <w:color w:val="auto"/>
              </w:rPr>
            </w:pPr>
          </w:p>
        </w:tc>
        <w:tc>
          <w:tcPr>
            <w:tcW w:w="840" w:type="dxa"/>
            <w:vAlign w:val="bottom"/>
            <w:vMerge w:val="restart"/>
          </w:tcPr>
          <w:p>
            <w:pPr>
              <w:jc w:val="right"/>
              <w:ind w:right="82"/>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162"/>
        </w:trPr>
        <w:tc>
          <w:tcPr>
            <w:tcW w:w="2920" w:type="dxa"/>
            <w:vAlign w:val="bottom"/>
            <w:vMerge w:val="continue"/>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20" w:type="dxa"/>
            <w:vAlign w:val="bottom"/>
            <w:vMerge w:val="restart"/>
          </w:tcPr>
          <w:p>
            <w:pPr>
              <w:ind w:left="120"/>
              <w:spacing w:after="0"/>
              <w:rPr>
                <w:sz w:val="20"/>
                <w:szCs w:val="20"/>
                <w:color w:val="auto"/>
              </w:rPr>
            </w:pPr>
            <w:r>
              <w:rPr>
                <w:rFonts w:ascii="Arial" w:cs="Arial" w:eastAsia="Arial" w:hAnsi="Arial"/>
                <w:sz w:val="16"/>
                <w:szCs w:val="16"/>
                <w:color w:val="auto"/>
              </w:rPr>
              <w:t>Other</w:t>
            </w: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1–8 years</w:t>
            </w:r>
          </w:p>
        </w:tc>
        <w:tc>
          <w:tcPr>
            <w:tcW w:w="84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rPr>
              <w:t>24,800</w:t>
            </w:r>
          </w:p>
        </w:tc>
        <w:tc>
          <w:tcPr>
            <w:tcW w:w="240" w:type="dxa"/>
            <w:vAlign w:val="bottom"/>
          </w:tcPr>
          <w:p>
            <w:pPr>
              <w:spacing w:after="0"/>
              <w:rPr>
                <w:sz w:val="19"/>
                <w:szCs w:val="19"/>
                <w:color w:val="auto"/>
              </w:rPr>
            </w:pPr>
          </w:p>
        </w:tc>
        <w:tc>
          <w:tcPr>
            <w:tcW w:w="1200" w:type="dxa"/>
            <w:vAlign w:val="bottom"/>
            <w:vMerge w:val="restart"/>
          </w:tcPr>
          <w:p>
            <w:pPr>
              <w:jc w:val="right"/>
              <w:ind w:right="161"/>
              <w:spacing w:after="0"/>
              <w:rPr>
                <w:sz w:val="20"/>
                <w:szCs w:val="20"/>
                <w:color w:val="auto"/>
              </w:rPr>
            </w:pPr>
            <w:r>
              <w:rPr>
                <w:rFonts w:ascii="Arial" w:cs="Arial" w:eastAsia="Arial" w:hAnsi="Arial"/>
                <w:sz w:val="16"/>
                <w:szCs w:val="16"/>
                <w:b w:val="1"/>
                <w:bCs w:val="1"/>
                <w:color w:val="auto"/>
              </w:rPr>
              <w:t>15,006</w:t>
            </w:r>
          </w:p>
        </w:tc>
        <w:tc>
          <w:tcPr>
            <w:tcW w:w="180" w:type="dxa"/>
            <w:vAlign w:val="bottom"/>
          </w:tcPr>
          <w:p>
            <w:pPr>
              <w:spacing w:after="0"/>
              <w:rPr>
                <w:sz w:val="19"/>
                <w:szCs w:val="19"/>
                <w:color w:val="auto"/>
              </w:rPr>
            </w:pPr>
          </w:p>
        </w:tc>
        <w:tc>
          <w:tcPr>
            <w:tcW w:w="94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rPr>
              <w:t>9,794</w:t>
            </w:r>
          </w:p>
        </w:tc>
        <w:tc>
          <w:tcPr>
            <w:tcW w:w="1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24,800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vMerge w:val="restart"/>
          </w:tcPr>
          <w:p>
            <w:pPr>
              <w:jc w:val="right"/>
              <w:ind w:right="61"/>
              <w:spacing w:after="0"/>
              <w:rPr>
                <w:sz w:val="20"/>
                <w:szCs w:val="20"/>
                <w:color w:val="auto"/>
              </w:rPr>
            </w:pPr>
            <w:r>
              <w:rPr>
                <w:rFonts w:ascii="Arial" w:cs="Arial" w:eastAsia="Arial" w:hAnsi="Arial"/>
                <w:sz w:val="16"/>
                <w:szCs w:val="16"/>
                <w:color w:val="auto"/>
              </w:rPr>
              <w:t>13,149</w:t>
            </w:r>
          </w:p>
        </w:tc>
        <w:tc>
          <w:tcPr>
            <w:tcW w:w="280" w:type="dxa"/>
            <w:vAlign w:val="bottom"/>
          </w:tcPr>
          <w:p>
            <w:pPr>
              <w:spacing w:after="0"/>
              <w:rPr>
                <w:sz w:val="19"/>
                <w:szCs w:val="19"/>
                <w:color w:val="auto"/>
              </w:rPr>
            </w:pPr>
          </w:p>
        </w:tc>
        <w:tc>
          <w:tcPr>
            <w:tcW w:w="840" w:type="dxa"/>
            <w:vAlign w:val="bottom"/>
            <w:vMerge w:val="restart"/>
          </w:tcPr>
          <w:p>
            <w:pPr>
              <w:jc w:val="right"/>
              <w:ind w:right="82"/>
              <w:spacing w:after="0"/>
              <w:rPr>
                <w:sz w:val="20"/>
                <w:szCs w:val="20"/>
                <w:color w:val="auto"/>
              </w:rPr>
            </w:pPr>
            <w:r>
              <w:rPr>
                <w:rFonts w:ascii="Arial" w:cs="Arial" w:eastAsia="Arial" w:hAnsi="Arial"/>
                <w:sz w:val="16"/>
                <w:szCs w:val="16"/>
                <w:color w:val="auto"/>
              </w:rPr>
              <w:t>11,651</w:t>
            </w:r>
          </w:p>
        </w:tc>
        <w:tc>
          <w:tcPr>
            <w:tcW w:w="0" w:type="dxa"/>
            <w:vAlign w:val="bottom"/>
          </w:tcPr>
          <w:p>
            <w:pPr>
              <w:spacing w:after="0"/>
              <w:rPr>
                <w:sz w:val="1"/>
                <w:szCs w:val="1"/>
                <w:color w:val="auto"/>
              </w:rPr>
            </w:pPr>
          </w:p>
        </w:tc>
      </w:tr>
      <w:tr>
        <w:trPr>
          <w:trHeight w:val="175"/>
        </w:trPr>
        <w:tc>
          <w:tcPr>
            <w:tcW w:w="292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92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478,714</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61"/>
              <w:spacing w:after="0"/>
              <w:rPr>
                <w:sz w:val="20"/>
                <w:szCs w:val="20"/>
                <w:color w:val="auto"/>
              </w:rPr>
            </w:pPr>
            <w:r>
              <w:rPr>
                <w:rFonts w:ascii="Arial" w:cs="Arial" w:eastAsia="Arial" w:hAnsi="Arial"/>
                <w:sz w:val="16"/>
                <w:szCs w:val="16"/>
                <w:b w:val="1"/>
                <w:bCs w:val="1"/>
                <w:color w:val="auto"/>
              </w:rPr>
              <w:t>246,827</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80"/>
              <w:spacing w:after="0"/>
              <w:rPr>
                <w:sz w:val="20"/>
                <w:szCs w:val="20"/>
                <w:color w:val="auto"/>
              </w:rPr>
            </w:pPr>
            <w:r>
              <w:rPr>
                <w:rFonts w:ascii="Arial" w:cs="Arial" w:eastAsia="Arial" w:hAnsi="Arial"/>
                <w:sz w:val="16"/>
                <w:szCs w:val="16"/>
                <w:b w:val="1"/>
                <w:bCs w:val="1"/>
                <w:color w:val="auto"/>
              </w:rPr>
              <w:t>231,887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452,952</w:t>
            </w:r>
          </w:p>
        </w:tc>
        <w:tc>
          <w:tcPr>
            <w:tcW w:w="3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61"/>
              <w:spacing w:after="0"/>
              <w:rPr>
                <w:sz w:val="20"/>
                <w:szCs w:val="20"/>
                <w:color w:val="auto"/>
              </w:rPr>
            </w:pPr>
            <w:r>
              <w:rPr>
                <w:rFonts w:ascii="Arial" w:cs="Arial" w:eastAsia="Arial" w:hAnsi="Arial"/>
                <w:sz w:val="16"/>
                <w:szCs w:val="16"/>
                <w:color w:val="auto"/>
              </w:rPr>
              <w:t>219,471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233,481</w:t>
            </w:r>
          </w:p>
        </w:tc>
        <w:tc>
          <w:tcPr>
            <w:tcW w:w="0" w:type="dxa"/>
            <w:vAlign w:val="bottom"/>
          </w:tcPr>
          <w:p>
            <w:pPr>
              <w:spacing w:after="0"/>
              <w:rPr>
                <w:sz w:val="1"/>
                <w:szCs w:val="1"/>
                <w:color w:val="auto"/>
              </w:rPr>
            </w:pPr>
          </w:p>
        </w:tc>
      </w:tr>
      <w:tr>
        <w:trPr>
          <w:trHeight w:val="27"/>
        </w:trPr>
        <w:tc>
          <w:tcPr>
            <w:tcW w:w="29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3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92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120"/>
              <w:spacing w:after="0"/>
              <w:rPr>
                <w:sz w:val="20"/>
                <w:szCs w:val="20"/>
                <w:color w:val="auto"/>
              </w:rPr>
            </w:pPr>
            <w:r>
              <w:rPr>
                <w:rFonts w:ascii="Arial" w:cs="Arial" w:eastAsia="Arial" w:hAnsi="Arial"/>
                <w:sz w:val="16"/>
                <w:szCs w:val="16"/>
                <w:color w:val="auto"/>
              </w:rPr>
              <w:t>Trade names and trademarks</w:t>
            </w:r>
          </w:p>
        </w:tc>
        <w:tc>
          <w:tcPr>
            <w:tcW w:w="15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82,905</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100,491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120"/>
              <w:spacing w:after="0"/>
              <w:rPr>
                <w:sz w:val="20"/>
                <w:szCs w:val="20"/>
                <w:color w:val="auto"/>
              </w:rPr>
            </w:pPr>
            <w:r>
              <w:rPr>
                <w:rFonts w:ascii="Arial" w:cs="Arial" w:eastAsia="Arial" w:hAnsi="Arial"/>
                <w:sz w:val="16"/>
                <w:szCs w:val="16"/>
                <w:color w:val="auto"/>
              </w:rPr>
              <w:t>Franchise agreements</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21,858</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28,556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20" w:type="dxa"/>
            <w:vAlign w:val="bottom"/>
          </w:tcPr>
          <w:p>
            <w:pPr>
              <w:ind w:left="120"/>
              <w:spacing w:after="0"/>
              <w:rPr>
                <w:sz w:val="20"/>
                <w:szCs w:val="20"/>
                <w:color w:val="auto"/>
              </w:rPr>
            </w:pPr>
            <w:r>
              <w:rPr>
                <w:rFonts w:ascii="Arial" w:cs="Arial" w:eastAsia="Arial" w:hAnsi="Arial"/>
                <w:sz w:val="16"/>
                <w:szCs w:val="16"/>
                <w:color w:val="auto"/>
              </w:rPr>
              <w:t>FCC licenses</w:t>
            </w: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920" w:type="dxa"/>
            <w:vAlign w:val="bottom"/>
          </w:tcPr>
          <w:p>
            <w:pPr>
              <w:ind w:left="120"/>
              <w:spacing w:after="0"/>
              <w:rPr>
                <w:sz w:val="20"/>
                <w:szCs w:val="20"/>
                <w:color w:val="auto"/>
              </w:rPr>
            </w:pPr>
            <w:r>
              <w:rPr>
                <w:rFonts w:ascii="Arial" w:cs="Arial" w:eastAsia="Arial" w:hAnsi="Arial"/>
                <w:sz w:val="16"/>
                <w:szCs w:val="16"/>
                <w:color w:val="auto"/>
              </w:rPr>
              <w:t>Licensure and accreditation</w:t>
            </w:r>
          </w:p>
        </w:tc>
        <w:tc>
          <w:tcPr>
            <w:tcW w:w="13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292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81"/>
              <w:spacing w:after="0"/>
              <w:rPr>
                <w:sz w:val="20"/>
                <w:szCs w:val="20"/>
                <w:color w:val="auto"/>
              </w:rPr>
            </w:pPr>
            <w:r>
              <w:rPr>
                <w:rFonts w:ascii="Arial" w:cs="Arial" w:eastAsia="Arial" w:hAnsi="Arial"/>
                <w:sz w:val="16"/>
                <w:szCs w:val="16"/>
                <w:b w:val="1"/>
                <w:bCs w:val="1"/>
                <w:color w:val="auto"/>
              </w:rPr>
              <w:t>115,913</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140,197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As of</w:t>
            </w:r>
          </w:p>
        </w:tc>
      </w:tr>
      <w:tr>
        <w:trPr>
          <w:trHeight w:val="216"/>
        </w:trPr>
        <w:tc>
          <w:tcPr>
            <w:tcW w:w="8340" w:type="dxa"/>
            <w:vAlign w:val="bottom"/>
          </w:tcPr>
          <w:p>
            <w:pPr>
              <w:spacing w:after="0"/>
              <w:rPr>
                <w:sz w:val="18"/>
                <w:szCs w:val="18"/>
                <w:color w:val="auto"/>
              </w:rPr>
            </w:pPr>
          </w:p>
        </w:tc>
        <w:tc>
          <w:tcPr>
            <w:tcW w:w="1100" w:type="dxa"/>
            <w:vAlign w:val="bottom"/>
          </w:tcPr>
          <w:p>
            <w:pPr>
              <w:jc w:val="center"/>
              <w:ind w:left="188"/>
              <w:spacing w:after="0"/>
              <w:rPr>
                <w:sz w:val="20"/>
                <w:szCs w:val="20"/>
                <w:color w:val="auto"/>
              </w:rPr>
            </w:pPr>
            <w:r>
              <w:rPr>
                <w:rFonts w:ascii="Arial" w:cs="Arial" w:eastAsia="Arial" w:hAnsi="Arial"/>
                <w:sz w:val="14"/>
                <w:szCs w:val="14"/>
                <w:b w:val="1"/>
                <w:bCs w:val="1"/>
                <w:color w:val="auto"/>
                <w:w w:val="99"/>
              </w:rPr>
              <w:t>June 30,</w:t>
            </w:r>
          </w:p>
        </w:tc>
        <w:tc>
          <w:tcPr>
            <w:tcW w:w="1760" w:type="dxa"/>
            <w:vAlign w:val="bottom"/>
          </w:tcPr>
          <w:p>
            <w:pPr>
              <w:jc w:val="center"/>
              <w:ind w:left="308"/>
              <w:spacing w:after="0"/>
              <w:rPr>
                <w:sz w:val="20"/>
                <w:szCs w:val="20"/>
                <w:color w:val="auto"/>
              </w:rPr>
            </w:pPr>
            <w:r>
              <w:rPr>
                <w:rFonts w:ascii="Arial" w:cs="Arial" w:eastAsia="Arial" w:hAnsi="Arial"/>
                <w:sz w:val="14"/>
                <w:szCs w:val="14"/>
                <w:color w:val="auto"/>
              </w:rPr>
              <w:t>December 31,</w:t>
            </w:r>
          </w:p>
        </w:tc>
      </w:tr>
      <w:tr>
        <w:trPr>
          <w:trHeight w:val="190"/>
        </w:trPr>
        <w:tc>
          <w:tcPr>
            <w:tcW w:w="8340" w:type="dxa"/>
            <w:vAlign w:val="bottom"/>
          </w:tcPr>
          <w:p>
            <w:pPr>
              <w:spacing w:after="0"/>
              <w:rPr>
                <w:sz w:val="20"/>
                <w:szCs w:val="20"/>
                <w:color w:val="auto"/>
              </w:rPr>
            </w:pPr>
            <w:r>
              <w:rPr>
                <w:rFonts w:ascii="Arial" w:cs="Arial" w:eastAsia="Arial" w:hAnsi="Arial"/>
                <w:sz w:val="14"/>
                <w:szCs w:val="14"/>
                <w:color w:val="auto"/>
              </w:rPr>
              <w:t>(in thousands)</w:t>
            </w:r>
          </w:p>
        </w:tc>
        <w:tc>
          <w:tcPr>
            <w:tcW w:w="1100" w:type="dxa"/>
            <w:vAlign w:val="bottom"/>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760" w:type="dxa"/>
            <w:vAlign w:val="bottom"/>
          </w:tcPr>
          <w:p>
            <w:pPr>
              <w:jc w:val="right"/>
              <w:ind w:right="468"/>
              <w:spacing w:after="0"/>
              <w:rPr>
                <w:sz w:val="20"/>
                <w:szCs w:val="20"/>
                <w:color w:val="auto"/>
              </w:rPr>
            </w:pPr>
            <w:r>
              <w:rPr>
                <w:rFonts w:ascii="Arial" w:cs="Arial" w:eastAsia="Arial" w:hAnsi="Arial"/>
                <w:sz w:val="14"/>
                <w:szCs w:val="14"/>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951" w:orient="portrait"/>
          <w:cols w:equalWidth="0" w:num="1">
            <w:col w:w="11220"/>
          </w:cols>
          <w:pgMar w:left="320" w:top="1057" w:right="359" w:bottom="0" w:gutter="0" w:footer="0" w:header="0"/>
        </w:sectPr>
      </w:pPr>
    </w:p>
    <w:p>
      <w:pPr>
        <w:spacing w:after="0" w:line="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5.75% unsecured notes due June 1, 2026 </w:t>
      </w:r>
      <w:r>
        <w:rPr>
          <w:rFonts w:ascii="Arial" w:cs="Arial" w:eastAsia="Arial" w:hAnsi="Arial"/>
          <w:sz w:val="21"/>
          <w:szCs w:val="21"/>
          <w:color w:val="auto"/>
          <w:vertAlign w:val="superscript"/>
        </w:rPr>
        <w:t>(1)</w:t>
      </w:r>
    </w:p>
    <w:p>
      <w:pPr>
        <w:ind w:left="20"/>
        <w:spacing w:after="0"/>
        <w:rPr>
          <w:sz w:val="20"/>
          <w:szCs w:val="20"/>
          <w:color w:val="auto"/>
        </w:rPr>
      </w:pPr>
      <w:r>
        <w:rPr>
          <w:rFonts w:ascii="Arial" w:cs="Arial" w:eastAsia="Arial" w:hAnsi="Arial"/>
          <w:sz w:val="16"/>
          <w:szCs w:val="16"/>
          <w:color w:val="auto"/>
        </w:rPr>
        <w:t>Revolving credit facility</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U.K. credit facility </w:t>
      </w:r>
      <w:r>
        <w:rPr>
          <w:rFonts w:ascii="Arial" w:cs="Arial" w:eastAsia="Arial" w:hAnsi="Arial"/>
          <w:sz w:val="21"/>
          <w:szCs w:val="21"/>
          <w:color w:val="auto"/>
          <w:vertAlign w:val="superscript"/>
        </w:rPr>
        <w:t>(2)</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Commercial note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Pinnacle Bank term loan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Pinnacle Bank line of credit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indebtedness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Debt</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current portion</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Long-Term Debt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395,751</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395,393</w:t>
            </w:r>
          </w:p>
        </w:tc>
      </w:tr>
      <w:tr>
        <w:trPr>
          <w:trHeight w:val="243"/>
        </w:trPr>
        <w:tc>
          <w:tcPr>
            <w:tcW w:w="36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73,946</w:t>
            </w:r>
          </w:p>
        </w:tc>
        <w:tc>
          <w:tcPr>
            <w:tcW w:w="46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36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78,650</w:t>
            </w:r>
          </w:p>
        </w:tc>
      </w:tr>
      <w:tr>
        <w:trPr>
          <w:trHeight w:val="243"/>
        </w:trPr>
        <w:tc>
          <w:tcPr>
            <w:tcW w:w="36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26,500</w:t>
            </w:r>
          </w:p>
        </w:tc>
        <w:tc>
          <w:tcPr>
            <w:tcW w:w="46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27,500</w:t>
            </w:r>
          </w:p>
        </w:tc>
      </w:tr>
      <w:tr>
        <w:trPr>
          <w:trHeight w:val="243"/>
        </w:trPr>
        <w:tc>
          <w:tcPr>
            <w:tcW w:w="36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10,969</w:t>
            </w:r>
          </w:p>
        </w:tc>
        <w:tc>
          <w:tcPr>
            <w:tcW w:w="46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11,203</w:t>
            </w:r>
          </w:p>
        </w:tc>
      </w:tr>
      <w:tr>
        <w:trPr>
          <w:trHeight w:val="243"/>
        </w:trPr>
        <w:tc>
          <w:tcPr>
            <w:tcW w:w="36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2,000</w:t>
            </w:r>
          </w:p>
        </w:tc>
        <w:tc>
          <w:tcPr>
            <w:tcW w:w="460" w:type="dxa"/>
            <w:vAlign w:val="bottom"/>
          </w:tcPr>
          <w:p>
            <w:pPr>
              <w:spacing w:after="0"/>
              <w:rPr>
                <w:sz w:val="21"/>
                <w:szCs w:val="21"/>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6"/>
        </w:trPr>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2,364</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83</w:t>
            </w:r>
          </w:p>
        </w:tc>
      </w:tr>
      <w:tr>
        <w:trPr>
          <w:trHeight w:val="224"/>
        </w:trPr>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auto"/>
              </w:rPr>
              <w:t>511,530</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512,829</w:t>
            </w:r>
          </w:p>
        </w:tc>
      </w:tr>
      <w:tr>
        <w:trPr>
          <w:trHeight w:val="256"/>
        </w:trPr>
        <w:tc>
          <w:tcPr>
            <w:tcW w:w="3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(5,858)</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(82,179)</w:t>
            </w:r>
          </w:p>
        </w:tc>
      </w:tr>
      <w:tr>
        <w:trPr>
          <w:trHeight w:val="236"/>
        </w:trPr>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505,672</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430,650</w:t>
            </w:r>
          </w:p>
        </w:tc>
      </w:tr>
      <w:tr>
        <w:trPr>
          <w:trHeight w:val="27"/>
        </w:trPr>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99" w:lineRule="exact"/>
        <w:rPr>
          <w:sz w:val="20"/>
          <w:szCs w:val="20"/>
          <w:color w:val="auto"/>
        </w:rPr>
      </w:pPr>
    </w:p>
    <w:p>
      <w:pPr>
        <w:sectPr>
          <w:pgSz w:w="11900" w:h="16951" w:orient="portrait"/>
          <w:cols w:equalWidth="0" w:num="2">
            <w:col w:w="7640" w:space="720"/>
            <w:col w:w="2860"/>
          </w:cols>
          <w:pgMar w:left="320" w:top="1057" w:right="359" w:bottom="0" w:gutter="0" w:footer="0" w:header="0"/>
          <w:type w:val="continuous"/>
        </w:sectPr>
      </w:pPr>
    </w:p>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p>
      <w:pPr>
        <w:spacing w:after="0" w:line="96"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$4.2 million and $4.6 million of unamortized debt issuance costs as of June 30, 2020 and December 31, 2019, respectively.</w:t>
      </w:r>
    </w:p>
    <w:p>
      <w:pPr>
        <w:spacing w:after="0" w:line="41" w:lineRule="exact"/>
        <w:rPr>
          <w:rFonts w:ascii="Arial" w:cs="Arial" w:eastAsia="Arial" w:hAnsi="Arial"/>
          <w:sz w:val="14"/>
          <w:szCs w:val="14"/>
          <w:color w:val="auto"/>
        </w:rPr>
      </w:pPr>
    </w:p>
    <w:p>
      <w:pPr>
        <w:ind w:left="260" w:hanging="252"/>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December 31, 2019.</w:t>
      </w:r>
    </w:p>
    <w:p>
      <w:pPr>
        <w:spacing w:after="0" w:line="27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On June 29, 2020, Kaplan borrowed £60 million under the Company’s revolving credit facility at an interest rate of 3 month GBP LIBOR plus 1.50%. Kaplan used the proceeds from the borrowing to repay the outstanding balance on the U.K credit facility upon its maturity on June 30, 2020. The interest rate swap related to this U.K. credit facility matured on July 1, 2020.</w:t>
      </w:r>
    </w:p>
    <w:p>
      <w:pPr>
        <w:sectPr>
          <w:pgSz w:w="11900" w:h="16951" w:orient="portrait"/>
          <w:cols w:equalWidth="0" w:num="1">
            <w:col w:w="11220"/>
          </w:cols>
          <w:pgMar w:left="320" w:top="1057" w:right="359" w:bottom="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951" w:orient="portrait"/>
          <w:cols w:equalWidth="0" w:num="1">
            <w:col w:w="11220"/>
          </w:cols>
          <w:pgMar w:left="320" w:top="1057" w:right="359" w:bottom="0" w:gutter="0" w:footer="0" w:header="0"/>
          <w:type w:val="continuous"/>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ind w:right="60"/>
        <w:spacing w:after="0" w:line="229" w:lineRule="auto"/>
        <w:rPr>
          <w:sz w:val="20"/>
          <w:szCs w:val="20"/>
          <w:color w:val="auto"/>
        </w:rPr>
      </w:pPr>
      <w:r>
        <w:rPr>
          <w:rFonts w:ascii="Arial" w:cs="Arial" w:eastAsia="Arial" w:hAnsi="Arial"/>
          <w:sz w:val="18"/>
          <w:szCs w:val="18"/>
          <w:color w:val="auto"/>
        </w:rPr>
        <w:t>The Company’s GHG subsidiary had $2.0 million outstanding under its line of credit as of June 30, 2020 at an interest rate of monthly LIBOR plus 2.75%. The Company’s other indebtedness at June 30, 2020 is at interest rates of 0% to 16% and matures between 2023 and 2026. The Company’s other indebtedness at December 31, 2019 is at an interest rate of 2% and matures in 2026.</w:t>
      </w:r>
    </w:p>
    <w:p>
      <w:pPr>
        <w:spacing w:after="0" w:line="137"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On December 2, 2019, a subsidiary of GHG entered into a Loan &amp; Security Agreement with Pinnacle Bank for a Term Loan of $11.25 million and a two-year Line of Credit for $2.25 million. The Term Loan is payable over a five-year period in monthly installments, plus accrued and unpaid interest, due on the second day of each month, with the remaining balance due on December 2, 2024. The Term Loan bears interest at 4.35% per annum. The Term Loan can be redeemed at any time, in whole or in part, without any premium or penalty. Borrowings on the Line of Credit bear interest at a rate per annum of LIBOR plus an applicable interest rate of 2.75%, determined on a monthly basis. Under the credit agreement, the borrower is required to pay a commitment fee on a quarterly basis, at the rate per annum equal to 0.25% on the average daily unused portion of the credit facility. The borrower may use the proceeds of the facility for working capital and general corporate purposes. Any outstanding borrowings must be repaid on or prior to the final termination date. The agreement contains terms and conditions, including remedies in the event of a default. The Company is in compliance with all financial covenants as of June 30, 2020.</w:t>
      </w:r>
    </w:p>
    <w:p>
      <w:pPr>
        <w:spacing w:after="0" w:line="140"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On January 31, 2019, the Company’s automotive subsidiary entered into a Commercial Note with Truist Bank in an aggregate principal amount of $30 million. The Commercial Note is payable over a 10 year period in monthly installments of $0.25 million, plus accrued and unpaid interest, due on the first of each month, with a final payment on January 31, 2029. The Commercial Note bears interest at LIBOR plus an applicable interest rate of 1.75% or 2% per annum, in each case determined on a quarterly basis based upon the automotive subsidiary’s Adjusted Leverage Ratio. The Commercial Note contains terms and conditions, including remedies in the event of a default by the automotive subsidiary. On the same date, the Company’s automotive subsidiary entered into an interest rate swap agreement with a total notional value of $30 million and a maturity date of January 31, 2029. The interest rate swap agreement will pay the automotive subsidiary variable interest on the $30 million notional amount at the one-month LIBOR, and the automotive subsidiary will pay counterparties a fixed rate of 2.7%, effectively resulting in a total fixed interest rate of 4.7% on the outstanding borrowings at the current applicable margin of 2.0%. The interest rate swap agreement was entered into to convert the variable rate borrowing under the Commercial Note into a fixed rate borrowing. Based on the terms of the interest rate swap agreement and the underlying borrowing, the interest rate swap was determined to be effective and thus qualifies as a cash flow hedge. In the second quarter of 2020, Truist Bank provided temporary relief to the automotive subsidiary in response to COVID-19 by deferring the principal and interest payments on the Commercial Note for three months until the final payment due on maturity of the note. The interest rate swap continues to be highly effective following this change in payment terms. As such, changes in the fair value of the interest rate swap are recorded in other comprehensive income on the accompanying Condensed Consolidated Balance Sheets until earnings are affected by the variability of cash flows.</w:t>
      </w:r>
    </w:p>
    <w:p>
      <w:pPr>
        <w:spacing w:after="0" w:line="136" w:lineRule="exact"/>
        <w:rPr>
          <w:sz w:val="20"/>
          <w:szCs w:val="20"/>
          <w:color w:val="auto"/>
        </w:rPr>
      </w:pPr>
    </w:p>
    <w:p>
      <w:pPr>
        <w:jc w:val="both"/>
        <w:ind w:right="100"/>
        <w:spacing w:after="0" w:line="229" w:lineRule="auto"/>
        <w:rPr>
          <w:sz w:val="20"/>
          <w:szCs w:val="20"/>
          <w:color w:val="auto"/>
        </w:rPr>
      </w:pPr>
      <w:r>
        <w:rPr>
          <w:rFonts w:ascii="Arial" w:cs="Arial" w:eastAsia="Arial" w:hAnsi="Arial"/>
          <w:sz w:val="18"/>
          <w:szCs w:val="18"/>
          <w:color w:val="auto"/>
        </w:rPr>
        <w:t>During the three months ended June 30, 2020 and 2019, the Company had average borrowings outstanding of approximately $510.5 million and $ 507.7 million, respectively, at average annual interest rates of approximately 5.1%. During the three months ended June 30, 2020 and 2019, the Company incurred net interest expense of $6.4 million and $6.8 million, respectively.</w:t>
      </w:r>
    </w:p>
    <w:p>
      <w:pPr>
        <w:spacing w:after="0" w:line="137"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During the six months ended June 30, 2020 and 2019, the Company had average borrowings outstanding of approximately $511.2 million and $ 499.8 million, respectively, at an average annual interest rate of approximately 5.1%. During the six months ended June 30, 2020 and 2019, the Company incurred net interest expense of $13.0 million and $12.5 million, respectively.</w:t>
      </w:r>
    </w:p>
    <w:p>
      <w:pPr>
        <w:spacing w:after="0" w:line="137"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At June 30, 2020, the fair value of the Company’s 5.75% unsecured notes, based on quoted market prices (Level 2 fair value assessment), totaled $416.8 million, compared with the carrying amount of $395.8 million. At December 31, 2019, the fair value of the Company’s 5.75% unsecured notes, based on quoted market prices (Level 2 fair value assessment), totaled $427.7 million, compared with the carrying amount of $395.4 million. The carrying value of the Company’s other unsecured debt at June 30, 2020 and December 31, 2019 approximates fair value.</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8. FAIR VALUE MEASUREMENTS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As of June 30, 2020</w:t>
            </w: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4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Arial" w:cs="Arial" w:eastAsia="Arial" w:hAnsi="Arial"/>
                <w:sz w:val="16"/>
                <w:szCs w:val="16"/>
                <w:b w:val="1"/>
                <w:bCs w:val="1"/>
                <w:color w:val="auto"/>
              </w:rPr>
              <w:t xml:space="preserve">Money market investments </w:t>
            </w:r>
            <w:r>
              <w:rPr>
                <w:rFonts w:ascii="Arial" w:cs="Arial" w:eastAsia="Arial" w:hAnsi="Arial"/>
                <w:sz w:val="21"/>
                <w:szCs w:val="21"/>
                <w:b w:val="1"/>
                <w:bCs w:val="1"/>
                <w:color w:val="auto"/>
                <w:vertAlign w:val="superscript"/>
              </w:rPr>
              <w:t>(1)</w:t>
            </w:r>
          </w:p>
        </w:tc>
        <w:tc>
          <w:tcPr>
            <w:tcW w:w="2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b w:val="1"/>
                <w:bCs w:val="1"/>
                <w:color w:val="auto"/>
              </w:rPr>
              <w:t>178,536</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178,536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40" w:type="dxa"/>
            <w:vAlign w:val="bottom"/>
          </w:tcPr>
          <w:p>
            <w:pPr>
              <w:spacing w:after="0"/>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(2)</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b w:val="1"/>
                <w:bCs w:val="1"/>
                <w:color w:val="auto"/>
              </w:rPr>
              <w:t>431,808</w:t>
            </w:r>
          </w:p>
        </w:tc>
        <w:tc>
          <w:tcPr>
            <w:tcW w:w="340" w:type="dxa"/>
            <w:vAlign w:val="bottom"/>
          </w:tcPr>
          <w:p>
            <w:pPr>
              <w:spacing w:after="0"/>
              <w:rPr>
                <w:sz w:val="23"/>
                <w:szCs w:val="23"/>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431,808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tcPr>
          <w:p>
            <w:pPr>
              <w:spacing w:after="0" w:line="234"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(3)</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11,709</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1,225</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12,934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40" w:type="dxa"/>
            <w:vAlign w:val="bottom"/>
          </w:tcPr>
          <w:p>
            <w:pPr>
              <w:ind w:left="20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443,517</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179,761</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623,278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6440" w:type="dxa"/>
            <w:vAlign w:val="bottom"/>
          </w:tcPr>
          <w:p>
            <w:pPr>
              <w:spacing w:after="0"/>
              <w:rPr>
                <w:sz w:val="20"/>
                <w:szCs w:val="20"/>
                <w:color w:val="auto"/>
              </w:rPr>
            </w:pPr>
            <w:r>
              <w:rPr>
                <w:rFonts w:ascii="Arial" w:cs="Arial" w:eastAsia="Arial" w:hAnsi="Arial"/>
                <w:sz w:val="16"/>
                <w:szCs w:val="16"/>
                <w:b w:val="1"/>
                <w:bCs w:val="1"/>
                <w:color w:val="auto"/>
              </w:rPr>
              <w:t xml:space="preserve">Deferred compensation plan liabilities </w:t>
            </w:r>
            <w:r>
              <w:rPr>
                <w:rFonts w:ascii="Arial" w:cs="Arial" w:eastAsia="Arial" w:hAnsi="Arial"/>
                <w:sz w:val="21"/>
                <w:szCs w:val="21"/>
                <w:b w:val="1"/>
                <w:bCs w:val="1"/>
                <w:color w:val="auto"/>
                <w:vertAlign w:val="superscript"/>
              </w:rPr>
              <w:t>(4)</w:t>
            </w:r>
          </w:p>
        </w:tc>
        <w:tc>
          <w:tcPr>
            <w:tcW w:w="2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b w:val="1"/>
                <w:bCs w:val="1"/>
                <w:color w:val="auto"/>
              </w:rPr>
              <w:t>26,907</w:t>
            </w:r>
          </w:p>
        </w:tc>
        <w:tc>
          <w:tcPr>
            <w:tcW w:w="3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26,907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40" w:type="dxa"/>
            <w:vAlign w:val="bottom"/>
          </w:tcPr>
          <w:p>
            <w:pPr>
              <w:spacing w:after="0"/>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(5)</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23"/>
                <w:szCs w:val="23"/>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b w:val="1"/>
                <w:bCs w:val="1"/>
                <w:color w:val="auto"/>
              </w:rPr>
              <w:t>2,782</w:t>
            </w:r>
          </w:p>
        </w:tc>
        <w:tc>
          <w:tcPr>
            <w:tcW w:w="320" w:type="dxa"/>
            <w:vAlign w:val="bottom"/>
          </w:tcPr>
          <w:p>
            <w:pPr>
              <w:spacing w:after="0"/>
              <w:rPr>
                <w:sz w:val="23"/>
                <w:szCs w:val="23"/>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3"/>
                <w:szCs w:val="23"/>
                <w:color w:val="auto"/>
              </w:rPr>
            </w:pPr>
          </w:p>
        </w:tc>
        <w:tc>
          <w:tcPr>
            <w:tcW w:w="860" w:type="dxa"/>
            <w:vAlign w:val="bottom"/>
          </w:tcPr>
          <w:p>
            <w:pPr>
              <w:jc w:val="right"/>
              <w:ind w:right="80"/>
              <w:spacing w:after="0"/>
              <w:rPr>
                <w:sz w:val="20"/>
                <w:szCs w:val="20"/>
                <w:color w:val="auto"/>
              </w:rPr>
            </w:pPr>
            <w:r>
              <w:rPr>
                <w:rFonts w:ascii="Arial" w:cs="Arial" w:eastAsia="Arial" w:hAnsi="Arial"/>
                <w:sz w:val="16"/>
                <w:szCs w:val="16"/>
                <w:b w:val="1"/>
                <w:bCs w:val="1"/>
                <w:color w:val="auto"/>
              </w:rPr>
              <w:t>2,782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tcPr>
          <w:p>
            <w:pPr>
              <w:spacing w:after="0" w:line="234"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(6)</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829</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829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40" w:type="dxa"/>
            <w:vAlign w:val="bottom"/>
          </w:tcPr>
          <w:p>
            <w:pPr>
              <w:ind w:left="20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29,689</w:t>
            </w: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829</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30,518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As of December 31, 2019</w:t>
            </w: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Level 1</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6440" w:type="dxa"/>
            <w:vAlign w:val="bottom"/>
          </w:tcPr>
          <w:p>
            <w:pPr>
              <w:ind w:left="2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21"/>
                <w:szCs w:val="21"/>
                <w:color w:val="auto"/>
                <w:vertAlign w:val="superscript"/>
              </w:rPr>
              <w:t>(1)</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45,150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45,150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40" w:type="dxa"/>
            <w:vAlign w:val="bottom"/>
          </w:tcPr>
          <w:p>
            <w:pPr>
              <w:ind w:left="2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(2)</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585,080</w:t>
            </w:r>
          </w:p>
        </w:tc>
        <w:tc>
          <w:tcPr>
            <w:tcW w:w="340" w:type="dxa"/>
            <w:vAlign w:val="bottom"/>
          </w:tcPr>
          <w:p>
            <w:pPr>
              <w:spacing w:after="0"/>
              <w:rPr>
                <w:sz w:val="23"/>
                <w:szCs w:val="23"/>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585,080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40" w:type="dxa"/>
            <w:vAlign w:val="bottom"/>
          </w:tcPr>
          <w:p>
            <w:pPr>
              <w:ind w:left="20"/>
              <w:spacing w:after="0"/>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(3)</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8,843</w:t>
            </w:r>
          </w:p>
        </w:tc>
        <w:tc>
          <w:tcPr>
            <w:tcW w:w="340" w:type="dxa"/>
            <w:vAlign w:val="bottom"/>
          </w:tcPr>
          <w:p>
            <w:pPr>
              <w:spacing w:after="0"/>
              <w:rPr>
                <w:sz w:val="23"/>
                <w:szCs w:val="23"/>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6,044</w:t>
            </w:r>
          </w:p>
        </w:tc>
        <w:tc>
          <w:tcPr>
            <w:tcW w:w="32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14,887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tcPr>
          <w:p>
            <w:pPr>
              <w:ind w:left="20"/>
              <w:spacing w:after="0" w:line="214" w:lineRule="exact"/>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(7)</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131</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4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593,923</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51,325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645,248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44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6440" w:type="dxa"/>
            <w:vAlign w:val="bottom"/>
          </w:tcPr>
          <w:p>
            <w:pPr>
              <w:ind w:left="2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21"/>
                <w:szCs w:val="21"/>
                <w:color w:val="auto"/>
                <w:vertAlign w:val="superscript"/>
              </w:rPr>
              <w:t>(4)</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34,674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34,674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40" w:type="dxa"/>
            <w:vAlign w:val="bottom"/>
          </w:tcPr>
          <w:p>
            <w:pPr>
              <w:ind w:left="20"/>
              <w:spacing w:after="0"/>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(5)</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1,119</w:t>
            </w:r>
          </w:p>
        </w:tc>
        <w:tc>
          <w:tcPr>
            <w:tcW w:w="32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40" w:type="dxa"/>
            <w:vAlign w:val="bottom"/>
          </w:tcPr>
          <w:p>
            <w:pPr>
              <w:ind w:left="20"/>
              <w:spacing w:after="0"/>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(8)</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273</w:t>
            </w:r>
          </w:p>
        </w:tc>
        <w:tc>
          <w:tcPr>
            <w:tcW w:w="320" w:type="dxa"/>
            <w:vAlign w:val="bottom"/>
          </w:tcPr>
          <w:p>
            <w:pPr>
              <w:spacing w:after="0"/>
              <w:rPr>
                <w:sz w:val="23"/>
                <w:szCs w:val="23"/>
                <w:color w:val="auto"/>
              </w:rPr>
            </w:pP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440" w:type="dxa"/>
            <w:vAlign w:val="bottom"/>
          </w:tcPr>
          <w:p>
            <w:pPr>
              <w:ind w:left="20"/>
              <w:spacing w:after="0" w:line="214"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(6)</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829</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829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4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36,066</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60"/>
              <w:spacing w:after="0"/>
              <w:rPr>
                <w:sz w:val="20"/>
                <w:szCs w:val="20"/>
                <w:color w:val="auto"/>
              </w:rPr>
            </w:pPr>
            <w:r>
              <w:rPr>
                <w:rFonts w:ascii="Arial" w:cs="Arial" w:eastAsia="Arial" w:hAnsi="Arial"/>
                <w:sz w:val="16"/>
                <w:szCs w:val="16"/>
                <w:color w:val="auto"/>
              </w:rPr>
              <w:t>829</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0"/>
              <w:spacing w:after="0"/>
              <w:rPr>
                <w:sz w:val="20"/>
                <w:szCs w:val="20"/>
                <w:color w:val="auto"/>
              </w:rPr>
            </w:pPr>
            <w:r>
              <w:rPr>
                <w:rFonts w:ascii="Arial" w:cs="Arial" w:eastAsia="Arial" w:hAnsi="Arial"/>
                <w:sz w:val="16"/>
                <w:szCs w:val="16"/>
                <w:color w:val="auto"/>
              </w:rPr>
              <w:t>36,895</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4"/>
                <w:szCs w:val="14"/>
                <w:color w:val="auto"/>
              </w:rPr>
              <w:t>____________</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64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 and the value considers the liquidity of the counterparty.</w:t>
      </w:r>
    </w:p>
    <w:p>
      <w:pPr>
        <w:spacing w:after="0" w:line="41" w:lineRule="exact"/>
        <w:rPr>
          <w:rFonts w:ascii="Arial" w:cs="Arial" w:eastAsia="Arial" w:hAnsi="Arial"/>
          <w:sz w:val="14"/>
          <w:szCs w:val="14"/>
          <w:color w:val="auto"/>
        </w:rPr>
      </w:pPr>
    </w:p>
    <w:p>
      <w:pPr>
        <w:ind w:left="420" w:right="260" w:hanging="412"/>
        <w:spacing w:after="0" w:line="239" w:lineRule="auto"/>
        <w:tabs>
          <w:tab w:leader="none" w:pos="228"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and Canadian corporations that are actively traded on U.S. and Canadian stock exchanges. Price quotes for these shares are readily available.</w:t>
      </w:r>
    </w:p>
    <w:p>
      <w:pPr>
        <w:spacing w:after="0" w:line="30" w:lineRule="exact"/>
        <w:rPr>
          <w:rFonts w:ascii="Arial" w:cs="Arial" w:eastAsia="Arial" w:hAnsi="Arial"/>
          <w:sz w:val="14"/>
          <w:szCs w:val="14"/>
          <w:color w:val="auto"/>
        </w:rPr>
      </w:pPr>
    </w:p>
    <w:p>
      <w:pPr>
        <w:ind w:left="420" w:right="20" w:hanging="412"/>
        <w:spacing w:after="0" w:line="239" w:lineRule="auto"/>
        <w:tabs>
          <w:tab w:leader="none" w:pos="231"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spacing w:after="0" w:line="30" w:lineRule="exact"/>
        <w:rPr>
          <w:rFonts w:ascii="Arial" w:cs="Arial" w:eastAsia="Arial" w:hAnsi="Arial"/>
          <w:sz w:val="14"/>
          <w:szCs w:val="14"/>
          <w:color w:val="auto"/>
        </w:rPr>
      </w:pPr>
    </w:p>
    <w:p>
      <w:pPr>
        <w:ind w:left="420" w:right="440" w:hanging="412"/>
        <w:spacing w:after="0" w:line="228" w:lineRule="auto"/>
        <w:tabs>
          <w:tab w:leader="none" w:pos="271"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Graham Holdings Company’s Deferred Compensation Plan and supplemental savings plan benefits under the Graham Holdings Company’s Supplemental Executive Retirement Plan, which are included in accrued compensation and related benefits. These plans measure the market value of a participant’s balance in a notional investment account that is comprised primarily of mutual funds, which are based on observable market prices. However, since the deferred compensation obligations are not exchanged in an active market, they are classified as Level 2 in the fair value hierarchy. Realized and unrealized gains (losses) on deferred compensation are included in operating income.</w:t>
      </w:r>
    </w:p>
    <w:p>
      <w:pPr>
        <w:spacing w:after="0" w:line="31" w:lineRule="exact"/>
        <w:rPr>
          <w:rFonts w:ascii="Arial" w:cs="Arial" w:eastAsia="Arial" w:hAnsi="Arial"/>
          <w:sz w:val="14"/>
          <w:szCs w:val="14"/>
          <w:color w:val="auto"/>
        </w:rPr>
      </w:pPr>
    </w:p>
    <w:p>
      <w:pPr>
        <w:ind w:left="420" w:hanging="412"/>
        <w:spacing w:after="0" w:line="239" w:lineRule="auto"/>
        <w:tabs>
          <w:tab w:leader="none" w:pos="231"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17" w:lineRule="exact"/>
        <w:rPr>
          <w:rFonts w:ascii="Arial" w:cs="Arial" w:eastAsia="Arial" w:hAnsi="Arial"/>
          <w:sz w:val="14"/>
          <w:szCs w:val="14"/>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(see Note 2), after taking</w:t>
      </w:r>
    </w:p>
    <w:p>
      <w:pPr>
        <w:ind w:left="420" w:right="420"/>
        <w:spacing w:after="0" w:line="239" w:lineRule="auto"/>
        <w:rPr>
          <w:rFonts w:ascii="Arial" w:cs="Arial" w:eastAsia="Arial" w:hAnsi="Arial"/>
          <w:sz w:val="14"/>
          <w:szCs w:val="14"/>
          <w:color w:val="auto"/>
        </w:rPr>
      </w:pPr>
      <w:r>
        <w:rPr>
          <w:rFonts w:ascii="Arial" w:cs="Arial" w:eastAsia="Arial" w:hAnsi="Arial"/>
          <w:sz w:val="14"/>
          <w:szCs w:val="14"/>
          <w:color w:val="auto"/>
        </w:rPr>
        <w:t>into account any debt and other noncontrolling interests of its subsidiary investments. The fair value of the owned subsidiaries is determined by reference to either a discounted cash flow or EBITDA multiple, which approximates fair value.</w:t>
      </w:r>
    </w:p>
    <w:p>
      <w:pPr>
        <w:spacing w:after="0" w:line="30" w:lineRule="exact"/>
        <w:rPr>
          <w:rFonts w:ascii="Arial" w:cs="Arial" w:eastAsia="Arial" w:hAnsi="Arial"/>
          <w:sz w:val="14"/>
          <w:szCs w:val="14"/>
          <w:color w:val="auto"/>
        </w:rPr>
      </w:pPr>
    </w:p>
    <w:p>
      <w:pPr>
        <w:ind w:left="420" w:right="120" w:hanging="412"/>
        <w:spacing w:after="0" w:line="239" w:lineRule="auto"/>
        <w:tabs>
          <w:tab w:leader="none" w:pos="271"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current assets. The Company utilized a market approach model using the notional amount of the interest rate swap multiplied by the observable inputs of time to maturity and market interest rates.</w:t>
      </w:r>
    </w:p>
    <w:p>
      <w:pPr>
        <w:spacing w:after="0" w:line="30" w:lineRule="exact"/>
        <w:rPr>
          <w:rFonts w:ascii="Arial" w:cs="Arial" w:eastAsia="Arial" w:hAnsi="Arial"/>
          <w:sz w:val="14"/>
          <w:szCs w:val="14"/>
          <w:color w:val="auto"/>
        </w:rPr>
      </w:pPr>
    </w:p>
    <w:p>
      <w:pPr>
        <w:ind w:left="420" w:right="80" w:hanging="412"/>
        <w:spacing w:after="0" w:line="239" w:lineRule="auto"/>
        <w:tabs>
          <w:tab w:leader="none" w:pos="231"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valued based on a valuation model that calculates the differential between the contract price and the market-based forward rate.</w:t>
      </w:r>
    </w:p>
    <w:p>
      <w:pPr>
        <w:spacing w:after="0" w:line="133"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In the second quarter of 2020, the Company recorded other long-lived asset impairment charges of $11.5 million (see Note 16). In the second quarter of 2019, the Company recorded an other long-lived asset impairment charge of $0.7 million. The remeasurement of the other long-lived assets is classified as a Level 3 fair value assessment due to the significance of unobservable inputs developed in the determination of the fair value. The Company used a discounted cash flow model to determine the estimated fair value of the other long-lived assets and made estimates and assumptions regarding future cash flows and discount rates.</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During first quarter of 2020, the Company recorded goodwill and indefinite-lived intangible asset impairment charges of $16.4 million. The remeasurement of the goodwill and indefinite-lived intangible assets is classified as a Level 3 fair value assessment due to the significance of unobservable inputs developed in the determination of the fair value. The Company used a discounted cash flow model to determine the estimated fair value of the reporting</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8" w:name="page19"/>
    <w:bookmarkEnd w:id="18"/>
    <w:p>
      <w:pPr>
        <w:spacing w:after="0" w:line="235" w:lineRule="auto"/>
        <w:rPr>
          <w:sz w:val="20"/>
          <w:szCs w:val="20"/>
          <w:color w:val="auto"/>
        </w:rPr>
      </w:pPr>
      <w:r>
        <w:rPr>
          <w:rFonts w:ascii="Arial" w:cs="Arial" w:eastAsia="Arial" w:hAnsi="Arial"/>
          <w:sz w:val="18"/>
          <w:szCs w:val="18"/>
          <w:color w:val="auto"/>
        </w:rPr>
        <w:t>unit and indefinite-lived intangible assets and made estimates and assumptions regarding future cash flows, royalty rates, discount rates, and long-term growth rates.</w:t>
      </w:r>
    </w:p>
    <w:p>
      <w:pPr>
        <w:spacing w:after="0" w:line="135"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During the six months ended June 30, 2020, the Company recorded impairment losses of $ 2.6 million to equity securities that are accounted for as cost method investments. During the three and six months ended June 30, 2020, the Company recorded a gain of $2.6 million to an equity security that is accounted for as a cost method investment based on observable transactions for identical or similar investments of the same issuer. During the six months ended June 30, 2019, the Company recorded gains of $1.4 million to equity securities that are accounted for as cost method investments based on observable transactions for identical or similar investments of the same issuer.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2020, the Company recorded impairment charges of $3.6 million on two of its investments in affiliates.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66" w:lineRule="exact"/>
        <w:rPr>
          <w:sz w:val="20"/>
          <w:szCs w:val="20"/>
          <w:color w:val="auto"/>
        </w:rPr>
      </w:pPr>
    </w:p>
    <w:p>
      <w:pPr>
        <w:ind w:right="180"/>
        <w:spacing w:after="0" w:line="227" w:lineRule="auto"/>
        <w:rPr>
          <w:sz w:val="20"/>
          <w:szCs w:val="20"/>
          <w:color w:val="auto"/>
        </w:rPr>
      </w:pPr>
      <w:r>
        <w:rPr>
          <w:rFonts w:ascii="Arial" w:cs="Arial" w:eastAsia="Arial" w:hAnsi="Arial"/>
          <w:sz w:val="18"/>
          <w:szCs w:val="18"/>
          <w:color w:val="auto"/>
        </w:rPr>
        <w:t>On March 27, 2020, the Coronavirus Aid, Relief and Economic Security (CARES) Act was enacted, which included several technical corrections to the 2017 Tax Cuts and Jobs Act and provisions allowing certain net operating losses generated by businesses in 2018, 2019 and 2020 to be carried back five prior tax years. Overall, the CARES Act had limited impact on the Company’s tax provision for the first six months of 2020.</w:t>
      </w:r>
    </w:p>
    <w:p>
      <w:pPr>
        <w:spacing w:after="0" w:line="135" w:lineRule="exact"/>
        <w:rPr>
          <w:sz w:val="20"/>
          <w:szCs w:val="20"/>
          <w:color w:val="auto"/>
        </w:rPr>
      </w:pPr>
    </w:p>
    <w:p>
      <w:pPr>
        <w:ind w:right="40"/>
        <w:spacing w:after="0" w:line="223" w:lineRule="auto"/>
        <w:rPr>
          <w:sz w:val="20"/>
          <w:szCs w:val="20"/>
          <w:color w:val="auto"/>
        </w:rPr>
      </w:pPr>
      <w:r>
        <w:rPr>
          <w:rFonts w:ascii="Arial" w:cs="Arial" w:eastAsia="Arial" w:hAnsi="Arial"/>
          <w:sz w:val="18"/>
          <w:szCs w:val="18"/>
          <w:color w:val="auto"/>
        </w:rPr>
        <w:t>On July 1, 2015 (the Distribution Date), the Company completed the spin-off of Cable ONE as an independent, publicly traded company. The transaction was structured as a tax-free spin-off of Cable ONE to the stockholders of the Company. Since July 1, 2015, Cable One has been an independent public company trading on the New York Stock Exchange under the symbol “CABO”. In connection with the CARES Act, Cable One now has the ability to carryback its 2019 taxable losses to the tax period from January 1, 2015 to June 30, 2015, the period in which Cable One was included in the Company’s 2015 tax return. As a result, the Company plans to amend its 2015 tax returns in order to accommodate Cable One's request to carryback its 2019 taxable losses. The Company expects that this action will have no impact on the results or the financial position of the Company. To reflect the expected refund due to Cable One, the Company has included an estimated $20.7 million current income tax receivable and a corresponding current liability to Cable One on its balance sheet as of June 30, 2020.</w:t>
      </w:r>
    </w:p>
    <w:p>
      <w:pPr>
        <w:spacing w:after="0" w:line="13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The Company’s effective tax rate for the six months ended June 30, 2020 was 18.9%. The effective tax rate for the first quarter of 2020 was 57.3% and the effective tax rate for the second quarter of 2020 was 69.0%. The effective tax rate for interim periods is generally based on the Company’s estimated effective tax rate for fiscal year 2020. The Company’s estimated effective tax rate for 2020 includes the adverse impacts of the COVID-19 pandemic, the CARES Act, and losses on marketable equity securities on the Company’s estimated pre-tax income for 2020, resulting in a higher overall estimated tax rate, as permanent differences and increased valuation allowances in certain jurisdictions have an impact on the overall estimated effective tax rate.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REVENUE FROM CONTRACTS WITH CUSTOMERS</w:t>
      </w:r>
    </w:p>
    <w:p>
      <w:pPr>
        <w:spacing w:after="0" w:line="166"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Company generated 75% of its revenue from U.S. domestic sales for the three and six months ended June 30, 2020. The remaining 25% of revenue was generated from non-U.S. sales for the three and six months ended June 30, 2020. For the three and six months ended June 30, 2019, 76% of revenue was from U.S. domestic sales, and the remaining 24% of revenue was generated from non-U.S. sales.</w:t>
      </w:r>
    </w:p>
    <w:p>
      <w:pPr>
        <w:spacing w:after="0" w:line="137" w:lineRule="exact"/>
        <w:rPr>
          <w:sz w:val="20"/>
          <w:szCs w:val="20"/>
          <w:color w:val="auto"/>
        </w:rPr>
      </w:pPr>
    </w:p>
    <w:p>
      <w:pPr>
        <w:ind w:right="220"/>
        <w:spacing w:after="0" w:line="227" w:lineRule="auto"/>
        <w:rPr>
          <w:sz w:val="20"/>
          <w:szCs w:val="20"/>
          <w:color w:val="auto"/>
        </w:rPr>
      </w:pPr>
      <w:r>
        <w:rPr>
          <w:rFonts w:ascii="Arial" w:cs="Arial" w:eastAsia="Arial" w:hAnsi="Arial"/>
          <w:sz w:val="18"/>
          <w:szCs w:val="18"/>
          <w:color w:val="auto"/>
        </w:rPr>
        <w:t>For the three and six months ended June 30, 2020, the Company recognized 76% and 74% of its revenue over time as control of the services and goods transferred to the customer, and the remaining 24% and 26% at a point in time, when the customer obtained control of the promised goods. For the three and six months ended June 30, 2019, the Company recognized 76% of its revenue over time, and the remaining 24% at a point in time.</w:t>
      </w:r>
    </w:p>
    <w:p>
      <w:pPr>
        <w:spacing w:after="0" w:line="135"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In the second quarter of 2020, GHG received $7.4 million under the CARES Act as a general distribution from the Provider Relief Fund to provide relief for lost revenues and expenses incurred in connection with COVID-19. The healthcare revenues for the three and six months ended June 30, 2020 includes $5.5 million for lost revenues related to COVID-19 (see Note 16).</w:t>
      </w:r>
    </w:p>
    <w:p>
      <w:pPr>
        <w:spacing w:after="0" w:line="115" w:lineRule="exact"/>
        <w:rPr>
          <w:sz w:val="20"/>
          <w:szCs w:val="20"/>
          <w:color w:val="auto"/>
        </w:rPr>
      </w:pPr>
    </w:p>
    <w:p>
      <w:pPr>
        <w:ind w:right="500"/>
        <w:spacing w:after="0" w:line="238"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June 30, 2020, the Company recognized a contract asset of $6.4 million related to a contract at a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business, which is included in Deferred Charges and Other Assets. The Company expects to recognize an additional $8.9 million related to this performance obligation over the next 2 years. As of December 31, 2019, the contract asset was $5.3 million.</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amounts which are refundable. The following table presents the change in the Company’s deferred revenue balance: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6"/>
        </w:trPr>
        <w:tc>
          <w:tcPr>
            <w:tcW w:w="7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160" w:type="dxa"/>
            <w:vAlign w:val="bottom"/>
            <w:tcBorders>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7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ind w:right="25"/>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8"/>
                <w:szCs w:val="18"/>
                <w:color w:val="auto"/>
              </w:rPr>
            </w:pPr>
          </w:p>
        </w:tc>
        <w:tc>
          <w:tcPr>
            <w:tcW w:w="1160" w:type="dxa"/>
            <w:vAlign w:val="bottom"/>
          </w:tcPr>
          <w:p>
            <w:pPr>
              <w:jc w:val="center"/>
              <w:ind w:right="105"/>
              <w:spacing w:after="0"/>
              <w:rPr>
                <w:sz w:val="20"/>
                <w:szCs w:val="20"/>
                <w:color w:val="auto"/>
              </w:rPr>
            </w:pPr>
            <w:r>
              <w:rPr>
                <w:rFonts w:ascii="Arial" w:cs="Arial" w:eastAsia="Arial" w:hAnsi="Arial"/>
                <w:sz w:val="14"/>
                <w:szCs w:val="14"/>
                <w:color w:val="auto"/>
              </w:rPr>
              <w:t>December 31,</w:t>
            </w:r>
          </w:p>
        </w:tc>
        <w:tc>
          <w:tcPr>
            <w:tcW w:w="1300" w:type="dxa"/>
            <w:vAlign w:val="bottom"/>
          </w:tcPr>
          <w:p>
            <w:pPr>
              <w:jc w:val="right"/>
              <w:ind w:right="505"/>
              <w:spacing w:after="0"/>
              <w:rPr>
                <w:sz w:val="20"/>
                <w:szCs w:val="20"/>
                <w:color w:val="auto"/>
              </w:rPr>
            </w:pPr>
            <w:r>
              <w:rPr>
                <w:rFonts w:ascii="Arial" w:cs="Arial" w:eastAsia="Arial" w:hAnsi="Arial"/>
                <w:sz w:val="14"/>
                <w:szCs w:val="14"/>
                <w:color w:val="auto"/>
              </w:rPr>
              <w:t>%</w:t>
            </w:r>
          </w:p>
        </w:tc>
      </w:tr>
      <w:tr>
        <w:trPr>
          <w:trHeight w:val="196"/>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5"/>
              <w:spacing w:after="0"/>
              <w:rPr>
                <w:sz w:val="20"/>
                <w:szCs w:val="20"/>
                <w:color w:val="auto"/>
              </w:rPr>
            </w:pPr>
            <w:r>
              <w:rPr>
                <w:rFonts w:ascii="Arial" w:cs="Arial" w:eastAsia="Arial" w:hAnsi="Arial"/>
                <w:sz w:val="14"/>
                <w:szCs w:val="14"/>
                <w:color w:val="auto"/>
              </w:rPr>
              <w:t>2019</w:t>
            </w:r>
          </w:p>
        </w:tc>
        <w:tc>
          <w:tcPr>
            <w:tcW w:w="1300" w:type="dxa"/>
            <w:vAlign w:val="bottom"/>
            <w:tcBorders>
              <w:bottom w:val="single" w:sz="8" w:color="auto"/>
            </w:tcBorders>
          </w:tcPr>
          <w:p>
            <w:pPr>
              <w:ind w:left="400"/>
              <w:spacing w:after="0"/>
              <w:rPr>
                <w:sz w:val="20"/>
                <w:szCs w:val="20"/>
                <w:color w:val="auto"/>
              </w:rPr>
            </w:pPr>
            <w:r>
              <w:rPr>
                <w:rFonts w:ascii="Arial" w:cs="Arial" w:eastAsia="Arial" w:hAnsi="Arial"/>
                <w:sz w:val="14"/>
                <w:szCs w:val="14"/>
                <w:color w:val="auto"/>
              </w:rPr>
              <w:t>Change</w:t>
            </w:r>
          </w:p>
        </w:tc>
      </w:tr>
      <w:tr>
        <w:trPr>
          <w:trHeight w:val="223"/>
        </w:trPr>
        <w:tc>
          <w:tcPr>
            <w:tcW w:w="712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284,825</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5"/>
              <w:spacing w:after="0"/>
              <w:rPr>
                <w:sz w:val="20"/>
                <w:szCs w:val="20"/>
                <w:color w:val="auto"/>
              </w:rPr>
            </w:pPr>
            <w:r>
              <w:rPr>
                <w:rFonts w:ascii="Arial" w:cs="Arial" w:eastAsia="Arial" w:hAnsi="Arial"/>
                <w:sz w:val="16"/>
                <w:szCs w:val="16"/>
                <w:color w:val="auto"/>
              </w:rPr>
              <w:t>359,048</w:t>
            </w:r>
          </w:p>
        </w:tc>
        <w:tc>
          <w:tcPr>
            <w:tcW w:w="1300" w:type="dxa"/>
            <w:vAlign w:val="bottom"/>
          </w:tcPr>
          <w:p>
            <w:pPr>
              <w:jc w:val="right"/>
              <w:ind w:right="425"/>
              <w:spacing w:after="0"/>
              <w:rPr>
                <w:sz w:val="20"/>
                <w:szCs w:val="20"/>
                <w:color w:val="auto"/>
              </w:rPr>
            </w:pPr>
            <w:r>
              <w:rPr>
                <w:rFonts w:ascii="Arial" w:cs="Arial" w:eastAsia="Arial" w:hAnsi="Arial"/>
                <w:sz w:val="16"/>
                <w:szCs w:val="16"/>
                <w:color w:val="auto"/>
              </w:rPr>
              <w:t>(21)</w:t>
            </w:r>
          </w:p>
        </w:tc>
      </w:tr>
    </w:tbl>
    <w:p>
      <w:pPr>
        <w:spacing w:after="0" w:line="221"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In April 2020, GHG received $31.5 million under the expanded Medicare Accelerated and Advanced Payment Program modified by the CARES Act as a result of COVID-19. The amount is included in deferred revenue on the Condensed Consolidated Balance Sheet as of June 30, 2020. The Department of Health and Human Services will recoup this advance beginning 120 days after the payment was issued, and the deferred revenue will be reduced by the amount of revenue recognized for claims submitted for services provided after the recoupment period begins.</w:t>
      </w:r>
    </w:p>
    <w:p>
      <w:pPr>
        <w:spacing w:after="0" w:line="137"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The majority of the change in the deferred revenue balance is related to the cyclical nature of services at the Kaplan international division and currency translation adjustments, partially offset by an increase at GHG. During the six months ended June 30, 2020, the Company recognized $264.2 million related to the Company’s deferred revenue balance as of December 31, 2019.</w:t>
      </w:r>
    </w:p>
    <w:p>
      <w:pPr>
        <w:spacing w:after="0" w:line="137"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June 30, 2020, Kaplan Test Preparation’s (KTP) deferred revenue balance related to certain medical and nursing qualifications with an original contract length greater than twelve months was $8.9 million. KTP expects to recognize 73% of this revenue over the next twelve months and the remainder thereafter.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Pr>
          <w:p>
            <w:pPr>
              <w:jc w:val="center"/>
              <w:ind w:right="86"/>
              <w:spacing w:after="0"/>
              <w:rPr>
                <w:sz w:val="20"/>
                <w:szCs w:val="20"/>
                <w:color w:val="auto"/>
              </w:rPr>
            </w:pPr>
            <w:r>
              <w:rPr>
                <w:rFonts w:ascii="Arial" w:cs="Arial" w:eastAsia="Arial" w:hAnsi="Arial"/>
                <w:sz w:val="14"/>
                <w:szCs w:val="14"/>
                <w:b w:val="1"/>
                <w:bCs w:val="1"/>
                <w:color w:val="auto"/>
              </w:rPr>
              <w:t>Balance at</w:t>
            </w:r>
          </w:p>
        </w:tc>
        <w:tc>
          <w:tcPr>
            <w:tcW w:w="360" w:type="dxa"/>
            <w:vAlign w:val="bottom"/>
          </w:tcPr>
          <w:p>
            <w:pPr>
              <w:spacing w:after="0"/>
              <w:rPr>
                <w:sz w:val="14"/>
                <w:szCs w:val="14"/>
                <w:color w:val="auto"/>
              </w:rPr>
            </w:pPr>
          </w:p>
        </w:tc>
        <w:tc>
          <w:tcPr>
            <w:tcW w:w="940" w:type="dxa"/>
            <w:vAlign w:val="bottom"/>
          </w:tcPr>
          <w:p>
            <w:pPr>
              <w:jc w:val="center"/>
              <w:ind w:right="184"/>
              <w:spacing w:after="0"/>
              <w:rPr>
                <w:sz w:val="20"/>
                <w:szCs w:val="20"/>
                <w:color w:val="auto"/>
              </w:rPr>
            </w:pPr>
            <w:r>
              <w:rPr>
                <w:rFonts w:ascii="Arial" w:cs="Arial" w:eastAsia="Arial" w:hAnsi="Arial"/>
                <w:sz w:val="14"/>
                <w:szCs w:val="14"/>
                <w:b w:val="1"/>
                <w:bCs w:val="1"/>
                <w:color w:val="auto"/>
              </w:rPr>
              <w:t>Costs</w:t>
            </w:r>
          </w:p>
        </w:tc>
        <w:tc>
          <w:tcPr>
            <w:tcW w:w="240" w:type="dxa"/>
            <w:vAlign w:val="bottom"/>
          </w:tcPr>
          <w:p>
            <w:pPr>
              <w:spacing w:after="0"/>
              <w:rPr>
                <w:sz w:val="14"/>
                <w:szCs w:val="14"/>
                <w:color w:val="auto"/>
              </w:rPr>
            </w:pPr>
          </w:p>
        </w:tc>
        <w:tc>
          <w:tcPr>
            <w:tcW w:w="1120" w:type="dxa"/>
            <w:vAlign w:val="bottom"/>
          </w:tcPr>
          <w:p>
            <w:pPr>
              <w:jc w:val="center"/>
              <w:ind w:right="145"/>
              <w:spacing w:after="0"/>
              <w:rPr>
                <w:sz w:val="20"/>
                <w:szCs w:val="20"/>
                <w:color w:val="auto"/>
              </w:rPr>
            </w:pPr>
            <w:r>
              <w:rPr>
                <w:rFonts w:ascii="Arial" w:cs="Arial" w:eastAsia="Arial" w:hAnsi="Arial"/>
                <w:sz w:val="14"/>
                <w:szCs w:val="14"/>
                <w:b w:val="1"/>
                <w:bCs w:val="1"/>
                <w:color w:val="auto"/>
              </w:rPr>
              <w:t>Less: Costs</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at</w:t>
            </w:r>
          </w:p>
        </w:tc>
      </w:tr>
      <w:tr>
        <w:trPr>
          <w:trHeight w:val="162"/>
        </w:trPr>
        <w:tc>
          <w:tcPr>
            <w:tcW w:w="30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Pr>
          <w:p>
            <w:pPr>
              <w:jc w:val="center"/>
              <w:ind w:right="86"/>
              <w:spacing w:after="0"/>
              <w:rPr>
                <w:sz w:val="20"/>
                <w:szCs w:val="20"/>
                <w:color w:val="auto"/>
              </w:rPr>
            </w:pPr>
            <w:r>
              <w:rPr>
                <w:rFonts w:ascii="Arial" w:cs="Arial" w:eastAsia="Arial" w:hAnsi="Arial"/>
                <w:sz w:val="14"/>
                <w:szCs w:val="14"/>
                <w:b w:val="1"/>
                <w:bCs w:val="1"/>
                <w:color w:val="auto"/>
              </w:rPr>
              <w:t>Beginning</w:t>
            </w:r>
          </w:p>
        </w:tc>
        <w:tc>
          <w:tcPr>
            <w:tcW w:w="1300" w:type="dxa"/>
            <w:vAlign w:val="bottom"/>
            <w:gridSpan w:val="2"/>
          </w:tcPr>
          <w:p>
            <w:pPr>
              <w:jc w:val="center"/>
              <w:ind w:left="5"/>
              <w:spacing w:after="0"/>
              <w:rPr>
                <w:sz w:val="20"/>
                <w:szCs w:val="20"/>
                <w:color w:val="auto"/>
              </w:rPr>
            </w:pPr>
            <w:r>
              <w:rPr>
                <w:rFonts w:ascii="Arial" w:cs="Arial" w:eastAsia="Arial" w:hAnsi="Arial"/>
                <w:sz w:val="14"/>
                <w:szCs w:val="14"/>
                <w:b w:val="1"/>
                <w:bCs w:val="1"/>
                <w:color w:val="auto"/>
              </w:rPr>
              <w:t>associated with</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 during</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center"/>
              <w:ind w:right="146"/>
              <w:spacing w:after="0"/>
              <w:rPr>
                <w:sz w:val="20"/>
                <w:szCs w:val="20"/>
                <w:color w:val="auto"/>
              </w:rPr>
            </w:pPr>
            <w:r>
              <w:rPr>
                <w:rFonts w:ascii="Arial" w:cs="Arial" w:eastAsia="Arial" w:hAnsi="Arial"/>
                <w:sz w:val="14"/>
                <w:szCs w:val="14"/>
                <w:b w:val="1"/>
                <w:bCs w:val="1"/>
                <w:color w:val="auto"/>
              </w:rPr>
              <w:t>End of</w:t>
            </w:r>
          </w:p>
        </w:tc>
      </w:tr>
      <w:tr>
        <w:trPr>
          <w:trHeight w:val="196"/>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rPr>
              <w:t>of Period</w:t>
            </w:r>
          </w:p>
        </w:tc>
        <w:tc>
          <w:tcPr>
            <w:tcW w:w="1300" w:type="dxa"/>
            <w:vAlign w:val="bottom"/>
            <w:tcBorders>
              <w:bottom w:val="single" w:sz="8" w:color="auto"/>
            </w:tcBorders>
            <w:gridSpan w:val="2"/>
          </w:tcPr>
          <w:p>
            <w:pPr>
              <w:jc w:val="center"/>
              <w:ind w:left="25"/>
              <w:spacing w:after="0"/>
              <w:rPr>
                <w:sz w:val="20"/>
                <w:szCs w:val="20"/>
                <w:color w:val="auto"/>
              </w:rPr>
            </w:pPr>
            <w:r>
              <w:rPr>
                <w:rFonts w:ascii="Arial" w:cs="Arial" w:eastAsia="Arial" w:hAnsi="Arial"/>
                <w:sz w:val="14"/>
                <w:szCs w:val="14"/>
                <w:b w:val="1"/>
                <w:bCs w:val="1"/>
                <w:color w:val="auto"/>
              </w:rPr>
              <w:t>new contracts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45"/>
              <w:spacing w:after="0"/>
              <w:rPr>
                <w:sz w:val="20"/>
                <w:szCs w:val="20"/>
                <w:color w:val="auto"/>
              </w:rPr>
            </w:pPr>
            <w:r>
              <w:rPr>
                <w:rFonts w:ascii="Arial" w:cs="Arial" w:eastAsia="Arial" w:hAnsi="Arial"/>
                <w:sz w:val="14"/>
                <w:szCs w:val="14"/>
                <w:b w:val="1"/>
                <w:bCs w:val="1"/>
                <w:color w:val="auto"/>
              </w:rPr>
              <w:t>the period</w:t>
            </w: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Other</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Period</w:t>
            </w:r>
          </w:p>
        </w:tc>
      </w:tr>
      <w:tr>
        <w:trPr>
          <w:trHeight w:val="223"/>
        </w:trPr>
        <w:tc>
          <w:tcPr>
            <w:tcW w:w="3080" w:type="dxa"/>
            <w:vAlign w:val="bottom"/>
          </w:tcPr>
          <w:p>
            <w:pPr>
              <w:ind w:left="20"/>
              <w:spacing w:after="0"/>
              <w:rPr>
                <w:sz w:val="20"/>
                <w:szCs w:val="20"/>
                <w:color w:val="auto"/>
              </w:rPr>
            </w:pPr>
            <w:r>
              <w:rPr>
                <w:rFonts w:ascii="Arial" w:cs="Arial" w:eastAsia="Arial" w:hAnsi="Arial"/>
                <w:sz w:val="16"/>
                <w:szCs w:val="16"/>
                <w:b w:val="1"/>
                <w:bCs w:val="1"/>
                <w:color w:val="auto"/>
              </w:rPr>
              <w:t>2020</w:t>
            </w: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66"/>
              <w:spacing w:after="0"/>
              <w:rPr>
                <w:sz w:val="20"/>
                <w:szCs w:val="20"/>
                <w:color w:val="auto"/>
              </w:rPr>
            </w:pPr>
            <w:r>
              <w:rPr>
                <w:rFonts w:ascii="Arial" w:cs="Arial" w:eastAsia="Arial" w:hAnsi="Arial"/>
                <w:sz w:val="16"/>
                <w:szCs w:val="16"/>
                <w:b w:val="1"/>
                <w:bCs w:val="1"/>
                <w:color w:val="auto"/>
              </w:rPr>
              <w:t>31,020</w:t>
            </w:r>
          </w:p>
        </w:tc>
        <w:tc>
          <w:tcPr>
            <w:tcW w:w="360" w:type="dxa"/>
            <w:vAlign w:val="bottom"/>
          </w:tcPr>
          <w:p>
            <w:pPr>
              <w:jc w:val="right"/>
              <w:ind w:right="45"/>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24"/>
              <w:spacing w:after="0"/>
              <w:rPr>
                <w:sz w:val="20"/>
                <w:szCs w:val="20"/>
                <w:color w:val="auto"/>
              </w:rPr>
            </w:pPr>
            <w:r>
              <w:rPr>
                <w:rFonts w:ascii="Arial" w:cs="Arial" w:eastAsia="Arial" w:hAnsi="Arial"/>
                <w:sz w:val="16"/>
                <w:szCs w:val="16"/>
                <w:b w:val="1"/>
                <w:bCs w:val="1"/>
                <w:color w:val="auto"/>
              </w:rPr>
              <w:t>17,815</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65"/>
              <w:spacing w:after="0"/>
              <w:rPr>
                <w:sz w:val="20"/>
                <w:szCs w:val="20"/>
                <w:color w:val="auto"/>
              </w:rPr>
            </w:pPr>
            <w:r>
              <w:rPr>
                <w:rFonts w:ascii="Arial" w:cs="Arial" w:eastAsia="Arial" w:hAnsi="Arial"/>
                <w:sz w:val="16"/>
                <w:szCs w:val="16"/>
                <w:b w:val="1"/>
                <w:bCs w:val="1"/>
                <w:color w:val="auto"/>
              </w:rPr>
              <w:t>(31,856)</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24"/>
              <w:spacing w:after="0"/>
              <w:rPr>
                <w:sz w:val="20"/>
                <w:szCs w:val="20"/>
                <w:color w:val="auto"/>
              </w:rPr>
            </w:pPr>
            <w:r>
              <w:rPr>
                <w:rFonts w:ascii="Arial" w:cs="Arial" w:eastAsia="Arial" w:hAnsi="Arial"/>
                <w:sz w:val="16"/>
                <w:szCs w:val="16"/>
                <w:b w:val="1"/>
                <w:bCs w:val="1"/>
                <w:color w:val="auto"/>
              </w:rPr>
              <w:t>(1,386)</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6"/>
              <w:spacing w:after="0"/>
              <w:rPr>
                <w:sz w:val="20"/>
                <w:szCs w:val="20"/>
                <w:color w:val="auto"/>
              </w:rPr>
            </w:pPr>
            <w:r>
              <w:rPr>
                <w:rFonts w:ascii="Arial" w:cs="Arial" w:eastAsia="Arial" w:hAnsi="Arial"/>
                <w:sz w:val="16"/>
                <w:szCs w:val="16"/>
                <w:b w:val="1"/>
                <w:bCs w:val="1"/>
                <w:color w:val="auto"/>
              </w:rPr>
              <w:t>15,593</w:t>
            </w: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is related to currency translation adjustments during the six months ended June 30, 2020.</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2"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11. EARNINGS (LOSS) PER SHARE</w:t>
      </w:r>
    </w:p>
    <w:p>
      <w:pPr>
        <w:spacing w:after="0" w:line="166"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 than the diluted earnings per share computed under the treasury stock method, resulting in the presentation of the lower amount in diluted earnings per share. The computation of the earnings per share under the two-class method excludes the income attributable to the unvested restricted stock awards from the numerator and excludes the dilutive impact of those underlying shares from the denominator.</w:t>
      </w:r>
    </w:p>
    <w:p>
      <w:pPr>
        <w:spacing w:after="0" w:line="137"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The following reflects the Company’s net income (loss) and share data used in the basic and diluted earnings (loss) per share computations using the two-class method: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3"/>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4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58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6"/>
                <w:szCs w:val="16"/>
                <w:color w:val="auto"/>
              </w:rPr>
              <w:t>Numerator:</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120"/>
              <w:spacing w:after="0"/>
              <w:rPr>
                <w:sz w:val="20"/>
                <w:szCs w:val="20"/>
                <w:color w:val="auto"/>
              </w:rPr>
            </w:pPr>
            <w:r>
              <w:rPr>
                <w:rFonts w:ascii="Arial" w:cs="Arial" w:eastAsia="Arial" w:hAnsi="Arial"/>
                <w:sz w:val="16"/>
                <w:szCs w:val="16"/>
                <w:color w:val="auto"/>
              </w:rPr>
              <w:t>Numerator for basic earnings (loss) per share: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20" w:type="dxa"/>
            <w:vAlign w:val="bottom"/>
          </w:tcPr>
          <w:p>
            <w:pPr>
              <w:ind w:left="220"/>
              <w:spacing w:after="0"/>
              <w:rPr>
                <w:sz w:val="20"/>
                <w:szCs w:val="20"/>
                <w:color w:val="auto"/>
              </w:rPr>
            </w:pPr>
            <w:r>
              <w:rPr>
                <w:rFonts w:ascii="Arial" w:cs="Arial" w:eastAsia="Arial" w:hAnsi="Arial"/>
                <w:sz w:val="16"/>
                <w:szCs w:val="16"/>
                <w:color w:val="auto"/>
              </w:rPr>
              <w:t>Net income (loss) attributable to Graham Holdings Company common</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tcPr>
          <w:p>
            <w:pPr>
              <w:jc w:val="right"/>
              <w:ind w:right="201"/>
              <w:spacing w:after="0"/>
              <w:rPr>
                <w:sz w:val="20"/>
                <w:szCs w:val="20"/>
                <w:color w:val="auto"/>
              </w:rPr>
            </w:pPr>
            <w:r>
              <w:rPr>
                <w:rFonts w:ascii="Arial" w:cs="Arial" w:eastAsia="Arial" w:hAnsi="Arial"/>
                <w:sz w:val="16"/>
                <w:szCs w:val="16"/>
                <w:b w:val="1"/>
                <w:bCs w:val="1"/>
                <w:color w:val="auto"/>
              </w:rPr>
              <w:t>18,854</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rPr>
              <w:t>(14,391)</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820" w:type="dxa"/>
            <w:vAlign w:val="bottom"/>
          </w:tcPr>
          <w:p>
            <w:pPr>
              <w:ind w:left="400"/>
              <w:spacing w:after="0"/>
              <w:rPr>
                <w:sz w:val="20"/>
                <w:szCs w:val="20"/>
                <w:color w:val="auto"/>
              </w:rPr>
            </w:pPr>
            <w:r>
              <w:rPr>
                <w:rFonts w:ascii="Arial" w:cs="Arial" w:eastAsia="Arial" w:hAnsi="Arial"/>
                <w:sz w:val="16"/>
                <w:szCs w:val="16"/>
                <w:color w:val="auto"/>
              </w:rPr>
              <w:t>stockholders</w:t>
            </w:r>
          </w:p>
        </w:tc>
        <w:tc>
          <w:tcPr>
            <w:tcW w:w="2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57,081</w:t>
            </w:r>
          </w:p>
        </w:tc>
        <w:tc>
          <w:tcPr>
            <w:tcW w:w="3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138,829</w:t>
            </w:r>
          </w:p>
        </w:tc>
        <w:tc>
          <w:tcPr>
            <w:tcW w:w="0" w:type="dxa"/>
            <w:vAlign w:val="bottom"/>
          </w:tcPr>
          <w:p>
            <w:pPr>
              <w:spacing w:after="0"/>
              <w:rPr>
                <w:sz w:val="1"/>
                <w:szCs w:val="1"/>
                <w:color w:val="auto"/>
              </w:rPr>
            </w:pPr>
          </w:p>
        </w:tc>
      </w:tr>
      <w:tr>
        <w:trPr>
          <w:trHeight w:val="210"/>
        </w:trPr>
        <w:tc>
          <w:tcPr>
            <w:tcW w:w="5820" w:type="dxa"/>
            <w:vAlign w:val="bottom"/>
          </w:tcPr>
          <w:p>
            <w:pPr>
              <w:ind w:left="220"/>
              <w:spacing w:after="0"/>
              <w:rPr>
                <w:sz w:val="20"/>
                <w:szCs w:val="20"/>
                <w:color w:val="auto"/>
              </w:rPr>
            </w:pPr>
            <w:r>
              <w:rPr>
                <w:rFonts w:ascii="Arial" w:cs="Arial" w:eastAsia="Arial" w:hAnsi="Arial"/>
                <w:sz w:val="16"/>
                <w:szCs w:val="16"/>
                <w:color w:val="auto"/>
              </w:rPr>
              <w:t>Less: Dividends paid-common stock outstanding and unvested restricted</w:t>
            </w:r>
          </w:p>
        </w:tc>
        <w:tc>
          <w:tcPr>
            <w:tcW w:w="280" w:type="dxa"/>
            <w:vAlign w:val="bottom"/>
          </w:tcPr>
          <w:p>
            <w:pPr>
              <w:spacing w:after="0"/>
              <w:rPr>
                <w:sz w:val="18"/>
                <w:szCs w:val="18"/>
                <w:color w:val="auto"/>
              </w:rPr>
            </w:pPr>
          </w:p>
        </w:tc>
        <w:tc>
          <w:tcPr>
            <w:tcW w:w="100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(7,581)</w:t>
            </w: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vMerge w:val="restart"/>
          </w:tcPr>
          <w:p>
            <w:pPr>
              <w:jc w:val="right"/>
              <w:ind w:right="141"/>
              <w:spacing w:after="0"/>
              <w:rPr>
                <w:sz w:val="20"/>
                <w:szCs w:val="20"/>
                <w:color w:val="auto"/>
              </w:rPr>
            </w:pPr>
            <w:r>
              <w:rPr>
                <w:rFonts w:ascii="Arial" w:cs="Arial" w:eastAsia="Arial" w:hAnsi="Arial"/>
                <w:sz w:val="16"/>
                <w:szCs w:val="16"/>
                <w:b w:val="1"/>
                <w:bCs w:val="1"/>
                <w:color w:val="auto"/>
              </w:rPr>
              <w:t>(22,870)</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20" w:type="dxa"/>
            <w:vAlign w:val="bottom"/>
          </w:tcPr>
          <w:p>
            <w:pPr>
              <w:ind w:left="400"/>
              <w:spacing w:after="0"/>
              <w:rPr>
                <w:sz w:val="20"/>
                <w:szCs w:val="20"/>
                <w:color w:val="auto"/>
              </w:rPr>
            </w:pPr>
            <w:r>
              <w:rPr>
                <w:rFonts w:ascii="Arial" w:cs="Arial" w:eastAsia="Arial" w:hAnsi="Arial"/>
                <w:sz w:val="16"/>
                <w:szCs w:val="16"/>
                <w:color w:val="auto"/>
              </w:rPr>
              <w:t>shares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(7,388)</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(22,167)</w:t>
            </w:r>
          </w:p>
        </w:tc>
        <w:tc>
          <w:tcPr>
            <w:tcW w:w="0" w:type="dxa"/>
            <w:vAlign w:val="bottom"/>
          </w:tcPr>
          <w:p>
            <w:pPr>
              <w:spacing w:after="0"/>
              <w:rPr>
                <w:sz w:val="1"/>
                <w:szCs w:val="1"/>
                <w:color w:val="auto"/>
              </w:rPr>
            </w:pPr>
          </w:p>
        </w:tc>
      </w:tr>
      <w:tr>
        <w:trPr>
          <w:trHeight w:val="224"/>
        </w:trPr>
        <w:tc>
          <w:tcPr>
            <w:tcW w:w="5820" w:type="dxa"/>
            <w:vAlign w:val="bottom"/>
          </w:tcPr>
          <w:p>
            <w:pPr>
              <w:ind w:left="220"/>
              <w:spacing w:after="0"/>
              <w:rPr>
                <w:sz w:val="20"/>
                <w:szCs w:val="20"/>
                <w:color w:val="auto"/>
              </w:rPr>
            </w:pPr>
            <w:r>
              <w:rPr>
                <w:rFonts w:ascii="Arial" w:cs="Arial" w:eastAsia="Arial" w:hAnsi="Arial"/>
                <w:sz w:val="16"/>
                <w:szCs w:val="16"/>
                <w:color w:val="auto"/>
              </w:rPr>
              <w:t>Undistributed earnings (loss)</w:t>
            </w:r>
          </w:p>
        </w:tc>
        <w:tc>
          <w:tcPr>
            <w:tcW w:w="280" w:type="dxa"/>
            <w:vAlign w:val="bottom"/>
          </w:tcPr>
          <w:p>
            <w:pPr>
              <w:spacing w:after="0"/>
              <w:rPr>
                <w:sz w:val="19"/>
                <w:szCs w:val="19"/>
                <w:color w:val="auto"/>
              </w:rPr>
            </w:pPr>
          </w:p>
        </w:tc>
        <w:tc>
          <w:tcPr>
            <w:tcW w:w="1000" w:type="dxa"/>
            <w:vAlign w:val="bottom"/>
          </w:tcPr>
          <w:p>
            <w:pPr>
              <w:jc w:val="right"/>
              <w:ind w:right="201"/>
              <w:spacing w:after="0"/>
              <w:rPr>
                <w:sz w:val="20"/>
                <w:szCs w:val="20"/>
                <w:color w:val="auto"/>
              </w:rPr>
            </w:pPr>
            <w:r>
              <w:rPr>
                <w:rFonts w:ascii="Arial" w:cs="Arial" w:eastAsia="Arial" w:hAnsi="Arial"/>
                <w:sz w:val="16"/>
                <w:szCs w:val="16"/>
                <w:b w:val="1"/>
                <w:bCs w:val="1"/>
                <w:color w:val="auto"/>
              </w:rPr>
              <w:t>11,273</w:t>
            </w:r>
          </w:p>
        </w:tc>
        <w:tc>
          <w:tcPr>
            <w:tcW w:w="380" w:type="dxa"/>
            <w:vAlign w:val="bottom"/>
          </w:tcPr>
          <w:p>
            <w:pPr>
              <w:spacing w:after="0"/>
              <w:rPr>
                <w:sz w:val="19"/>
                <w:szCs w:val="19"/>
                <w:color w:val="auto"/>
              </w:rPr>
            </w:pP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49,693</w:t>
            </w:r>
          </w:p>
        </w:tc>
        <w:tc>
          <w:tcPr>
            <w:tcW w:w="360" w:type="dxa"/>
            <w:vAlign w:val="bottom"/>
          </w:tcPr>
          <w:p>
            <w:pPr>
              <w:spacing w:after="0"/>
              <w:rPr>
                <w:sz w:val="19"/>
                <w:szCs w:val="19"/>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b w:val="1"/>
                <w:bCs w:val="1"/>
                <w:color w:val="auto"/>
              </w:rPr>
              <w:t>(37,261)</w:t>
            </w:r>
          </w:p>
        </w:tc>
        <w:tc>
          <w:tcPr>
            <w:tcW w:w="440" w:type="dxa"/>
            <w:vAlign w:val="bottom"/>
          </w:tcPr>
          <w:p>
            <w:pPr>
              <w:spacing w:after="0"/>
              <w:rPr>
                <w:sz w:val="19"/>
                <w:szCs w:val="19"/>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116,662</w:t>
            </w:r>
          </w:p>
        </w:tc>
        <w:tc>
          <w:tcPr>
            <w:tcW w:w="0" w:type="dxa"/>
            <w:vAlign w:val="bottom"/>
          </w:tcPr>
          <w:p>
            <w:pPr>
              <w:spacing w:after="0"/>
              <w:rPr>
                <w:sz w:val="1"/>
                <w:szCs w:val="1"/>
                <w:color w:val="auto"/>
              </w:rPr>
            </w:pPr>
          </w:p>
        </w:tc>
      </w:tr>
      <w:tr>
        <w:trPr>
          <w:trHeight w:val="263"/>
        </w:trPr>
        <w:tc>
          <w:tcPr>
            <w:tcW w:w="5820" w:type="dxa"/>
            <w:vAlign w:val="bottom"/>
          </w:tcPr>
          <w:p>
            <w:pPr>
              <w:ind w:left="220"/>
              <w:spacing w:after="0"/>
              <w:rPr>
                <w:sz w:val="20"/>
                <w:szCs w:val="20"/>
                <w:color w:val="auto"/>
              </w:rPr>
            </w:pPr>
            <w:r>
              <w:rPr>
                <w:rFonts w:ascii="Arial" w:cs="Arial" w:eastAsia="Arial" w:hAnsi="Arial"/>
                <w:sz w:val="16"/>
                <w:szCs w:val="16"/>
                <w:color w:val="auto"/>
              </w:rPr>
              <w:t xml:space="preserve">Percent allocated to common stockholders </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99.44 %</w:t>
            </w: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99.43 %</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100.00 %</w:t>
            </w: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99.43 %</w:t>
            </w:r>
          </w:p>
        </w:tc>
        <w:tc>
          <w:tcPr>
            <w:tcW w:w="0" w:type="dxa"/>
            <w:vAlign w:val="bottom"/>
          </w:tcPr>
          <w:p>
            <w:pPr>
              <w:spacing w:after="0"/>
              <w:rPr>
                <w:sz w:val="1"/>
                <w:szCs w:val="1"/>
                <w:color w:val="auto"/>
              </w:rPr>
            </w:pPr>
          </w:p>
        </w:tc>
      </w:tr>
      <w:tr>
        <w:trPr>
          <w:trHeight w:val="217"/>
        </w:trPr>
        <w:tc>
          <w:tcPr>
            <w:tcW w:w="5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201"/>
              <w:spacing w:after="0"/>
              <w:rPr>
                <w:sz w:val="20"/>
                <w:szCs w:val="20"/>
                <w:color w:val="auto"/>
              </w:rPr>
            </w:pPr>
            <w:r>
              <w:rPr>
                <w:rFonts w:ascii="Arial" w:cs="Arial" w:eastAsia="Arial" w:hAnsi="Arial"/>
                <w:sz w:val="16"/>
                <w:szCs w:val="16"/>
                <w:b w:val="1"/>
                <w:bCs w:val="1"/>
                <w:color w:val="auto"/>
              </w:rPr>
              <w:t>11,210</w:t>
            </w:r>
          </w:p>
        </w:tc>
        <w:tc>
          <w:tcPr>
            <w:tcW w:w="380" w:type="dxa"/>
            <w:vAlign w:val="bottom"/>
          </w:tcPr>
          <w:p>
            <w:pPr>
              <w:spacing w:after="0"/>
              <w:rPr>
                <w:sz w:val="18"/>
                <w:szCs w:val="18"/>
                <w:color w:val="auto"/>
              </w:rPr>
            </w:pP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49,410</w:t>
            </w:r>
          </w:p>
        </w:tc>
        <w:tc>
          <w:tcPr>
            <w:tcW w:w="360" w:type="dxa"/>
            <w:vAlign w:val="bottom"/>
          </w:tcPr>
          <w:p>
            <w:pPr>
              <w:spacing w:after="0"/>
              <w:rPr>
                <w:sz w:val="18"/>
                <w:szCs w:val="18"/>
                <w:color w:val="auto"/>
              </w:rPr>
            </w:pPr>
          </w:p>
        </w:tc>
        <w:tc>
          <w:tcPr>
            <w:tcW w:w="1080" w:type="dxa"/>
            <w:vAlign w:val="bottom"/>
          </w:tcPr>
          <w:p>
            <w:pPr>
              <w:jc w:val="right"/>
              <w:ind w:right="141"/>
              <w:spacing w:after="0"/>
              <w:rPr>
                <w:sz w:val="20"/>
                <w:szCs w:val="20"/>
                <w:color w:val="auto"/>
              </w:rPr>
            </w:pPr>
            <w:r>
              <w:rPr>
                <w:rFonts w:ascii="Arial" w:cs="Arial" w:eastAsia="Arial" w:hAnsi="Arial"/>
                <w:sz w:val="16"/>
                <w:szCs w:val="16"/>
                <w:b w:val="1"/>
                <w:bCs w:val="1"/>
                <w:color w:val="auto"/>
              </w:rPr>
              <w:t>(37,261)</w:t>
            </w:r>
          </w:p>
        </w:tc>
        <w:tc>
          <w:tcPr>
            <w:tcW w:w="440" w:type="dxa"/>
            <w:vAlign w:val="bottom"/>
          </w:tcPr>
          <w:p>
            <w:pPr>
              <w:spacing w:after="0"/>
              <w:rPr>
                <w:sz w:val="18"/>
                <w:szCs w:val="18"/>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115,997</w:t>
            </w:r>
          </w:p>
        </w:tc>
        <w:tc>
          <w:tcPr>
            <w:tcW w:w="0" w:type="dxa"/>
            <w:vAlign w:val="bottom"/>
          </w:tcPr>
          <w:p>
            <w:pPr>
              <w:spacing w:after="0"/>
              <w:rPr>
                <w:sz w:val="1"/>
                <w:szCs w:val="1"/>
                <w:color w:val="auto"/>
              </w:rPr>
            </w:pPr>
          </w:p>
        </w:tc>
      </w:tr>
      <w:tr>
        <w:trPr>
          <w:trHeight w:val="256"/>
        </w:trPr>
        <w:tc>
          <w:tcPr>
            <w:tcW w:w="5820" w:type="dxa"/>
            <w:vAlign w:val="bottom"/>
          </w:tcPr>
          <w:p>
            <w:pPr>
              <w:ind w:left="220"/>
              <w:spacing w:after="0"/>
              <w:rPr>
                <w:sz w:val="20"/>
                <w:szCs w:val="20"/>
                <w:color w:val="auto"/>
              </w:rPr>
            </w:pPr>
            <w:r>
              <w:rPr>
                <w:rFonts w:ascii="Arial" w:cs="Arial" w:eastAsia="Arial" w:hAnsi="Arial"/>
                <w:sz w:val="16"/>
                <w:szCs w:val="16"/>
                <w:color w:val="auto"/>
              </w:rPr>
              <w:t>Add: Dividends paid-common stock outstanding</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7,539</w:t>
            </w: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7,346</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22,745</w:t>
            </w: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22,041</w:t>
            </w:r>
          </w:p>
        </w:tc>
        <w:tc>
          <w:tcPr>
            <w:tcW w:w="0" w:type="dxa"/>
            <w:vAlign w:val="bottom"/>
          </w:tcPr>
          <w:p>
            <w:pPr>
              <w:spacing w:after="0"/>
              <w:rPr>
                <w:sz w:val="1"/>
                <w:szCs w:val="1"/>
                <w:color w:val="auto"/>
              </w:rPr>
            </w:pPr>
          </w:p>
        </w:tc>
      </w:tr>
      <w:tr>
        <w:trPr>
          <w:trHeight w:val="243"/>
        </w:trPr>
        <w:tc>
          <w:tcPr>
            <w:tcW w:w="5820" w:type="dxa"/>
            <w:vAlign w:val="bottom"/>
          </w:tcPr>
          <w:p>
            <w:pPr>
              <w:ind w:left="220"/>
              <w:spacing w:after="0"/>
              <w:rPr>
                <w:sz w:val="20"/>
                <w:szCs w:val="20"/>
                <w:color w:val="auto"/>
              </w:rPr>
            </w:pPr>
            <w:r>
              <w:rPr>
                <w:rFonts w:ascii="Arial" w:cs="Arial" w:eastAsia="Arial" w:hAnsi="Arial"/>
                <w:sz w:val="16"/>
                <w:szCs w:val="16"/>
                <w:color w:val="auto"/>
              </w:rPr>
              <w:t>Numerator for basic earnings (loss)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18,749</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56,756</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(14,516)</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138,038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820" w:type="dxa"/>
            <w:vAlign w:val="bottom"/>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w:t>
            </w: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43"/>
        </w:trPr>
        <w:tc>
          <w:tcPr>
            <w:tcW w:w="5820" w:type="dxa"/>
            <w:vAlign w:val="bottom"/>
          </w:tcPr>
          <w:p>
            <w:pPr>
              <w:ind w:left="120"/>
              <w:spacing w:after="0"/>
              <w:rPr>
                <w:sz w:val="20"/>
                <w:szCs w:val="20"/>
                <w:color w:val="auto"/>
              </w:rPr>
            </w:pPr>
            <w:r>
              <w:rPr>
                <w:rFonts w:ascii="Arial" w:cs="Arial" w:eastAsia="Arial" w:hAnsi="Arial"/>
                <w:sz w:val="16"/>
                <w:szCs w:val="16"/>
                <w:color w:val="auto"/>
              </w:rPr>
              <w:t>Numerator for diluted earnings (loss)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18,749</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56,758</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(14,516)</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138,043</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20"/>
              <w:spacing w:after="0"/>
              <w:rPr>
                <w:sz w:val="20"/>
                <w:szCs w:val="20"/>
                <w:color w:val="auto"/>
              </w:rPr>
            </w:pPr>
            <w:r>
              <w:rPr>
                <w:rFonts w:ascii="Arial" w:cs="Arial" w:eastAsia="Arial" w:hAnsi="Arial"/>
                <w:sz w:val="16"/>
                <w:szCs w:val="16"/>
                <w:color w:val="auto"/>
              </w:rPr>
              <w:t>Denominator:</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8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120"/>
              <w:spacing w:after="0"/>
              <w:rPr>
                <w:sz w:val="20"/>
                <w:szCs w:val="20"/>
                <w:color w:val="auto"/>
              </w:rPr>
            </w:pPr>
            <w:r>
              <w:rPr>
                <w:rFonts w:ascii="Arial" w:cs="Arial" w:eastAsia="Arial" w:hAnsi="Arial"/>
                <w:sz w:val="16"/>
                <w:szCs w:val="16"/>
                <w:color w:val="auto"/>
              </w:rPr>
              <w:t>Denominator for basic earnings (loss) per share:</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1"/>
                <w:szCs w:val="21"/>
                <w:color w:val="auto"/>
              </w:rPr>
            </w:pPr>
          </w:p>
        </w:tc>
        <w:tc>
          <w:tcPr>
            <w:tcW w:w="1000" w:type="dxa"/>
            <w:vAlign w:val="bottom"/>
          </w:tcPr>
          <w:p>
            <w:pPr>
              <w:jc w:val="right"/>
              <w:ind w:right="201"/>
              <w:spacing w:after="0"/>
              <w:rPr>
                <w:sz w:val="20"/>
                <w:szCs w:val="20"/>
                <w:color w:val="auto"/>
              </w:rPr>
            </w:pPr>
            <w:r>
              <w:rPr>
                <w:rFonts w:ascii="Arial" w:cs="Arial" w:eastAsia="Arial" w:hAnsi="Arial"/>
                <w:sz w:val="16"/>
                <w:szCs w:val="16"/>
                <w:b w:val="1"/>
                <w:bCs w:val="1"/>
                <w:color w:val="auto"/>
              </w:rPr>
              <w:t>5,196</w:t>
            </w:r>
          </w:p>
        </w:tc>
        <w:tc>
          <w:tcPr>
            <w:tcW w:w="380" w:type="dxa"/>
            <w:vAlign w:val="bottom"/>
          </w:tcPr>
          <w:p>
            <w:pPr>
              <w:spacing w:after="0"/>
              <w:rPr>
                <w:sz w:val="21"/>
                <w:szCs w:val="21"/>
                <w:color w:val="auto"/>
              </w:rPr>
            </w:pPr>
          </w:p>
        </w:tc>
        <w:tc>
          <w:tcPr>
            <w:tcW w:w="920" w:type="dxa"/>
            <w:vAlign w:val="bottom"/>
          </w:tcPr>
          <w:p>
            <w:pPr>
              <w:jc w:val="right"/>
              <w:ind w:right="180"/>
              <w:spacing w:after="0"/>
              <w:rPr>
                <w:sz w:val="20"/>
                <w:szCs w:val="20"/>
                <w:color w:val="auto"/>
              </w:rPr>
            </w:pPr>
            <w:r>
              <w:rPr>
                <w:rFonts w:ascii="Arial" w:cs="Arial" w:eastAsia="Arial" w:hAnsi="Arial"/>
                <w:sz w:val="16"/>
                <w:szCs w:val="16"/>
                <w:color w:val="auto"/>
              </w:rPr>
              <w:t>5,285</w:t>
            </w:r>
          </w:p>
        </w:tc>
        <w:tc>
          <w:tcPr>
            <w:tcW w:w="360" w:type="dxa"/>
            <w:vAlign w:val="bottom"/>
          </w:tcPr>
          <w:p>
            <w:pPr>
              <w:spacing w:after="0"/>
              <w:rPr>
                <w:sz w:val="21"/>
                <w:szCs w:val="21"/>
                <w:color w:val="auto"/>
              </w:rPr>
            </w:pPr>
          </w:p>
        </w:tc>
        <w:tc>
          <w:tcPr>
            <w:tcW w:w="1080" w:type="dxa"/>
            <w:vAlign w:val="bottom"/>
          </w:tcPr>
          <w:p>
            <w:pPr>
              <w:jc w:val="right"/>
              <w:ind w:right="181"/>
              <w:spacing w:after="0"/>
              <w:rPr>
                <w:sz w:val="20"/>
                <w:szCs w:val="20"/>
                <w:color w:val="auto"/>
              </w:rPr>
            </w:pPr>
            <w:r>
              <w:rPr>
                <w:rFonts w:ascii="Arial" w:cs="Arial" w:eastAsia="Arial" w:hAnsi="Arial"/>
                <w:sz w:val="16"/>
                <w:szCs w:val="16"/>
                <w:b w:val="1"/>
                <w:bCs w:val="1"/>
                <w:color w:val="auto"/>
              </w:rPr>
              <w:t>5,235</w:t>
            </w:r>
          </w:p>
        </w:tc>
        <w:tc>
          <w:tcPr>
            <w:tcW w:w="440" w:type="dxa"/>
            <w:vAlign w:val="bottom"/>
          </w:tcPr>
          <w:p>
            <w:pPr>
              <w:spacing w:after="0"/>
              <w:rPr>
                <w:sz w:val="21"/>
                <w:szCs w:val="21"/>
                <w:color w:val="auto"/>
              </w:rPr>
            </w:pP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5,285</w:t>
            </w:r>
          </w:p>
        </w:tc>
        <w:tc>
          <w:tcPr>
            <w:tcW w:w="0" w:type="dxa"/>
            <w:vAlign w:val="bottom"/>
          </w:tcPr>
          <w:p>
            <w:pPr>
              <w:spacing w:after="0"/>
              <w:rPr>
                <w:sz w:val="1"/>
                <w:szCs w:val="1"/>
                <w:color w:val="auto"/>
              </w:rPr>
            </w:pPr>
          </w:p>
        </w:tc>
      </w:tr>
      <w:tr>
        <w:trPr>
          <w:trHeight w:val="256"/>
        </w:trPr>
        <w:tc>
          <w:tcPr>
            <w:tcW w:w="582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5</w:t>
            </w: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44</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43"/>
        </w:trPr>
        <w:tc>
          <w:tcPr>
            <w:tcW w:w="5820" w:type="dxa"/>
            <w:vAlign w:val="bottom"/>
          </w:tcPr>
          <w:p>
            <w:pPr>
              <w:ind w:left="120"/>
              <w:spacing w:after="0"/>
              <w:rPr>
                <w:sz w:val="20"/>
                <w:szCs w:val="20"/>
                <w:color w:val="auto"/>
              </w:rPr>
            </w:pPr>
            <w:r>
              <w:rPr>
                <w:rFonts w:ascii="Arial" w:cs="Arial" w:eastAsia="Arial" w:hAnsi="Arial"/>
                <w:sz w:val="16"/>
                <w:szCs w:val="16"/>
                <w:color w:val="auto"/>
              </w:rPr>
              <w:t>Denominator for diluted earnings (loss) per share</w:t>
            </w: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5,201</w:t>
            </w:r>
          </w:p>
        </w:tc>
        <w:tc>
          <w:tcPr>
            <w:tcW w:w="3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5,329</w:t>
            </w:r>
          </w:p>
        </w:tc>
        <w:tc>
          <w:tcPr>
            <w:tcW w:w="3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5,235</w:t>
            </w: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5,328</w:t>
            </w:r>
          </w:p>
        </w:tc>
        <w:tc>
          <w:tcPr>
            <w:tcW w:w="0" w:type="dxa"/>
            <w:vAlign w:val="bottom"/>
          </w:tcPr>
          <w:p>
            <w:pPr>
              <w:spacing w:after="0"/>
              <w:rPr>
                <w:sz w:val="1"/>
                <w:szCs w:val="1"/>
                <w:color w:val="auto"/>
              </w:rPr>
            </w:pPr>
          </w:p>
        </w:tc>
      </w:tr>
      <w:tr>
        <w:trPr>
          <w:trHeight w:val="21"/>
        </w:trPr>
        <w:tc>
          <w:tcPr>
            <w:tcW w:w="5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58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820" w:type="dxa"/>
            <w:vAlign w:val="bottom"/>
          </w:tcPr>
          <w:p>
            <w:pPr>
              <w:ind w:left="140"/>
              <w:spacing w:after="0"/>
              <w:rPr>
                <w:sz w:val="20"/>
                <w:szCs w:val="20"/>
                <w:color w:val="auto"/>
              </w:rPr>
            </w:pPr>
            <w:r>
              <w:rPr>
                <w:rFonts w:ascii="Arial" w:cs="Arial" w:eastAsia="Arial" w:hAnsi="Arial"/>
                <w:sz w:val="16"/>
                <w:szCs w:val="16"/>
                <w:b w:val="1"/>
                <w:bCs w:val="1"/>
                <w:color w:val="auto"/>
              </w:rPr>
              <w:t>Basic earnings (loss)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3.61</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10.74</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(2.77)</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26.12</w:t>
            </w: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5820" w:type="dxa"/>
            <w:vAlign w:val="bottom"/>
          </w:tcPr>
          <w:p>
            <w:pPr>
              <w:ind w:left="140"/>
              <w:spacing w:after="0"/>
              <w:rPr>
                <w:sz w:val="20"/>
                <w:szCs w:val="20"/>
                <w:color w:val="auto"/>
              </w:rPr>
            </w:pPr>
            <w:r>
              <w:rPr>
                <w:rFonts w:ascii="Arial" w:cs="Arial" w:eastAsia="Arial" w:hAnsi="Arial"/>
                <w:sz w:val="16"/>
                <w:szCs w:val="16"/>
                <w:b w:val="1"/>
                <w:bCs w:val="1"/>
                <w:color w:val="auto"/>
              </w:rPr>
              <w:t>Diluted earnings (loss) per share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3.60</w:t>
            </w:r>
          </w:p>
        </w:tc>
        <w:tc>
          <w:tcPr>
            <w:tcW w:w="3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10.65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b w:val="1"/>
                <w:bCs w:val="1"/>
                <w:color w:val="auto"/>
              </w:rPr>
              <w:t>(2.77)</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25.91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rPr>
          <w:sz w:val="20"/>
          <w:szCs w:val="20"/>
          <w:color w:val="auto"/>
        </w:rPr>
      </w:pPr>
      <w:r>
        <w:rPr>
          <w:rFonts w:ascii="Arial" w:cs="Arial" w:eastAsia="Arial" w:hAnsi="Arial"/>
          <w:sz w:val="13"/>
          <w:szCs w:val="13"/>
          <w:color w:val="auto"/>
        </w:rPr>
        <w:t>(1) Percent of undistributed losses allocated to common stockholders is 100% in the first six months of 2020 as participating securities are not contractually obligated to share in losses.</w:t>
      </w:r>
    </w:p>
    <w:p>
      <w:pPr>
        <w:spacing w:after="0" w:line="139"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Diluted earnings (loss) per share excludes the following weighted average potential common shares, as the effect would be antidilutive, as computed under the treasury stock method: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2580" w:type="dxa"/>
            <w:vAlign w:val="bottom"/>
            <w:gridSpan w:val="2"/>
          </w:tcPr>
          <w:p>
            <w:pPr>
              <w:jc w:val="right"/>
              <w:ind w:right="622"/>
              <w:spacing w:after="0"/>
              <w:rPr>
                <w:sz w:val="20"/>
                <w:szCs w:val="20"/>
                <w:color w:val="auto"/>
              </w:rPr>
            </w:pPr>
            <w:r>
              <w:rPr>
                <w:rFonts w:ascii="Arial" w:cs="Arial" w:eastAsia="Arial" w:hAnsi="Arial"/>
                <w:sz w:val="14"/>
                <w:szCs w:val="14"/>
                <w:b w:val="1"/>
                <w:bCs w:val="1"/>
                <w:color w:val="auto"/>
              </w:rPr>
              <w:t>Three Months Ended</w:t>
            </w:r>
          </w:p>
        </w:tc>
        <w:tc>
          <w:tcPr>
            <w:tcW w:w="2520" w:type="dxa"/>
            <w:vAlign w:val="bottom"/>
            <w:gridSpan w:val="2"/>
          </w:tcPr>
          <w:p>
            <w:pPr>
              <w:jc w:val="right"/>
              <w:ind w:right="62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6140" w:type="dxa"/>
            <w:vAlign w:val="bottom"/>
          </w:tcPr>
          <w:p>
            <w:pPr>
              <w:spacing w:after="0"/>
              <w:rPr>
                <w:sz w:val="17"/>
                <w:szCs w:val="17"/>
                <w:color w:val="auto"/>
              </w:rPr>
            </w:pPr>
          </w:p>
        </w:tc>
        <w:tc>
          <w:tcPr>
            <w:tcW w:w="15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r>
      <w:tr>
        <w:trPr>
          <w:trHeight w:val="209"/>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560" w:type="dxa"/>
            <w:vAlign w:val="bottom"/>
            <w:tcBorders>
              <w:bottom w:val="single" w:sz="8" w:color="auto"/>
            </w:tcBorders>
          </w:tcPr>
          <w:p>
            <w:pPr>
              <w:jc w:val="right"/>
              <w:ind w:right="744"/>
              <w:spacing w:after="0"/>
              <w:rPr>
                <w:sz w:val="20"/>
                <w:szCs w:val="20"/>
                <w:color w:val="auto"/>
              </w:rPr>
            </w:pPr>
            <w:r>
              <w:rPr>
                <w:rFonts w:ascii="Arial" w:cs="Arial" w:eastAsia="Arial" w:hAnsi="Arial"/>
                <w:sz w:val="14"/>
                <w:szCs w:val="14"/>
                <w:b w:val="1"/>
                <w:bCs w:val="1"/>
                <w:color w:val="auto"/>
              </w:rPr>
              <w:t>2020</w:t>
            </w:r>
          </w:p>
        </w:tc>
        <w:tc>
          <w:tcPr>
            <w:tcW w:w="10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2019</w:t>
            </w:r>
          </w:p>
        </w:tc>
        <w:tc>
          <w:tcPr>
            <w:tcW w:w="1620" w:type="dxa"/>
            <w:vAlign w:val="bottom"/>
            <w:tcBorders>
              <w:bottom w:val="single" w:sz="8" w:color="auto"/>
            </w:tcBorders>
          </w:tcPr>
          <w:p>
            <w:pPr>
              <w:jc w:val="right"/>
              <w:ind w:right="864"/>
              <w:spacing w:after="0"/>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color w:val="auto"/>
              </w:rPr>
              <w:t>2019</w:t>
            </w:r>
          </w:p>
        </w:tc>
      </w:tr>
      <w:tr>
        <w:trPr>
          <w:trHeight w:val="223"/>
        </w:trPr>
        <w:tc>
          <w:tcPr>
            <w:tcW w:w="6140" w:type="dxa"/>
            <w:vAlign w:val="bottom"/>
          </w:tcPr>
          <w:p>
            <w:pPr>
              <w:ind w:left="120"/>
              <w:spacing w:after="0"/>
              <w:rPr>
                <w:sz w:val="20"/>
                <w:szCs w:val="20"/>
                <w:color w:val="auto"/>
              </w:rPr>
            </w:pPr>
            <w:r>
              <w:rPr>
                <w:rFonts w:ascii="Arial" w:cs="Arial" w:eastAsia="Arial" w:hAnsi="Arial"/>
                <w:sz w:val="16"/>
                <w:szCs w:val="16"/>
                <w:color w:val="auto"/>
              </w:rPr>
              <w:t>Weighted average restricted stock</w:t>
            </w:r>
          </w:p>
        </w:tc>
        <w:tc>
          <w:tcPr>
            <w:tcW w:w="1560" w:type="dxa"/>
            <w:vAlign w:val="bottom"/>
          </w:tcPr>
          <w:p>
            <w:pPr>
              <w:jc w:val="right"/>
              <w:ind w:right="484"/>
              <w:spacing w:after="0"/>
              <w:rPr>
                <w:sz w:val="20"/>
                <w:szCs w:val="20"/>
                <w:color w:val="auto"/>
              </w:rPr>
            </w:pPr>
            <w:r>
              <w:rPr>
                <w:rFonts w:ascii="Arial" w:cs="Arial" w:eastAsia="Arial" w:hAnsi="Arial"/>
                <w:sz w:val="16"/>
                <w:szCs w:val="16"/>
                <w:b w:val="1"/>
                <w:bCs w:val="1"/>
                <w:color w:val="auto"/>
              </w:rPr>
              <w:t>10</w:t>
            </w:r>
          </w:p>
        </w:tc>
        <w:tc>
          <w:tcPr>
            <w:tcW w:w="1020" w:type="dxa"/>
            <w:vAlign w:val="bottom"/>
          </w:tcPr>
          <w:p>
            <w:pPr>
              <w:jc w:val="right"/>
              <w:ind w:right="282"/>
              <w:spacing w:after="0"/>
              <w:rPr>
                <w:sz w:val="20"/>
                <w:szCs w:val="20"/>
                <w:color w:val="auto"/>
              </w:rPr>
            </w:pPr>
            <w:r>
              <w:rPr>
                <w:rFonts w:ascii="Arial" w:cs="Arial" w:eastAsia="Arial" w:hAnsi="Arial"/>
                <w:sz w:val="16"/>
                <w:szCs w:val="16"/>
                <w:color w:val="auto"/>
              </w:rPr>
              <w:t>12</w:t>
            </w:r>
          </w:p>
        </w:tc>
        <w:tc>
          <w:tcPr>
            <w:tcW w:w="1620" w:type="dxa"/>
            <w:vAlign w:val="bottom"/>
          </w:tcPr>
          <w:p>
            <w:pPr>
              <w:jc w:val="right"/>
              <w:ind w:right="544"/>
              <w:spacing w:after="0"/>
              <w:rPr>
                <w:sz w:val="20"/>
                <w:szCs w:val="20"/>
                <w:color w:val="auto"/>
              </w:rPr>
            </w:pPr>
            <w:r>
              <w:rPr>
                <w:rFonts w:ascii="Arial" w:cs="Arial" w:eastAsia="Arial" w:hAnsi="Arial"/>
                <w:sz w:val="16"/>
                <w:szCs w:val="16"/>
                <w:b w:val="1"/>
                <w:bCs w:val="1"/>
                <w:color w:val="auto"/>
              </w:rPr>
              <w:t>10</w:t>
            </w: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11</w:t>
            </w:r>
          </w:p>
        </w:tc>
      </w:tr>
      <w:tr>
        <w:trPr>
          <w:trHeight w:val="243"/>
        </w:trPr>
        <w:tc>
          <w:tcPr>
            <w:tcW w:w="6140" w:type="dxa"/>
            <w:vAlign w:val="bottom"/>
          </w:tcPr>
          <w:p>
            <w:pPr>
              <w:ind w:left="120"/>
              <w:spacing w:after="0"/>
              <w:rPr>
                <w:sz w:val="20"/>
                <w:szCs w:val="20"/>
                <w:color w:val="auto"/>
              </w:rPr>
            </w:pPr>
            <w:r>
              <w:rPr>
                <w:rFonts w:ascii="Arial" w:cs="Arial" w:eastAsia="Arial" w:hAnsi="Arial"/>
                <w:sz w:val="16"/>
                <w:szCs w:val="16"/>
                <w:color w:val="auto"/>
              </w:rPr>
              <w:t>Weighted average stock options</w:t>
            </w:r>
          </w:p>
        </w:tc>
        <w:tc>
          <w:tcPr>
            <w:tcW w:w="1560" w:type="dxa"/>
            <w:vAlign w:val="bottom"/>
          </w:tcPr>
          <w:p>
            <w:pPr>
              <w:jc w:val="right"/>
              <w:ind w:right="484"/>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1620" w:type="dxa"/>
            <w:vAlign w:val="bottom"/>
          </w:tcPr>
          <w:p>
            <w:pPr>
              <w:jc w:val="right"/>
              <w:ind w:right="544"/>
              <w:spacing w:after="0"/>
              <w:rPr>
                <w:sz w:val="20"/>
                <w:szCs w:val="20"/>
                <w:color w:val="auto"/>
              </w:rPr>
            </w:pPr>
            <w:r>
              <w:rPr>
                <w:rFonts w:ascii="Arial" w:cs="Arial" w:eastAsia="Arial" w:hAnsi="Arial"/>
                <w:sz w:val="16"/>
                <w:szCs w:val="16"/>
                <w:b w:val="1"/>
                <w:bCs w:val="1"/>
                <w:color w:val="auto"/>
              </w:rPr>
              <w:t>17</w:t>
            </w: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w:t>
            </w:r>
          </w:p>
        </w:tc>
      </w:tr>
    </w:tbl>
    <w:p>
      <w:pPr>
        <w:spacing w:after="0" w:line="221"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The diluted earnings (loss) per share amounts for the three and six months ended June 30, 2020 and June 30, 2019 exclude the effects of 104,000 stock options outstanding, as their inclusion would have been antidilutive due to a market condition.</w:t>
      </w:r>
    </w:p>
    <w:p>
      <w:pPr>
        <w:spacing w:after="0" w:line="135" w:lineRule="exact"/>
        <w:rPr>
          <w:sz w:val="20"/>
          <w:szCs w:val="20"/>
          <w:color w:val="auto"/>
        </w:rPr>
      </w:pPr>
    </w:p>
    <w:p>
      <w:pPr>
        <w:ind w:right="400"/>
        <w:spacing w:after="0" w:line="229" w:lineRule="auto"/>
        <w:rPr>
          <w:sz w:val="20"/>
          <w:szCs w:val="20"/>
          <w:color w:val="auto"/>
        </w:rPr>
      </w:pPr>
      <w:r>
        <w:rPr>
          <w:rFonts w:ascii="Arial" w:cs="Arial" w:eastAsia="Arial" w:hAnsi="Arial"/>
          <w:sz w:val="18"/>
          <w:szCs w:val="18"/>
          <w:color w:val="auto"/>
        </w:rPr>
        <w:t>In the three and six months ended June 30, 2020, the Company declared regular dividends totaling $1.45 and $4.35 per common share, respectively. In the three and six months ended June 30, 2019, the Company declared regular dividends totaling $1.39 and $4.17 per common share, respectively.</w:t>
      </w: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12. PENSION AND POSTRETIREMENT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209"/>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2019</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2019</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5,804</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4,963</w:t>
            </w:r>
          </w:p>
        </w:tc>
        <w:tc>
          <w:tcPr>
            <w:tcW w:w="4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b w:val="1"/>
                <w:bCs w:val="1"/>
                <w:color w:val="auto"/>
              </w:rPr>
              <w:t>11,587</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10,184</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21"/>
                <w:szCs w:val="21"/>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8,140</w:t>
            </w:r>
          </w:p>
        </w:tc>
        <w:tc>
          <w:tcPr>
            <w:tcW w:w="46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11,743</w:t>
            </w:r>
          </w:p>
        </w:tc>
        <w:tc>
          <w:tcPr>
            <w:tcW w:w="420" w:type="dxa"/>
            <w:vAlign w:val="bottom"/>
          </w:tcPr>
          <w:p>
            <w:pPr>
              <w:spacing w:after="0"/>
              <w:rPr>
                <w:sz w:val="21"/>
                <w:szCs w:val="21"/>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b w:val="1"/>
                <w:bCs w:val="1"/>
                <w:color w:val="auto"/>
              </w:rPr>
              <w:t>16,309</w:t>
            </w:r>
          </w:p>
        </w:tc>
        <w:tc>
          <w:tcPr>
            <w:tcW w:w="46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23,335</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21"/>
                <w:szCs w:val="21"/>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(28,290)</w:t>
            </w:r>
          </w:p>
        </w:tc>
        <w:tc>
          <w:tcPr>
            <w:tcW w:w="46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(30,285)</w:t>
            </w:r>
          </w:p>
        </w:tc>
        <w:tc>
          <w:tcPr>
            <w:tcW w:w="420" w:type="dxa"/>
            <w:vAlign w:val="bottom"/>
          </w:tcPr>
          <w:p>
            <w:pPr>
              <w:spacing w:after="0"/>
              <w:rPr>
                <w:sz w:val="21"/>
                <w:szCs w:val="21"/>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(56,734)</w:t>
            </w:r>
          </w:p>
        </w:tc>
        <w:tc>
          <w:tcPr>
            <w:tcW w:w="46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(61,123)</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300" w:type="dxa"/>
            <w:vAlign w:val="bottom"/>
          </w:tcPr>
          <w:p>
            <w:pPr>
              <w:spacing w:after="0"/>
              <w:rPr>
                <w:sz w:val="21"/>
                <w:szCs w:val="21"/>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b w:val="1"/>
                <w:bCs w:val="1"/>
                <w:color w:val="auto"/>
              </w:rPr>
              <w:t>707</w:t>
            </w:r>
          </w:p>
        </w:tc>
        <w:tc>
          <w:tcPr>
            <w:tcW w:w="46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825</w:t>
            </w:r>
          </w:p>
        </w:tc>
        <w:tc>
          <w:tcPr>
            <w:tcW w:w="420" w:type="dxa"/>
            <w:vAlign w:val="bottom"/>
          </w:tcPr>
          <w:p>
            <w:pPr>
              <w:spacing w:after="0"/>
              <w:rPr>
                <w:sz w:val="21"/>
                <w:szCs w:val="21"/>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b w:val="1"/>
                <w:bCs w:val="1"/>
                <w:color w:val="auto"/>
              </w:rPr>
              <w:t>1,415</w:t>
            </w:r>
          </w:p>
        </w:tc>
        <w:tc>
          <w:tcPr>
            <w:tcW w:w="46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1,234</w:t>
            </w:r>
          </w:p>
        </w:tc>
      </w:tr>
      <w:tr>
        <w:trPr>
          <w:trHeight w:val="256"/>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37</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r>
      <w:tr>
        <w:trPr>
          <w:trHeight w:val="224"/>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Pr>
          <w:p>
            <w:pPr>
              <w:spacing w:after="0"/>
              <w:rPr>
                <w:sz w:val="19"/>
                <w:szCs w:val="19"/>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b w:val="1"/>
                <w:bCs w:val="1"/>
                <w:color w:val="auto"/>
              </w:rPr>
              <w:t>(13,639)</w:t>
            </w:r>
          </w:p>
        </w:tc>
        <w:tc>
          <w:tcPr>
            <w:tcW w:w="4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(12,717)</w:t>
            </w:r>
          </w:p>
        </w:tc>
        <w:tc>
          <w:tcPr>
            <w:tcW w:w="4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(27,423)</w:t>
            </w:r>
          </w:p>
        </w:tc>
        <w:tc>
          <w:tcPr>
            <w:tcW w:w="460" w:type="dxa"/>
            <w:vAlign w:val="bottom"/>
          </w:tcPr>
          <w:p>
            <w:pPr>
              <w:spacing w:after="0"/>
              <w:rPr>
                <w:sz w:val="19"/>
                <w:szCs w:val="19"/>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(26,370)</w:t>
            </w:r>
          </w:p>
        </w:tc>
      </w:tr>
      <w:tr>
        <w:trPr>
          <w:trHeight w:val="256"/>
        </w:trPr>
        <w:tc>
          <w:tcPr>
            <w:tcW w:w="5620" w:type="dxa"/>
            <w:vAlign w:val="bottom"/>
          </w:tcPr>
          <w:p>
            <w:pPr>
              <w:ind w:left="20"/>
              <w:spacing w:after="0"/>
              <w:rPr>
                <w:sz w:val="20"/>
                <w:szCs w:val="20"/>
                <w:color w:val="auto"/>
              </w:rPr>
            </w:pPr>
            <w:r>
              <w:rPr>
                <w:rFonts w:ascii="Arial" w:cs="Arial" w:eastAsia="Arial" w:hAnsi="Arial"/>
                <w:sz w:val="16"/>
                <w:szCs w:val="16"/>
                <w:color w:val="auto"/>
              </w:rPr>
              <w:t>Special separation benefit expense</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6,014</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6,607</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6,014</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6,607</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Total Benefit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(7,625)</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(6,110)</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(21,409)</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(19,763)</w:t>
            </w:r>
          </w:p>
        </w:tc>
      </w:tr>
      <w:tr>
        <w:trPr>
          <w:trHeight w:val="21"/>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In the second quarter of 2020, the Company recorded $ 6.0 million in expenses related to a Separation Incentive Program for certain Kaplan and SocialCode employees, which is being funded from the assets of the Company’s pension plan.</w:t>
      </w:r>
    </w:p>
    <w:p>
      <w:pPr>
        <w:spacing w:after="0" w:line="135"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In the second quarter of 2019, the Company recorded $6.6 million in expenses related to a Separation Incentive Program for certain Kaplan employees, which was funded from the assets of the Company’s pension plan.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3"/>
          </w:tcPr>
          <w:p>
            <w:pPr>
              <w:jc w:val="right"/>
              <w:ind w:right="581"/>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440" w:type="dxa"/>
            <w:vAlign w:val="bottom"/>
            <w:gridSpan w:val="3"/>
          </w:tcPr>
          <w:p>
            <w:pPr>
              <w:jc w:val="right"/>
              <w:ind w:right="70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21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color w:val="auto"/>
              </w:rPr>
              <w:t>2019</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2019</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2"/>
              <w:spacing w:after="0"/>
              <w:rPr>
                <w:sz w:val="20"/>
                <w:szCs w:val="20"/>
                <w:color w:val="auto"/>
              </w:rPr>
            </w:pPr>
            <w:r>
              <w:rPr>
                <w:rFonts w:ascii="Arial" w:cs="Arial" w:eastAsia="Arial" w:hAnsi="Arial"/>
                <w:sz w:val="16"/>
                <w:szCs w:val="16"/>
                <w:b w:val="1"/>
                <w:bCs w:val="1"/>
                <w:color w:val="auto"/>
              </w:rPr>
              <w:t>239</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215</w:t>
            </w:r>
          </w:p>
        </w:tc>
        <w:tc>
          <w:tcPr>
            <w:tcW w:w="44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2"/>
              <w:spacing w:after="0"/>
              <w:rPr>
                <w:sz w:val="20"/>
                <w:szCs w:val="20"/>
                <w:color w:val="auto"/>
              </w:rPr>
            </w:pPr>
            <w:r>
              <w:rPr>
                <w:rFonts w:ascii="Arial" w:cs="Arial" w:eastAsia="Arial" w:hAnsi="Arial"/>
                <w:sz w:val="16"/>
                <w:szCs w:val="16"/>
                <w:b w:val="1"/>
                <w:bCs w:val="1"/>
                <w:color w:val="auto"/>
              </w:rPr>
              <w:t>477</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429</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b w:val="1"/>
                <w:bCs w:val="1"/>
                <w:color w:val="auto"/>
              </w:rPr>
              <w:t>920</w:t>
            </w:r>
          </w:p>
        </w:tc>
        <w:tc>
          <w:tcPr>
            <w:tcW w:w="480" w:type="dxa"/>
            <w:vAlign w:val="bottom"/>
          </w:tcPr>
          <w:p>
            <w:pPr>
              <w:spacing w:after="0"/>
              <w:rPr>
                <w:sz w:val="21"/>
                <w:szCs w:val="21"/>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1,079</w:t>
            </w:r>
          </w:p>
        </w:tc>
        <w:tc>
          <w:tcPr>
            <w:tcW w:w="440" w:type="dxa"/>
            <w:vAlign w:val="bottom"/>
          </w:tcPr>
          <w:p>
            <w:pPr>
              <w:spacing w:after="0"/>
              <w:rPr>
                <w:sz w:val="21"/>
                <w:szCs w:val="21"/>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b w:val="1"/>
                <w:bCs w:val="1"/>
                <w:color w:val="auto"/>
              </w:rPr>
              <w:t>1,839</w:t>
            </w:r>
          </w:p>
        </w:tc>
        <w:tc>
          <w:tcPr>
            <w:tcW w:w="480" w:type="dxa"/>
            <w:vAlign w:val="bottom"/>
          </w:tcPr>
          <w:p>
            <w:pPr>
              <w:spacing w:after="0"/>
              <w:rPr>
                <w:sz w:val="21"/>
                <w:szCs w:val="21"/>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2,157</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300" w:type="dxa"/>
            <w:vAlign w:val="bottom"/>
          </w:tcPr>
          <w:p>
            <w:pPr>
              <w:spacing w:after="0"/>
              <w:rPr>
                <w:sz w:val="21"/>
                <w:szCs w:val="21"/>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b w:val="1"/>
                <w:bCs w:val="1"/>
                <w:color w:val="auto"/>
              </w:rPr>
              <w:t>82</w:t>
            </w:r>
          </w:p>
        </w:tc>
        <w:tc>
          <w:tcPr>
            <w:tcW w:w="480" w:type="dxa"/>
            <w:vAlign w:val="bottom"/>
          </w:tcPr>
          <w:p>
            <w:pPr>
              <w:spacing w:after="0"/>
              <w:rPr>
                <w:sz w:val="21"/>
                <w:szCs w:val="21"/>
                <w:color w:val="auto"/>
              </w:rPr>
            </w:pP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84</w:t>
            </w:r>
          </w:p>
        </w:tc>
        <w:tc>
          <w:tcPr>
            <w:tcW w:w="440" w:type="dxa"/>
            <w:vAlign w:val="bottom"/>
          </w:tcPr>
          <w:p>
            <w:pPr>
              <w:spacing w:after="0"/>
              <w:rPr>
                <w:sz w:val="21"/>
                <w:szCs w:val="21"/>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b w:val="1"/>
                <w:bCs w:val="1"/>
                <w:color w:val="auto"/>
              </w:rPr>
              <w:t>165</w:t>
            </w:r>
          </w:p>
        </w:tc>
        <w:tc>
          <w:tcPr>
            <w:tcW w:w="480" w:type="dxa"/>
            <w:vAlign w:val="bottom"/>
          </w:tcPr>
          <w:p>
            <w:pPr>
              <w:spacing w:after="0"/>
              <w:rPr>
                <w:sz w:val="21"/>
                <w:szCs w:val="21"/>
                <w:color w:val="auto"/>
              </w:rPr>
            </w:pP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169</w:t>
            </w:r>
          </w:p>
        </w:tc>
      </w:tr>
      <w:tr>
        <w:trPr>
          <w:trHeight w:val="256"/>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loss</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1,317</w:t>
            </w: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578</w:t>
            </w: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2,634</w:t>
            </w: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1,157</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Cost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2,558</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1,956</w:t>
            </w:r>
          </w:p>
        </w:tc>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5,115</w:t>
            </w:r>
          </w:p>
        </w:tc>
        <w:tc>
          <w:tcPr>
            <w:tcW w:w="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3,912</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a private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 a U.S. stock index fund, and a relatively small number of stocks and high-quality fixed-income securities that are held by a third-party trustee. The assets of the Company’s pension plan were allocated as follows:</w:t>
      </w:r>
    </w:p>
    <w:p>
      <w:pPr>
        <w:spacing w:after="0" w:line="190" w:lineRule="exact"/>
        <w:rPr>
          <w:sz w:val="20"/>
          <w:szCs w:val="20"/>
          <w:color w:val="auto"/>
        </w:rPr>
      </w:pPr>
    </w:p>
    <w:tbl>
      <w:tblPr>
        <w:tblLayout w:type="fixed"/>
        <w:tblInd w:w="8260" w:type="dxa"/>
        <w:tblCellMar>
          <w:top w:w="0" w:type="dxa"/>
          <w:left w:w="0" w:type="dxa"/>
          <w:bottom w:w="0" w:type="dxa"/>
          <w:right w:w="0" w:type="dxa"/>
        </w:tblCellMar>
      </w:tblPr>
      <w:tr>
        <w:trPr>
          <w:trHeight w:val="196"/>
        </w:trPr>
        <w:tc>
          <w:tcPr>
            <w:tcW w:w="11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As of</w:t>
            </w:r>
          </w:p>
        </w:tc>
      </w:tr>
      <w:tr>
        <w:trPr>
          <w:trHeight w:val="216"/>
        </w:trPr>
        <w:tc>
          <w:tcPr>
            <w:tcW w:w="1160" w:type="dxa"/>
            <w:vAlign w:val="bottom"/>
          </w:tcPr>
          <w:p>
            <w:pPr>
              <w:jc w:val="center"/>
              <w:ind w:left="208"/>
              <w:spacing w:after="0"/>
              <w:rPr>
                <w:sz w:val="20"/>
                <w:szCs w:val="20"/>
                <w:color w:val="auto"/>
              </w:rPr>
            </w:pPr>
            <w:r>
              <w:rPr>
                <w:rFonts w:ascii="Arial" w:cs="Arial" w:eastAsia="Arial" w:hAnsi="Arial"/>
                <w:sz w:val="14"/>
                <w:szCs w:val="14"/>
                <w:b w:val="1"/>
                <w:bCs w:val="1"/>
                <w:color w:val="auto"/>
                <w:w w:val="99"/>
              </w:rPr>
              <w:t>June 30,</w:t>
            </w:r>
          </w:p>
        </w:tc>
        <w:tc>
          <w:tcPr>
            <w:tcW w:w="1800" w:type="dxa"/>
            <w:vAlign w:val="bottom"/>
          </w:tcPr>
          <w:p>
            <w:pPr>
              <w:jc w:val="center"/>
              <w:ind w:left="308"/>
              <w:spacing w:after="0"/>
              <w:rPr>
                <w:sz w:val="20"/>
                <w:szCs w:val="20"/>
                <w:color w:val="auto"/>
              </w:rPr>
            </w:pPr>
            <w:r>
              <w:rPr>
                <w:rFonts w:ascii="Arial" w:cs="Arial" w:eastAsia="Arial" w:hAnsi="Arial"/>
                <w:sz w:val="14"/>
                <w:szCs w:val="14"/>
                <w:color w:val="auto"/>
              </w:rPr>
              <w:t>December 31,</w:t>
            </w:r>
          </w:p>
        </w:tc>
      </w:tr>
      <w:tr>
        <w:trPr>
          <w:trHeight w:val="190"/>
        </w:trPr>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800" w:type="dxa"/>
            <w:vAlign w:val="bottom"/>
          </w:tcPr>
          <w:p>
            <w:pPr>
              <w:jc w:val="right"/>
              <w:ind w:right="488"/>
              <w:spacing w:after="0"/>
              <w:rPr>
                <w:sz w:val="20"/>
                <w:szCs w:val="20"/>
                <w:color w:val="auto"/>
              </w:rPr>
            </w:pPr>
            <w:r>
              <w:rPr>
                <w:rFonts w:ascii="Arial" w:cs="Arial" w:eastAsia="Arial" w:hAnsi="Arial"/>
                <w:sz w:val="14"/>
                <w:szCs w:val="14"/>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1517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stock index fund</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80"/>
        <w:spacing w:after="0"/>
        <w:tabs>
          <w:tab w:leader="none" w:pos="1600" w:val="left"/>
        </w:tabs>
        <w:rPr>
          <w:sz w:val="20"/>
          <w:szCs w:val="20"/>
          <w:color w:val="auto"/>
        </w:rPr>
      </w:pPr>
      <w:r>
        <w:rPr>
          <w:rFonts w:ascii="Arial" w:cs="Arial" w:eastAsia="Arial" w:hAnsi="Arial"/>
          <w:sz w:val="16"/>
          <w:szCs w:val="16"/>
          <w:b w:val="1"/>
          <w:bCs w:val="1"/>
          <w:color w:val="auto"/>
        </w:rPr>
        <w:t>58%</w:t>
      </w:r>
      <w:r>
        <w:rPr>
          <w:sz w:val="20"/>
          <w:szCs w:val="20"/>
          <w:color w:val="auto"/>
        </w:rPr>
        <w:tab/>
      </w:r>
      <w:r>
        <w:rPr>
          <w:rFonts w:ascii="Arial" w:cs="Arial" w:eastAsia="Arial" w:hAnsi="Arial"/>
          <w:sz w:val="16"/>
          <w:szCs w:val="16"/>
          <w:color w:val="auto"/>
        </w:rPr>
        <w:t>62%</w:t>
      </w:r>
    </w:p>
    <w:p>
      <w:pPr>
        <w:spacing w:after="0" w:line="59" w:lineRule="exact"/>
        <w:rPr>
          <w:sz w:val="20"/>
          <w:szCs w:val="20"/>
          <w:color w:val="auto"/>
        </w:rPr>
      </w:pPr>
    </w:p>
    <w:p>
      <w:pPr>
        <w:ind w:left="80"/>
        <w:spacing w:after="0"/>
        <w:tabs>
          <w:tab w:leader="none" w:pos="168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6"/>
          <w:szCs w:val="16"/>
          <w:color w:val="auto"/>
        </w:rPr>
        <w:t>7%</w:t>
      </w:r>
    </w:p>
    <w:p>
      <w:pPr>
        <w:spacing w:after="0" w:line="59" w:lineRule="exact"/>
        <w:rPr>
          <w:sz w:val="20"/>
          <w:szCs w:val="20"/>
          <w:color w:val="auto"/>
        </w:rPr>
      </w:pPr>
    </w:p>
    <w:p>
      <w:pPr>
        <w:ind w:left="180"/>
        <w:spacing w:after="0"/>
        <w:tabs>
          <w:tab w:leader="none" w:pos="1600" w:val="left"/>
        </w:tabs>
        <w:rPr>
          <w:sz w:val="20"/>
          <w:szCs w:val="20"/>
          <w:color w:val="auto"/>
        </w:rPr>
      </w:pPr>
      <w:r>
        <w:rPr>
          <w:rFonts w:ascii="Arial" w:cs="Arial" w:eastAsia="Arial" w:hAnsi="Arial"/>
          <w:sz w:val="16"/>
          <w:szCs w:val="16"/>
          <w:b w:val="1"/>
          <w:bCs w:val="1"/>
          <w:color w:val="auto"/>
        </w:rPr>
        <w:t>9%</w:t>
      </w:r>
      <w:r>
        <w:rPr>
          <w:sz w:val="20"/>
          <w:szCs w:val="20"/>
          <w:color w:val="auto"/>
        </w:rPr>
        <w:tab/>
      </w:r>
      <w:r>
        <w:rPr>
          <w:rFonts w:ascii="Arial" w:cs="Arial" w:eastAsia="Arial" w:hAnsi="Arial"/>
          <w:sz w:val="16"/>
          <w:szCs w:val="16"/>
          <w:color w:val="auto"/>
        </w:rPr>
        <w:t>10%</w:t>
      </w:r>
    </w:p>
    <w:p>
      <w:pPr>
        <w:spacing w:after="0" w:line="59" w:lineRule="exact"/>
        <w:rPr>
          <w:sz w:val="20"/>
          <w:szCs w:val="20"/>
          <w:color w:val="auto"/>
        </w:rPr>
      </w:pPr>
    </w:p>
    <w:p>
      <w:pPr>
        <w:ind w:left="180"/>
        <w:spacing w:after="0"/>
        <w:tabs>
          <w:tab w:leader="none" w:pos="1600" w:val="left"/>
        </w:tabs>
        <w:rPr>
          <w:sz w:val="20"/>
          <w:szCs w:val="20"/>
          <w:color w:val="auto"/>
        </w:rPr>
      </w:pPr>
      <w:r>
        <w:rPr>
          <w:rFonts w:ascii="Arial" w:cs="Arial" w:eastAsia="Arial" w:hAnsi="Arial"/>
          <w:sz w:val="16"/>
          <w:szCs w:val="16"/>
          <w:b w:val="1"/>
          <w:bCs w:val="1"/>
          <w:color w:val="auto"/>
        </w:rPr>
        <w:t>9%</w:t>
      </w:r>
      <w:r>
        <w:rPr>
          <w:sz w:val="20"/>
          <w:szCs w:val="20"/>
          <w:color w:val="auto"/>
        </w:rPr>
        <w:tab/>
      </w:r>
      <w:r>
        <w:rPr>
          <w:rFonts w:ascii="Arial" w:cs="Arial" w:eastAsia="Arial" w:hAnsi="Arial"/>
          <w:sz w:val="16"/>
          <w:szCs w:val="16"/>
          <w:color w:val="auto"/>
        </w:rPr>
        <w:t>14%</w:t>
      </w:r>
    </w:p>
    <w:p>
      <w:pPr>
        <w:spacing w:after="0" w:line="59" w:lineRule="exact"/>
        <w:rPr>
          <w:sz w:val="20"/>
          <w:szCs w:val="20"/>
          <w:color w:val="auto"/>
        </w:rPr>
      </w:pPr>
    </w:p>
    <w:p>
      <w:pPr>
        <w:ind w:left="180"/>
        <w:spacing w:after="0"/>
        <w:tabs>
          <w:tab w:leader="none" w:pos="1680" w:val="left"/>
        </w:tabs>
        <w:rPr>
          <w:sz w:val="20"/>
          <w:szCs w:val="20"/>
          <w:color w:val="auto"/>
        </w:rPr>
      </w:pPr>
      <w:r>
        <w:rPr>
          <w:rFonts w:ascii="Arial" w:cs="Arial" w:eastAsia="Arial" w:hAnsi="Arial"/>
          <w:sz w:val="16"/>
          <w:szCs w:val="16"/>
          <w:b w:val="1"/>
          <w:bCs w:val="1"/>
          <w:color w:val="auto"/>
        </w:rPr>
        <w:t>8%</w:t>
      </w:r>
      <w:r>
        <w:rPr>
          <w:sz w:val="20"/>
          <w:szCs w:val="20"/>
          <w:color w:val="auto"/>
        </w:rPr>
        <w:tab/>
      </w: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31750</wp:posOffset>
            </wp:positionV>
            <wp:extent cx="18688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53" w:lineRule="exact"/>
        <w:rPr>
          <w:sz w:val="20"/>
          <w:szCs w:val="20"/>
          <w:color w:val="auto"/>
        </w:rPr>
      </w:pPr>
    </w:p>
    <w:p>
      <w:pPr>
        <w:spacing w:after="0"/>
        <w:tabs>
          <w:tab w:leader="none" w:pos="150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31750</wp:posOffset>
            </wp:positionV>
            <wp:extent cx="18688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68805" cy="8890"/>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57785</wp:posOffset>
            </wp:positionV>
            <wp:extent cx="18688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80" w:space="720"/>
            <w:col w:w="2040"/>
          </w:cols>
          <w:pgMar w:left="320" w:top="1035" w:right="339" w:bottom="1440" w:gutter="0" w:footer="0" w:header="0"/>
          <w:type w:val="continuous"/>
        </w:sectPr>
      </w:pPr>
    </w:p>
    <w:p>
      <w:pPr>
        <w:spacing w:after="0" w:line="106"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The Company manages approximately 39% of the pension assets internally, of which the majority is invested in a private investment fund with the remaining investments in Berkshire Hathaway stock, a U.S. stock index fund and short-term fixed-income securities. The remaining 61% of plan assets are managed by two investment companies. The goal of the investment managers is to produce moderate long-term growth in the value of these assets, while protecting them against large decreases in value. Both investment managers may invest in a combination of equity and fixed-income securities and cash. The managers are not permitted to invest in securities of the Company or in alternative investments. One investment manager cannot invest more than 15% of the assets at the time of purchase in the stock of Alphabet and Berkshire Hathaway, no more than 30% of the assets it manages in specified international exchanges at the time the investment is made. The other investment manager cannot invest more than 20% of the assets at the time of purchase in the stock of Berkshire Hathaway, no more than 15% of the assets it manages in specified international exchanges, at the time the investment is made, and no less than 10% of the assets could be invested in fixed-income securities. Excluding the exceptions noted above, the investment managers cannot invest more than 10% of the assets in the securities of any other single issuer, except for obligations of the U.S. Government, without receiving prior approval from the Plan administrator.</w:t>
      </w:r>
    </w:p>
    <w:p>
      <w:pPr>
        <w:sectPr>
          <w:pgSz w:w="11900" w:h="16838" w:orient="portrait"/>
          <w:cols w:equalWidth="0" w:num="1">
            <w:col w:w="11240"/>
          </w:cols>
          <w:pgMar w:left="320" w:top="1035" w:right="3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22" w:name="page23"/>
    <w:bookmarkEnd w:id="22"/>
    <w:p>
      <w:pPr>
        <w:ind w:right="540"/>
        <w:spacing w:after="0" w:line="229" w:lineRule="auto"/>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37"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June 30, 2020. Types of concentrations that were evaluated include, but are not limited to, investment concentrations in a single entity, type of industry, foreign country and individual fund. At June 30, 2020, the pension plan held investments in one common stock and one private investment fund that exceeded 10% of total plan assets, valued at $624.5 million, or approximately 28% of total plan assets. At December 31, 2019, the pension plan held investments in one common stock and one U.S. stock index fund that exceeded 10% of total plan assets, valued at $704.8 million, or approximately 30% of total plan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arising from the Company’s other postretirement plans consists of the following components: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3"/>
          </w:tcPr>
          <w:p>
            <w:pPr>
              <w:jc w:val="right"/>
              <w:ind w:right="601"/>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440" w:type="dxa"/>
            <w:vAlign w:val="bottom"/>
            <w:gridSpan w:val="3"/>
          </w:tcPr>
          <w:p>
            <w:pPr>
              <w:jc w:val="right"/>
              <w:ind w:right="701"/>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r>
      <w:tr>
        <w:trPr>
          <w:trHeight w:val="210"/>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2019</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2019</w:t>
            </w:r>
          </w:p>
        </w:tc>
      </w:tr>
      <w:tr>
        <w:trPr>
          <w:trHeight w:val="223"/>
        </w:trPr>
        <w:tc>
          <w:tcPr>
            <w:tcW w:w="56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3"/>
              <w:spacing w:after="0"/>
              <w:rPr>
                <w:sz w:val="20"/>
                <w:szCs w:val="20"/>
                <w:color w:val="auto"/>
              </w:rPr>
            </w:pPr>
            <w:r>
              <w:rPr>
                <w:rFonts w:ascii="Arial" w:cs="Arial" w:eastAsia="Arial" w:hAnsi="Arial"/>
                <w:sz w:val="16"/>
                <w:szCs w:val="16"/>
                <w:b w:val="1"/>
                <w:bCs w:val="1"/>
                <w:color w:val="auto"/>
              </w:rPr>
              <w:t>22</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72</w:t>
            </w:r>
          </w:p>
        </w:tc>
        <w:tc>
          <w:tcPr>
            <w:tcW w:w="4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3"/>
              <w:spacing w:after="0"/>
              <w:rPr>
                <w:sz w:val="20"/>
                <w:szCs w:val="20"/>
                <w:color w:val="auto"/>
              </w:rPr>
            </w:pPr>
            <w:r>
              <w:rPr>
                <w:rFonts w:ascii="Arial" w:cs="Arial" w:eastAsia="Arial" w:hAnsi="Arial"/>
                <w:sz w:val="16"/>
                <w:szCs w:val="16"/>
                <w:b w:val="1"/>
                <w:bCs w:val="1"/>
                <w:color w:val="auto"/>
              </w:rPr>
              <w:t>84</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1"/>
              <w:spacing w:after="0"/>
              <w:rPr>
                <w:sz w:val="20"/>
                <w:szCs w:val="20"/>
                <w:color w:val="auto"/>
              </w:rPr>
            </w:pPr>
            <w:r>
              <w:rPr>
                <w:rFonts w:ascii="Arial" w:cs="Arial" w:eastAsia="Arial" w:hAnsi="Arial"/>
                <w:sz w:val="16"/>
                <w:szCs w:val="16"/>
                <w:color w:val="auto"/>
              </w:rPr>
              <w:t>144</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color w:val="auto"/>
              </w:rPr>
              <w:t>Amortization of prior service credit</w:t>
            </w:r>
          </w:p>
        </w:tc>
        <w:tc>
          <w:tcPr>
            <w:tcW w:w="300" w:type="dxa"/>
            <w:vAlign w:val="bottom"/>
          </w:tcPr>
          <w:p>
            <w:pPr>
              <w:spacing w:after="0"/>
              <w:rPr>
                <w:sz w:val="21"/>
                <w:szCs w:val="21"/>
                <w:color w:val="auto"/>
              </w:rPr>
            </w:pPr>
          </w:p>
        </w:tc>
        <w:tc>
          <w:tcPr>
            <w:tcW w:w="1040" w:type="dxa"/>
            <w:vAlign w:val="bottom"/>
          </w:tcPr>
          <w:p>
            <w:pPr>
              <w:jc w:val="right"/>
              <w:ind w:right="43"/>
              <w:spacing w:after="0"/>
              <w:rPr>
                <w:sz w:val="20"/>
                <w:szCs w:val="20"/>
                <w:color w:val="auto"/>
              </w:rPr>
            </w:pPr>
            <w:r>
              <w:rPr>
                <w:rFonts w:ascii="Arial" w:cs="Arial" w:eastAsia="Arial" w:hAnsi="Arial"/>
                <w:sz w:val="16"/>
                <w:szCs w:val="16"/>
                <w:b w:val="1"/>
                <w:bCs w:val="1"/>
                <w:color w:val="auto"/>
              </w:rPr>
              <w:t>(121)</w:t>
            </w:r>
          </w:p>
        </w:tc>
        <w:tc>
          <w:tcPr>
            <w:tcW w:w="46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(1,840)</w:t>
            </w:r>
          </w:p>
        </w:tc>
        <w:tc>
          <w:tcPr>
            <w:tcW w:w="420" w:type="dxa"/>
            <w:vAlign w:val="bottom"/>
          </w:tcPr>
          <w:p>
            <w:pPr>
              <w:spacing w:after="0"/>
              <w:rPr>
                <w:sz w:val="21"/>
                <w:szCs w:val="21"/>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b w:val="1"/>
                <w:bCs w:val="1"/>
                <w:color w:val="auto"/>
              </w:rPr>
              <w:t>(241)</w:t>
            </w:r>
          </w:p>
        </w:tc>
        <w:tc>
          <w:tcPr>
            <w:tcW w:w="460" w:type="dxa"/>
            <w:vAlign w:val="bottom"/>
          </w:tcPr>
          <w:p>
            <w:pPr>
              <w:spacing w:after="0"/>
              <w:rPr>
                <w:sz w:val="21"/>
                <w:szCs w:val="21"/>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(3,681)</w:t>
            </w:r>
          </w:p>
        </w:tc>
      </w:tr>
      <w:tr>
        <w:trPr>
          <w:trHeight w:val="256"/>
        </w:trPr>
        <w:tc>
          <w:tcPr>
            <w:tcW w:w="562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(927)</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(1,090)</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(2,180)</w:t>
            </w:r>
          </w:p>
        </w:tc>
      </w:tr>
      <w:tr>
        <w:trPr>
          <w:trHeight w:val="24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(1,026)</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(2,858)</w:t>
            </w:r>
          </w:p>
        </w:tc>
        <w:tc>
          <w:tcPr>
            <w:tcW w:w="4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(2,181)</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(5,717)</w:t>
            </w: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NON-OPERATING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3"/>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560" w:type="dxa"/>
            <w:vAlign w:val="bottom"/>
            <w:gridSpan w:val="3"/>
          </w:tcPr>
          <w:p>
            <w:pPr>
              <w:jc w:val="right"/>
              <w:ind w:right="759"/>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5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r>
      <w:tr>
        <w:trPr>
          <w:trHeight w:val="237"/>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2019</w:t>
            </w:r>
          </w:p>
        </w:tc>
        <w:tc>
          <w:tcPr>
            <w:tcW w:w="4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2019</w:t>
            </w:r>
          </w:p>
        </w:tc>
      </w:tr>
      <w:tr>
        <w:trPr>
          <w:trHeight w:val="223"/>
        </w:trPr>
        <w:tc>
          <w:tcPr>
            <w:tcW w:w="5700" w:type="dxa"/>
            <w:vAlign w:val="bottom"/>
          </w:tcPr>
          <w:p>
            <w:pPr>
              <w:ind w:left="20"/>
              <w:spacing w:after="0"/>
              <w:rPr>
                <w:sz w:val="20"/>
                <w:szCs w:val="20"/>
                <w:color w:val="auto"/>
              </w:rPr>
            </w:pPr>
            <w:r>
              <w:rPr>
                <w:rFonts w:ascii="Arial" w:cs="Arial" w:eastAsia="Arial" w:hAnsi="Arial"/>
                <w:sz w:val="16"/>
                <w:szCs w:val="16"/>
                <w:color w:val="auto"/>
              </w:rPr>
              <w:t>Gain on acquiring a controlling interest in an equity affiliate</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3,708</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81"/>
              <w:spacing w:after="0"/>
              <w:rPr>
                <w:sz w:val="20"/>
                <w:szCs w:val="20"/>
                <w:color w:val="auto"/>
              </w:rPr>
            </w:pPr>
            <w:r>
              <w:rPr>
                <w:rFonts w:ascii="Arial" w:cs="Arial" w:eastAsia="Arial" w:hAnsi="Arial"/>
                <w:sz w:val="16"/>
                <w:szCs w:val="16"/>
                <w:b w:val="1"/>
                <w:bCs w:val="1"/>
                <w:color w:val="auto"/>
              </w:rPr>
              <w:t>3,708</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5700" w:type="dxa"/>
            <w:vAlign w:val="bottom"/>
          </w:tcPr>
          <w:p>
            <w:pPr>
              <w:ind w:left="20"/>
              <w:spacing w:after="0"/>
              <w:rPr>
                <w:sz w:val="20"/>
                <w:szCs w:val="20"/>
                <w:color w:val="auto"/>
              </w:rPr>
            </w:pPr>
            <w:r>
              <w:rPr>
                <w:rFonts w:ascii="Arial" w:cs="Arial" w:eastAsia="Arial" w:hAnsi="Arial"/>
                <w:sz w:val="16"/>
                <w:szCs w:val="16"/>
                <w:color w:val="auto"/>
              </w:rPr>
              <w:t>Foreign currency (loss) gain, net</w:t>
            </w:r>
          </w:p>
        </w:tc>
        <w:tc>
          <w:tcPr>
            <w:tcW w:w="280" w:type="dxa"/>
            <w:vAlign w:val="bottom"/>
          </w:tcPr>
          <w:p>
            <w:pPr>
              <w:spacing w:after="0"/>
              <w:rPr>
                <w:sz w:val="21"/>
                <w:szCs w:val="21"/>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b w:val="1"/>
                <w:bCs w:val="1"/>
                <w:color w:val="auto"/>
              </w:rPr>
              <w:t>(1,070)</w:t>
            </w:r>
          </w:p>
        </w:tc>
        <w:tc>
          <w:tcPr>
            <w:tcW w:w="44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460" w:type="dxa"/>
            <w:vAlign w:val="bottom"/>
          </w:tcPr>
          <w:p>
            <w:pPr>
              <w:spacing w:after="0"/>
              <w:rPr>
                <w:sz w:val="21"/>
                <w:szCs w:val="21"/>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b w:val="1"/>
                <w:bCs w:val="1"/>
                <w:color w:val="auto"/>
              </w:rPr>
              <w:t>3,220</w:t>
            </w:r>
          </w:p>
        </w:tc>
        <w:tc>
          <w:tcPr>
            <w:tcW w:w="44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623</w:t>
            </w:r>
          </w:p>
        </w:tc>
      </w:tr>
      <w:tr>
        <w:trPr>
          <w:trHeight w:val="243"/>
        </w:trPr>
        <w:tc>
          <w:tcPr>
            <w:tcW w:w="5700" w:type="dxa"/>
            <w:vAlign w:val="bottom"/>
          </w:tcPr>
          <w:p>
            <w:pPr>
              <w:ind w:left="20"/>
              <w:spacing w:after="0"/>
              <w:rPr>
                <w:sz w:val="20"/>
                <w:szCs w:val="20"/>
                <w:color w:val="auto"/>
              </w:rPr>
            </w:pPr>
            <w:r>
              <w:rPr>
                <w:rFonts w:ascii="Arial" w:cs="Arial" w:eastAsia="Arial" w:hAnsi="Arial"/>
                <w:sz w:val="16"/>
                <w:szCs w:val="16"/>
                <w:color w:val="auto"/>
              </w:rPr>
              <w:t>Impairment of cost method investments</w:t>
            </w:r>
          </w:p>
        </w:tc>
        <w:tc>
          <w:tcPr>
            <w:tcW w:w="280" w:type="dxa"/>
            <w:vAlign w:val="bottom"/>
          </w:tcPr>
          <w:p>
            <w:pPr>
              <w:spacing w:after="0"/>
              <w:rPr>
                <w:sz w:val="21"/>
                <w:szCs w:val="21"/>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b w:val="1"/>
                <w:bCs w:val="1"/>
                <w:color w:val="auto"/>
              </w:rPr>
              <w:t>(2,577)</w:t>
            </w:r>
          </w:p>
        </w:tc>
        <w:tc>
          <w:tcPr>
            <w:tcW w:w="44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5700" w:type="dxa"/>
            <w:vAlign w:val="bottom"/>
          </w:tcPr>
          <w:p>
            <w:pPr>
              <w:ind w:left="20"/>
              <w:spacing w:after="0"/>
              <w:rPr>
                <w:sz w:val="20"/>
                <w:szCs w:val="20"/>
                <w:color w:val="auto"/>
              </w:rPr>
            </w:pPr>
            <w:r>
              <w:rPr>
                <w:rFonts w:ascii="Arial" w:cs="Arial" w:eastAsia="Arial" w:hAnsi="Arial"/>
                <w:sz w:val="16"/>
                <w:szCs w:val="16"/>
                <w:color w:val="auto"/>
              </w:rPr>
              <w:t>Gain on cost method investments</w:t>
            </w:r>
          </w:p>
        </w:tc>
        <w:tc>
          <w:tcPr>
            <w:tcW w:w="280" w:type="dxa"/>
            <w:vAlign w:val="bottom"/>
          </w:tcPr>
          <w:p>
            <w:pPr>
              <w:spacing w:after="0"/>
              <w:rPr>
                <w:sz w:val="21"/>
                <w:szCs w:val="21"/>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2,571</w:t>
            </w:r>
          </w:p>
        </w:tc>
        <w:tc>
          <w:tcPr>
            <w:tcW w:w="44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b w:val="1"/>
                <w:bCs w:val="1"/>
                <w:color w:val="auto"/>
              </w:rPr>
              <w:t>2,571</w:t>
            </w:r>
          </w:p>
        </w:tc>
        <w:tc>
          <w:tcPr>
            <w:tcW w:w="44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1,411</w:t>
            </w:r>
          </w:p>
        </w:tc>
      </w:tr>
      <w:tr>
        <w:trPr>
          <w:trHeight w:val="243"/>
        </w:trPr>
        <w:tc>
          <w:tcPr>
            <w:tcW w:w="5700" w:type="dxa"/>
            <w:vAlign w:val="bottom"/>
          </w:tcPr>
          <w:p>
            <w:pPr>
              <w:ind w:left="20"/>
              <w:spacing w:after="0"/>
              <w:rPr>
                <w:sz w:val="20"/>
                <w:szCs w:val="20"/>
                <w:color w:val="auto"/>
              </w:rPr>
            </w:pPr>
            <w:r>
              <w:rPr>
                <w:rFonts w:ascii="Arial" w:cs="Arial" w:eastAsia="Arial" w:hAnsi="Arial"/>
                <w:sz w:val="16"/>
                <w:szCs w:val="16"/>
                <w:color w:val="auto"/>
              </w:rPr>
              <w:t>Gain on sale of a business</w:t>
            </w:r>
          </w:p>
        </w:tc>
        <w:tc>
          <w:tcPr>
            <w:tcW w:w="280" w:type="dxa"/>
            <w:vAlign w:val="bottom"/>
          </w:tcPr>
          <w:p>
            <w:pPr>
              <w:spacing w:after="0"/>
              <w:rPr>
                <w:sz w:val="21"/>
                <w:szCs w:val="21"/>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1,653</w:t>
            </w:r>
          </w:p>
        </w:tc>
        <w:tc>
          <w:tcPr>
            <w:tcW w:w="44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460" w:type="dxa"/>
            <w:vAlign w:val="bottom"/>
          </w:tcPr>
          <w:p>
            <w:pPr>
              <w:spacing w:after="0"/>
              <w:rPr>
                <w:sz w:val="21"/>
                <w:szCs w:val="21"/>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b w:val="1"/>
                <w:bCs w:val="1"/>
                <w:color w:val="auto"/>
              </w:rPr>
              <w:t>1,760</w:t>
            </w:r>
          </w:p>
        </w:tc>
        <w:tc>
          <w:tcPr>
            <w:tcW w:w="44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421</w:t>
            </w:r>
          </w:p>
        </w:tc>
      </w:tr>
      <w:tr>
        <w:trPr>
          <w:trHeight w:val="243"/>
        </w:trPr>
        <w:tc>
          <w:tcPr>
            <w:tcW w:w="5700" w:type="dxa"/>
            <w:vAlign w:val="bottom"/>
          </w:tcPr>
          <w:p>
            <w:pPr>
              <w:ind w:left="20"/>
              <w:spacing w:after="0"/>
              <w:rPr>
                <w:sz w:val="20"/>
                <w:szCs w:val="20"/>
                <w:color w:val="auto"/>
              </w:rPr>
            </w:pPr>
            <w:r>
              <w:rPr>
                <w:rFonts w:ascii="Arial" w:cs="Arial" w:eastAsia="Arial" w:hAnsi="Arial"/>
                <w:sz w:val="16"/>
                <w:szCs w:val="16"/>
                <w:color w:val="auto"/>
              </w:rPr>
              <w:t>Gain on sale of equity affiliates</w:t>
            </w:r>
          </w:p>
        </w:tc>
        <w:tc>
          <w:tcPr>
            <w:tcW w:w="280" w:type="dxa"/>
            <w:vAlign w:val="bottom"/>
          </w:tcPr>
          <w:p>
            <w:pPr>
              <w:spacing w:after="0"/>
              <w:rPr>
                <w:sz w:val="21"/>
                <w:szCs w:val="21"/>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1,473</w:t>
            </w:r>
          </w:p>
        </w:tc>
        <w:tc>
          <w:tcPr>
            <w:tcW w:w="44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b w:val="1"/>
                <w:bCs w:val="1"/>
                <w:color w:val="auto"/>
              </w:rPr>
              <w:t>1,370</w:t>
            </w:r>
          </w:p>
        </w:tc>
        <w:tc>
          <w:tcPr>
            <w:tcW w:w="44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28,994</w:t>
            </w:r>
          </w:p>
        </w:tc>
      </w:tr>
      <w:tr>
        <w:trPr>
          <w:trHeight w:val="243"/>
        </w:trPr>
        <w:tc>
          <w:tcPr>
            <w:tcW w:w="5700" w:type="dxa"/>
            <w:vAlign w:val="bottom"/>
          </w:tcPr>
          <w:p>
            <w:pPr>
              <w:ind w:left="20"/>
              <w:spacing w:after="0"/>
              <w:rPr>
                <w:sz w:val="20"/>
                <w:szCs w:val="20"/>
                <w:color w:val="auto"/>
              </w:rPr>
            </w:pPr>
            <w:r>
              <w:rPr>
                <w:rFonts w:ascii="Arial" w:cs="Arial" w:eastAsia="Arial" w:hAnsi="Arial"/>
                <w:sz w:val="16"/>
                <w:szCs w:val="16"/>
                <w:color w:val="auto"/>
              </w:rPr>
              <w:t>Gain on sale of a cost method investment</w:t>
            </w:r>
          </w:p>
        </w:tc>
        <w:tc>
          <w:tcPr>
            <w:tcW w:w="280" w:type="dxa"/>
            <w:vAlign w:val="bottom"/>
          </w:tcPr>
          <w:p>
            <w:pPr>
              <w:spacing w:after="0"/>
              <w:rPr>
                <w:sz w:val="21"/>
                <w:szCs w:val="21"/>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b w:val="1"/>
                <w:bCs w:val="1"/>
                <w:color w:val="auto"/>
              </w:rPr>
              <w:t>518</w:t>
            </w:r>
          </w:p>
        </w:tc>
        <w:tc>
          <w:tcPr>
            <w:tcW w:w="44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56"/>
        </w:trPr>
        <w:tc>
          <w:tcPr>
            <w:tcW w:w="5700" w:type="dxa"/>
            <w:vAlign w:val="bottom"/>
          </w:tcPr>
          <w:p>
            <w:pPr>
              <w:ind w:left="20"/>
              <w:spacing w:after="0"/>
              <w:rPr>
                <w:sz w:val="20"/>
                <w:szCs w:val="20"/>
                <w:color w:val="auto"/>
              </w:rPr>
            </w:pPr>
            <w:r>
              <w:rPr>
                <w:rFonts w:ascii="Arial" w:cs="Arial" w:eastAsia="Arial" w:hAnsi="Arial"/>
                <w:sz w:val="16"/>
                <w:szCs w:val="16"/>
                <w:color w:val="auto"/>
              </w:rPr>
              <w:t>Other (loss) gain, net</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(235)</w:t>
            </w: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887</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218</w:t>
            </w: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(870)</w:t>
            </w:r>
          </w:p>
        </w:tc>
      </w:tr>
      <w:tr>
        <w:trPr>
          <w:trHeight w:val="243"/>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Total Other Non-Operating Income</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8,100</w:t>
            </w:r>
          </w:p>
        </w:tc>
        <w:tc>
          <w:tcPr>
            <w:tcW w:w="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1,228</w:t>
            </w:r>
          </w:p>
        </w:tc>
        <w:tc>
          <w:tcPr>
            <w:tcW w:w="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10,788</w:t>
            </w:r>
          </w:p>
        </w:tc>
        <w:tc>
          <w:tcPr>
            <w:tcW w:w="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30,579</w:t>
            </w: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In the second quarter of 2020, the Company made an additional investment in Framebridge (see Notes 2 and 3) that resulted in the Company obtaining control of the investee. The Company remeasured its previously held equity interest in Framebridge at the acquisition-date fair value and recorded a gain of $3.7 million. The fair value was determined using a market approach by using the share value indicated in the transaction.</w:t>
      </w:r>
    </w:p>
    <w:p>
      <w:pPr>
        <w:spacing w:after="0" w:line="13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Company recorded contingent consideration gains of $1.7 million and $1.8 million, respectively, for the three and six months ended June 30, 2020, related to the disposition of Kaplan University in 2018.</w:t>
      </w:r>
    </w:p>
    <w:p>
      <w:pPr>
        <w:spacing w:after="0" w:line="135"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In the second quarter of 2020, the Company recorded a $2.6 million gain resulting from observable price changes in the fair value of an equity security accounted for under the cost method.</w:t>
      </w:r>
    </w:p>
    <w:p>
      <w:pPr>
        <w:spacing w:after="0" w:line="135"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In the first quarter of 2020, the Company recorded impairment losses of $2.6 million to equity securities that are accounted for as cost method investments.</w:t>
      </w:r>
    </w:p>
    <w:p>
      <w:pPr>
        <w:spacing w:after="0" w:line="135"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In the first quarter of 2019, the Company recorded a $1.4 million gain resulting from observable price changes in the fair value of equity securities accounted for under the cost method.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the first quarter of 2019, the Company recorded a $29.0 million gain on the sale of the Company’s interest in Gimlet Media.</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23" w:name="page24"/>
    <w:bookmarkEnd w:id="23"/>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rPr>
              <w:t>2019</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01"/>
              <w:spacing w:after="0"/>
              <w:rPr>
                <w:sz w:val="20"/>
                <w:szCs w:val="20"/>
                <w:color w:val="auto"/>
              </w:rPr>
            </w:pPr>
            <w:r>
              <w:rPr>
                <w:rFonts w:ascii="Arial" w:cs="Arial" w:eastAsia="Arial" w:hAnsi="Arial"/>
                <w:sz w:val="14"/>
                <w:szCs w:val="14"/>
                <w:b w:val="1"/>
                <w:bCs w:val="1"/>
                <w:color w:val="auto"/>
              </w:rPr>
              <w:t>Before-Tax</w:t>
            </w:r>
          </w:p>
        </w:tc>
        <w:tc>
          <w:tcPr>
            <w:tcW w:w="280" w:type="dxa"/>
            <w:vAlign w:val="bottom"/>
          </w:tcPr>
          <w:p>
            <w:pPr>
              <w:spacing w:after="0"/>
              <w:rPr>
                <w:sz w:val="17"/>
                <w:szCs w:val="17"/>
                <w:color w:val="auto"/>
              </w:rPr>
            </w:pPr>
          </w:p>
        </w:tc>
        <w:tc>
          <w:tcPr>
            <w:tcW w:w="780" w:type="dxa"/>
            <w:vAlign w:val="bottom"/>
          </w:tcPr>
          <w:p>
            <w:pPr>
              <w:jc w:val="right"/>
              <w:ind w:right="182"/>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7"/>
                <w:szCs w:val="17"/>
                <w:color w:val="auto"/>
              </w:rPr>
            </w:pPr>
          </w:p>
        </w:tc>
        <w:tc>
          <w:tcPr>
            <w:tcW w:w="820" w:type="dxa"/>
            <w:vAlign w:val="bottom"/>
          </w:tcPr>
          <w:p>
            <w:pPr>
              <w:jc w:val="center"/>
              <w:ind w:right="61"/>
              <w:spacing w:after="0"/>
              <w:rPr>
                <w:sz w:val="20"/>
                <w:szCs w:val="20"/>
                <w:color w:val="auto"/>
              </w:rPr>
            </w:pPr>
            <w:r>
              <w:rPr>
                <w:rFonts w:ascii="Arial" w:cs="Arial" w:eastAsia="Arial" w:hAnsi="Arial"/>
                <w:sz w:val="14"/>
                <w:szCs w:val="14"/>
                <w:b w:val="1"/>
                <w:bCs w:val="1"/>
                <w:color w:val="auto"/>
              </w:rPr>
              <w:t>After-Tax</w:t>
            </w:r>
          </w:p>
        </w:tc>
        <w:tc>
          <w:tcPr>
            <w:tcW w:w="240" w:type="dxa"/>
            <w:vAlign w:val="bottom"/>
          </w:tcPr>
          <w:p>
            <w:pPr>
              <w:spacing w:after="0"/>
              <w:rPr>
                <w:sz w:val="17"/>
                <w:szCs w:val="17"/>
                <w:color w:val="auto"/>
              </w:rPr>
            </w:pPr>
          </w:p>
        </w:tc>
        <w:tc>
          <w:tcPr>
            <w:tcW w:w="880" w:type="dxa"/>
            <w:vAlign w:val="bottom"/>
          </w:tcPr>
          <w:p>
            <w:pPr>
              <w:jc w:val="right"/>
              <w:ind w:right="81"/>
              <w:spacing w:after="0"/>
              <w:rPr>
                <w:sz w:val="20"/>
                <w:szCs w:val="20"/>
                <w:color w:val="auto"/>
              </w:rPr>
            </w:pPr>
            <w:r>
              <w:rPr>
                <w:rFonts w:ascii="Arial" w:cs="Arial" w:eastAsia="Arial" w:hAnsi="Arial"/>
                <w:sz w:val="14"/>
                <w:szCs w:val="14"/>
                <w:color w:val="auto"/>
              </w:rPr>
              <w:t>Before-Tax</w:t>
            </w:r>
          </w:p>
        </w:tc>
        <w:tc>
          <w:tcPr>
            <w:tcW w:w="240" w:type="dxa"/>
            <w:vAlign w:val="bottom"/>
          </w:tcPr>
          <w:p>
            <w:pPr>
              <w:spacing w:after="0"/>
              <w:rPr>
                <w:sz w:val="17"/>
                <w:szCs w:val="17"/>
                <w:color w:val="auto"/>
              </w:rPr>
            </w:pPr>
          </w:p>
        </w:tc>
        <w:tc>
          <w:tcPr>
            <w:tcW w:w="800" w:type="dxa"/>
            <w:vAlign w:val="bottom"/>
          </w:tcPr>
          <w:p>
            <w:pPr>
              <w:jc w:val="center"/>
              <w:ind w:right="42"/>
              <w:spacing w:after="0"/>
              <w:rPr>
                <w:sz w:val="20"/>
                <w:szCs w:val="20"/>
                <w:color w:val="auto"/>
              </w:rPr>
            </w:pPr>
            <w:r>
              <w:rPr>
                <w:rFonts w:ascii="Arial" w:cs="Arial" w:eastAsia="Arial" w:hAnsi="Arial"/>
                <w:sz w:val="14"/>
                <w:szCs w:val="14"/>
                <w:color w:val="auto"/>
              </w:rPr>
              <w:t>Income</w:t>
            </w:r>
          </w:p>
        </w:tc>
        <w:tc>
          <w:tcPr>
            <w:tcW w:w="260" w:type="dxa"/>
            <w:vAlign w:val="bottom"/>
          </w:tcPr>
          <w:p>
            <w:pPr>
              <w:spacing w:after="0"/>
              <w:rPr>
                <w:sz w:val="17"/>
                <w:szCs w:val="17"/>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rPr>
              <w:t>After-Tax</w:t>
            </w:r>
          </w:p>
        </w:tc>
        <w:tc>
          <w:tcPr>
            <w:tcW w:w="0" w:type="dxa"/>
            <w:vAlign w:val="bottom"/>
          </w:tcPr>
          <w:p>
            <w:pPr>
              <w:spacing w:after="0"/>
              <w:rPr>
                <w:sz w:val="1"/>
                <w:szCs w:val="1"/>
                <w:color w:val="auto"/>
              </w:rPr>
            </w:pPr>
          </w:p>
        </w:tc>
      </w:tr>
      <w:tr>
        <w:trPr>
          <w:trHeight w:val="222"/>
        </w:trPr>
        <w:tc>
          <w:tcPr>
            <w:tcW w:w="4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Tax</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color w:val="auto"/>
              </w:rPr>
              <w:t>Tax</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2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121"/>
              <w:spacing w:after="0"/>
              <w:rPr>
                <w:sz w:val="20"/>
                <w:szCs w:val="20"/>
                <w:color w:val="auto"/>
              </w:rPr>
            </w:pPr>
            <w:r>
              <w:rPr>
                <w:rFonts w:ascii="Arial" w:cs="Arial" w:eastAsia="Arial" w:hAnsi="Arial"/>
                <w:sz w:val="16"/>
                <w:szCs w:val="16"/>
                <w:b w:val="1"/>
                <w:bCs w:val="1"/>
                <w:color w:val="auto"/>
              </w:rPr>
              <w:t>16,405</w:t>
            </w:r>
          </w:p>
        </w:tc>
        <w:tc>
          <w:tcPr>
            <w:tcW w:w="28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102"/>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16,405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(11,104)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(11,104)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(credit) included in net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668</w:t>
            </w:r>
          </w:p>
        </w:tc>
        <w:tc>
          <w:tcPr>
            <w:tcW w:w="280" w:type="dxa"/>
            <w:vAlign w:val="bottom"/>
          </w:tcPr>
          <w:p>
            <w:pPr>
              <w:spacing w:after="0"/>
              <w:rPr>
                <w:sz w:val="18"/>
                <w:szCs w:val="18"/>
                <w:color w:val="auto"/>
              </w:rPr>
            </w:pPr>
          </w:p>
        </w:tc>
        <w:tc>
          <w:tcPr>
            <w:tcW w:w="78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(181)</w:t>
            </w:r>
          </w:p>
        </w:tc>
        <w:tc>
          <w:tcPr>
            <w:tcW w:w="240" w:type="dxa"/>
            <w:vAlign w:val="bottom"/>
          </w:tcPr>
          <w:p>
            <w:pPr>
              <w:spacing w:after="0"/>
              <w:rPr>
                <w:sz w:val="18"/>
                <w:szCs w:val="18"/>
                <w:color w:val="auto"/>
              </w:rPr>
            </w:pPr>
          </w:p>
        </w:tc>
        <w:tc>
          <w:tcPr>
            <w:tcW w:w="82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rPr>
              <w:t>487</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60" w:type="dxa"/>
            <w:vAlign w:val="bottom"/>
          </w:tcPr>
          <w:p>
            <w:pPr>
              <w:ind w:left="300"/>
              <w:spacing w:after="0"/>
              <w:rPr>
                <w:sz w:val="20"/>
                <w:szCs w:val="20"/>
                <w:color w:val="auto"/>
              </w:rPr>
            </w:pPr>
            <w:r>
              <w:rPr>
                <w:rFonts w:ascii="Arial" w:cs="Arial" w:eastAsia="Arial" w:hAnsi="Arial"/>
                <w:sz w:val="16"/>
                <w:szCs w:val="16"/>
                <w:color w:val="auto"/>
              </w:rPr>
              <w:t>income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(931)</w:t>
            </w:r>
          </w:p>
        </w:tc>
        <w:tc>
          <w:tcPr>
            <w:tcW w:w="240" w:type="dxa"/>
            <w:vAlign w:val="bottom"/>
          </w:tcPr>
          <w:p>
            <w:pPr>
              <w:spacing w:after="0"/>
              <w:rPr>
                <w:sz w:val="16"/>
                <w:szCs w:val="16"/>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251</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60" w:type="dxa"/>
            <w:vAlign w:val="bottom"/>
          </w:tcPr>
          <w:p>
            <w:pPr>
              <w:ind w:left="140"/>
              <w:spacing w:after="0"/>
              <w:rPr>
                <w:sz w:val="20"/>
                <w:szCs w:val="20"/>
                <w:color w:val="auto"/>
              </w:rPr>
            </w:pPr>
            <w:r>
              <w:rPr>
                <w:rFonts w:ascii="Arial" w:cs="Arial" w:eastAsia="Arial" w:hAnsi="Arial"/>
                <w:sz w:val="16"/>
                <w:szCs w:val="16"/>
                <w:color w:val="auto"/>
              </w:rPr>
              <w:t>Amortization of net actuarial loss (gain) included in net income</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390</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(104)</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286</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(475)</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129</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1,058</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(285)</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773</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(1,406)</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380</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760" w:type="dxa"/>
            <w:vAlign w:val="bottom"/>
          </w:tcPr>
          <w:p>
            <w:pPr>
              <w:ind w:left="120"/>
              <w:spacing w:after="0"/>
              <w:rPr>
                <w:sz w:val="20"/>
                <w:szCs w:val="20"/>
                <w:color w:val="auto"/>
              </w:rPr>
            </w:pPr>
            <w:r>
              <w:rPr>
                <w:rFonts w:ascii="Arial" w:cs="Arial" w:eastAsia="Arial" w:hAnsi="Arial"/>
                <w:sz w:val="16"/>
                <w:szCs w:val="16"/>
                <w:color w:val="auto"/>
              </w:rPr>
              <w:t>(Loss) gain for the period</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(143)</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b w:val="1"/>
                <w:bCs w:val="1"/>
                <w:color w:val="auto"/>
              </w:rPr>
              <w:t>33</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(110)</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40</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35</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17,320</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(252)</w:t>
            </w:r>
          </w:p>
        </w:tc>
        <w:tc>
          <w:tcPr>
            <w:tcW w:w="2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17,068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(12,470)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375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(12,095)</w:t>
            </w: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4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2019</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61"/>
              <w:spacing w:after="0"/>
              <w:rPr>
                <w:sz w:val="20"/>
                <w:szCs w:val="20"/>
                <w:color w:val="auto"/>
              </w:rPr>
            </w:pPr>
            <w:r>
              <w:rPr>
                <w:rFonts w:ascii="Arial" w:cs="Arial" w:eastAsia="Arial" w:hAnsi="Arial"/>
                <w:sz w:val="14"/>
                <w:szCs w:val="14"/>
                <w:b w:val="1"/>
                <w:bCs w:val="1"/>
                <w:color w:val="auto"/>
              </w:rPr>
              <w:t>Before-Tax</w:t>
            </w:r>
          </w:p>
        </w:tc>
        <w:tc>
          <w:tcPr>
            <w:tcW w:w="280" w:type="dxa"/>
            <w:vAlign w:val="bottom"/>
          </w:tcPr>
          <w:p>
            <w:pPr>
              <w:spacing w:after="0"/>
              <w:rPr>
                <w:sz w:val="17"/>
                <w:szCs w:val="17"/>
                <w:color w:val="auto"/>
              </w:rPr>
            </w:pPr>
          </w:p>
        </w:tc>
        <w:tc>
          <w:tcPr>
            <w:tcW w:w="780" w:type="dxa"/>
            <w:vAlign w:val="bottom"/>
          </w:tcPr>
          <w:p>
            <w:pPr>
              <w:jc w:val="right"/>
              <w:ind w:right="122"/>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7"/>
                <w:szCs w:val="17"/>
                <w:color w:val="auto"/>
              </w:rPr>
            </w:pPr>
          </w:p>
        </w:tc>
        <w:tc>
          <w:tcPr>
            <w:tcW w:w="820" w:type="dxa"/>
            <w:vAlign w:val="bottom"/>
          </w:tcPr>
          <w:p>
            <w:pPr>
              <w:jc w:val="center"/>
              <w:ind w:right="81"/>
              <w:spacing w:after="0"/>
              <w:rPr>
                <w:sz w:val="20"/>
                <w:szCs w:val="20"/>
                <w:color w:val="auto"/>
              </w:rPr>
            </w:pPr>
            <w:r>
              <w:rPr>
                <w:rFonts w:ascii="Arial" w:cs="Arial" w:eastAsia="Arial" w:hAnsi="Arial"/>
                <w:sz w:val="14"/>
                <w:szCs w:val="14"/>
                <w:b w:val="1"/>
                <w:bCs w:val="1"/>
                <w:color w:val="auto"/>
              </w:rPr>
              <w:t>After-Tax</w:t>
            </w:r>
          </w:p>
        </w:tc>
        <w:tc>
          <w:tcPr>
            <w:tcW w:w="240" w:type="dxa"/>
            <w:vAlign w:val="bottom"/>
          </w:tcPr>
          <w:p>
            <w:pPr>
              <w:spacing w:after="0"/>
              <w:rPr>
                <w:sz w:val="17"/>
                <w:szCs w:val="17"/>
                <w:color w:val="auto"/>
              </w:rPr>
            </w:pPr>
          </w:p>
        </w:tc>
        <w:tc>
          <w:tcPr>
            <w:tcW w:w="880" w:type="dxa"/>
            <w:vAlign w:val="bottom"/>
          </w:tcPr>
          <w:p>
            <w:pPr>
              <w:jc w:val="right"/>
              <w:ind w:right="121"/>
              <w:spacing w:after="0"/>
              <w:rPr>
                <w:sz w:val="20"/>
                <w:szCs w:val="20"/>
                <w:color w:val="auto"/>
              </w:rPr>
            </w:pPr>
            <w:r>
              <w:rPr>
                <w:rFonts w:ascii="Arial" w:cs="Arial" w:eastAsia="Arial" w:hAnsi="Arial"/>
                <w:sz w:val="14"/>
                <w:szCs w:val="14"/>
                <w:color w:val="auto"/>
                <w:w w:val="95"/>
              </w:rPr>
              <w:t>Before-Tax</w:t>
            </w:r>
          </w:p>
        </w:tc>
        <w:tc>
          <w:tcPr>
            <w:tcW w:w="240" w:type="dxa"/>
            <w:vAlign w:val="bottom"/>
          </w:tcPr>
          <w:p>
            <w:pPr>
              <w:spacing w:after="0"/>
              <w:rPr>
                <w:sz w:val="17"/>
                <w:szCs w:val="17"/>
                <w:color w:val="auto"/>
              </w:rPr>
            </w:pPr>
          </w:p>
        </w:tc>
        <w:tc>
          <w:tcPr>
            <w:tcW w:w="800" w:type="dxa"/>
            <w:vAlign w:val="bottom"/>
          </w:tcPr>
          <w:p>
            <w:pPr>
              <w:jc w:val="center"/>
              <w:ind w:right="142"/>
              <w:spacing w:after="0"/>
              <w:rPr>
                <w:sz w:val="20"/>
                <w:szCs w:val="20"/>
                <w:color w:val="auto"/>
              </w:rPr>
            </w:pPr>
            <w:r>
              <w:rPr>
                <w:rFonts w:ascii="Arial" w:cs="Arial" w:eastAsia="Arial" w:hAnsi="Arial"/>
                <w:sz w:val="14"/>
                <w:szCs w:val="14"/>
                <w:color w:val="auto"/>
              </w:rPr>
              <w:t>Income</w:t>
            </w:r>
          </w:p>
        </w:tc>
        <w:tc>
          <w:tcPr>
            <w:tcW w:w="26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After-Tax</w:t>
            </w:r>
          </w:p>
        </w:tc>
        <w:tc>
          <w:tcPr>
            <w:tcW w:w="0" w:type="dxa"/>
            <w:vAlign w:val="bottom"/>
          </w:tcPr>
          <w:p>
            <w:pPr>
              <w:spacing w:after="0"/>
              <w:rPr>
                <w:sz w:val="1"/>
                <w:szCs w:val="1"/>
                <w:color w:val="auto"/>
              </w:rPr>
            </w:pPr>
          </w:p>
        </w:tc>
      </w:tr>
      <w:tr>
        <w:trPr>
          <w:trHeight w:val="222"/>
        </w:trPr>
        <w:tc>
          <w:tcPr>
            <w:tcW w:w="47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161"/>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9"/>
                <w:szCs w:val="19"/>
                <w:color w:val="auto"/>
              </w:rPr>
            </w:pPr>
          </w:p>
        </w:tc>
        <w:tc>
          <w:tcPr>
            <w:tcW w:w="780" w:type="dxa"/>
            <w:vAlign w:val="bottom"/>
          </w:tcPr>
          <w:p>
            <w:pPr>
              <w:jc w:val="right"/>
              <w:ind w:right="262"/>
              <w:spacing w:after="0"/>
              <w:rPr>
                <w:sz w:val="20"/>
                <w:szCs w:val="20"/>
                <w:color w:val="auto"/>
              </w:rPr>
            </w:pPr>
            <w:r>
              <w:rPr>
                <w:rFonts w:ascii="Arial" w:cs="Arial" w:eastAsia="Arial" w:hAnsi="Arial"/>
                <w:sz w:val="14"/>
                <w:szCs w:val="14"/>
                <w:b w:val="1"/>
                <w:bCs w:val="1"/>
                <w:color w:val="auto"/>
              </w:rPr>
              <w:t>Tax</w:t>
            </w:r>
          </w:p>
        </w:tc>
        <w:tc>
          <w:tcPr>
            <w:tcW w:w="240" w:type="dxa"/>
            <w:vAlign w:val="bottom"/>
          </w:tcPr>
          <w:p>
            <w:pPr>
              <w:spacing w:after="0"/>
              <w:rPr>
                <w:sz w:val="19"/>
                <w:szCs w:val="19"/>
                <w:color w:val="auto"/>
              </w:rPr>
            </w:pPr>
          </w:p>
        </w:tc>
        <w:tc>
          <w:tcPr>
            <w:tcW w:w="820" w:type="dxa"/>
            <w:vAlign w:val="bottom"/>
          </w:tcPr>
          <w:p>
            <w:pPr>
              <w:jc w:val="center"/>
              <w:ind w:right="81"/>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9"/>
                <w:szCs w:val="19"/>
                <w:color w:val="auto"/>
              </w:rPr>
            </w:pPr>
          </w:p>
        </w:tc>
        <w:tc>
          <w:tcPr>
            <w:tcW w:w="880" w:type="dxa"/>
            <w:vAlign w:val="bottom"/>
          </w:tcPr>
          <w:p>
            <w:pPr>
              <w:jc w:val="right"/>
              <w:ind w:right="221"/>
              <w:spacing w:after="0"/>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9"/>
                <w:szCs w:val="19"/>
                <w:color w:val="auto"/>
              </w:rPr>
            </w:pPr>
          </w:p>
        </w:tc>
        <w:tc>
          <w:tcPr>
            <w:tcW w:w="800" w:type="dxa"/>
            <w:vAlign w:val="bottom"/>
          </w:tcPr>
          <w:p>
            <w:pPr>
              <w:jc w:val="center"/>
              <w:ind w:right="142"/>
              <w:spacing w:after="0"/>
              <w:rPr>
                <w:sz w:val="20"/>
                <w:szCs w:val="20"/>
                <w:color w:val="auto"/>
              </w:rPr>
            </w:pPr>
            <w:r>
              <w:rPr>
                <w:rFonts w:ascii="Arial" w:cs="Arial" w:eastAsia="Arial" w:hAnsi="Arial"/>
                <w:sz w:val="14"/>
                <w:szCs w:val="14"/>
                <w:color w:val="auto"/>
                <w:w w:val="94"/>
              </w:rPr>
              <w:t>Tax</w:t>
            </w:r>
          </w:p>
        </w:tc>
        <w:tc>
          <w:tcPr>
            <w:tcW w:w="260" w:type="dxa"/>
            <w:vAlign w:val="bottom"/>
          </w:tcPr>
          <w:p>
            <w:pPr>
              <w:spacing w:after="0"/>
              <w:rPr>
                <w:sz w:val="19"/>
                <w:szCs w:val="19"/>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color w:val="auto"/>
                <w:w w:val="99"/>
              </w:rPr>
              <w:t>Amount</w:t>
            </w:r>
          </w:p>
        </w:tc>
        <w:tc>
          <w:tcPr>
            <w:tcW w:w="0" w:type="dxa"/>
            <w:vAlign w:val="bottom"/>
          </w:tcPr>
          <w:p>
            <w:pPr>
              <w:spacing w:after="0"/>
              <w:rPr>
                <w:sz w:val="1"/>
                <w:szCs w:val="1"/>
                <w:color w:val="auto"/>
              </w:rPr>
            </w:pPr>
          </w:p>
        </w:tc>
      </w:tr>
      <w:tr>
        <w:trPr>
          <w:trHeight w:val="223"/>
        </w:trPr>
        <w:tc>
          <w:tcPr>
            <w:tcW w:w="47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20"/>
              <w:spacing w:after="0"/>
              <w:rPr>
                <w:sz w:val="20"/>
                <w:szCs w:val="20"/>
                <w:color w:val="auto"/>
              </w:rPr>
            </w:pPr>
            <w:r>
              <w:rPr>
                <w:rFonts w:ascii="Arial" w:cs="Arial" w:eastAsia="Arial" w:hAnsi="Arial"/>
                <w:sz w:val="16"/>
                <w:szCs w:val="16"/>
                <w:color w:val="auto"/>
              </w:rPr>
              <w:t>Translation adjustments arising during the period</w:t>
            </w:r>
          </w:p>
        </w:tc>
        <w:tc>
          <w:tcPr>
            <w:tcW w:w="1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(20,971)</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62"/>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(20,971)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(1,071)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(1,071)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(credit) included in net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1,339</w:t>
            </w:r>
          </w:p>
        </w:tc>
        <w:tc>
          <w:tcPr>
            <w:tcW w:w="280" w:type="dxa"/>
            <w:vAlign w:val="bottom"/>
          </w:tcPr>
          <w:p>
            <w:pPr>
              <w:spacing w:after="0"/>
              <w:rPr>
                <w:sz w:val="18"/>
                <w:szCs w:val="18"/>
                <w:color w:val="auto"/>
              </w:rPr>
            </w:pPr>
          </w:p>
        </w:tc>
        <w:tc>
          <w:tcPr>
            <w:tcW w:w="78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(362)</w:t>
            </w:r>
          </w:p>
        </w:tc>
        <w:tc>
          <w:tcPr>
            <w:tcW w:w="240" w:type="dxa"/>
            <w:vAlign w:val="bottom"/>
          </w:tcPr>
          <w:p>
            <w:pPr>
              <w:spacing w:after="0"/>
              <w:rPr>
                <w:sz w:val="18"/>
                <w:szCs w:val="18"/>
                <w:color w:val="auto"/>
              </w:rPr>
            </w:pPr>
          </w:p>
        </w:tc>
        <w:tc>
          <w:tcPr>
            <w:tcW w:w="82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977</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760" w:type="dxa"/>
            <w:vAlign w:val="bottom"/>
          </w:tcPr>
          <w:p>
            <w:pPr>
              <w:ind w:left="300"/>
              <w:spacing w:after="0"/>
              <w:rPr>
                <w:sz w:val="20"/>
                <w:szCs w:val="20"/>
                <w:color w:val="auto"/>
              </w:rPr>
            </w:pPr>
            <w:r>
              <w:rPr>
                <w:rFonts w:ascii="Arial" w:cs="Arial" w:eastAsia="Arial" w:hAnsi="Arial"/>
                <w:sz w:val="16"/>
                <w:szCs w:val="16"/>
                <w:color w:val="auto"/>
              </w:rPr>
              <w:t>(loss) income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(2,278)</w:t>
            </w:r>
          </w:p>
        </w:tc>
        <w:tc>
          <w:tcPr>
            <w:tcW w:w="240" w:type="dxa"/>
            <w:vAlign w:val="bottom"/>
          </w:tcPr>
          <w:p>
            <w:pPr>
              <w:spacing w:after="0"/>
              <w:rPr>
                <w:sz w:val="16"/>
                <w:szCs w:val="16"/>
                <w:color w:val="auto"/>
              </w:rPr>
            </w:pPr>
          </w:p>
        </w:tc>
        <w:tc>
          <w:tcPr>
            <w:tcW w:w="800" w:type="dxa"/>
            <w:vAlign w:val="bottom"/>
          </w:tcPr>
          <w:p>
            <w:pPr>
              <w:jc w:val="right"/>
              <w:ind w:right="122"/>
              <w:spacing w:after="0"/>
              <w:rPr>
                <w:sz w:val="20"/>
                <w:szCs w:val="20"/>
                <w:color w:val="auto"/>
              </w:rPr>
            </w:pPr>
            <w:r>
              <w:rPr>
                <w:rFonts w:ascii="Arial" w:cs="Arial" w:eastAsia="Arial" w:hAnsi="Arial"/>
                <w:sz w:val="16"/>
                <w:szCs w:val="16"/>
                <w:color w:val="auto"/>
              </w:rPr>
              <w:t>615</w:t>
            </w:r>
          </w:p>
        </w:tc>
        <w:tc>
          <w:tcPr>
            <w:tcW w:w="260" w:type="dxa"/>
            <w:vAlign w:val="bottom"/>
          </w:tcPr>
          <w:p>
            <w:pPr>
              <w:spacing w:after="0"/>
              <w:rPr>
                <w:sz w:val="16"/>
                <w:szCs w:val="16"/>
                <w:color w:val="auto"/>
              </w:rPr>
            </w:pP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(1,663)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140"/>
              <w:spacing w:after="0"/>
              <w:rPr>
                <w:sz w:val="20"/>
                <w:szCs w:val="20"/>
                <w:color w:val="auto"/>
              </w:rPr>
            </w:pPr>
            <w:r>
              <w:rPr>
                <w:rFonts w:ascii="Arial" w:cs="Arial" w:eastAsia="Arial" w:hAnsi="Arial"/>
                <w:sz w:val="16"/>
                <w:szCs w:val="16"/>
                <w:color w:val="auto"/>
              </w:rPr>
              <w:t>Amortization of net actuarial loss (gain) included in net (loss)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610</w:t>
            </w:r>
          </w:p>
        </w:tc>
        <w:tc>
          <w:tcPr>
            <w:tcW w:w="280" w:type="dxa"/>
            <w:vAlign w:val="bottom"/>
          </w:tcPr>
          <w:p>
            <w:pPr>
              <w:spacing w:after="0"/>
              <w:rPr>
                <w:sz w:val="18"/>
                <w:szCs w:val="18"/>
                <w:color w:val="auto"/>
              </w:rPr>
            </w:pPr>
          </w:p>
        </w:tc>
        <w:tc>
          <w:tcPr>
            <w:tcW w:w="78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(164)</w:t>
            </w:r>
          </w:p>
        </w:tc>
        <w:tc>
          <w:tcPr>
            <w:tcW w:w="240" w:type="dxa"/>
            <w:vAlign w:val="bottom"/>
          </w:tcPr>
          <w:p>
            <w:pPr>
              <w:spacing w:after="0"/>
              <w:rPr>
                <w:sz w:val="18"/>
                <w:szCs w:val="18"/>
                <w:color w:val="auto"/>
              </w:rPr>
            </w:pPr>
          </w:p>
        </w:tc>
        <w:tc>
          <w:tcPr>
            <w:tcW w:w="82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446</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760" w:type="dxa"/>
            <w:vAlign w:val="bottom"/>
          </w:tcPr>
          <w:p>
            <w:pPr>
              <w:ind w:left="300"/>
              <w:spacing w:after="0"/>
              <w:rPr>
                <w:sz w:val="20"/>
                <w:szCs w:val="20"/>
                <w:color w:val="auto"/>
              </w:rPr>
            </w:pPr>
            <w:r>
              <w:rPr>
                <w:rFonts w:ascii="Arial" w:cs="Arial" w:eastAsia="Arial" w:hAnsi="Arial"/>
                <w:sz w:val="16"/>
                <w:szCs w:val="16"/>
                <w:color w:val="auto"/>
              </w:rPr>
              <w:t>income</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(1,023)</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276</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1,949</w:t>
            </w: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(526)</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1,423</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(3,301)</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891</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20"/>
              <w:spacing w:after="0"/>
              <w:rPr>
                <w:sz w:val="20"/>
                <w:szCs w:val="20"/>
                <w:color w:val="auto"/>
              </w:rPr>
            </w:pPr>
            <w:r>
              <w:rPr>
                <w:rFonts w:ascii="Arial" w:cs="Arial" w:eastAsia="Arial" w:hAnsi="Arial"/>
                <w:sz w:val="16"/>
                <w:szCs w:val="16"/>
                <w:color w:val="auto"/>
              </w:rPr>
              <w:t>Cash flow hedges: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760" w:type="dxa"/>
            <w:vAlign w:val="bottom"/>
          </w:tcPr>
          <w:p>
            <w:pPr>
              <w:ind w:left="120"/>
              <w:spacing w:after="0"/>
              <w:rPr>
                <w:sz w:val="20"/>
                <w:szCs w:val="20"/>
                <w:color w:val="auto"/>
              </w:rPr>
            </w:pPr>
            <w:r>
              <w:rPr>
                <w:rFonts w:ascii="Arial" w:cs="Arial" w:eastAsia="Arial" w:hAnsi="Arial"/>
                <w:sz w:val="16"/>
                <w:szCs w:val="16"/>
                <w:color w:val="auto"/>
              </w:rPr>
              <w:t>Loss for the period</w:t>
            </w:r>
          </w:p>
        </w:tc>
        <w:tc>
          <w:tcPr>
            <w:tcW w:w="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(1,721)</w:t>
            </w: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394</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(1,327)</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(427)</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103</w:t>
            </w: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(324)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14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b w:val="1"/>
                <w:bCs w:val="1"/>
                <w:color w:val="auto"/>
              </w:rPr>
              <w:t>(20,743)</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b w:val="1"/>
                <w:bCs w:val="1"/>
                <w:color w:val="auto"/>
              </w:rPr>
              <w:t>(132)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61"/>
              <w:spacing w:after="0"/>
              <w:rPr>
                <w:sz w:val="20"/>
                <w:szCs w:val="20"/>
                <w:color w:val="auto"/>
              </w:rPr>
            </w:pPr>
            <w:r>
              <w:rPr>
                <w:rFonts w:ascii="Arial" w:cs="Arial" w:eastAsia="Arial" w:hAnsi="Arial"/>
                <w:sz w:val="16"/>
                <w:szCs w:val="16"/>
                <w:b w:val="1"/>
                <w:bCs w:val="1"/>
                <w:color w:val="auto"/>
              </w:rPr>
              <w:t>(20,875)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(4,799)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22"/>
              <w:spacing w:after="0"/>
              <w:rPr>
                <w:sz w:val="20"/>
                <w:szCs w:val="20"/>
                <w:color w:val="auto"/>
              </w:rPr>
            </w:pPr>
            <w:r>
              <w:rPr>
                <w:rFonts w:ascii="Arial" w:cs="Arial" w:eastAsia="Arial" w:hAnsi="Arial"/>
                <w:sz w:val="16"/>
                <w:szCs w:val="16"/>
                <w:color w:val="auto"/>
              </w:rPr>
              <w:t>994</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(3,805)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44"/>
              <w:spacing w:after="0"/>
              <w:rPr>
                <w:sz w:val="20"/>
                <w:szCs w:val="20"/>
                <w:color w:val="auto"/>
              </w:rPr>
            </w:pPr>
            <w:r>
              <w:rPr>
                <w:rFonts w:ascii="Arial" w:cs="Arial" w:eastAsia="Arial" w:hAnsi="Arial"/>
                <w:sz w:val="14"/>
                <w:szCs w:val="14"/>
                <w:b w:val="1"/>
                <w:bCs w:val="1"/>
                <w:color w:val="auto"/>
              </w:rPr>
              <w:t>Cumulative</w:t>
            </w:r>
          </w:p>
        </w:tc>
        <w:tc>
          <w:tcPr>
            <w:tcW w:w="240" w:type="dxa"/>
            <w:vAlign w:val="bottom"/>
          </w:tcPr>
          <w:p>
            <w:pPr>
              <w:spacing w:after="0"/>
              <w:rPr>
                <w:sz w:val="14"/>
                <w:szCs w:val="14"/>
                <w:color w:val="auto"/>
              </w:rPr>
            </w:pPr>
          </w:p>
        </w:tc>
        <w:tc>
          <w:tcPr>
            <w:tcW w:w="1380" w:type="dxa"/>
            <w:vAlign w:val="bottom"/>
          </w:tcPr>
          <w:p>
            <w:pPr>
              <w:jc w:val="center"/>
              <w:ind w:right="104"/>
              <w:spacing w:after="0"/>
              <w:rPr>
                <w:sz w:val="20"/>
                <w:szCs w:val="20"/>
                <w:color w:val="auto"/>
              </w:rPr>
            </w:pPr>
            <w:r>
              <w:rPr>
                <w:rFonts w:ascii="Arial" w:cs="Arial" w:eastAsia="Arial" w:hAnsi="Arial"/>
                <w:sz w:val="14"/>
                <w:szCs w:val="14"/>
                <w:b w:val="1"/>
                <w:bCs w:val="1"/>
                <w:color w:val="auto"/>
              </w:rPr>
              <w:t>Unrealized Gain</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2"/>
        </w:trPr>
        <w:tc>
          <w:tcPr>
            <w:tcW w:w="5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4"/>
              <w:spacing w:after="0"/>
              <w:rPr>
                <w:sz w:val="20"/>
                <w:szCs w:val="20"/>
                <w:color w:val="auto"/>
              </w:rPr>
            </w:pPr>
            <w:r>
              <w:rPr>
                <w:rFonts w:ascii="Arial" w:cs="Arial" w:eastAsia="Arial" w:hAnsi="Arial"/>
                <w:sz w:val="14"/>
                <w:szCs w:val="14"/>
                <w:b w:val="1"/>
                <w:bCs w:val="1"/>
                <w:color w:val="auto"/>
              </w:rPr>
              <w:t>Foreign</w:t>
            </w:r>
          </w:p>
        </w:tc>
        <w:tc>
          <w:tcPr>
            <w:tcW w:w="240" w:type="dxa"/>
            <w:vAlign w:val="bottom"/>
          </w:tcPr>
          <w:p>
            <w:pPr>
              <w:spacing w:after="0"/>
              <w:rPr>
                <w:sz w:val="14"/>
                <w:szCs w:val="14"/>
                <w:color w:val="auto"/>
              </w:rPr>
            </w:pPr>
          </w:p>
        </w:tc>
        <w:tc>
          <w:tcPr>
            <w:tcW w:w="1380" w:type="dxa"/>
            <w:vAlign w:val="bottom"/>
          </w:tcPr>
          <w:p>
            <w:pPr>
              <w:jc w:val="center"/>
              <w:ind w:right="84"/>
              <w:spacing w:after="0"/>
              <w:rPr>
                <w:sz w:val="20"/>
                <w:szCs w:val="20"/>
                <w:color w:val="auto"/>
              </w:rPr>
            </w:pPr>
            <w:r>
              <w:rPr>
                <w:rFonts w:ascii="Arial" w:cs="Arial" w:eastAsia="Arial" w:hAnsi="Arial"/>
                <w:sz w:val="14"/>
                <w:szCs w:val="14"/>
                <w:b w:val="1"/>
                <w:bCs w:val="1"/>
                <w:color w:val="auto"/>
              </w:rPr>
              <w:t>on Pensions</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center"/>
              <w:ind w:right="123"/>
              <w:spacing w:after="0"/>
              <w:rPr>
                <w:sz w:val="20"/>
                <w:szCs w:val="20"/>
                <w:color w:val="auto"/>
              </w:rPr>
            </w:pPr>
            <w:r>
              <w:rPr>
                <w:rFonts w:ascii="Arial" w:cs="Arial" w:eastAsia="Arial" w:hAnsi="Arial"/>
                <w:sz w:val="14"/>
                <w:szCs w:val="14"/>
                <w:b w:val="1"/>
                <w:bCs w:val="1"/>
                <w:color w:val="auto"/>
              </w:rPr>
              <w:t>Accumulated</w:t>
            </w:r>
          </w:p>
        </w:tc>
      </w:tr>
      <w:tr>
        <w:trPr>
          <w:trHeight w:val="162"/>
        </w:trPr>
        <w:tc>
          <w:tcPr>
            <w:tcW w:w="5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4"/>
              <w:spacing w:after="0"/>
              <w:rPr>
                <w:sz w:val="20"/>
                <w:szCs w:val="20"/>
                <w:color w:val="auto"/>
              </w:rPr>
            </w:pPr>
            <w:r>
              <w:rPr>
                <w:rFonts w:ascii="Arial" w:cs="Arial" w:eastAsia="Arial" w:hAnsi="Arial"/>
                <w:sz w:val="14"/>
                <w:szCs w:val="14"/>
                <w:b w:val="1"/>
                <w:bCs w:val="1"/>
                <w:color w:val="auto"/>
              </w:rPr>
              <w:t>Currency</w:t>
            </w:r>
          </w:p>
        </w:tc>
        <w:tc>
          <w:tcPr>
            <w:tcW w:w="240" w:type="dxa"/>
            <w:vAlign w:val="bottom"/>
          </w:tcPr>
          <w:p>
            <w:pPr>
              <w:spacing w:after="0"/>
              <w:rPr>
                <w:sz w:val="14"/>
                <w:szCs w:val="14"/>
                <w:color w:val="auto"/>
              </w:rPr>
            </w:pPr>
          </w:p>
        </w:tc>
        <w:tc>
          <w:tcPr>
            <w:tcW w:w="1380" w:type="dxa"/>
            <w:vAlign w:val="bottom"/>
          </w:tcPr>
          <w:p>
            <w:pPr>
              <w:jc w:val="center"/>
              <w:ind w:right="104"/>
              <w:spacing w:after="0"/>
              <w:rPr>
                <w:sz w:val="20"/>
                <w:szCs w:val="20"/>
                <w:color w:val="auto"/>
              </w:rPr>
            </w:pPr>
            <w:r>
              <w:rPr>
                <w:rFonts w:ascii="Arial" w:cs="Arial" w:eastAsia="Arial" w:hAnsi="Arial"/>
                <w:sz w:val="14"/>
                <w:szCs w:val="14"/>
                <w:b w:val="1"/>
                <w:bCs w:val="1"/>
                <w:color w:val="auto"/>
              </w:rPr>
              <w:t>and Other</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center"/>
              <w:ind w:right="123"/>
              <w:spacing w:after="0"/>
              <w:rPr>
                <w:sz w:val="20"/>
                <w:szCs w:val="20"/>
                <w:color w:val="auto"/>
              </w:rPr>
            </w:pPr>
            <w:r>
              <w:rPr>
                <w:rFonts w:ascii="Arial" w:cs="Arial" w:eastAsia="Arial" w:hAnsi="Arial"/>
                <w:sz w:val="14"/>
                <w:szCs w:val="14"/>
                <w:b w:val="1"/>
                <w:bCs w:val="1"/>
                <w:color w:val="auto"/>
              </w:rPr>
              <w:t>Other</w:t>
            </w:r>
          </w:p>
        </w:tc>
      </w:tr>
      <w:tr>
        <w:trPr>
          <w:trHeight w:val="162"/>
        </w:trPr>
        <w:tc>
          <w:tcPr>
            <w:tcW w:w="5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64"/>
              <w:spacing w:after="0"/>
              <w:rPr>
                <w:sz w:val="20"/>
                <w:szCs w:val="20"/>
                <w:color w:val="auto"/>
              </w:rPr>
            </w:pPr>
            <w:r>
              <w:rPr>
                <w:rFonts w:ascii="Arial" w:cs="Arial" w:eastAsia="Arial" w:hAnsi="Arial"/>
                <w:sz w:val="14"/>
                <w:szCs w:val="14"/>
                <w:b w:val="1"/>
                <w:bCs w:val="1"/>
                <w:color w:val="auto"/>
              </w:rPr>
              <w:t>Translation</w:t>
            </w:r>
          </w:p>
        </w:tc>
        <w:tc>
          <w:tcPr>
            <w:tcW w:w="240" w:type="dxa"/>
            <w:vAlign w:val="bottom"/>
          </w:tcPr>
          <w:p>
            <w:pPr>
              <w:spacing w:after="0"/>
              <w:rPr>
                <w:sz w:val="14"/>
                <w:szCs w:val="14"/>
                <w:color w:val="auto"/>
              </w:rPr>
            </w:pPr>
          </w:p>
        </w:tc>
        <w:tc>
          <w:tcPr>
            <w:tcW w:w="1380" w:type="dxa"/>
            <w:vAlign w:val="bottom"/>
          </w:tcPr>
          <w:p>
            <w:pPr>
              <w:jc w:val="center"/>
              <w:ind w:right="84"/>
              <w:spacing w:after="0"/>
              <w:rPr>
                <w:sz w:val="20"/>
                <w:szCs w:val="20"/>
                <w:color w:val="auto"/>
              </w:rPr>
            </w:pPr>
            <w:r>
              <w:rPr>
                <w:rFonts w:ascii="Arial" w:cs="Arial" w:eastAsia="Arial" w:hAnsi="Arial"/>
                <w:sz w:val="14"/>
                <w:szCs w:val="14"/>
                <w:b w:val="1"/>
                <w:bCs w:val="1"/>
                <w:color w:val="auto"/>
              </w:rPr>
              <w:t>Postretirement</w:t>
            </w:r>
          </w:p>
        </w:tc>
        <w:tc>
          <w:tcPr>
            <w:tcW w:w="240" w:type="dxa"/>
            <w:vAlign w:val="bottom"/>
          </w:tcPr>
          <w:p>
            <w:pPr>
              <w:spacing w:after="0"/>
              <w:rPr>
                <w:sz w:val="14"/>
                <w:szCs w:val="14"/>
                <w:color w:val="auto"/>
              </w:rPr>
            </w:pPr>
          </w:p>
        </w:tc>
        <w:tc>
          <w:tcPr>
            <w:tcW w:w="880" w:type="dxa"/>
            <w:vAlign w:val="bottom"/>
          </w:tcPr>
          <w:p>
            <w:pPr>
              <w:jc w:val="right"/>
              <w:ind w:right="82"/>
              <w:spacing w:after="0"/>
              <w:rPr>
                <w:sz w:val="20"/>
                <w:szCs w:val="20"/>
                <w:color w:val="auto"/>
              </w:rPr>
            </w:pPr>
            <w:r>
              <w:rPr>
                <w:rFonts w:ascii="Arial" w:cs="Arial" w:eastAsia="Arial" w:hAnsi="Arial"/>
                <w:sz w:val="14"/>
                <w:szCs w:val="14"/>
                <w:b w:val="1"/>
                <w:bCs w:val="1"/>
                <w:color w:val="auto"/>
                <w:w w:val="99"/>
              </w:rPr>
              <w:t>Cash Flow</w:t>
            </w:r>
          </w:p>
        </w:tc>
        <w:tc>
          <w:tcPr>
            <w:tcW w:w="260" w:type="dxa"/>
            <w:vAlign w:val="bottom"/>
          </w:tcPr>
          <w:p>
            <w:pPr>
              <w:spacing w:after="0"/>
              <w:rPr>
                <w:sz w:val="14"/>
                <w:szCs w:val="14"/>
                <w:color w:val="auto"/>
              </w:rPr>
            </w:pPr>
          </w:p>
        </w:tc>
        <w:tc>
          <w:tcPr>
            <w:tcW w:w="1380" w:type="dxa"/>
            <w:vAlign w:val="bottom"/>
          </w:tcPr>
          <w:p>
            <w:pPr>
              <w:jc w:val="center"/>
              <w:ind w:right="103"/>
              <w:spacing w:after="0"/>
              <w:rPr>
                <w:sz w:val="20"/>
                <w:szCs w:val="20"/>
                <w:color w:val="auto"/>
              </w:rPr>
            </w:pPr>
            <w:r>
              <w:rPr>
                <w:rFonts w:ascii="Arial" w:cs="Arial" w:eastAsia="Arial" w:hAnsi="Arial"/>
                <w:sz w:val="14"/>
                <w:szCs w:val="14"/>
                <w:b w:val="1"/>
                <w:bCs w:val="1"/>
                <w:color w:val="auto"/>
              </w:rPr>
              <w:t>Comprehensive</w:t>
            </w:r>
          </w:p>
        </w:tc>
      </w:tr>
      <w:tr>
        <w:trPr>
          <w:trHeight w:val="196"/>
        </w:trPr>
        <w:tc>
          <w:tcPr>
            <w:tcW w:w="5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net of taxes)</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Adjustment</w:t>
            </w: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Plans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Hedges</w:t>
            </w: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Income</w:t>
            </w:r>
          </w:p>
        </w:tc>
      </w:tr>
      <w:tr>
        <w:trPr>
          <w:trHeight w:val="223"/>
        </w:trPr>
        <w:tc>
          <w:tcPr>
            <w:tcW w:w="5460" w:type="dxa"/>
            <w:vAlign w:val="bottom"/>
          </w:tcPr>
          <w:p>
            <w:pPr>
              <w:ind w:left="20"/>
              <w:spacing w:after="0"/>
              <w:rPr>
                <w:sz w:val="20"/>
                <w:szCs w:val="20"/>
                <w:color w:val="auto"/>
              </w:rPr>
            </w:pPr>
            <w:r>
              <w:rPr>
                <w:rFonts w:ascii="Arial" w:cs="Arial" w:eastAsia="Arial" w:hAnsi="Arial"/>
                <w:sz w:val="16"/>
                <w:szCs w:val="16"/>
                <w:color w:val="auto"/>
              </w:rPr>
              <w:t>Balance as of December 31, 2019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(21,888)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4"/>
              <w:spacing w:after="0"/>
              <w:rPr>
                <w:sz w:val="20"/>
                <w:szCs w:val="20"/>
                <w:color w:val="auto"/>
              </w:rPr>
            </w:pPr>
            <w:r>
              <w:rPr>
                <w:rFonts w:ascii="Arial" w:cs="Arial" w:eastAsia="Arial" w:hAnsi="Arial"/>
                <w:sz w:val="16"/>
                <w:szCs w:val="16"/>
                <w:color w:val="auto"/>
              </w:rPr>
              <w:t>325,921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(738)</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3"/>
              <w:spacing w:after="0"/>
              <w:rPr>
                <w:sz w:val="20"/>
                <w:szCs w:val="20"/>
                <w:color w:val="auto"/>
              </w:rPr>
            </w:pPr>
            <w:r>
              <w:rPr>
                <w:rFonts w:ascii="Arial" w:cs="Arial" w:eastAsia="Arial" w:hAnsi="Arial"/>
                <w:sz w:val="16"/>
                <w:szCs w:val="16"/>
                <w:color w:val="auto"/>
              </w:rPr>
              <w:t>303,295</w:t>
            </w:r>
          </w:p>
        </w:tc>
      </w:tr>
      <w:tr>
        <w:trPr>
          <w:trHeight w:val="243"/>
        </w:trPr>
        <w:tc>
          <w:tcPr>
            <w:tcW w:w="54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loss before reclassifications</w:t>
            </w:r>
          </w:p>
        </w:tc>
        <w:tc>
          <w:tcPr>
            <w:tcW w:w="180" w:type="dxa"/>
            <w:vAlign w:val="bottom"/>
          </w:tcPr>
          <w:p>
            <w:pPr>
              <w:spacing w:after="0"/>
              <w:rPr>
                <w:sz w:val="21"/>
                <w:szCs w:val="21"/>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b w:val="1"/>
                <w:bCs w:val="1"/>
                <w:color w:val="auto"/>
              </w:rPr>
              <w:t>(20,971)</w:t>
            </w:r>
          </w:p>
        </w:tc>
        <w:tc>
          <w:tcPr>
            <w:tcW w:w="240" w:type="dxa"/>
            <w:vAlign w:val="bottom"/>
          </w:tcPr>
          <w:p>
            <w:pPr>
              <w:spacing w:after="0"/>
              <w:rPr>
                <w:sz w:val="21"/>
                <w:szCs w:val="21"/>
                <w:color w:val="auto"/>
              </w:rPr>
            </w:pPr>
          </w:p>
        </w:tc>
        <w:tc>
          <w:tcPr>
            <w:tcW w:w="138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21"/>
                <w:szCs w:val="21"/>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b w:val="1"/>
                <w:bCs w:val="1"/>
                <w:color w:val="auto"/>
              </w:rPr>
              <w:t>(1,487)</w:t>
            </w:r>
          </w:p>
        </w:tc>
        <w:tc>
          <w:tcPr>
            <w:tcW w:w="260" w:type="dxa"/>
            <w:vAlign w:val="bottom"/>
          </w:tcPr>
          <w:p>
            <w:pPr>
              <w:spacing w:after="0"/>
              <w:rPr>
                <w:sz w:val="21"/>
                <w:szCs w:val="21"/>
                <w:color w:val="auto"/>
              </w:rPr>
            </w:pPr>
          </w:p>
        </w:tc>
        <w:tc>
          <w:tcPr>
            <w:tcW w:w="1380" w:type="dxa"/>
            <w:vAlign w:val="bottom"/>
          </w:tcPr>
          <w:p>
            <w:pPr>
              <w:jc w:val="right"/>
              <w:ind w:right="23"/>
              <w:spacing w:after="0"/>
              <w:rPr>
                <w:sz w:val="20"/>
                <w:szCs w:val="20"/>
                <w:color w:val="auto"/>
              </w:rPr>
            </w:pPr>
            <w:r>
              <w:rPr>
                <w:rFonts w:ascii="Arial" w:cs="Arial" w:eastAsia="Arial" w:hAnsi="Arial"/>
                <w:sz w:val="16"/>
                <w:szCs w:val="16"/>
                <w:b w:val="1"/>
                <w:bCs w:val="1"/>
                <w:color w:val="auto"/>
              </w:rPr>
              <w:t>(22,458)</w:t>
            </w:r>
          </w:p>
        </w:tc>
      </w:tr>
      <w:tr>
        <w:trPr>
          <w:trHeight w:val="190"/>
        </w:trPr>
        <w:tc>
          <w:tcPr>
            <w:tcW w:w="5460" w:type="dxa"/>
            <w:vAlign w:val="bottom"/>
          </w:tcPr>
          <w:p>
            <w:pPr>
              <w:ind w:left="140"/>
              <w:spacing w:after="0"/>
              <w:rPr>
                <w:sz w:val="20"/>
                <w:szCs w:val="20"/>
                <w:color w:val="auto"/>
              </w:rPr>
            </w:pPr>
            <w:r>
              <w:rPr>
                <w:rFonts w:ascii="Arial" w:cs="Arial" w:eastAsia="Arial" w:hAnsi="Arial"/>
                <w:sz w:val="16"/>
                <w:szCs w:val="16"/>
                <w:b w:val="1"/>
                <w:bCs w:val="1"/>
                <w:color w:val="auto"/>
              </w:rPr>
              <w:t>Net amount reclassified from accumulated other comprehensive</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8"/>
        </w:trPr>
        <w:tc>
          <w:tcPr>
            <w:tcW w:w="5460" w:type="dxa"/>
            <w:vAlign w:val="bottom"/>
          </w:tcPr>
          <w:p>
            <w:pPr>
              <w:ind w:left="220"/>
              <w:spacing w:after="0"/>
              <w:rPr>
                <w:sz w:val="20"/>
                <w:szCs w:val="20"/>
                <w:color w:val="auto"/>
              </w:rPr>
            </w:pPr>
            <w:r>
              <w:rPr>
                <w:rFonts w:ascii="Arial" w:cs="Arial" w:eastAsia="Arial" w:hAnsi="Arial"/>
                <w:sz w:val="16"/>
                <w:szCs w:val="16"/>
                <w:b w:val="1"/>
                <w:bCs w:val="1"/>
                <w:color w:val="auto"/>
              </w:rPr>
              <w:t>income (loss)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b w:val="1"/>
                <w:bCs w:val="1"/>
                <w:color w:val="auto"/>
              </w:rPr>
              <w:t>—</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1,423</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160</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1,583</w:t>
            </w:r>
          </w:p>
        </w:tc>
      </w:tr>
      <w:tr>
        <w:trPr>
          <w:trHeight w:val="236"/>
        </w:trPr>
        <w:tc>
          <w:tcPr>
            <w:tcW w:w="54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(loss) income, net of tax</w:t>
            </w: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(20,971)</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1,423</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(1,327)</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(20,875)</w:t>
            </w:r>
          </w:p>
        </w:tc>
      </w:tr>
      <w:tr>
        <w:trPr>
          <w:trHeight w:val="243"/>
        </w:trPr>
        <w:tc>
          <w:tcPr>
            <w:tcW w:w="5460" w:type="dxa"/>
            <w:vAlign w:val="bottom"/>
          </w:tcPr>
          <w:p>
            <w:pPr>
              <w:ind w:left="20"/>
              <w:spacing w:after="0"/>
              <w:rPr>
                <w:sz w:val="20"/>
                <w:szCs w:val="20"/>
                <w:color w:val="auto"/>
              </w:rPr>
            </w:pPr>
            <w:r>
              <w:rPr>
                <w:rFonts w:ascii="Arial" w:cs="Arial" w:eastAsia="Arial" w:hAnsi="Arial"/>
                <w:sz w:val="16"/>
                <w:szCs w:val="16"/>
                <w:b w:val="1"/>
                <w:bCs w:val="1"/>
                <w:color w:val="auto"/>
              </w:rPr>
              <w:t>Balance as of June 30, 2020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(42,859)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327,344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(2,065)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282,420</w:t>
            </w:r>
          </w:p>
        </w:tc>
      </w:tr>
      <w:tr>
        <w:trPr>
          <w:trHeight w:val="21"/>
        </w:trPr>
        <w:tc>
          <w:tcPr>
            <w:tcW w:w="5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12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Three Months Ended</w:t>
            </w:r>
          </w:p>
        </w:tc>
        <w:tc>
          <w:tcPr>
            <w:tcW w:w="214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Six Months Ended</w:t>
            </w:r>
          </w:p>
        </w:tc>
        <w:tc>
          <w:tcPr>
            <w:tcW w:w="216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rPr>
              <w:t>Affected Line Item in the</w:t>
            </w:r>
          </w:p>
        </w:tc>
        <w:tc>
          <w:tcPr>
            <w:tcW w:w="0" w:type="dxa"/>
            <w:vAlign w:val="bottom"/>
          </w:tcPr>
          <w:p>
            <w:pPr>
              <w:spacing w:after="0"/>
              <w:rPr>
                <w:sz w:val="1"/>
                <w:szCs w:val="1"/>
                <w:color w:val="auto"/>
              </w:rPr>
            </w:pPr>
          </w:p>
        </w:tc>
      </w:tr>
      <w:tr>
        <w:trPr>
          <w:trHeight w:val="68"/>
        </w:trPr>
        <w:tc>
          <w:tcPr>
            <w:tcW w:w="4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0" w:type="dxa"/>
            <w:vAlign w:val="bottom"/>
            <w:vMerge w:val="restart"/>
          </w:tcPr>
          <w:p>
            <w:pPr>
              <w:jc w:val="right"/>
              <w:ind w:right="728"/>
              <w:spacing w:after="0"/>
              <w:rPr>
                <w:sz w:val="20"/>
                <w:szCs w:val="20"/>
                <w:color w:val="auto"/>
              </w:rPr>
            </w:pPr>
            <w:r>
              <w:rPr>
                <w:rFonts w:ascii="Arial" w:cs="Arial" w:eastAsia="Arial" w:hAnsi="Arial"/>
                <w:sz w:val="14"/>
                <w:szCs w:val="14"/>
                <w:b w:val="1"/>
                <w:bCs w:val="1"/>
                <w:color w:val="auto"/>
              </w:rPr>
              <w:t>June 30</w:t>
            </w:r>
          </w:p>
        </w:tc>
        <w:tc>
          <w:tcPr>
            <w:tcW w:w="780" w:type="dxa"/>
            <w:vAlign w:val="bottom"/>
          </w:tcPr>
          <w:p>
            <w:pPr>
              <w:spacing w:after="0"/>
              <w:rPr>
                <w:sz w:val="5"/>
                <w:szCs w:val="5"/>
                <w:color w:val="auto"/>
              </w:rPr>
            </w:pPr>
          </w:p>
        </w:tc>
        <w:tc>
          <w:tcPr>
            <w:tcW w:w="1360" w:type="dxa"/>
            <w:vAlign w:val="bottom"/>
            <w:vMerge w:val="restart"/>
          </w:tcPr>
          <w:p>
            <w:pPr>
              <w:jc w:val="right"/>
              <w:ind w:right="688"/>
              <w:spacing w:after="0"/>
              <w:rPr>
                <w:sz w:val="20"/>
                <w:szCs w:val="20"/>
                <w:color w:val="auto"/>
              </w:rPr>
            </w:pPr>
            <w:r>
              <w:rPr>
                <w:rFonts w:ascii="Arial" w:cs="Arial" w:eastAsia="Arial" w:hAnsi="Arial"/>
                <w:sz w:val="14"/>
                <w:szCs w:val="14"/>
                <w:b w:val="1"/>
                <w:bCs w:val="1"/>
                <w:color w:val="auto"/>
              </w:rPr>
              <w:t>June 30</w:t>
            </w:r>
          </w:p>
        </w:tc>
        <w:tc>
          <w:tcPr>
            <w:tcW w:w="2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vMerge w:val="continue"/>
          </w:tcPr>
          <w:p>
            <w:pPr>
              <w:spacing w:after="0"/>
              <w:rPr>
                <w:sz w:val="11"/>
                <w:szCs w:val="11"/>
                <w:color w:val="auto"/>
              </w:rPr>
            </w:pPr>
          </w:p>
        </w:tc>
        <w:tc>
          <w:tcPr>
            <w:tcW w:w="2160" w:type="dxa"/>
            <w:vAlign w:val="bottom"/>
          </w:tcPr>
          <w:p>
            <w:pPr>
              <w:jc w:val="center"/>
              <w:ind w:left="348"/>
              <w:spacing w:after="0" w:line="129" w:lineRule="exact"/>
              <w:rPr>
                <w:sz w:val="20"/>
                <w:szCs w:val="20"/>
                <w:color w:val="auto"/>
              </w:rPr>
            </w:pPr>
            <w:r>
              <w:rPr>
                <w:rFonts w:ascii="Arial" w:cs="Arial" w:eastAsia="Arial" w:hAnsi="Arial"/>
                <w:sz w:val="14"/>
                <w:szCs w:val="14"/>
                <w:b w:val="1"/>
                <w:bCs w:val="1"/>
                <w:color w:val="auto"/>
              </w:rPr>
              <w:t>Condensed Consolidated</w:t>
            </w:r>
          </w:p>
        </w:tc>
        <w:tc>
          <w:tcPr>
            <w:tcW w:w="0" w:type="dxa"/>
            <w:vAlign w:val="bottom"/>
          </w:tcPr>
          <w:p>
            <w:pPr>
              <w:spacing w:after="0"/>
              <w:rPr>
                <w:sz w:val="1"/>
                <w:szCs w:val="1"/>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4"/>
                <w:szCs w:val="14"/>
                <w:color w:val="auto"/>
              </w:rPr>
              <w:t>(in thousands)</w:t>
            </w: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400" w:type="dxa"/>
            <w:vAlign w:val="bottom"/>
          </w:tcPr>
          <w:p>
            <w:pPr>
              <w:jc w:val="right"/>
              <w:ind w:right="308"/>
              <w:spacing w:after="0"/>
              <w:rPr>
                <w:sz w:val="20"/>
                <w:szCs w:val="20"/>
                <w:color w:val="auto"/>
              </w:rPr>
            </w:pPr>
            <w:r>
              <w:rPr>
                <w:rFonts w:ascii="Arial" w:cs="Arial" w:eastAsia="Arial" w:hAnsi="Arial"/>
                <w:sz w:val="14"/>
                <w:szCs w:val="14"/>
                <w:color w:val="auto"/>
              </w:rPr>
              <w:t>2019</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2020</w:t>
            </w:r>
          </w:p>
        </w:tc>
        <w:tc>
          <w:tcPr>
            <w:tcW w:w="1360" w:type="dxa"/>
            <w:vAlign w:val="bottom"/>
          </w:tcPr>
          <w:p>
            <w:pPr>
              <w:jc w:val="right"/>
              <w:ind w:right="268"/>
              <w:spacing w:after="0"/>
              <w:rPr>
                <w:sz w:val="20"/>
                <w:szCs w:val="20"/>
                <w:color w:val="auto"/>
              </w:rPr>
            </w:pPr>
            <w:r>
              <w:rPr>
                <w:rFonts w:ascii="Arial" w:cs="Arial" w:eastAsia="Arial" w:hAnsi="Arial"/>
                <w:sz w:val="14"/>
                <w:szCs w:val="14"/>
                <w:color w:val="auto"/>
              </w:rPr>
              <w:t>2019</w:t>
            </w:r>
          </w:p>
        </w:tc>
        <w:tc>
          <w:tcPr>
            <w:tcW w:w="2160" w:type="dxa"/>
            <w:vAlign w:val="bottom"/>
          </w:tcPr>
          <w:p>
            <w:pPr>
              <w:jc w:val="center"/>
              <w:ind w:left="348"/>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69005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120" w:type="dxa"/>
            <w:vAlign w:val="bottom"/>
          </w:tcPr>
          <w:p>
            <w:pPr>
              <w:spacing w:after="0"/>
              <w:rPr>
                <w:sz w:val="20"/>
                <w:szCs w:val="20"/>
                <w:color w:val="auto"/>
              </w:rPr>
            </w:pPr>
            <w:r>
              <w:rPr>
                <w:rFonts w:ascii="Arial" w:cs="Arial" w:eastAsia="Arial" w:hAnsi="Arial"/>
                <w:sz w:val="16"/>
                <w:szCs w:val="16"/>
                <w:b w:val="1"/>
                <w:bCs w:val="1"/>
                <w:color w:val="auto"/>
              </w:rPr>
              <w:t>Pension and Other Postretirement Plans: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100"/>
              <w:spacing w:after="0"/>
              <w:rPr>
                <w:sz w:val="20"/>
                <w:szCs w:val="20"/>
                <w:color w:val="auto"/>
              </w:rPr>
            </w:pPr>
            <w:r>
              <w:rPr>
                <w:rFonts w:ascii="Arial" w:cs="Arial" w:eastAsia="Arial" w:hAnsi="Arial"/>
                <w:sz w:val="16"/>
                <w:szCs w:val="16"/>
                <w:color w:val="auto"/>
              </w:rPr>
              <w:t>Amortization of net prior service cost (credit)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ind w:right="79"/>
              <w:spacing w:after="0"/>
              <w:rPr>
                <w:sz w:val="20"/>
                <w:szCs w:val="20"/>
                <w:color w:val="auto"/>
              </w:rPr>
            </w:pPr>
            <w:r>
              <w:rPr>
                <w:rFonts w:ascii="Arial" w:cs="Arial" w:eastAsia="Arial" w:hAnsi="Arial"/>
                <w:sz w:val="16"/>
                <w:szCs w:val="16"/>
                <w:b w:val="1"/>
                <w:bCs w:val="1"/>
                <w:color w:val="auto"/>
              </w:rPr>
              <w:t>668</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(931)</w:t>
            </w: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b w:val="1"/>
                <w:bCs w:val="1"/>
                <w:color w:val="auto"/>
              </w:rPr>
              <w:t>1,339</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(2,278)</w:t>
            </w:r>
          </w:p>
        </w:tc>
        <w:tc>
          <w:tcPr>
            <w:tcW w:w="234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6"/>
        </w:trPr>
        <w:tc>
          <w:tcPr>
            <w:tcW w:w="4120" w:type="dxa"/>
            <w:vAlign w:val="bottom"/>
          </w:tcPr>
          <w:p>
            <w:pPr>
              <w:ind w:left="100"/>
              <w:spacing w:after="0"/>
              <w:rPr>
                <w:sz w:val="20"/>
                <w:szCs w:val="20"/>
                <w:color w:val="auto"/>
              </w:rPr>
            </w:pPr>
            <w:r>
              <w:rPr>
                <w:rFonts w:ascii="Arial" w:cs="Arial" w:eastAsia="Arial" w:hAnsi="Arial"/>
                <w:sz w:val="16"/>
                <w:szCs w:val="16"/>
                <w:color w:val="auto"/>
              </w:rPr>
              <w:t>Amortization of net actuarial loss (gain)</w:t>
            </w: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390</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(475)</w:t>
            </w:r>
          </w:p>
        </w:tc>
        <w:tc>
          <w:tcPr>
            <w:tcW w:w="3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610</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(1,023)</w:t>
            </w:r>
          </w:p>
        </w:tc>
        <w:tc>
          <w:tcPr>
            <w:tcW w:w="234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1"/>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b w:val="1"/>
                <w:bCs w:val="1"/>
                <w:color w:val="auto"/>
              </w:rPr>
              <w:t>1,058</w:t>
            </w:r>
          </w:p>
        </w:tc>
        <w:tc>
          <w:tcPr>
            <w:tcW w:w="3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(1,406)</w:t>
            </w:r>
          </w:p>
        </w:tc>
        <w:tc>
          <w:tcPr>
            <w:tcW w:w="36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b w:val="1"/>
                <w:bCs w:val="1"/>
                <w:color w:val="auto"/>
              </w:rPr>
              <w:t>1,949</w:t>
            </w:r>
          </w:p>
        </w:tc>
        <w:tc>
          <w:tcPr>
            <w:tcW w:w="3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(3,301)</w:t>
            </w:r>
          </w:p>
        </w:tc>
        <w:tc>
          <w:tcPr>
            <w:tcW w:w="2340" w:type="dxa"/>
            <w:vAlign w:val="bottom"/>
          </w:tcPr>
          <w:p>
            <w:pPr>
              <w:ind w:left="12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(285)</w:t>
            </w:r>
          </w:p>
        </w:tc>
        <w:tc>
          <w:tcPr>
            <w:tcW w:w="340" w:type="dxa"/>
            <w:vAlign w:val="bottom"/>
          </w:tcPr>
          <w:p>
            <w:pPr>
              <w:spacing w:after="0"/>
              <w:rPr>
                <w:sz w:val="17"/>
                <w:szCs w:val="17"/>
                <w:color w:val="auto"/>
              </w:rPr>
            </w:pPr>
          </w:p>
        </w:tc>
        <w:tc>
          <w:tcPr>
            <w:tcW w:w="760" w:type="dxa"/>
            <w:vAlign w:val="bottom"/>
            <w:vMerge w:val="restart"/>
          </w:tcPr>
          <w:p>
            <w:pPr>
              <w:jc w:val="right"/>
              <w:ind w:right="79"/>
              <w:spacing w:after="0"/>
              <w:rPr>
                <w:sz w:val="20"/>
                <w:szCs w:val="20"/>
                <w:color w:val="auto"/>
              </w:rPr>
            </w:pPr>
            <w:r>
              <w:rPr>
                <w:rFonts w:ascii="Arial" w:cs="Arial" w:eastAsia="Arial" w:hAnsi="Arial"/>
                <w:sz w:val="16"/>
                <w:szCs w:val="16"/>
                <w:color w:val="auto"/>
              </w:rPr>
              <w:t>380</w:t>
            </w:r>
          </w:p>
        </w:tc>
        <w:tc>
          <w:tcPr>
            <w:tcW w:w="360" w:type="dxa"/>
            <w:vAlign w:val="bottom"/>
          </w:tcPr>
          <w:p>
            <w:pPr>
              <w:spacing w:after="0"/>
              <w:rPr>
                <w:sz w:val="17"/>
                <w:szCs w:val="17"/>
                <w:color w:val="auto"/>
              </w:rPr>
            </w:pPr>
          </w:p>
        </w:tc>
        <w:tc>
          <w:tcPr>
            <w:tcW w:w="7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(526)</w:t>
            </w:r>
          </w:p>
        </w:tc>
        <w:tc>
          <w:tcPr>
            <w:tcW w:w="340" w:type="dxa"/>
            <w:vAlign w:val="bottom"/>
          </w:tcPr>
          <w:p>
            <w:pPr>
              <w:spacing w:after="0"/>
              <w:rPr>
                <w:sz w:val="17"/>
                <w:szCs w:val="17"/>
                <w:color w:val="auto"/>
              </w:rPr>
            </w:pPr>
          </w:p>
        </w:tc>
        <w:tc>
          <w:tcPr>
            <w:tcW w:w="760" w:type="dxa"/>
            <w:vAlign w:val="bottom"/>
            <w:vMerge w:val="restart"/>
          </w:tcPr>
          <w:p>
            <w:pPr>
              <w:jc w:val="right"/>
              <w:ind w:right="79"/>
              <w:spacing w:after="0"/>
              <w:rPr>
                <w:sz w:val="20"/>
                <w:szCs w:val="20"/>
                <w:color w:val="auto"/>
              </w:rPr>
            </w:pPr>
            <w:r>
              <w:rPr>
                <w:rFonts w:ascii="Arial" w:cs="Arial" w:eastAsia="Arial" w:hAnsi="Arial"/>
                <w:sz w:val="16"/>
                <w:szCs w:val="16"/>
                <w:color w:val="auto"/>
              </w:rPr>
              <w:t>891</w:t>
            </w:r>
          </w:p>
        </w:tc>
        <w:tc>
          <w:tcPr>
            <w:tcW w:w="2340" w:type="dxa"/>
            <w:vAlign w:val="bottom"/>
          </w:tcPr>
          <w:p>
            <w:pPr>
              <w:ind w:left="120"/>
              <w:spacing w:after="0"/>
              <w:rPr>
                <w:sz w:val="20"/>
                <w:szCs w:val="20"/>
                <w:color w:val="auto"/>
              </w:rPr>
            </w:pPr>
            <w:r>
              <w:rPr>
                <w:rFonts w:ascii="Arial" w:cs="Arial" w:eastAsia="Arial" w:hAnsi="Arial"/>
                <w:sz w:val="14"/>
                <w:szCs w:val="14"/>
                <w:color w:val="auto"/>
              </w:rPr>
              <w:t>Provision for (Benefit from) Income</w:t>
            </w:r>
          </w:p>
        </w:tc>
        <w:tc>
          <w:tcPr>
            <w:tcW w:w="0" w:type="dxa"/>
            <w:vAlign w:val="bottom"/>
          </w:tcPr>
          <w:p>
            <w:pPr>
              <w:spacing w:after="0"/>
              <w:rPr>
                <w:sz w:val="1"/>
                <w:szCs w:val="1"/>
                <w:color w:val="auto"/>
              </w:rPr>
            </w:pPr>
          </w:p>
        </w:tc>
      </w:tr>
      <w:tr>
        <w:trPr>
          <w:trHeight w:val="178"/>
        </w:trPr>
        <w:tc>
          <w:tcPr>
            <w:tcW w:w="4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340" w:type="dxa"/>
            <w:vAlign w:val="bottom"/>
          </w:tcPr>
          <w:p>
            <w:pPr>
              <w:ind w:left="120"/>
              <w:spacing w:after="0"/>
              <w:rPr>
                <w:sz w:val="20"/>
                <w:szCs w:val="20"/>
                <w:color w:val="auto"/>
              </w:rPr>
            </w:pPr>
            <w:r>
              <w:rPr>
                <w:rFonts w:ascii="Arial" w:cs="Arial" w:eastAsia="Arial" w:hAnsi="Arial"/>
                <w:sz w:val="14"/>
                <w:szCs w:val="14"/>
                <w:color w:val="auto"/>
              </w:rPr>
              <w:t>Taxes</w:t>
            </w:r>
          </w:p>
        </w:tc>
        <w:tc>
          <w:tcPr>
            <w:tcW w:w="0" w:type="dxa"/>
            <w:vAlign w:val="bottom"/>
          </w:tcPr>
          <w:p>
            <w:pPr>
              <w:spacing w:after="0"/>
              <w:rPr>
                <w:sz w:val="1"/>
                <w:szCs w:val="1"/>
                <w:color w:val="auto"/>
              </w:rPr>
            </w:pPr>
          </w:p>
        </w:tc>
      </w:tr>
      <w:tr>
        <w:trPr>
          <w:trHeight w:val="236"/>
        </w:trPr>
        <w:tc>
          <w:tcPr>
            <w:tcW w:w="4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773</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(1,026)</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1,423</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(2,410)</w:t>
            </w:r>
          </w:p>
        </w:tc>
        <w:tc>
          <w:tcPr>
            <w:tcW w:w="234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6"/>
                <w:szCs w:val="16"/>
                <w:b w:val="1"/>
                <w:bCs w:val="1"/>
                <w:color w:val="auto"/>
              </w:rPr>
              <w:t>Cash Flow Hedges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b w:val="1"/>
                <w:bCs w:val="1"/>
                <w:color w:val="auto"/>
              </w:rPr>
              <w:t>118</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360" w:type="dxa"/>
            <w:vAlign w:val="bottom"/>
          </w:tcPr>
          <w:p>
            <w:pPr>
              <w:spacing w:after="0"/>
              <w:rPr>
                <w:sz w:val="21"/>
                <w:szCs w:val="21"/>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b w:val="1"/>
                <w:bCs w:val="1"/>
                <w:color w:val="auto"/>
              </w:rPr>
              <w:t>147</w:t>
            </w:r>
          </w:p>
        </w:tc>
        <w:tc>
          <w:tcPr>
            <w:tcW w:w="340" w:type="dxa"/>
            <w:vAlign w:val="bottom"/>
          </w:tcPr>
          <w:p>
            <w:pPr>
              <w:spacing w:after="0"/>
              <w:rPr>
                <w:sz w:val="21"/>
                <w:szCs w:val="21"/>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(127)</w:t>
            </w:r>
          </w:p>
        </w:tc>
        <w:tc>
          <w:tcPr>
            <w:tcW w:w="234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06"/>
        </w:trPr>
        <w:tc>
          <w:tcPr>
            <w:tcW w:w="4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6</w:t>
            </w:r>
          </w:p>
        </w:tc>
        <w:tc>
          <w:tcPr>
            <w:tcW w:w="340" w:type="dxa"/>
            <w:vAlign w:val="bottom"/>
          </w:tcPr>
          <w:p>
            <w:pPr>
              <w:spacing w:after="0"/>
              <w:rPr>
                <w:sz w:val="17"/>
                <w:szCs w:val="17"/>
                <w:color w:val="auto"/>
              </w:rPr>
            </w:pPr>
          </w:p>
        </w:tc>
        <w:tc>
          <w:tcPr>
            <w:tcW w:w="760" w:type="dxa"/>
            <w:vAlign w:val="bottom"/>
            <w:vMerge w:val="restart"/>
          </w:tcPr>
          <w:p>
            <w:pPr>
              <w:jc w:val="right"/>
              <w:ind w:right="79"/>
              <w:spacing w:after="0"/>
              <w:rPr>
                <w:sz w:val="20"/>
                <w:szCs w:val="20"/>
                <w:color w:val="auto"/>
              </w:rPr>
            </w:pPr>
            <w:r>
              <w:rPr>
                <w:rFonts w:ascii="Arial" w:cs="Arial" w:eastAsia="Arial" w:hAnsi="Arial"/>
                <w:sz w:val="16"/>
                <w:szCs w:val="16"/>
                <w:color w:val="auto"/>
              </w:rPr>
              <w:t>14</w:t>
            </w:r>
          </w:p>
        </w:tc>
        <w:tc>
          <w:tcPr>
            <w:tcW w:w="360" w:type="dxa"/>
            <w:vAlign w:val="bottom"/>
          </w:tcPr>
          <w:p>
            <w:pPr>
              <w:spacing w:after="0"/>
              <w:rPr>
                <w:sz w:val="17"/>
                <w:szCs w:val="17"/>
                <w:color w:val="auto"/>
              </w:rPr>
            </w:pPr>
          </w:p>
        </w:tc>
        <w:tc>
          <w:tcPr>
            <w:tcW w:w="7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13</w:t>
            </w:r>
          </w:p>
        </w:tc>
        <w:tc>
          <w:tcPr>
            <w:tcW w:w="340" w:type="dxa"/>
            <w:vAlign w:val="bottom"/>
          </w:tcPr>
          <w:p>
            <w:pPr>
              <w:spacing w:after="0"/>
              <w:rPr>
                <w:sz w:val="17"/>
                <w:szCs w:val="17"/>
                <w:color w:val="auto"/>
              </w:rPr>
            </w:pPr>
          </w:p>
        </w:tc>
        <w:tc>
          <w:tcPr>
            <w:tcW w:w="760" w:type="dxa"/>
            <w:vAlign w:val="bottom"/>
            <w:vMerge w:val="restart"/>
          </w:tcPr>
          <w:p>
            <w:pPr>
              <w:jc w:val="right"/>
              <w:ind w:right="79"/>
              <w:spacing w:after="0"/>
              <w:rPr>
                <w:sz w:val="20"/>
                <w:szCs w:val="20"/>
                <w:color w:val="auto"/>
              </w:rPr>
            </w:pPr>
            <w:r>
              <w:rPr>
                <w:rFonts w:ascii="Arial" w:cs="Arial" w:eastAsia="Arial" w:hAnsi="Arial"/>
                <w:sz w:val="16"/>
                <w:szCs w:val="16"/>
                <w:color w:val="auto"/>
              </w:rPr>
              <w:t>29</w:t>
            </w:r>
          </w:p>
        </w:tc>
        <w:tc>
          <w:tcPr>
            <w:tcW w:w="2340" w:type="dxa"/>
            <w:vAlign w:val="bottom"/>
          </w:tcPr>
          <w:p>
            <w:pPr>
              <w:ind w:left="120"/>
              <w:spacing w:after="0"/>
              <w:rPr>
                <w:sz w:val="20"/>
                <w:szCs w:val="20"/>
                <w:color w:val="auto"/>
              </w:rPr>
            </w:pPr>
            <w:r>
              <w:rPr>
                <w:rFonts w:ascii="Arial" w:cs="Arial" w:eastAsia="Arial" w:hAnsi="Arial"/>
                <w:sz w:val="14"/>
                <w:szCs w:val="14"/>
                <w:color w:val="auto"/>
              </w:rPr>
              <w:t>Provision for (Benefit from) Income</w:t>
            </w:r>
          </w:p>
        </w:tc>
        <w:tc>
          <w:tcPr>
            <w:tcW w:w="0" w:type="dxa"/>
            <w:vAlign w:val="bottom"/>
          </w:tcPr>
          <w:p>
            <w:pPr>
              <w:spacing w:after="0"/>
              <w:rPr>
                <w:sz w:val="1"/>
                <w:szCs w:val="1"/>
                <w:color w:val="auto"/>
              </w:rPr>
            </w:pPr>
          </w:p>
        </w:tc>
      </w:tr>
      <w:tr>
        <w:trPr>
          <w:trHeight w:val="178"/>
        </w:trPr>
        <w:tc>
          <w:tcPr>
            <w:tcW w:w="4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340" w:type="dxa"/>
            <w:vAlign w:val="bottom"/>
          </w:tcPr>
          <w:p>
            <w:pPr>
              <w:ind w:left="120"/>
              <w:spacing w:after="0"/>
              <w:rPr>
                <w:sz w:val="20"/>
                <w:szCs w:val="20"/>
                <w:color w:val="auto"/>
              </w:rPr>
            </w:pPr>
            <w:r>
              <w:rPr>
                <w:rFonts w:ascii="Arial" w:cs="Arial" w:eastAsia="Arial" w:hAnsi="Arial"/>
                <w:sz w:val="14"/>
                <w:szCs w:val="14"/>
                <w:color w:val="auto"/>
              </w:rPr>
              <w:t>Taxes</w:t>
            </w:r>
          </w:p>
        </w:tc>
        <w:tc>
          <w:tcPr>
            <w:tcW w:w="0" w:type="dxa"/>
            <w:vAlign w:val="bottom"/>
          </w:tcPr>
          <w:p>
            <w:pPr>
              <w:spacing w:after="0"/>
              <w:rPr>
                <w:sz w:val="1"/>
                <w:szCs w:val="1"/>
                <w:color w:val="auto"/>
              </w:rPr>
            </w:pPr>
          </w:p>
        </w:tc>
      </w:tr>
      <w:tr>
        <w:trPr>
          <w:trHeight w:val="236"/>
        </w:trPr>
        <w:tc>
          <w:tcPr>
            <w:tcW w:w="4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124</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160</w:t>
            </w: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(98)</w:t>
            </w:r>
          </w:p>
        </w:tc>
        <w:tc>
          <w:tcPr>
            <w:tcW w:w="234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0"/>
                <w:szCs w:val="20"/>
                <w:color w:val="auto"/>
              </w:rPr>
            </w:pPr>
            <w:r>
              <w:rPr>
                <w:rFonts w:ascii="Arial" w:cs="Arial" w:eastAsia="Arial" w:hAnsi="Arial"/>
                <w:sz w:val="16"/>
                <w:szCs w:val="16"/>
                <w:b w:val="1"/>
                <w:bCs w:val="1"/>
                <w:color w:val="auto"/>
              </w:rPr>
              <w:t>Total reclassification for the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897</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(1,070)</w:t>
            </w:r>
          </w:p>
        </w:tc>
        <w:tc>
          <w:tcPr>
            <w:tcW w:w="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1,583</w:t>
            </w: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(2,508)</w:t>
            </w:r>
          </w:p>
        </w:tc>
        <w:tc>
          <w:tcPr>
            <w:tcW w:w="234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42" w:lineRule="exact"/>
        <w:rPr>
          <w:sz w:val="20"/>
          <w:szCs w:val="20"/>
          <w:color w:val="auto"/>
        </w:rPr>
      </w:pPr>
    </w:p>
    <w:p>
      <w:pPr>
        <w:ind w:left="420" w:right="220" w:hanging="412"/>
        <w:spacing w:after="0" w:line="239" w:lineRule="auto"/>
        <w:tabs>
          <w:tab w:leader="none" w:pos="228"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12) and are included in non-operating pension and postretirement benefit income in the Company’s Condensed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CONTINGENCIES</w:t>
      </w:r>
    </w:p>
    <w:p>
      <w:pPr>
        <w:spacing w:after="0" w:line="144"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 negligence, libel, defamation and invasion of privacy; trademark, copyright and patent infringement; violations of employment laws and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$15 million.</w:t>
      </w:r>
    </w:p>
    <w:p>
      <w:pPr>
        <w:spacing w:after="0" w:line="139" w:lineRule="exact"/>
        <w:rPr>
          <w:sz w:val="20"/>
          <w:szCs w:val="20"/>
          <w:color w:val="auto"/>
        </w:rPr>
      </w:pPr>
    </w:p>
    <w:p>
      <w:pPr>
        <w:ind w:right="60"/>
        <w:spacing w:after="0" w:line="222" w:lineRule="auto"/>
        <w:rPr>
          <w:sz w:val="20"/>
          <w:szCs w:val="20"/>
          <w:color w:val="auto"/>
        </w:rPr>
      </w:pPr>
      <w:r>
        <w:rPr>
          <w:rFonts w:ascii="Arial" w:cs="Arial" w:eastAsia="Arial" w:hAnsi="Arial"/>
          <w:sz w:val="18"/>
          <w:szCs w:val="18"/>
          <w:color w:val="auto"/>
        </w:rPr>
        <w:t>On January 10, 2020, Kaplan Bournemouth Limited received an improvement notice from Bournemouth, Christchurch and Poole Council, a local government authority, under section 11 of the U.K. Housing Act 2004 in relation to its leased student residence in Bournemouth, U.K. This notice follows the Council’s assessment that a category 1 fire hazard exists at the property and requires certain remedial work to be undertaken at the property within a specified timetable. This work comprises a number of items, including the removal of aluminum composite material (ACM) cladding and high pressure laminate (HPL) cladding from the facade of the building. Kaplan Bournemouth Limited appealed the notice on January 31, 2020, to contest certain remedial requirements, although it will not contest the requirement for the removal of the ACM and HPL cladding. Following the appeal, a mediation hearing was initially scheduled for April 2020 but was postponed due to the COVID-19 pandemic. The tribunal appeal proceedings are stayed until August 31, 2020. During this time, Kaplan have entered into discussions with the Council with a view to reaching an agreement on the remedial works required. If these discussions are unsuccessful, Kaplan will continue its appeal to the tribunal. If Kaplan is not successful in its appeal, additional substantial work may be required in connection with the building.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BUSINESS SEGMENTS</w:t>
      </w:r>
    </w:p>
    <w:p>
      <w:pPr>
        <w:spacing w:after="0" w:line="166"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Company has eight reportable segments: Kaplan International, Kaplan Higher Education, Kaplan Test Preparation, Kaplan Professional (U.S.), Television Broadcasting, Manufacturing, Healthcare, and SocialCode.</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Kaplan developed and implemented a number of initiatives across its businesses to help mitigate the negative revenue impact arising from COVID-19, and to re-align its program offerings to better pursue opportunities from the disruption. These initiatives include employee salary and work-hour reductions; temporary furlough and other employee reductions; reduced discretionary spending; facility restructuring to reduce its classroom and office facilities; reduced capital expenditures; and accelerated development and promotion of various online programs and solutions.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sectPr>
      </w:pPr>
    </w:p>
    <w:bookmarkStart w:id="25" w:name="page26"/>
    <w:bookmarkEnd w:id="25"/>
    <w:p>
      <w:pPr>
        <w:ind w:right="80"/>
        <w:spacing w:after="0" w:line="245" w:lineRule="auto"/>
        <w:rPr>
          <w:sz w:val="20"/>
          <w:szCs w:val="20"/>
          <w:color w:val="auto"/>
        </w:rPr>
      </w:pPr>
      <w:r>
        <w:rPr>
          <w:rFonts w:ascii="Arial" w:cs="Arial" w:eastAsia="Arial" w:hAnsi="Arial"/>
          <w:sz w:val="17"/>
          <w:szCs w:val="17"/>
          <w:color w:val="auto"/>
        </w:rPr>
        <w:t>In June 2020, Kaplan announced a plan to combine its three primary divisions based in the United States (Kaplan Test Prep, Kaplan Professional, and Kaplan Higher Education) into one business known as Kaplan North America. The plan for this combination is under development and is designed to create and reinforce Kaplan’s competitiveness in each market, and new markets into which Kaplan extends.</w:t>
      </w:r>
    </w:p>
    <w:p>
      <w:pPr>
        <w:spacing w:after="0" w:line="130" w:lineRule="exact"/>
        <w:rPr>
          <w:sz w:val="20"/>
          <w:szCs w:val="20"/>
          <w:color w:val="auto"/>
        </w:rPr>
      </w:pPr>
    </w:p>
    <w:p>
      <w:pPr>
        <w:jc w:val="both"/>
        <w:ind w:right="80"/>
        <w:spacing w:after="0" w:line="227" w:lineRule="auto"/>
        <w:rPr>
          <w:sz w:val="20"/>
          <w:szCs w:val="20"/>
          <w:color w:val="auto"/>
        </w:rPr>
      </w:pPr>
      <w:r>
        <w:rPr>
          <w:rFonts w:ascii="Arial" w:cs="Arial" w:eastAsia="Arial" w:hAnsi="Arial"/>
          <w:sz w:val="18"/>
          <w:szCs w:val="18"/>
          <w:color w:val="auto"/>
        </w:rPr>
        <w:t>In the first half of 2020, Kaplan recorded restructuring costs related to severance, the exit of classroom and office facilities, and an approved Separation Incentive Program that reduced the number of employees at Kaplan International, Kaplan Higher Education, Kaplan Professional (U.S.) and Kaplan Corporate. Kaplan is in the process of developing additional cost reduction plans to be implemented in the second half of 2020.</w:t>
      </w:r>
    </w:p>
    <w:p>
      <w:pPr>
        <w:spacing w:after="0" w:line="135" w:lineRule="exact"/>
        <w:rPr>
          <w:sz w:val="20"/>
          <w:szCs w:val="20"/>
          <w:color w:val="auto"/>
        </w:rPr>
      </w:pPr>
    </w:p>
    <w:p>
      <w:pPr>
        <w:ind w:right="160"/>
        <w:spacing w:after="0" w:line="227" w:lineRule="auto"/>
        <w:rPr>
          <w:sz w:val="20"/>
          <w:szCs w:val="20"/>
          <w:color w:val="auto"/>
        </w:rPr>
      </w:pPr>
      <w:r>
        <w:rPr>
          <w:rFonts w:ascii="Arial" w:cs="Arial" w:eastAsia="Arial" w:hAnsi="Arial"/>
          <w:sz w:val="18"/>
          <w:szCs w:val="18"/>
          <w:color w:val="auto"/>
        </w:rPr>
        <w:t>In the second quarter of 2020, SocialCode recorded restructuring costs in connection with a restructuring plan that included the exit of an office facility, an approved Separation Incentive Program to reduce the number of employees, and other cost reduction initiatives to mitigate the adverse impact of COVID-19 on advertising demand. In July 2020, SocialCode announced it will be splitting into two separate companies.</w:t>
      </w:r>
    </w:p>
    <w:p>
      <w:pPr>
        <w:spacing w:after="0" w:line="135"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Across all businesses, restructuring related costs of $29.2 million and $31.3 million, respectively, were recorded for the three and six months ended June 30, 2020. Kaplan Higher Education recorded $2.0 million in facility related restructuring costs in the first quarter of 2020. Restructuring related costs across all businesses in 2020 were recorded as follows: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160" w:type="dxa"/>
            <w:vAlign w:val="bottom"/>
          </w:tcPr>
          <w:p>
            <w:pPr>
              <w:jc w:val="center"/>
              <w:ind w:left="1008"/>
              <w:spacing w:after="0"/>
              <w:rPr>
                <w:sz w:val="20"/>
                <w:szCs w:val="20"/>
                <w:color w:val="auto"/>
              </w:rPr>
            </w:pPr>
            <w:r>
              <w:rPr>
                <w:rFonts w:ascii="Arial" w:cs="Arial" w:eastAsia="Arial" w:hAnsi="Arial"/>
                <w:sz w:val="14"/>
                <w:szCs w:val="14"/>
                <w:color w:val="auto"/>
              </w:rPr>
              <w:t>Kaplan</w:t>
            </w:r>
          </w:p>
        </w:tc>
        <w:tc>
          <w:tcPr>
            <w:tcW w:w="940" w:type="dxa"/>
            <w:vAlign w:val="bottom"/>
          </w:tcPr>
          <w:p>
            <w:pPr>
              <w:jc w:val="center"/>
              <w:spacing w:after="0"/>
              <w:rPr>
                <w:sz w:val="20"/>
                <w:szCs w:val="20"/>
                <w:color w:val="auto"/>
              </w:rPr>
            </w:pPr>
            <w:r>
              <w:rPr>
                <w:rFonts w:ascii="Arial" w:cs="Arial" w:eastAsia="Arial" w:hAnsi="Arial"/>
                <w:sz w:val="14"/>
                <w:szCs w:val="14"/>
                <w:color w:val="auto"/>
              </w:rPr>
              <w:t>Higher</w:t>
            </w: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Test</w:t>
            </w:r>
          </w:p>
        </w:tc>
        <w:tc>
          <w:tcPr>
            <w:tcW w:w="1100" w:type="dxa"/>
            <w:vAlign w:val="bottom"/>
          </w:tcPr>
          <w:p>
            <w:pPr>
              <w:jc w:val="center"/>
              <w:spacing w:after="0"/>
              <w:rPr>
                <w:sz w:val="20"/>
                <w:szCs w:val="20"/>
                <w:color w:val="auto"/>
              </w:rPr>
            </w:pPr>
            <w:r>
              <w:rPr>
                <w:rFonts w:ascii="Arial" w:cs="Arial" w:eastAsia="Arial" w:hAnsi="Arial"/>
                <w:sz w:val="14"/>
                <w:szCs w:val="14"/>
                <w:color w:val="auto"/>
              </w:rPr>
              <w:t>Professional</w:t>
            </w:r>
          </w:p>
        </w:tc>
        <w:tc>
          <w:tcPr>
            <w:tcW w:w="920" w:type="dxa"/>
            <w:vAlign w:val="bottom"/>
          </w:tcPr>
          <w:p>
            <w:pPr>
              <w:jc w:val="center"/>
              <w:spacing w:after="0"/>
              <w:rPr>
                <w:sz w:val="20"/>
                <w:szCs w:val="20"/>
                <w:color w:val="auto"/>
              </w:rPr>
            </w:pPr>
            <w:r>
              <w:rPr>
                <w:rFonts w:ascii="Arial" w:cs="Arial" w:eastAsia="Arial" w:hAnsi="Arial"/>
                <w:sz w:val="14"/>
                <w:szCs w:val="14"/>
                <w:color w:val="auto"/>
              </w:rPr>
              <w:t>Kaplan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Total</w:t>
            </w:r>
          </w:p>
        </w:tc>
        <w:tc>
          <w:tcPr>
            <w:tcW w:w="11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SocialCode</w:t>
            </w:r>
          </w:p>
        </w:tc>
        <w:tc>
          <w:tcPr>
            <w:tcW w:w="54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0"/>
        </w:trPr>
        <w:tc>
          <w:tcPr>
            <w:tcW w:w="2160" w:type="dxa"/>
            <w:vAlign w:val="bottom"/>
          </w:tcPr>
          <w:p>
            <w:pPr>
              <w:spacing w:after="0"/>
              <w:rPr>
                <w:sz w:val="20"/>
                <w:szCs w:val="20"/>
                <w:color w:val="auto"/>
              </w:rPr>
            </w:pPr>
            <w:r>
              <w:rPr>
                <w:rFonts w:ascii="Arial" w:cs="Arial" w:eastAsia="Arial" w:hAnsi="Arial"/>
                <w:sz w:val="14"/>
                <w:szCs w:val="14"/>
                <w:color w:val="auto"/>
              </w:rPr>
              <w:t>(in thousands)</w:t>
            </w:r>
          </w:p>
        </w:tc>
        <w:tc>
          <w:tcPr>
            <w:tcW w:w="2160" w:type="dxa"/>
            <w:vAlign w:val="bottom"/>
          </w:tcPr>
          <w:p>
            <w:pPr>
              <w:jc w:val="center"/>
              <w:ind w:left="1008"/>
              <w:spacing w:after="0"/>
              <w:rPr>
                <w:sz w:val="20"/>
                <w:szCs w:val="20"/>
                <w:color w:val="auto"/>
              </w:rPr>
            </w:pPr>
            <w:r>
              <w:rPr>
                <w:rFonts w:ascii="Arial" w:cs="Arial" w:eastAsia="Arial" w:hAnsi="Arial"/>
                <w:sz w:val="14"/>
                <w:szCs w:val="14"/>
                <w:color w:val="auto"/>
              </w:rPr>
              <w:t>International</w:t>
            </w:r>
          </w:p>
        </w:tc>
        <w:tc>
          <w:tcPr>
            <w:tcW w:w="940" w:type="dxa"/>
            <w:vAlign w:val="bottom"/>
          </w:tcPr>
          <w:p>
            <w:pPr>
              <w:jc w:val="center"/>
              <w:spacing w:after="0"/>
              <w:rPr>
                <w:sz w:val="20"/>
                <w:szCs w:val="20"/>
                <w:color w:val="auto"/>
              </w:rPr>
            </w:pPr>
            <w:r>
              <w:rPr>
                <w:rFonts w:ascii="Arial" w:cs="Arial" w:eastAsia="Arial" w:hAnsi="Arial"/>
                <w:sz w:val="14"/>
                <w:szCs w:val="14"/>
                <w:color w:val="auto"/>
              </w:rPr>
              <w:t>Education</w:t>
            </w:r>
          </w:p>
        </w:tc>
        <w:tc>
          <w:tcPr>
            <w:tcW w:w="1040" w:type="dxa"/>
            <w:vAlign w:val="bottom"/>
          </w:tcPr>
          <w:p>
            <w:pPr>
              <w:jc w:val="center"/>
              <w:spacing w:after="0"/>
              <w:rPr>
                <w:sz w:val="20"/>
                <w:szCs w:val="20"/>
                <w:color w:val="auto"/>
              </w:rPr>
            </w:pPr>
            <w:r>
              <w:rPr>
                <w:rFonts w:ascii="Arial" w:cs="Arial" w:eastAsia="Arial" w:hAnsi="Arial"/>
                <w:sz w:val="14"/>
                <w:szCs w:val="14"/>
                <w:color w:val="auto"/>
              </w:rPr>
              <w:t>Preparation</w:t>
            </w:r>
          </w:p>
        </w:tc>
        <w:tc>
          <w:tcPr>
            <w:tcW w:w="1100" w:type="dxa"/>
            <w:vAlign w:val="bottom"/>
          </w:tcPr>
          <w:p>
            <w:pPr>
              <w:jc w:val="center"/>
              <w:spacing w:after="0"/>
              <w:rPr>
                <w:sz w:val="20"/>
                <w:szCs w:val="20"/>
                <w:color w:val="auto"/>
              </w:rPr>
            </w:pPr>
            <w:r>
              <w:rPr>
                <w:rFonts w:ascii="Arial" w:cs="Arial" w:eastAsia="Arial" w:hAnsi="Arial"/>
                <w:sz w:val="14"/>
                <w:szCs w:val="14"/>
                <w:color w:val="auto"/>
              </w:rPr>
              <w:t>(U.S)</w:t>
            </w:r>
          </w:p>
        </w:tc>
        <w:tc>
          <w:tcPr>
            <w:tcW w:w="920" w:type="dxa"/>
            <w:vAlign w:val="bottom"/>
          </w:tcPr>
          <w:p>
            <w:pPr>
              <w:jc w:val="center"/>
              <w:spacing w:after="0"/>
              <w:rPr>
                <w:sz w:val="20"/>
                <w:szCs w:val="20"/>
                <w:color w:val="auto"/>
              </w:rPr>
            </w:pPr>
            <w:r>
              <w:rPr>
                <w:rFonts w:ascii="Arial" w:cs="Arial" w:eastAsia="Arial" w:hAnsi="Arial"/>
                <w:sz w:val="14"/>
                <w:szCs w:val="14"/>
                <w:color w:val="auto"/>
              </w:rPr>
              <w:t>Corporate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Education</w:t>
            </w:r>
          </w:p>
        </w:tc>
        <w:tc>
          <w:tcPr>
            <w:tcW w:w="112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Severance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Facility related costs: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ind w:left="360" w:right="140" w:hanging="80"/>
        <w:spacing w:after="0" w:line="242" w:lineRule="auto"/>
        <w:rPr>
          <w:sz w:val="20"/>
          <w:szCs w:val="20"/>
          <w:color w:val="auto"/>
        </w:rPr>
      </w:pPr>
      <w:r>
        <w:rPr>
          <w:rFonts w:ascii="Arial" w:cs="Arial" w:eastAsia="Arial" w:hAnsi="Arial"/>
          <w:sz w:val="16"/>
          <w:szCs w:val="16"/>
          <w:color w:val="auto"/>
        </w:rPr>
        <w:t>Accelerated depreciation of property, plant and equipment</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Restructuring Costs Included in</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Segment Income (Loss) from</w:t>
      </w:r>
    </w:p>
    <w:p>
      <w:pPr>
        <w:ind w:left="180"/>
        <w:spacing w:after="0"/>
        <w:rPr>
          <w:sz w:val="20"/>
          <w:szCs w:val="20"/>
          <w:color w:val="auto"/>
        </w:rPr>
      </w:pPr>
      <w:r>
        <w:rPr>
          <w:rFonts w:ascii="Arial" w:cs="Arial" w:eastAsia="Arial" w:hAnsi="Arial"/>
          <w:sz w:val="16"/>
          <w:szCs w:val="16"/>
          <w:b w:val="1"/>
          <w:bCs w:val="1"/>
          <w:color w:val="auto"/>
        </w:rPr>
        <w:t>Operations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Impairment of other long-lived assets: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Lease right-of-use assets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Property, plant and equipment</w:t>
      </w:r>
    </w:p>
    <w:p>
      <w:pPr>
        <w:spacing w:after="0" w:line="46" w:lineRule="exact"/>
        <w:rPr>
          <w:sz w:val="20"/>
          <w:szCs w:val="20"/>
          <w:color w:val="auto"/>
        </w:rPr>
      </w:pPr>
    </w:p>
    <w:p>
      <w:pPr>
        <w:ind w:left="80" w:hanging="80"/>
        <w:spacing w:after="0" w:line="242" w:lineRule="auto"/>
        <w:rPr>
          <w:sz w:val="20"/>
          <w:szCs w:val="20"/>
          <w:color w:val="auto"/>
        </w:rPr>
      </w:pPr>
      <w:r>
        <w:rPr>
          <w:rFonts w:ascii="Arial" w:cs="Arial" w:eastAsia="Arial" w:hAnsi="Arial"/>
          <w:sz w:val="16"/>
          <w:szCs w:val="16"/>
          <w:color w:val="auto"/>
        </w:rPr>
        <w:t>Non-operating pension and postretirement benefit income, net</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Restructuring Related Costs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1,224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1,224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1,224</w:t>
            </w:r>
          </w:p>
        </w:tc>
      </w:tr>
      <w:tr>
        <w:trPr>
          <w:trHeight w:val="473"/>
        </w:trPr>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2,418</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3,442</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2,740</w:t>
            </w:r>
          </w:p>
        </w:tc>
        <w:tc>
          <w:tcPr>
            <w:tcW w:w="40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556</w:t>
            </w:r>
          </w:p>
        </w:tc>
        <w:tc>
          <w:tcPr>
            <w:tcW w:w="360" w:type="dxa"/>
            <w:vAlign w:val="bottom"/>
          </w:tcPr>
          <w:p>
            <w:pPr>
              <w:spacing w:after="0"/>
              <w:rPr>
                <w:sz w:val="24"/>
                <w:szCs w:val="24"/>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9,156</w:t>
            </w: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9,156</w:t>
            </w:r>
          </w:p>
        </w:tc>
      </w:tr>
      <w:tr>
        <w:trPr>
          <w:trHeight w:val="418"/>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w:t>
            </w: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1,792</w:t>
            </w: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w:t>
            </w: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3,368</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3,368</w:t>
            </w:r>
          </w:p>
        </w:tc>
      </w:tr>
      <w:tr>
        <w:trPr>
          <w:trHeight w:val="560"/>
        </w:trPr>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5,114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3,537</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4,532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565</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13,748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13,748</w:t>
            </w:r>
          </w:p>
        </w:tc>
      </w:tr>
      <w:tr>
        <w:trPr>
          <w:trHeight w:val="494"/>
        </w:trPr>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3,790</w:t>
            </w:r>
          </w:p>
        </w:tc>
        <w:tc>
          <w:tcPr>
            <w:tcW w:w="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2,062</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243</w:t>
            </w:r>
          </w:p>
        </w:tc>
        <w:tc>
          <w:tcPr>
            <w:tcW w:w="40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1,955</w:t>
            </w:r>
          </w:p>
        </w:tc>
        <w:tc>
          <w:tcPr>
            <w:tcW w:w="360" w:type="dxa"/>
            <w:vAlign w:val="bottom"/>
          </w:tcPr>
          <w:p>
            <w:pPr>
              <w:spacing w:after="0"/>
              <w:rPr>
                <w:sz w:val="24"/>
                <w:szCs w:val="24"/>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8,050</w:t>
            </w:r>
          </w:p>
        </w:tc>
        <w:tc>
          <w:tcPr>
            <w:tcW w:w="4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1,405</w:t>
            </w:r>
          </w:p>
        </w:tc>
        <w:tc>
          <w:tcPr>
            <w:tcW w:w="200" w:type="dxa"/>
            <w:vAlign w:val="bottom"/>
          </w:tcPr>
          <w:p>
            <w:pPr>
              <w:spacing w:after="0"/>
              <w:rPr>
                <w:sz w:val="24"/>
                <w:szCs w:val="24"/>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9,455</w:t>
            </w:r>
          </w:p>
        </w:tc>
      </w:tr>
      <w:tr>
        <w:trPr>
          <w:trHeight w:val="243"/>
        </w:trPr>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1,199</w:t>
            </w: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174</w:t>
            </w:r>
          </w:p>
        </w:tc>
        <w:tc>
          <w:tcPr>
            <w:tcW w:w="3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597</w:t>
            </w:r>
          </w:p>
        </w:tc>
        <w:tc>
          <w:tcPr>
            <w:tcW w:w="360" w:type="dxa"/>
            <w:vAlign w:val="bottom"/>
          </w:tcPr>
          <w:p>
            <w:pPr>
              <w:spacing w:after="0"/>
              <w:rPr>
                <w:sz w:val="21"/>
                <w:szCs w:val="21"/>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1,970</w:t>
            </w:r>
          </w:p>
        </w:tc>
        <w:tc>
          <w:tcPr>
            <w:tcW w:w="4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w:t>
            </w:r>
          </w:p>
        </w:tc>
        <w:tc>
          <w:tcPr>
            <w:tcW w:w="200" w:type="dxa"/>
            <w:vAlign w:val="bottom"/>
          </w:tcPr>
          <w:p>
            <w:pPr>
              <w:spacing w:after="0"/>
              <w:rPr>
                <w:sz w:val="21"/>
                <w:szCs w:val="21"/>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2,056</w:t>
            </w:r>
          </w:p>
        </w:tc>
      </w:tr>
      <w:tr>
        <w:trPr>
          <w:trHeight w:val="418"/>
        </w:trPr>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w:t>
            </w: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2,295</w:t>
            </w:r>
          </w:p>
        </w:tc>
        <w:tc>
          <w:tcPr>
            <w:tcW w:w="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w:t>
            </w: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5,015</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6,014</w:t>
            </w:r>
          </w:p>
        </w:tc>
      </w:tr>
      <w:tr>
        <w:trPr>
          <w:trHeight w:val="236"/>
        </w:trPr>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11,203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7,204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4,775</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5,412</w:t>
            </w:r>
          </w:p>
        </w:tc>
        <w:tc>
          <w:tcPr>
            <w:tcW w:w="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189</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28,783</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31,273</w:t>
            </w:r>
          </w:p>
        </w:tc>
      </w:tr>
      <w:tr>
        <w:trPr>
          <w:trHeight w:val="27"/>
        </w:trPr>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ectPr>
          <w:pgSz w:w="11900" w:h="16838" w:orient="portrait"/>
          <w:cols w:equalWidth="0" w:num="2">
            <w:col w:w="3040" w:space="200"/>
            <w:col w:w="8000"/>
          </w:cols>
          <w:pgMar w:left="320" w:top="1057" w:right="339" w:bottom="1440" w:gutter="0" w:footer="0" w:header="0"/>
          <w:type w:val="continuous"/>
        </w:sectPr>
      </w:pPr>
    </w:p>
    <w:p>
      <w:pPr>
        <w:ind w:right="60"/>
        <w:spacing w:after="0" w:line="235" w:lineRule="auto"/>
        <w:rPr>
          <w:sz w:val="20"/>
          <w:szCs w:val="20"/>
          <w:color w:val="auto"/>
        </w:rPr>
      </w:pPr>
      <w:r>
        <w:rPr>
          <w:rFonts w:ascii="Arial" w:cs="Arial" w:eastAsia="Arial" w:hAnsi="Arial"/>
          <w:sz w:val="18"/>
          <w:szCs w:val="18"/>
          <w:color w:val="auto"/>
        </w:rPr>
        <w:t>In June 2020, CRG made the decision to close its restaurant and entertainment venue in Columbia, MD effective July 19, 2020 and recorded accelerated depreciation of property, plant and equipment totaling $2.8 million.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The following tables summarize the financial information related to each of the Company’s business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3"/>
          </w:tcPr>
          <w:p>
            <w:pPr>
              <w:jc w:val="center"/>
              <w:ind w:right="119"/>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6"/>
                <w:szCs w:val="16"/>
                <w:color w:val="auto"/>
              </w:rPr>
            </w:pPr>
          </w:p>
        </w:tc>
        <w:tc>
          <w:tcPr>
            <w:tcW w:w="2420" w:type="dxa"/>
            <w:vAlign w:val="bottom"/>
            <w:gridSpan w:val="3"/>
          </w:tcPr>
          <w:p>
            <w:pPr>
              <w:jc w:val="right"/>
              <w:ind w:right="63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22"/>
        </w:trPr>
        <w:tc>
          <w:tcPr>
            <w:tcW w:w="6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2019</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333,175</w:t>
            </w:r>
          </w:p>
        </w:tc>
        <w:tc>
          <w:tcPr>
            <w:tcW w:w="620" w:type="dxa"/>
            <w:vAlign w:val="bottom"/>
          </w:tcPr>
          <w:p>
            <w:pPr>
              <w:jc w:val="center"/>
              <w:ind w:right="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367,763</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689,553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740,217</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100,762</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116,628</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216,210</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224,851</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83,239</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114,873</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196,697</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230,030</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49,181</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40,641</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95,175</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78,369</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SocialCode</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10,483</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16,382</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22,506</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29,829</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76,380</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81,359</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165,648</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126,589</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60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(349)</w:t>
            </w:r>
          </w:p>
        </w:tc>
        <w:tc>
          <w:tcPr>
            <w:tcW w:w="6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(661)</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36"/>
        </w:trPr>
        <w:tc>
          <w:tcPr>
            <w:tcW w:w="60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652,871</w:t>
            </w: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737,602</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1,385,128</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1,429,801</w:t>
            </w:r>
          </w:p>
        </w:tc>
        <w:tc>
          <w:tcPr>
            <w:tcW w:w="0" w:type="dxa"/>
            <w:vAlign w:val="bottom"/>
          </w:tcPr>
          <w:p>
            <w:pPr>
              <w:spacing w:after="0"/>
              <w:rPr>
                <w:sz w:val="1"/>
                <w:szCs w:val="1"/>
                <w:color w:val="auto"/>
              </w:rPr>
            </w:pPr>
          </w:p>
        </w:tc>
      </w:tr>
      <w:tr>
        <w:trPr>
          <w:trHeight w:val="21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12,254</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16,946</w:t>
            </w: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18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620" w:type="dxa"/>
            <w:vAlign w:val="bottom"/>
          </w:tcPr>
          <w:p>
            <w:pPr>
              <w:jc w:val="center"/>
              <w:ind w:right="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26,305</w:t>
            </w:r>
          </w:p>
        </w:tc>
        <w:tc>
          <w:tcPr>
            <w:tcW w:w="36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51,900</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23,627</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44,494</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59,403</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80,034</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(1,482)</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4,692</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5,019</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7,966</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8,818</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2,598</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11,987</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4,927</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SocialCode</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(3,004)</w:t>
            </w:r>
          </w:p>
        </w:tc>
        <w:tc>
          <w:tcPr>
            <w:tcW w:w="62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(975)</w:t>
            </w:r>
          </w:p>
        </w:tc>
        <w:tc>
          <w:tcPr>
            <w:tcW w:w="36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(6,793)</w:t>
            </w:r>
          </w:p>
        </w:tc>
        <w:tc>
          <w:tcPr>
            <w:tcW w:w="4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(4,993)</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(21,316)</w:t>
            </w:r>
          </w:p>
        </w:tc>
        <w:tc>
          <w:tcPr>
            <w:tcW w:w="62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(5,913)</w:t>
            </w:r>
          </w:p>
        </w:tc>
        <w:tc>
          <w:tcPr>
            <w:tcW w:w="36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(51,008)</w:t>
            </w:r>
          </w:p>
        </w:tc>
        <w:tc>
          <w:tcPr>
            <w:tcW w:w="4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(14,406)</w:t>
            </w:r>
          </w:p>
        </w:tc>
        <w:tc>
          <w:tcPr>
            <w:tcW w:w="0" w:type="dxa"/>
            <w:vAlign w:val="bottom"/>
          </w:tcPr>
          <w:p>
            <w:pPr>
              <w:spacing w:after="0"/>
              <w:rPr>
                <w:sz w:val="1"/>
                <w:szCs w:val="1"/>
                <w:color w:val="auto"/>
              </w:rPr>
            </w:pPr>
          </w:p>
        </w:tc>
      </w:tr>
      <w:tr>
        <w:trPr>
          <w:trHeight w:val="256"/>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(13,020)</w:t>
            </w:r>
          </w:p>
        </w:tc>
        <w:tc>
          <w:tcPr>
            <w:tcW w:w="6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(13,238)</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(21,592)</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(27,462)</w:t>
            </w:r>
          </w:p>
        </w:tc>
        <w:tc>
          <w:tcPr>
            <w:tcW w:w="0" w:type="dxa"/>
            <w:vAlign w:val="bottom"/>
          </w:tcPr>
          <w:p>
            <w:pPr>
              <w:spacing w:after="0"/>
              <w:rPr>
                <w:sz w:val="1"/>
                <w:szCs w:val="1"/>
                <w:color w:val="auto"/>
              </w:rPr>
            </w:pPr>
          </w:p>
        </w:tc>
      </w:tr>
      <w:tr>
        <w:trPr>
          <w:trHeight w:val="236"/>
        </w:trPr>
        <w:tc>
          <w:tcPr>
            <w:tcW w:w="60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5,877</w:t>
            </w: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57,963</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13,962</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97,966</w:t>
            </w:r>
          </w:p>
        </w:tc>
        <w:tc>
          <w:tcPr>
            <w:tcW w:w="0" w:type="dxa"/>
            <w:vAlign w:val="bottom"/>
          </w:tcPr>
          <w:p>
            <w:pPr>
              <w:spacing w:after="0"/>
              <w:rPr>
                <w:sz w:val="1"/>
                <w:szCs w:val="1"/>
                <w:color w:val="auto"/>
              </w:rPr>
            </w:pPr>
          </w:p>
        </w:tc>
      </w:tr>
      <w:tr>
        <w:trPr>
          <w:trHeight w:val="224"/>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Equity in Earnings (Losses) of Affiliates, Net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1,182</w:t>
            </w:r>
          </w:p>
        </w:tc>
        <w:tc>
          <w:tcPr>
            <w:tcW w:w="62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1,467</w:t>
            </w:r>
          </w:p>
        </w:tc>
        <w:tc>
          <w:tcPr>
            <w:tcW w:w="36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(365)</w:t>
            </w:r>
          </w:p>
        </w:tc>
        <w:tc>
          <w:tcPr>
            <w:tcW w:w="40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3,146</w:t>
            </w: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(6,423)</w:t>
            </w:r>
          </w:p>
        </w:tc>
        <w:tc>
          <w:tcPr>
            <w:tcW w:w="620" w:type="dxa"/>
            <w:vAlign w:val="bottom"/>
          </w:tcPr>
          <w:p>
            <w:pPr>
              <w:spacing w:after="0"/>
              <w:rPr>
                <w:sz w:val="21"/>
                <w:szCs w:val="21"/>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(6,807)</w:t>
            </w:r>
          </w:p>
        </w:tc>
        <w:tc>
          <w:tcPr>
            <w:tcW w:w="360" w:type="dxa"/>
            <w:vAlign w:val="bottom"/>
          </w:tcPr>
          <w:p>
            <w:pPr>
              <w:spacing w:after="0"/>
              <w:rPr>
                <w:sz w:val="21"/>
                <w:szCs w:val="21"/>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(12,950)</w:t>
            </w:r>
          </w:p>
        </w:tc>
        <w:tc>
          <w:tcPr>
            <w:tcW w:w="4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(12,532)</w:t>
            </w:r>
          </w:p>
        </w:tc>
        <w:tc>
          <w:tcPr>
            <w:tcW w:w="0" w:type="dxa"/>
            <w:vAlign w:val="bottom"/>
          </w:tcPr>
          <w:p>
            <w:pPr>
              <w:spacing w:after="0"/>
              <w:rPr>
                <w:sz w:val="1"/>
                <w:szCs w:val="1"/>
                <w:color w:val="auto"/>
              </w:rPr>
            </w:pPr>
          </w:p>
        </w:tc>
      </w:tr>
      <w:tr>
        <w:trPr>
          <w:trHeight w:val="27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12,136</w:t>
            </w:r>
          </w:p>
        </w:tc>
        <w:tc>
          <w:tcPr>
            <w:tcW w:w="6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12,253</w:t>
            </w:r>
          </w:p>
        </w:tc>
        <w:tc>
          <w:tcPr>
            <w:tcW w:w="360" w:type="dxa"/>
            <w:vAlign w:val="bottom"/>
          </w:tcPr>
          <w:p>
            <w:pPr>
              <w:spacing w:after="0"/>
              <w:rPr>
                <w:sz w:val="23"/>
                <w:szCs w:val="23"/>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30,539</w:t>
            </w:r>
          </w:p>
        </w:tc>
        <w:tc>
          <w:tcPr>
            <w:tcW w:w="40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32,181</w:t>
            </w:r>
          </w:p>
        </w:tc>
        <w:tc>
          <w:tcPr>
            <w:tcW w:w="0" w:type="dxa"/>
            <w:vAlign w:val="bottom"/>
          </w:tcPr>
          <w:p>
            <w:pPr>
              <w:spacing w:after="0"/>
              <w:rPr>
                <w:sz w:val="1"/>
                <w:szCs w:val="1"/>
                <w:color w:val="auto"/>
              </w:rPr>
            </w:pPr>
          </w:p>
        </w:tc>
      </w:tr>
      <w:tr>
        <w:trPr>
          <w:trHeight w:val="27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Gain (Loss) on Marketable Equity Securities, Net</w:t>
            </w: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39,890</w:t>
            </w:r>
          </w:p>
        </w:tc>
        <w:tc>
          <w:tcPr>
            <w:tcW w:w="62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7,791</w:t>
            </w:r>
          </w:p>
        </w:tc>
        <w:tc>
          <w:tcPr>
            <w:tcW w:w="36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(60,503)</w:t>
            </w:r>
          </w:p>
        </w:tc>
        <w:tc>
          <w:tcPr>
            <w:tcW w:w="400" w:type="dxa"/>
            <w:vAlign w:val="bottom"/>
          </w:tcPr>
          <w:p>
            <w:pPr>
              <w:spacing w:after="0"/>
              <w:rPr>
                <w:sz w:val="23"/>
                <w:szCs w:val="23"/>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31,857</w:t>
            </w:r>
          </w:p>
        </w:tc>
        <w:tc>
          <w:tcPr>
            <w:tcW w:w="0" w:type="dxa"/>
            <w:vAlign w:val="bottom"/>
          </w:tcPr>
          <w:p>
            <w:pPr>
              <w:spacing w:after="0"/>
              <w:rPr>
                <w:sz w:val="1"/>
                <w:szCs w:val="1"/>
                <w:color w:val="auto"/>
              </w:rPr>
            </w:pPr>
          </w:p>
        </w:tc>
      </w:tr>
      <w:tr>
        <w:trPr>
          <w:trHeight w:val="28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Other Income, Net</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8,100</w:t>
            </w:r>
          </w:p>
        </w:tc>
        <w:tc>
          <w:tcPr>
            <w:tcW w:w="6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1,228</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10,788</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30,579</w:t>
            </w:r>
          </w:p>
        </w:tc>
        <w:tc>
          <w:tcPr>
            <w:tcW w:w="0" w:type="dxa"/>
            <w:vAlign w:val="bottom"/>
          </w:tcPr>
          <w:p>
            <w:pPr>
              <w:spacing w:after="0"/>
              <w:rPr>
                <w:sz w:val="1"/>
                <w:szCs w:val="1"/>
                <w:color w:val="auto"/>
              </w:rPr>
            </w:pPr>
          </w:p>
        </w:tc>
      </w:tr>
      <w:tr>
        <w:trPr>
          <w:trHeight w:val="270"/>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60,762</w:t>
            </w: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73,895</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(18,529)</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183,197</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060" w:type="dxa"/>
            <w:vAlign w:val="bottom"/>
            <w:vMerge w:val="continue"/>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10,324</w:t>
            </w: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17,653</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180" w:type="dxa"/>
            <w:vAlign w:val="bottom"/>
            <w:vMerge w:val="continue"/>
          </w:tcPr>
          <w:p>
            <w:pPr>
              <w:spacing w:after="0"/>
              <w:rPr>
                <w:sz w:val="21"/>
                <w:szCs w:val="21"/>
                <w:color w:val="auto"/>
              </w:rPr>
            </w:pPr>
          </w:p>
        </w:tc>
        <w:tc>
          <w:tcPr>
            <w:tcW w:w="740" w:type="dxa"/>
            <w:vAlign w:val="bottom"/>
            <w:vMerge w:val="continue"/>
          </w:tcPr>
          <w:p>
            <w:pPr>
              <w:spacing w:after="0"/>
              <w:rPr>
                <w:sz w:val="21"/>
                <w:szCs w:val="21"/>
                <w:color w:val="auto"/>
              </w:rPr>
            </w:pPr>
          </w:p>
        </w:tc>
        <w:tc>
          <w:tcPr>
            <w:tcW w:w="620" w:type="dxa"/>
            <w:vAlign w:val="bottom"/>
          </w:tcPr>
          <w:p>
            <w:pPr>
              <w:jc w:val="center"/>
              <w:ind w:right="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6,137</w:t>
            </w:r>
          </w:p>
        </w:tc>
        <w:tc>
          <w:tcPr>
            <w:tcW w:w="36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12,338</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3,446</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3,293</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6,789</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6,532</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2,526</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2,384</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5,053</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4,817</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493</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607</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1,033</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1,217</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SocialCode</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121</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384</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242</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5,827</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837</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8,496</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1,485</w:t>
            </w:r>
          </w:p>
        </w:tc>
        <w:tc>
          <w:tcPr>
            <w:tcW w:w="0" w:type="dxa"/>
            <w:vAlign w:val="bottom"/>
          </w:tcPr>
          <w:p>
            <w:pPr>
              <w:spacing w:after="0"/>
              <w:rPr>
                <w:sz w:val="1"/>
                <w:szCs w:val="1"/>
                <w:color w:val="auto"/>
              </w:rPr>
            </w:pPr>
          </w:p>
        </w:tc>
      </w:tr>
      <w:tr>
        <w:trPr>
          <w:trHeight w:val="256"/>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w:t>
            </w:r>
          </w:p>
        </w:tc>
        <w:tc>
          <w:tcPr>
            <w:tcW w:w="6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242</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351</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22,913</w:t>
            </w: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13,884</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39,617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27,407</w:t>
            </w:r>
          </w:p>
        </w:tc>
        <w:tc>
          <w:tcPr>
            <w:tcW w:w="0" w:type="dxa"/>
            <w:vAlign w:val="bottom"/>
          </w:tcPr>
          <w:p>
            <w:pPr>
              <w:spacing w:after="0"/>
              <w:rPr>
                <w:sz w:val="1"/>
                <w:szCs w:val="1"/>
                <w:color w:val="auto"/>
              </w:rPr>
            </w:pPr>
          </w:p>
        </w:tc>
      </w:tr>
      <w:tr>
        <w:trPr>
          <w:trHeight w:val="157"/>
        </w:trPr>
        <w:tc>
          <w:tcPr>
            <w:tcW w:w="606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Amortization of Intangible Assets and Impairment of Goodwill and Other</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6060" w:type="dxa"/>
            <w:vAlign w:val="bottom"/>
          </w:tcPr>
          <w:p>
            <w:pPr>
              <w:ind w:left="180"/>
              <w:spacing w:after="0"/>
              <w:rPr>
                <w:sz w:val="20"/>
                <w:szCs w:val="20"/>
                <w:color w:val="auto"/>
              </w:rPr>
            </w:pPr>
            <w:r>
              <w:rPr>
                <w:rFonts w:ascii="Arial" w:cs="Arial" w:eastAsia="Arial" w:hAnsi="Arial"/>
                <w:sz w:val="16"/>
                <w:szCs w:val="16"/>
                <w:b w:val="1"/>
                <w:bCs w:val="1"/>
                <w:color w:val="auto"/>
              </w:rPr>
              <w:t>Long-lived Assets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14,291</w:t>
            </w:r>
          </w:p>
        </w:tc>
        <w:tc>
          <w:tcPr>
            <w:tcW w:w="620" w:type="dxa"/>
            <w:vAlign w:val="bottom"/>
          </w:tcPr>
          <w:p>
            <w:pPr>
              <w:jc w:val="center"/>
              <w:ind w:right="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4,070</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18,492</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7,637</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1,361</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1,408</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2,721</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2,816</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6,988</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6,528</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14,125</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13,058</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1,307</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1,410</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2,617</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2,808</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SocialCode</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1,647</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157</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1,804</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244</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16,645</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60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25,838</w:t>
            </w: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13,573</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56,404</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26,633</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2,592</w:t>
            </w:r>
          </w:p>
        </w:tc>
        <w:tc>
          <w:tcPr>
            <w:tcW w:w="620" w:type="dxa"/>
            <w:vAlign w:val="bottom"/>
          </w:tcPr>
          <w:p>
            <w:pPr>
              <w:jc w:val="center"/>
              <w:ind w:right="2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2,522</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5,177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5,186</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836</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780</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1,632</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1,511</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395</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789</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112</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63</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271</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SocialCode</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162</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191</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399</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243"/>
        </w:trPr>
        <w:tc>
          <w:tcPr>
            <w:tcW w:w="60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241</w:t>
            </w:r>
          </w:p>
        </w:tc>
        <w:tc>
          <w:tcPr>
            <w:tcW w:w="620" w:type="dxa"/>
            <w:vAlign w:val="bottom"/>
          </w:tcPr>
          <w:p>
            <w:pPr>
              <w:spacing w:after="0"/>
              <w:rPr>
                <w:sz w:val="21"/>
                <w:szCs w:val="21"/>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161</w:t>
            </w:r>
          </w:p>
        </w:tc>
        <w:tc>
          <w:tcPr>
            <w:tcW w:w="360" w:type="dxa"/>
            <w:vAlign w:val="bottom"/>
          </w:tcPr>
          <w:p>
            <w:pPr>
              <w:spacing w:after="0"/>
              <w:rPr>
                <w:sz w:val="21"/>
                <w:szCs w:val="21"/>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b w:val="1"/>
                <w:bCs w:val="1"/>
                <w:color w:val="auto"/>
              </w:rPr>
              <w:t>467</w:t>
            </w:r>
          </w:p>
        </w:tc>
        <w:tc>
          <w:tcPr>
            <w:tcW w:w="40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56"/>
        </w:trPr>
        <w:tc>
          <w:tcPr>
            <w:tcW w:w="60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1,466</w:t>
            </w:r>
          </w:p>
        </w:tc>
        <w:tc>
          <w:tcPr>
            <w:tcW w:w="6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1,231</w:t>
            </w:r>
          </w:p>
        </w:tc>
        <w:tc>
          <w:tcPr>
            <w:tcW w:w="3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2,852</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5,804</w:t>
            </w:r>
          </w:p>
        </w:tc>
        <w:tc>
          <w:tcPr>
            <w:tcW w:w="62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4,963</w:t>
            </w:r>
          </w:p>
        </w:tc>
        <w:tc>
          <w:tcPr>
            <w:tcW w:w="3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11,587</w:t>
            </w:r>
          </w:p>
        </w:tc>
        <w:tc>
          <w:tcPr>
            <w:tcW w:w="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10,184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5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of</w:t>
            </w:r>
          </w:p>
        </w:tc>
        <w:tc>
          <w:tcPr>
            <w:tcW w:w="1040" w:type="dxa"/>
            <w:vAlign w:val="bottom"/>
            <w:tcBorders>
              <w:bottom w:val="single" w:sz="8" w:color="auto"/>
            </w:tcBorders>
          </w:tcPr>
          <w:p>
            <w:pPr>
              <w:spacing w:after="0"/>
              <w:rPr>
                <w:sz w:val="17"/>
                <w:szCs w:val="17"/>
                <w:color w:val="auto"/>
              </w:rPr>
            </w:pPr>
          </w:p>
        </w:tc>
      </w:tr>
      <w:tr>
        <w:trPr>
          <w:trHeight w:val="209"/>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15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December 31, 2019</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43"/>
        </w:trPr>
        <w:tc>
          <w:tcPr>
            <w:tcW w:w="842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1,827,258</w:t>
            </w:r>
          </w:p>
        </w:tc>
        <w:tc>
          <w:tcPr>
            <w:tcW w:w="540" w:type="dxa"/>
            <w:vAlign w:val="bottom"/>
          </w:tcPr>
          <w:p>
            <w:pPr>
              <w:ind w:left="26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2,032,425</w:t>
            </w:r>
          </w:p>
        </w:tc>
      </w:tr>
      <w:tr>
        <w:trPr>
          <w:trHeight w:val="243"/>
        </w:trPr>
        <w:tc>
          <w:tcPr>
            <w:tcW w:w="842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450,134</w:t>
            </w:r>
          </w:p>
        </w:tc>
        <w:tc>
          <w:tcPr>
            <w:tcW w:w="54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463,689</w:t>
            </w:r>
          </w:p>
        </w:tc>
      </w:tr>
      <w:tr>
        <w:trPr>
          <w:trHeight w:val="243"/>
        </w:trPr>
        <w:tc>
          <w:tcPr>
            <w:tcW w:w="842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557,767</w:t>
            </w:r>
          </w:p>
        </w:tc>
        <w:tc>
          <w:tcPr>
            <w:tcW w:w="54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564,251</w:t>
            </w:r>
          </w:p>
        </w:tc>
      </w:tr>
      <w:tr>
        <w:trPr>
          <w:trHeight w:val="243"/>
        </w:trPr>
        <w:tc>
          <w:tcPr>
            <w:tcW w:w="842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159,045</w:t>
            </w:r>
          </w:p>
        </w:tc>
        <w:tc>
          <w:tcPr>
            <w:tcW w:w="54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160,033</w:t>
            </w:r>
          </w:p>
        </w:tc>
      </w:tr>
      <w:tr>
        <w:trPr>
          <w:trHeight w:val="243"/>
        </w:trPr>
        <w:tc>
          <w:tcPr>
            <w:tcW w:w="8420" w:type="dxa"/>
            <w:vAlign w:val="bottom"/>
          </w:tcPr>
          <w:p>
            <w:pPr>
              <w:ind w:left="220"/>
              <w:spacing w:after="0"/>
              <w:rPr>
                <w:sz w:val="20"/>
                <w:szCs w:val="20"/>
                <w:color w:val="auto"/>
              </w:rPr>
            </w:pPr>
            <w:r>
              <w:rPr>
                <w:rFonts w:ascii="Arial" w:cs="Arial" w:eastAsia="Arial" w:hAnsi="Arial"/>
                <w:sz w:val="16"/>
                <w:szCs w:val="16"/>
                <w:color w:val="auto"/>
              </w:rPr>
              <w:t>SocialCode</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122,421</w:t>
            </w:r>
          </w:p>
        </w:tc>
        <w:tc>
          <w:tcPr>
            <w:tcW w:w="54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221,746</w:t>
            </w:r>
          </w:p>
        </w:tc>
      </w:tr>
      <w:tr>
        <w:trPr>
          <w:trHeight w:val="243"/>
        </w:trPr>
        <w:tc>
          <w:tcPr>
            <w:tcW w:w="842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391,031</w:t>
            </w:r>
          </w:p>
        </w:tc>
        <w:tc>
          <w:tcPr>
            <w:tcW w:w="54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345,649</w:t>
            </w:r>
          </w:p>
        </w:tc>
      </w:tr>
      <w:tr>
        <w:trPr>
          <w:trHeight w:val="256"/>
        </w:trPr>
        <w:tc>
          <w:tcPr>
            <w:tcW w:w="842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261,002</w:t>
            </w: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103,764</w:t>
            </w:r>
          </w:p>
        </w:tc>
      </w:tr>
      <w:tr>
        <w:trPr>
          <w:trHeight w:val="237"/>
        </w:trPr>
        <w:tc>
          <w:tcPr>
            <w:tcW w:w="84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3,768,658</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3,891,557</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Investments in Marketable Equity Securities</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431,808</w:t>
            </w:r>
          </w:p>
        </w:tc>
        <w:tc>
          <w:tcPr>
            <w:tcW w:w="54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585,080</w:t>
            </w:r>
          </w:p>
        </w:tc>
      </w:tr>
      <w:tr>
        <w:trPr>
          <w:trHeight w:val="243"/>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156,677</w:t>
            </w:r>
          </w:p>
        </w:tc>
        <w:tc>
          <w:tcPr>
            <w:tcW w:w="540" w:type="dxa"/>
            <w:vAlign w:val="bottom"/>
          </w:tcPr>
          <w:p>
            <w:pPr>
              <w:spacing w:after="0"/>
              <w:rPr>
                <w:sz w:val="21"/>
                <w:szCs w:val="21"/>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162,249</w:t>
            </w:r>
          </w:p>
        </w:tc>
      </w:tr>
      <w:tr>
        <w:trPr>
          <w:trHeight w:val="256"/>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1,315,174</w:t>
            </w: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1,292,350</w:t>
            </w:r>
          </w:p>
        </w:tc>
      </w:tr>
      <w:tr>
        <w:trPr>
          <w:trHeight w:val="236"/>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5,672,317</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5,931,236</w:t>
            </w:r>
          </w:p>
        </w:tc>
      </w:tr>
      <w:tr>
        <w:trPr>
          <w:trHeight w:val="27"/>
        </w:trPr>
        <w:tc>
          <w:tcPr>
            <w:tcW w:w="8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0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2300" w:type="dxa"/>
            <w:vAlign w:val="bottom"/>
            <w:gridSpan w:val="3"/>
          </w:tcPr>
          <w:p>
            <w:pPr>
              <w:jc w:val="right"/>
              <w:ind w:right="59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22"/>
        </w:trPr>
        <w:tc>
          <w:tcPr>
            <w:tcW w:w="5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2019</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164,713</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188,580</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364,328</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374,336</w:t>
            </w: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86,453</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76,288</w:t>
            </w:r>
          </w:p>
        </w:tc>
        <w:tc>
          <w:tcPr>
            <w:tcW w:w="4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159,990</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159,068</w:t>
            </w: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51,111</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65,673</w:t>
            </w:r>
          </w:p>
        </w:tc>
        <w:tc>
          <w:tcPr>
            <w:tcW w:w="4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93,950</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126,823</w:t>
            </w: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28,674</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35,147</w:t>
            </w:r>
          </w:p>
        </w:tc>
        <w:tc>
          <w:tcPr>
            <w:tcW w:w="4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67,123</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76,361</w:t>
            </w: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3,039</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2,369</w:t>
            </w:r>
          </w:p>
        </w:tc>
        <w:tc>
          <w:tcPr>
            <w:tcW w:w="4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6,244</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4,671</w:t>
            </w:r>
          </w:p>
        </w:tc>
        <w:tc>
          <w:tcPr>
            <w:tcW w:w="0" w:type="dxa"/>
            <w:vAlign w:val="bottom"/>
          </w:tcPr>
          <w:p>
            <w:pPr>
              <w:spacing w:after="0"/>
              <w:rPr>
                <w:sz w:val="1"/>
                <w:szCs w:val="1"/>
                <w:color w:val="auto"/>
              </w:rPr>
            </w:pPr>
          </w:p>
        </w:tc>
      </w:tr>
      <w:tr>
        <w:trPr>
          <w:trHeight w:val="256"/>
        </w:trPr>
        <w:tc>
          <w:tcPr>
            <w:tcW w:w="59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(815)</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(294)</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(2,082)</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(1,042)</w:t>
            </w:r>
          </w:p>
        </w:tc>
        <w:tc>
          <w:tcPr>
            <w:tcW w:w="0" w:type="dxa"/>
            <w:vAlign w:val="bottom"/>
          </w:tcPr>
          <w:p>
            <w:pPr>
              <w:spacing w:after="0"/>
              <w:rPr>
                <w:sz w:val="1"/>
                <w:szCs w:val="1"/>
                <w:color w:val="auto"/>
              </w:rPr>
            </w:pPr>
          </w:p>
        </w:tc>
      </w:tr>
      <w:tr>
        <w:trPr>
          <w:trHeight w:val="236"/>
        </w:trPr>
        <w:tc>
          <w:tcPr>
            <w:tcW w:w="594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333,175</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367,763</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689,553</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740,217</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16,035</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25,537</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35,015</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49,822</w:t>
            </w: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17,050</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2,721</w:t>
            </w:r>
          </w:p>
        </w:tc>
        <w:tc>
          <w:tcPr>
            <w:tcW w:w="4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15,030</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4,636</w:t>
            </w: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(1,048)</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4,289</w:t>
            </w:r>
          </w:p>
        </w:tc>
        <w:tc>
          <w:tcPr>
            <w:tcW w:w="40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(13,724)</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3,835</w:t>
            </w: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1,378</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4,745</w:t>
            </w:r>
          </w:p>
        </w:tc>
        <w:tc>
          <w:tcPr>
            <w:tcW w:w="4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7,504</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16,004</w:t>
            </w: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(21,161)</w:t>
            </w:r>
          </w:p>
        </w:tc>
        <w:tc>
          <w:tcPr>
            <w:tcW w:w="44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(10,990)</w:t>
            </w:r>
          </w:p>
        </w:tc>
        <w:tc>
          <w:tcPr>
            <w:tcW w:w="400" w:type="dxa"/>
            <w:vAlign w:val="bottom"/>
          </w:tcPr>
          <w:p>
            <w:pPr>
              <w:spacing w:after="0"/>
              <w:rPr>
                <w:sz w:val="21"/>
                <w:szCs w:val="21"/>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(26,884)</w:t>
            </w:r>
          </w:p>
        </w:tc>
        <w:tc>
          <w:tcPr>
            <w:tcW w:w="44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(22,394)</w:t>
            </w:r>
          </w:p>
        </w:tc>
        <w:tc>
          <w:tcPr>
            <w:tcW w:w="0" w:type="dxa"/>
            <w:vAlign w:val="bottom"/>
          </w:tcPr>
          <w:p>
            <w:pPr>
              <w:spacing w:after="0"/>
              <w:rPr>
                <w:sz w:val="1"/>
                <w:szCs w:val="1"/>
                <w:color w:val="auto"/>
              </w:rPr>
            </w:pPr>
          </w:p>
        </w:tc>
      </w:tr>
      <w:tr>
        <w:trPr>
          <w:trHeight w:val="256"/>
        </w:trPr>
        <w:tc>
          <w:tcPr>
            <w:tcW w:w="594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6"/>
        </w:trPr>
        <w:tc>
          <w:tcPr>
            <w:tcW w:w="594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12,254</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26,305</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16,946</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51,900</w:t>
            </w:r>
          </w:p>
        </w:tc>
        <w:tc>
          <w:tcPr>
            <w:tcW w:w="0" w:type="dxa"/>
            <w:vAlign w:val="bottom"/>
          </w:tcPr>
          <w:p>
            <w:pPr>
              <w:spacing w:after="0"/>
              <w:rPr>
                <w:sz w:val="1"/>
                <w:szCs w:val="1"/>
                <w:color w:val="auto"/>
              </w:rPr>
            </w:pPr>
          </w:p>
        </w:tc>
      </w:tr>
      <w:tr>
        <w:trPr>
          <w:trHeight w:val="197"/>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3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5,619</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ind w:right="80"/>
              <w:spacing w:after="0"/>
              <w:rPr>
                <w:sz w:val="20"/>
                <w:szCs w:val="20"/>
                <w:color w:val="auto"/>
              </w:rPr>
            </w:pPr>
            <w:r>
              <w:rPr>
                <w:rFonts w:ascii="Arial" w:cs="Arial" w:eastAsia="Arial" w:hAnsi="Arial"/>
                <w:sz w:val="16"/>
                <w:szCs w:val="16"/>
                <w:b w:val="1"/>
                <w:bCs w:val="1"/>
                <w:color w:val="auto"/>
              </w:rPr>
              <w:t>10,197</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59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0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3,716</w:t>
            </w:r>
          </w:p>
        </w:tc>
        <w:tc>
          <w:tcPr>
            <w:tcW w:w="40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7,598</w:t>
            </w: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832</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629</w:t>
            </w:r>
          </w:p>
        </w:tc>
        <w:tc>
          <w:tcPr>
            <w:tcW w:w="4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1,555</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2,607</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779</w:t>
            </w:r>
          </w:p>
        </w:tc>
        <w:tc>
          <w:tcPr>
            <w:tcW w:w="4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3,433</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1,165</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959</w:t>
            </w:r>
          </w:p>
        </w:tc>
        <w:tc>
          <w:tcPr>
            <w:tcW w:w="4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2,278</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1,824</w:t>
            </w:r>
          </w:p>
        </w:tc>
        <w:tc>
          <w:tcPr>
            <w:tcW w:w="0" w:type="dxa"/>
            <w:vAlign w:val="bottom"/>
          </w:tcPr>
          <w:p>
            <w:pPr>
              <w:spacing w:after="0"/>
              <w:rPr>
                <w:sz w:val="1"/>
                <w:szCs w:val="1"/>
                <w:color w:val="auto"/>
              </w:rPr>
            </w:pPr>
          </w:p>
        </w:tc>
      </w:tr>
      <w:tr>
        <w:trPr>
          <w:trHeight w:val="256"/>
        </w:trPr>
        <w:tc>
          <w:tcPr>
            <w:tcW w:w="59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101</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190</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36"/>
        </w:trPr>
        <w:tc>
          <w:tcPr>
            <w:tcW w:w="594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10,324</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6,137</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17,653</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12,338</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4,271</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3,377</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8,472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6,944</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Impairment of Long-lived Assets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10,020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693</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10,020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43"/>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120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110</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232</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1,070</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1,102</w:t>
            </w:r>
          </w:p>
        </w:tc>
        <w:tc>
          <w:tcPr>
            <w:tcW w:w="4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2,140</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2,265</w:t>
            </w: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823</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821</w:t>
            </w:r>
          </w:p>
        </w:tc>
        <w:tc>
          <w:tcPr>
            <w:tcW w:w="4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1,646</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1,687</w:t>
            </w:r>
          </w:p>
        </w:tc>
        <w:tc>
          <w:tcPr>
            <w:tcW w:w="0" w:type="dxa"/>
            <w:vAlign w:val="bottom"/>
          </w:tcPr>
          <w:p>
            <w:pPr>
              <w:spacing w:after="0"/>
              <w:rPr>
                <w:sz w:val="1"/>
                <w:szCs w:val="1"/>
                <w:color w:val="auto"/>
              </w:rPr>
            </w:pPr>
          </w:p>
        </w:tc>
      </w:tr>
      <w:tr>
        <w:trPr>
          <w:trHeight w:val="243"/>
        </w:trPr>
        <w:tc>
          <w:tcPr>
            <w:tcW w:w="594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261</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329</w:t>
            </w:r>
          </w:p>
        </w:tc>
        <w:tc>
          <w:tcPr>
            <w:tcW w:w="40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b w:val="1"/>
                <w:bCs w:val="1"/>
                <w:color w:val="auto"/>
              </w:rPr>
              <w:t>523</w:t>
            </w:r>
          </w:p>
        </w:tc>
        <w:tc>
          <w:tcPr>
            <w:tcW w:w="440" w:type="dxa"/>
            <w:vAlign w:val="bottom"/>
          </w:tcPr>
          <w:p>
            <w:pPr>
              <w:spacing w:after="0"/>
              <w:rPr>
                <w:sz w:val="21"/>
                <w:szCs w:val="21"/>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56"/>
        </w:trPr>
        <w:tc>
          <w:tcPr>
            <w:tcW w:w="594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318</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160</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636</w:t>
            </w: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37"/>
        </w:trPr>
        <w:tc>
          <w:tcPr>
            <w:tcW w:w="594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2,592</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2,522</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5,177</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5,186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57" w:right="339" w:bottom="113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13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As of</w:t>
            </w:r>
          </w:p>
        </w:tc>
        <w:tc>
          <w:tcPr>
            <w:tcW w:w="1080" w:type="dxa"/>
            <w:vAlign w:val="bottom"/>
            <w:tcBorders>
              <w:bottom w:val="single" w:sz="8" w:color="auto"/>
            </w:tcBorders>
          </w:tcPr>
          <w:p>
            <w:pPr>
              <w:spacing w:after="0"/>
              <w:rPr>
                <w:sz w:val="17"/>
                <w:szCs w:val="17"/>
                <w:color w:val="auto"/>
              </w:rPr>
            </w:pPr>
          </w:p>
        </w:tc>
      </w:tr>
      <w:tr>
        <w:trPr>
          <w:trHeight w:val="210"/>
        </w:trPr>
        <w:tc>
          <w:tcPr>
            <w:tcW w:w="8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16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color w:val="auto"/>
              </w:rPr>
              <w:t>December 31, 2019</w:t>
            </w:r>
          </w:p>
        </w:tc>
      </w:tr>
      <w:tr>
        <w:trPr>
          <w:trHeight w:val="223"/>
        </w:trPr>
        <w:tc>
          <w:tcPr>
            <w:tcW w:w="8300" w:type="dxa"/>
            <w:vAlign w:val="bottom"/>
          </w:tcPr>
          <w:p>
            <w:pPr>
              <w:ind w:left="20"/>
              <w:spacing w:after="0"/>
              <w:rPr>
                <w:sz w:val="20"/>
                <w:szCs w:val="20"/>
                <w:color w:val="auto"/>
              </w:rPr>
            </w:pPr>
            <w:r>
              <w:rPr>
                <w:rFonts w:ascii="Arial" w:cs="Arial" w:eastAsia="Arial" w:hAnsi="Arial"/>
                <w:sz w:val="16"/>
                <w:szCs w:val="16"/>
                <w:color w:val="auto"/>
              </w:rPr>
              <w:t>Identifiable assets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43"/>
        </w:trPr>
        <w:tc>
          <w:tcPr>
            <w:tcW w:w="8300" w:type="dxa"/>
            <w:vAlign w:val="bottom"/>
          </w:tcPr>
          <w:p>
            <w:pPr>
              <w:ind w:left="340"/>
              <w:spacing w:after="0"/>
              <w:rPr>
                <w:sz w:val="20"/>
                <w:szCs w:val="20"/>
                <w:color w:val="auto"/>
              </w:rPr>
            </w:pPr>
            <w:r>
              <w:rPr>
                <w:rFonts w:ascii="Arial" w:cs="Arial" w:eastAsia="Arial" w:hAnsi="Arial"/>
                <w:sz w:val="16"/>
                <w:szCs w:val="16"/>
                <w:color w:val="auto"/>
              </w:rPr>
              <w:t>Kaplan international</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1,266,671</w:t>
            </w:r>
          </w:p>
        </w:tc>
        <w:tc>
          <w:tcPr>
            <w:tcW w:w="60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1,455,122</w:t>
            </w:r>
          </w:p>
        </w:tc>
      </w:tr>
      <w:tr>
        <w:trPr>
          <w:trHeight w:val="243"/>
        </w:trPr>
        <w:tc>
          <w:tcPr>
            <w:tcW w:w="8300" w:type="dxa"/>
            <w:vAlign w:val="bottom"/>
          </w:tcPr>
          <w:p>
            <w:pPr>
              <w:ind w:left="340"/>
              <w:spacing w:after="0"/>
              <w:rPr>
                <w:sz w:val="20"/>
                <w:szCs w:val="20"/>
                <w:color w:val="auto"/>
              </w:rPr>
            </w:pPr>
            <w:r>
              <w:rPr>
                <w:rFonts w:ascii="Arial" w:cs="Arial" w:eastAsia="Arial" w:hAnsi="Arial"/>
                <w:sz w:val="16"/>
                <w:szCs w:val="16"/>
                <w:color w:val="auto"/>
              </w:rPr>
              <w:t>Higher education</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210,789</w:t>
            </w:r>
          </w:p>
        </w:tc>
        <w:tc>
          <w:tcPr>
            <w:tcW w:w="60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196,761</w:t>
            </w:r>
          </w:p>
        </w:tc>
      </w:tr>
      <w:tr>
        <w:trPr>
          <w:trHeight w:val="243"/>
        </w:trPr>
        <w:tc>
          <w:tcPr>
            <w:tcW w:w="8300" w:type="dxa"/>
            <w:vAlign w:val="bottom"/>
          </w:tcPr>
          <w:p>
            <w:pPr>
              <w:ind w:left="340"/>
              <w:spacing w:after="0"/>
              <w:rPr>
                <w:sz w:val="20"/>
                <w:szCs w:val="20"/>
                <w:color w:val="auto"/>
              </w:rPr>
            </w:pPr>
            <w:r>
              <w:rPr>
                <w:rFonts w:ascii="Arial" w:cs="Arial" w:eastAsia="Arial" w:hAnsi="Arial"/>
                <w:sz w:val="16"/>
                <w:szCs w:val="16"/>
                <w:color w:val="auto"/>
              </w:rPr>
              <w:t>Test preparation</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138,359</w:t>
            </w:r>
          </w:p>
        </w:tc>
        <w:tc>
          <w:tcPr>
            <w:tcW w:w="60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151,655</w:t>
            </w:r>
          </w:p>
        </w:tc>
      </w:tr>
      <w:tr>
        <w:trPr>
          <w:trHeight w:val="243"/>
        </w:trPr>
        <w:tc>
          <w:tcPr>
            <w:tcW w:w="8300" w:type="dxa"/>
            <w:vAlign w:val="bottom"/>
          </w:tcPr>
          <w:p>
            <w:pPr>
              <w:ind w:left="340"/>
              <w:spacing w:after="0"/>
              <w:rPr>
                <w:sz w:val="20"/>
                <w:szCs w:val="20"/>
                <w:color w:val="auto"/>
              </w:rPr>
            </w:pPr>
            <w:r>
              <w:rPr>
                <w:rFonts w:ascii="Arial" w:cs="Arial" w:eastAsia="Arial" w:hAnsi="Arial"/>
                <w:sz w:val="16"/>
                <w:szCs w:val="16"/>
                <w:color w:val="auto"/>
              </w:rPr>
              <w:t>Professional (U.S.)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146,295</w:t>
            </w:r>
          </w:p>
        </w:tc>
        <w:tc>
          <w:tcPr>
            <w:tcW w:w="600" w:type="dxa"/>
            <w:vAlign w:val="bottom"/>
          </w:tcPr>
          <w:p>
            <w:pPr>
              <w:spacing w:after="0"/>
              <w:rPr>
                <w:sz w:val="21"/>
                <w:szCs w:val="21"/>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160,799</w:t>
            </w:r>
          </w:p>
        </w:tc>
      </w:tr>
      <w:tr>
        <w:trPr>
          <w:trHeight w:val="256"/>
        </w:trPr>
        <w:tc>
          <w:tcPr>
            <w:tcW w:w="8300" w:type="dxa"/>
            <w:vAlign w:val="bottom"/>
          </w:tcPr>
          <w:p>
            <w:pPr>
              <w:ind w:left="340"/>
              <w:spacing w:after="0"/>
              <w:rPr>
                <w:sz w:val="20"/>
                <w:szCs w:val="20"/>
                <w:color w:val="auto"/>
              </w:rPr>
            </w:pPr>
            <w:r>
              <w:rPr>
                <w:rFonts w:ascii="Arial" w:cs="Arial" w:eastAsia="Arial" w:hAnsi="Arial"/>
                <w:sz w:val="16"/>
                <w:szCs w:val="16"/>
                <w:color w:val="auto"/>
              </w:rPr>
              <w:t>Kaplan corporate and other</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65,144</w:t>
            </w:r>
          </w:p>
        </w:tc>
        <w:tc>
          <w:tcPr>
            <w:tcW w:w="6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68,088</w:t>
            </w:r>
          </w:p>
        </w:tc>
      </w:tr>
      <w:tr>
        <w:trPr>
          <w:trHeight w:val="236"/>
        </w:trPr>
        <w:tc>
          <w:tcPr>
            <w:tcW w:w="83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1,827,258</w:t>
            </w:r>
          </w:p>
        </w:tc>
        <w:tc>
          <w:tcPr>
            <w:tcW w:w="600" w:type="dxa"/>
            <w:vAlign w:val="bottom"/>
            <w:tcBorders>
              <w:bottom w:val="single" w:sz="8" w:color="auto"/>
            </w:tcBorders>
          </w:tcPr>
          <w:p>
            <w:pPr>
              <w:jc w:val="right"/>
              <w:ind w:right="204"/>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2,032,425</w:t>
            </w:r>
          </w:p>
        </w:tc>
      </w:tr>
      <w:tr>
        <w:trPr>
          <w:trHeight w:val="27"/>
        </w:trPr>
        <w:tc>
          <w:tcPr>
            <w:tcW w:w="8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53" w:lineRule="exact"/>
        <w:rPr>
          <w:sz w:val="20"/>
          <w:szCs w:val="20"/>
          <w:color w:val="auto"/>
        </w:rPr>
      </w:pPr>
    </w:p>
    <w:p>
      <w:pPr>
        <w:ind w:right="660"/>
        <w:spacing w:after="0" w:line="235" w:lineRule="auto"/>
        <w:rPr>
          <w:sz w:val="20"/>
          <w:szCs w:val="20"/>
          <w:color w:val="auto"/>
        </w:rPr>
      </w:pPr>
      <w:r>
        <w:rPr>
          <w:rFonts w:ascii="Arial" w:cs="Arial" w:eastAsia="Arial" w:hAnsi="Arial"/>
          <w:sz w:val="18"/>
          <w:szCs w:val="18"/>
          <w:color w:val="auto"/>
        </w:rPr>
        <w:t>The Company reported net income attributable to common shares of $18.9 million ($3.60 per share) for the second quarter of 2020, compared to $57.1 million ($10.65 per share) for the second quarter of 2019.</w:t>
      </w:r>
    </w:p>
    <w:p>
      <w:pPr>
        <w:spacing w:after="0" w:line="12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novel coronavirus (COVID-19) pandemic and measures taken to prevent its spread, such as travel restrictions, shelter in place orders and mandatory closures, significantly impacted the Company’s results for the first six months of 2020, largely from reduced demand for the Company’s products and services. This significant adverse impact is expected to continue in the second half of 2020. The Company’s management is taking a variety of measures to reduce costs and capital expenditures. The Company cannot predict the severity or duration of the pandemic, the extent to which demand for the Company’s products and services will be adversely affected or the degree to which financial and operating results will be negatively impacted.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second quarter of 2020:</w:t>
      </w:r>
    </w:p>
    <w:p>
      <w:pPr>
        <w:spacing w:after="0" w:line="144"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$9.3 million in long-lived asset impairment charges;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$10.2 million in restructuring charges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$2.8 million in accelerated depreciation at other businesses;</w:t>
      </w:r>
    </w:p>
    <w:p>
      <w:pPr>
        <w:spacing w:after="0" w:line="144" w:lineRule="exact"/>
        <w:rPr>
          <w:rFonts w:ascii="Arial" w:cs="Arial" w:eastAsia="Arial" w:hAnsi="Arial"/>
          <w:sz w:val="18"/>
          <w:szCs w:val="18"/>
          <w:color w:val="auto"/>
        </w:rPr>
      </w:pPr>
    </w:p>
    <w:p>
      <w:pPr>
        <w:ind w:left="180" w:right="560" w:hanging="172"/>
        <w:spacing w:after="0" w:line="235" w:lineRule="auto"/>
        <w:tabs>
          <w:tab w:leader="none" w:pos="1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$1.1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$4.6 million in expenses related to non-operating Separation Incentive Programs at the education division and SocialCode;</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$39.9 million in net gains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non-operating gains of $7.8 million from write-ups and sales of cost and equity method investments;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$1.1 million in non-operating foreign currency losses.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second quarter of 2019:</w:t>
      </w:r>
    </w:p>
    <w:p>
      <w:pPr>
        <w:spacing w:after="0" w:line="144" w:lineRule="exact"/>
        <w:rPr>
          <w:sz w:val="20"/>
          <w:szCs w:val="20"/>
          <w:color w:val="auto"/>
        </w:rPr>
      </w:pPr>
    </w:p>
    <w:p>
      <w:pPr>
        <w:ind w:left="180" w:right="560" w:hanging="172"/>
        <w:spacing w:after="0" w:line="235" w:lineRule="auto"/>
        <w:tabs>
          <w:tab w:leader="none" w:pos="17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$7.8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$6.6 million in expenses related to a non-operating Separation Incentive Program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$7.8 million in net gains on marketable equity securities;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$0.1 million in non-operating foreign currency gains.</w:t>
      </w:r>
    </w:p>
    <w:p>
      <w:pPr>
        <w:spacing w:after="0" w:line="144"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Revenue for the second quarter of 2020 was $652.9 million, down 11% from $737.6 million in the second quarter of 2019, largely due to the impact of COVID-19. Revenues declined at education, television broadcasting, manufacturing, SocialCode and other businesses, partially offset by an increase at healthcare. The Company reported operating income of $5.9 million for the second quarter of 2020, compared to $58.0 million for the second quarter of 2019. The operating income decline is driven by lower earnings in education, television broadcasting, manufacturing, SocialCode and other businesses, partially offset by an improvement at healthcare.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35" w:right="459" w:bottom="1440" w:gutter="0" w:footer="0" w:header="0"/>
        </w:sectPr>
      </w:pPr>
    </w:p>
    <w:bookmarkStart w:id="30" w:name="page31"/>
    <w:bookmarkEnd w:id="30"/>
    <w:p>
      <w:pPr>
        <w:spacing w:after="0" w:line="235" w:lineRule="auto"/>
        <w:rPr>
          <w:sz w:val="20"/>
          <w:szCs w:val="20"/>
          <w:color w:val="auto"/>
        </w:rPr>
      </w:pPr>
      <w:r>
        <w:rPr>
          <w:rFonts w:ascii="Arial" w:cs="Arial" w:eastAsia="Arial" w:hAnsi="Arial"/>
          <w:sz w:val="18"/>
          <w:szCs w:val="18"/>
          <w:color w:val="auto"/>
        </w:rPr>
        <w:t>For the first six months of 2020, the Company reported a net loss attributable to common shares of $14.4 million ($2.77 per share) compared to net income attributable to common shares of $138.8 million ($25.91 per share) for the first six months of 2019.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loss before income taxes for the six months of 2020:</w:t>
      </w:r>
    </w:p>
    <w:p>
      <w:pPr>
        <w:spacing w:after="0" w:line="144"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$25.7 million in goodwill and other long-lived asset impairment charges;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$10.2 million in restructuring charges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$2.8 million in accelerated depreciation at other businesses;</w:t>
      </w:r>
    </w:p>
    <w:p>
      <w:pPr>
        <w:spacing w:after="0" w:line="144" w:lineRule="exact"/>
        <w:rPr>
          <w:rFonts w:ascii="Arial" w:cs="Arial" w:eastAsia="Arial" w:hAnsi="Arial"/>
          <w:sz w:val="18"/>
          <w:szCs w:val="18"/>
          <w:color w:val="auto"/>
        </w:rPr>
      </w:pPr>
    </w:p>
    <w:p>
      <w:pPr>
        <w:ind w:left="180" w:right="640" w:hanging="172"/>
        <w:spacing w:after="0" w:line="235" w:lineRule="auto"/>
        <w:tabs>
          <w:tab w:leader="none" w:pos="1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$1.4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$4.6 million in expenses related to non-operating Separation Incentive Programs at the education division and SocialCode;</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$60.5 million in net losses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non-operating gain, net, of $1.6 million from write-ups, sales and impairments of cost and equity method investments;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$3.2 million in non-operating foreign currency gains.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before income taxes for the six months of 2019:</w:t>
      </w:r>
    </w:p>
    <w:p>
      <w:pPr>
        <w:spacing w:after="0" w:line="144" w:lineRule="exact"/>
        <w:rPr>
          <w:sz w:val="20"/>
          <w:szCs w:val="20"/>
          <w:color w:val="auto"/>
        </w:rPr>
      </w:pPr>
    </w:p>
    <w:p>
      <w:pPr>
        <w:ind w:left="180" w:right="640" w:hanging="172"/>
        <w:spacing w:after="0" w:line="235" w:lineRule="auto"/>
        <w:tabs>
          <w:tab w:leader="none" w:pos="1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$9.6 million reduction to operating expenses from property, plant and equipment gains in connection with the spectrum repacking mandate of the FCC;</w:t>
      </w:r>
    </w:p>
    <w:p>
      <w:pPr>
        <w:spacing w:after="0" w:line="134"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$6.6 million in expenses related to a non-operating Separation Incentive Program at the education division;</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$31.9 million in net gains on marketable equity securities;</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$29.0 million gain from the sale of Gimlet Media;</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non-operating gain of $1.4 million from the write-up of cost method investments; and</w:t>
      </w:r>
    </w:p>
    <w:p>
      <w:pPr>
        <w:spacing w:after="0" w:line="144" w:lineRule="exact"/>
        <w:rPr>
          <w:rFonts w:ascii="Arial" w:cs="Arial" w:eastAsia="Arial" w:hAnsi="Arial"/>
          <w:sz w:val="18"/>
          <w:szCs w:val="18"/>
          <w:color w:val="auto"/>
        </w:rPr>
      </w:pPr>
    </w:p>
    <w:p>
      <w:pPr>
        <w:ind w:left="160" w:hanging="152"/>
        <w:spacing w:after="0"/>
        <w:tabs>
          <w:tab w:leader="none" w:pos="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$0.6 million in non-operating foreign currency gains.</w:t>
      </w:r>
    </w:p>
    <w:p>
      <w:pPr>
        <w:spacing w:after="0" w:line="144" w:lineRule="exact"/>
        <w:rPr>
          <w:sz w:val="20"/>
          <w:szCs w:val="20"/>
          <w:color w:val="auto"/>
        </w:rPr>
      </w:pPr>
    </w:p>
    <w:p>
      <w:pPr>
        <w:ind w:right="200"/>
        <w:spacing w:after="0" w:line="225" w:lineRule="auto"/>
        <w:rPr>
          <w:sz w:val="20"/>
          <w:szCs w:val="20"/>
          <w:color w:val="auto"/>
        </w:rPr>
      </w:pPr>
      <w:r>
        <w:rPr>
          <w:rFonts w:ascii="Arial" w:cs="Arial" w:eastAsia="Arial" w:hAnsi="Arial"/>
          <w:sz w:val="18"/>
          <w:szCs w:val="18"/>
          <w:color w:val="auto"/>
        </w:rPr>
        <w:t>Revenue for the first six months of 2020 was $1,385.1 million, down 3% from $1,429.8 million in the first six months of 2019, largely due to the impact of COVID-19. Revenues declined at education, television broadcasting, manufacturing and SocialCode, partially offset by increases at healthcare and other businesses. The Company reported operating income of $14.0 million for the first six months of 2020, compared to $98.0 million for the first six months of 2019. Operating results declined in education, television broadcasting, manufacturing, SocialCode and other businesses, partially offset by an improvement at healthcare.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66"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color w:val="auto"/>
        </w:rPr>
        <w:t>The COVID-19 pandemic adversely impacted Kaplan’s operating results in the second quarter and first six months of 2020. The impact began in February and continued through the first half of 2020.</w:t>
      </w:r>
    </w:p>
    <w:p>
      <w:pPr>
        <w:spacing w:after="0" w:line="1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Kaplan serves a significant number of students who travel to other countries to study a second language, prepare for licensure, or pursue a higher education degree. Government-imposed travel restrictions and school closures arising from COVID-19 had a negative impact on the ability of international students to travel and attend Kaplan’s programs, particularly Kaplan International’s Language programs. In addition, most licensing bodies and administrators of standardized exams postponed or canceled scheduled examinations due to COVID-19, resulting in a significant number of students deciding to defer their studies. In these instances, Kaplan extended the life of its courses to be responsive to the changes in study needs of its students. These program modifications resulted in longer revenue recognition periods, adversely affecting the timing of revenue recognition at Kaplan’s Test Preparation and Professional education divisions. Overall, this is expected to continue to adversely impact Kaplan's revenues and operating results for the remainder of 2020, particularly at Kaplan International Languages.</w:t>
      </w:r>
    </w:p>
    <w:p>
      <w:pPr>
        <w:spacing w:after="0" w:line="140" w:lineRule="exact"/>
        <w:rPr>
          <w:sz w:val="20"/>
          <w:szCs w:val="20"/>
          <w:color w:val="auto"/>
        </w:rPr>
      </w:pPr>
    </w:p>
    <w:p>
      <w:pPr>
        <w:ind w:right="520"/>
        <w:spacing w:after="0" w:line="235" w:lineRule="auto"/>
        <w:rPr>
          <w:sz w:val="20"/>
          <w:szCs w:val="20"/>
          <w:color w:val="auto"/>
        </w:rPr>
      </w:pPr>
      <w:r>
        <w:rPr>
          <w:rFonts w:ascii="Arial" w:cs="Arial" w:eastAsia="Arial" w:hAnsi="Arial"/>
          <w:sz w:val="18"/>
          <w:szCs w:val="18"/>
          <w:color w:val="auto"/>
        </w:rPr>
        <w:t>Most of Kaplan Higher Education’s (KHE) services are delivered online by staff who have historically worked both virtually and in office locations. In response to COVID-19 necessitated “stay-at-home” protocols, KHE transitioned</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31" w:name="page32"/>
    <w:bookmarkEnd w:id="31"/>
    <w:p>
      <w:pPr>
        <w:ind w:right="60"/>
        <w:spacing w:after="0" w:line="235" w:lineRule="auto"/>
        <w:rPr>
          <w:sz w:val="20"/>
          <w:szCs w:val="20"/>
          <w:color w:val="auto"/>
        </w:rPr>
      </w:pPr>
      <w:r>
        <w:rPr>
          <w:rFonts w:ascii="Arial" w:cs="Arial" w:eastAsia="Arial" w:hAnsi="Arial"/>
          <w:sz w:val="18"/>
          <w:szCs w:val="18"/>
          <w:color w:val="auto"/>
        </w:rPr>
        <w:t>its entire staff to virtual work arrangements. KHE did not experience any disruption in its service delivery and Purdue Global has experienced an increase in program demand in the first half of 2020.</w:t>
      </w:r>
    </w:p>
    <w:p>
      <w:pPr>
        <w:spacing w:after="0" w:line="135"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To help mitigate the negative revenue impact arising from the COVID-19 disruption, and to re-align its program offerings to better pursue opportunities arising from the disruption, Kaplan management developed and implemented a number of initiatives across its businesses, including: employee salary and work-hour reductions; temporary furlough and other employee reductions; reduced discretionary spending; facility restructuring; reduced capital expenditures; and accelerated development and promotion of various online programs and solutions. The facility restructuring plan undertaken by Kaplan was developed to align classroom and office space at International Languages and Higher Education with future business requirements, and was premised on the decision at Kaplan Test Prep and Kaplan Professional (U.S.) to substantially reduce location-based in person course offerings in step with shifting consumer preferences for online programs. In the second quarter and first six months of 2020, Kaplan recorded $10.5 million and $12.5 million in lease restructuring costs, respectively; and $1.2 million in second quarter 2020 severance restructuring costs. The lease restructuring costs included $3.4 million in accelerated depreciation expense in the second quarter and first six months of 2020. Kaplan also recorded a $10.0 million lease impairment charge in connection with these restructuring plans in the second quarter of 2020; this impairment charge included $2.0 million in property, plant and equipment write-downs. Also in the second quarter of 2020, the Company approved a Separation Incentive Program (SIP) that reduced the number of employees at Kaplan International, Higher Education, Kaplan Professional (U.S.) and Kaplan corporate, resulting in $5.0 million in non-operating pension expense in the second quarter of 2020. Additional restructuring and cost reduction plans are under development at Kaplan to be implemented in the second half of 2020.</w:t>
      </w:r>
    </w:p>
    <w:p>
      <w:pPr>
        <w:spacing w:after="0" w:line="138"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In June 2020, Kaplan announced a plan to combine its three primary divisions based in the United States (Kaplan Test Prep, Kaplan Professional, and Kaplan Higher Education) into one business known as Kaplan North America (KNA). The plan for this combination is under development and is designed to create and reinforce Kaplan’s competitiveness in each market and new markets into which Kaplan extends.</w:t>
      </w:r>
    </w:p>
    <w:p>
      <w:pPr>
        <w:spacing w:after="0" w:line="130" w:lineRule="exact"/>
        <w:rPr>
          <w:sz w:val="20"/>
          <w:szCs w:val="20"/>
          <w:color w:val="auto"/>
        </w:rPr>
      </w:pPr>
    </w:p>
    <w:p>
      <w:pPr>
        <w:jc w:val="both"/>
        <w:ind w:right="80"/>
        <w:spacing w:after="0" w:line="229" w:lineRule="auto"/>
        <w:rPr>
          <w:sz w:val="20"/>
          <w:szCs w:val="20"/>
          <w:color w:val="auto"/>
        </w:rPr>
      </w:pPr>
      <w:r>
        <w:rPr>
          <w:rFonts w:ascii="Arial" w:cs="Arial" w:eastAsia="Arial" w:hAnsi="Arial"/>
          <w:sz w:val="18"/>
          <w:szCs w:val="18"/>
          <w:color w:val="auto"/>
        </w:rPr>
        <w:t>Education division revenue totaled $333.2 million for the second quarter of 2020, down 9% from $367.8 million for the same period of 2019. Kaplan reported operating income of $12.3 million for the second quarter of 2020, a 53% decline from $26.3 million for the second quarter of 2019.</w:t>
      </w:r>
    </w:p>
    <w:p>
      <w:pPr>
        <w:spacing w:after="0" w:line="137" w:lineRule="exact"/>
        <w:rPr>
          <w:sz w:val="20"/>
          <w:szCs w:val="20"/>
          <w:color w:val="auto"/>
        </w:rPr>
      </w:pPr>
    </w:p>
    <w:p>
      <w:pPr>
        <w:ind w:right="280"/>
        <w:spacing w:after="0" w:line="229" w:lineRule="auto"/>
        <w:rPr>
          <w:sz w:val="20"/>
          <w:szCs w:val="20"/>
          <w:color w:val="auto"/>
        </w:rPr>
      </w:pPr>
      <w:r>
        <w:rPr>
          <w:rFonts w:ascii="Arial" w:cs="Arial" w:eastAsia="Arial" w:hAnsi="Arial"/>
          <w:sz w:val="18"/>
          <w:szCs w:val="18"/>
          <w:color w:val="auto"/>
        </w:rPr>
        <w:t>For the first six months of 2020, education division revenue totaled $689.6 million, down 7% from revenue of $740.2 million for the same period of 2019. Kaplan reported operating income of $16.9 million for the first six months of 2020, a 67% decline from $51.9 million for the first six months of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2019</w:t>
            </w:r>
          </w:p>
        </w:tc>
        <w:tc>
          <w:tcPr>
            <w:tcW w:w="11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color w:val="auto"/>
              </w:rPr>
              <w:t>% Change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color w:val="auto"/>
              </w:rPr>
              <w:t>2019</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164,713</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188,580</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(13)</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364,328</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374,336</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86,453</w:t>
            </w:r>
          </w:p>
        </w:tc>
        <w:tc>
          <w:tcPr>
            <w:tcW w:w="440" w:type="dxa"/>
            <w:vAlign w:val="bottom"/>
          </w:tcPr>
          <w:p>
            <w:pPr>
              <w:spacing w:after="0"/>
              <w:rPr>
                <w:sz w:val="21"/>
                <w:szCs w:val="21"/>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76,288</w:t>
            </w:r>
          </w:p>
        </w:tc>
        <w:tc>
          <w:tcPr>
            <w:tcW w:w="1180" w:type="dxa"/>
            <w:vAlign w:val="bottom"/>
          </w:tcPr>
          <w:p>
            <w:pPr>
              <w:jc w:val="right"/>
              <w:ind w:right="180"/>
              <w:spacing w:after="0"/>
              <w:rPr>
                <w:sz w:val="20"/>
                <w:szCs w:val="20"/>
                <w:color w:val="auto"/>
              </w:rPr>
            </w:pPr>
            <w:r>
              <w:rPr>
                <w:rFonts w:ascii="Arial" w:cs="Arial" w:eastAsia="Arial" w:hAnsi="Arial"/>
                <w:sz w:val="16"/>
                <w:szCs w:val="16"/>
                <w:color w:val="auto"/>
              </w:rPr>
              <w:t>13</w:t>
            </w:r>
          </w:p>
        </w:tc>
        <w:tc>
          <w:tcPr>
            <w:tcW w:w="28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159,990</w:t>
            </w:r>
          </w:p>
        </w:tc>
        <w:tc>
          <w:tcPr>
            <w:tcW w:w="42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159,068</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51,111</w:t>
            </w:r>
          </w:p>
        </w:tc>
        <w:tc>
          <w:tcPr>
            <w:tcW w:w="440" w:type="dxa"/>
            <w:vAlign w:val="bottom"/>
          </w:tcPr>
          <w:p>
            <w:pPr>
              <w:spacing w:after="0"/>
              <w:rPr>
                <w:sz w:val="21"/>
                <w:szCs w:val="21"/>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65,673</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(22)</w:t>
            </w:r>
          </w:p>
        </w:tc>
        <w:tc>
          <w:tcPr>
            <w:tcW w:w="28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93,950</w:t>
            </w:r>
          </w:p>
        </w:tc>
        <w:tc>
          <w:tcPr>
            <w:tcW w:w="42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126,823</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28,674</w:t>
            </w:r>
          </w:p>
        </w:tc>
        <w:tc>
          <w:tcPr>
            <w:tcW w:w="440" w:type="dxa"/>
            <w:vAlign w:val="bottom"/>
          </w:tcPr>
          <w:p>
            <w:pPr>
              <w:spacing w:after="0"/>
              <w:rPr>
                <w:sz w:val="21"/>
                <w:szCs w:val="21"/>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35,147</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67,123</w:t>
            </w:r>
          </w:p>
        </w:tc>
        <w:tc>
          <w:tcPr>
            <w:tcW w:w="42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76,361</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3,039</w:t>
            </w:r>
          </w:p>
        </w:tc>
        <w:tc>
          <w:tcPr>
            <w:tcW w:w="440" w:type="dxa"/>
            <w:vAlign w:val="bottom"/>
          </w:tcPr>
          <w:p>
            <w:pPr>
              <w:spacing w:after="0"/>
              <w:rPr>
                <w:sz w:val="21"/>
                <w:szCs w:val="21"/>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2,369</w:t>
            </w:r>
          </w:p>
        </w:tc>
        <w:tc>
          <w:tcPr>
            <w:tcW w:w="1180" w:type="dxa"/>
            <w:vAlign w:val="bottom"/>
          </w:tcPr>
          <w:p>
            <w:pPr>
              <w:jc w:val="right"/>
              <w:ind w:right="180"/>
              <w:spacing w:after="0"/>
              <w:rPr>
                <w:sz w:val="20"/>
                <w:szCs w:val="20"/>
                <w:color w:val="auto"/>
              </w:rPr>
            </w:pPr>
            <w:r>
              <w:rPr>
                <w:rFonts w:ascii="Arial" w:cs="Arial" w:eastAsia="Arial" w:hAnsi="Arial"/>
                <w:sz w:val="16"/>
                <w:szCs w:val="16"/>
                <w:color w:val="auto"/>
              </w:rPr>
              <w:t>28</w:t>
            </w:r>
          </w:p>
        </w:tc>
        <w:tc>
          <w:tcPr>
            <w:tcW w:w="28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6,244</w:t>
            </w:r>
          </w:p>
        </w:tc>
        <w:tc>
          <w:tcPr>
            <w:tcW w:w="42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4,671</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56"/>
        </w:trPr>
        <w:tc>
          <w:tcPr>
            <w:tcW w:w="37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(815)</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(294)</w:t>
            </w:r>
          </w:p>
        </w:tc>
        <w:tc>
          <w:tcPr>
            <w:tcW w:w="11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(2,082)</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(1,042)</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333,175</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367,763</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689,553</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740,217</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37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7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16,035</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25,537</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(37)</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35,015</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49,822</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30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17,050</w:t>
            </w:r>
          </w:p>
        </w:tc>
        <w:tc>
          <w:tcPr>
            <w:tcW w:w="440" w:type="dxa"/>
            <w:vAlign w:val="bottom"/>
          </w:tcPr>
          <w:p>
            <w:pPr>
              <w:spacing w:after="0"/>
              <w:rPr>
                <w:sz w:val="21"/>
                <w:szCs w:val="21"/>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2,721</w:t>
            </w:r>
          </w:p>
        </w:tc>
        <w:tc>
          <w:tcPr>
            <w:tcW w:w="11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15,030</w:t>
            </w:r>
          </w:p>
        </w:tc>
        <w:tc>
          <w:tcPr>
            <w:tcW w:w="42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4,636</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6"/>
                <w:szCs w:val="16"/>
                <w:color w:val="auto"/>
              </w:rPr>
              <w:t>Test preparation</w:t>
            </w:r>
          </w:p>
        </w:tc>
        <w:tc>
          <w:tcPr>
            <w:tcW w:w="30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(1,048)</w:t>
            </w:r>
          </w:p>
        </w:tc>
        <w:tc>
          <w:tcPr>
            <w:tcW w:w="440" w:type="dxa"/>
            <w:vAlign w:val="bottom"/>
          </w:tcPr>
          <w:p>
            <w:pPr>
              <w:spacing w:after="0"/>
              <w:rPr>
                <w:sz w:val="21"/>
                <w:szCs w:val="21"/>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4,289</w:t>
            </w:r>
          </w:p>
        </w:tc>
        <w:tc>
          <w:tcPr>
            <w:tcW w:w="11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(13,724)</w:t>
            </w:r>
          </w:p>
        </w:tc>
        <w:tc>
          <w:tcPr>
            <w:tcW w:w="42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3,835</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6"/>
                <w:szCs w:val="16"/>
                <w:color w:val="auto"/>
              </w:rPr>
              <w:t>Professional (U.S.)</w:t>
            </w:r>
          </w:p>
        </w:tc>
        <w:tc>
          <w:tcPr>
            <w:tcW w:w="300" w:type="dxa"/>
            <w:vAlign w:val="bottom"/>
          </w:tcPr>
          <w:p>
            <w:pPr>
              <w:spacing w:after="0"/>
              <w:rPr>
                <w:sz w:val="21"/>
                <w:szCs w:val="21"/>
                <w:color w:val="auto"/>
              </w:rPr>
            </w:pPr>
          </w:p>
        </w:tc>
        <w:tc>
          <w:tcPr>
            <w:tcW w:w="1020" w:type="dxa"/>
            <w:vAlign w:val="bottom"/>
          </w:tcPr>
          <w:p>
            <w:pPr>
              <w:jc w:val="right"/>
              <w:ind w:right="80"/>
              <w:spacing w:after="0"/>
              <w:rPr>
                <w:sz w:val="20"/>
                <w:szCs w:val="20"/>
                <w:color w:val="auto"/>
              </w:rPr>
            </w:pPr>
            <w:r>
              <w:rPr>
                <w:rFonts w:ascii="Arial" w:cs="Arial" w:eastAsia="Arial" w:hAnsi="Arial"/>
                <w:sz w:val="16"/>
                <w:szCs w:val="16"/>
                <w:b w:val="1"/>
                <w:bCs w:val="1"/>
                <w:color w:val="auto"/>
              </w:rPr>
              <w:t>1,378</w:t>
            </w:r>
          </w:p>
        </w:tc>
        <w:tc>
          <w:tcPr>
            <w:tcW w:w="440" w:type="dxa"/>
            <w:vAlign w:val="bottom"/>
          </w:tcPr>
          <w:p>
            <w:pPr>
              <w:spacing w:after="0"/>
              <w:rPr>
                <w:sz w:val="21"/>
                <w:szCs w:val="21"/>
                <w:color w:val="auto"/>
              </w:rPr>
            </w:pPr>
          </w:p>
        </w:tc>
        <w:tc>
          <w:tcPr>
            <w:tcW w:w="940" w:type="dxa"/>
            <w:vAlign w:val="bottom"/>
          </w:tcPr>
          <w:p>
            <w:pPr>
              <w:jc w:val="right"/>
              <w:ind w:right="60"/>
              <w:spacing w:after="0"/>
              <w:rPr>
                <w:sz w:val="20"/>
                <w:szCs w:val="20"/>
                <w:color w:val="auto"/>
              </w:rPr>
            </w:pPr>
            <w:r>
              <w:rPr>
                <w:rFonts w:ascii="Arial" w:cs="Arial" w:eastAsia="Arial" w:hAnsi="Arial"/>
                <w:sz w:val="16"/>
                <w:szCs w:val="16"/>
                <w:color w:val="auto"/>
              </w:rPr>
              <w:t>4,745</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(71)</w:t>
            </w:r>
          </w:p>
        </w:tc>
        <w:tc>
          <w:tcPr>
            <w:tcW w:w="280" w:type="dxa"/>
            <w:vAlign w:val="bottom"/>
          </w:tcPr>
          <w:p>
            <w:pPr>
              <w:spacing w:after="0"/>
              <w:rPr>
                <w:sz w:val="21"/>
                <w:szCs w:val="21"/>
                <w:color w:val="auto"/>
              </w:rPr>
            </w:pPr>
          </w:p>
        </w:tc>
        <w:tc>
          <w:tcPr>
            <w:tcW w:w="980" w:type="dxa"/>
            <w:vAlign w:val="bottom"/>
          </w:tcPr>
          <w:p>
            <w:pPr>
              <w:jc w:val="right"/>
              <w:ind w:right="80"/>
              <w:spacing w:after="0"/>
              <w:rPr>
                <w:sz w:val="20"/>
                <w:szCs w:val="20"/>
                <w:color w:val="auto"/>
              </w:rPr>
            </w:pPr>
            <w:r>
              <w:rPr>
                <w:rFonts w:ascii="Arial" w:cs="Arial" w:eastAsia="Arial" w:hAnsi="Arial"/>
                <w:sz w:val="16"/>
                <w:szCs w:val="16"/>
                <w:b w:val="1"/>
                <w:bCs w:val="1"/>
                <w:color w:val="auto"/>
              </w:rPr>
              <w:t>7,504</w:t>
            </w:r>
          </w:p>
        </w:tc>
        <w:tc>
          <w:tcPr>
            <w:tcW w:w="420" w:type="dxa"/>
            <w:vAlign w:val="bottom"/>
          </w:tcPr>
          <w:p>
            <w:pPr>
              <w:spacing w:after="0"/>
              <w:rPr>
                <w:sz w:val="21"/>
                <w:szCs w:val="21"/>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16,004</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30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(6,870)</w:t>
            </w:r>
          </w:p>
        </w:tc>
        <w:tc>
          <w:tcPr>
            <w:tcW w:w="44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(6,920)</w:t>
            </w:r>
          </w:p>
        </w:tc>
        <w:tc>
          <w:tcPr>
            <w:tcW w:w="1180" w:type="dxa"/>
            <w:vAlign w:val="bottom"/>
          </w:tcPr>
          <w:p>
            <w:pPr>
              <w:jc w:val="right"/>
              <w:ind w:right="180"/>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(8,392)</w:t>
            </w:r>
          </w:p>
        </w:tc>
        <w:tc>
          <w:tcPr>
            <w:tcW w:w="42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(14,757)</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(4,271)</w:t>
            </w:r>
          </w:p>
        </w:tc>
        <w:tc>
          <w:tcPr>
            <w:tcW w:w="44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(3,377)</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(26)</w:t>
            </w:r>
          </w:p>
        </w:tc>
        <w:tc>
          <w:tcPr>
            <w:tcW w:w="28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(8,472)</w:t>
            </w:r>
          </w:p>
        </w:tc>
        <w:tc>
          <w:tcPr>
            <w:tcW w:w="42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(6,944)</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30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(10,020)</w:t>
            </w:r>
          </w:p>
        </w:tc>
        <w:tc>
          <w:tcPr>
            <w:tcW w:w="44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(693)</w:t>
            </w:r>
          </w:p>
        </w:tc>
        <w:tc>
          <w:tcPr>
            <w:tcW w:w="11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(10,020)</w:t>
            </w:r>
          </w:p>
        </w:tc>
        <w:tc>
          <w:tcPr>
            <w:tcW w:w="42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(693)</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370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w:t>
            </w:r>
          </w:p>
        </w:tc>
        <w:tc>
          <w:tcPr>
            <w:tcW w:w="11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5</w:t>
            </w: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w:t>
            </w: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12,254</w:t>
            </w:r>
          </w:p>
        </w:tc>
        <w:tc>
          <w:tcPr>
            <w:tcW w:w="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26,305</w:t>
            </w:r>
          </w:p>
        </w:tc>
        <w:tc>
          <w:tcPr>
            <w:tcW w:w="1180" w:type="dxa"/>
            <w:vAlign w:val="bottom"/>
          </w:tcPr>
          <w:p>
            <w:pPr>
              <w:jc w:val="right"/>
              <w:ind w:right="140"/>
              <w:spacing w:after="0"/>
              <w:rPr>
                <w:sz w:val="20"/>
                <w:szCs w:val="20"/>
                <w:color w:val="auto"/>
              </w:rPr>
            </w:pPr>
            <w:r>
              <w:rPr>
                <w:rFonts w:ascii="Arial" w:cs="Arial" w:eastAsia="Arial" w:hAnsi="Arial"/>
                <w:sz w:val="16"/>
                <w:szCs w:val="16"/>
                <w:color w:val="auto"/>
              </w:rPr>
              <w:t>(53)</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b w:val="1"/>
                <w:bCs w:val="1"/>
                <w:color w:val="auto"/>
              </w:rPr>
              <w:t>16,946</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51,900</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largely outside the United States. In July 2019, Kaplan acquired Heverald, the owner of ESL Education, Europe’s largest language-travel agency and Alpadia, a chain of German and French language schools and junior summer camps. Kaplan International revenue decreased 13% and 3% for the second quarter and first six months of 2020, respectively. Excluding acquisitions, Kaplan International revenue decreased 13% and 4% in the second quarter and first six months of 2020, respectively. On a constant currency basis, revenue decreased 9% and</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32" w:name="page33"/>
    <w:bookmarkEnd w:id="32"/>
    <w:p>
      <w:pPr>
        <w:spacing w:after="0" w:line="221" w:lineRule="auto"/>
        <w:rPr>
          <w:sz w:val="20"/>
          <w:szCs w:val="20"/>
          <w:color w:val="auto"/>
        </w:rPr>
      </w:pPr>
      <w:r>
        <w:rPr>
          <w:rFonts w:ascii="Arial" w:cs="Arial" w:eastAsia="Arial" w:hAnsi="Arial"/>
          <w:sz w:val="18"/>
          <w:szCs w:val="18"/>
          <w:color w:val="auto"/>
        </w:rPr>
        <w:t>remained flat for the second quarter and first six months of 2020, respectively. The revenue decreases were due to declines at Languages, Singapore, and UK Professional, partially offset by growth at UK Pathways and Australia and the Heverald acquisition. Kaplan International reported operating income of $16.0 million in the second quarter of 2020, compared to $25.5 million in the second quarter of 2019. Operating income decreased to $35.0 million in the first six months of 2020, compared to $49.8 million in the first six months of 2019. The decline in operating results in the second quarter and first six months of 2020 is due to declines at Languages, UK Professional and Singapore, partially offset by improved results in UK Pathways and Australia. Kaplan International Languages 2020 results were negatively impacted by COVID-19 travel restrictions and UK Professional results were negatively impacted by postponements of standardized exam dates. In addition, Kaplan International recorded $3.9 million of lease restructuring costs and $1.2 million of severance restructuring costs at Languages in the second quarter of 2020; the lease restructuring costs included $1.5 million in accelerated depreciation expense. Due to travel restrictions imposed as a result of COVID-19, management expects significant challenges in Languages’ operating environment for at least the remainder of 2020. In June 2020, UK Visas and Immigration announced that a mixed mode of online and face to face teaching would be permitted to continue for the duration of the entire academic year from July 1, 2020 to June 30, 2021; this will provide flexibility and confidence for students enrolling in UK Pathways programs.</w:t>
      </w:r>
    </w:p>
    <w:p>
      <w:pPr>
        <w:spacing w:after="0" w:line="141" w:lineRule="exact"/>
        <w:rPr>
          <w:sz w:val="20"/>
          <w:szCs w:val="20"/>
          <w:color w:val="auto"/>
        </w:rPr>
      </w:pPr>
    </w:p>
    <w:p>
      <w:pPr>
        <w:ind w:right="20"/>
        <w:spacing w:after="0" w:line="222" w:lineRule="auto"/>
        <w:rPr>
          <w:sz w:val="20"/>
          <w:szCs w:val="20"/>
          <w:color w:val="auto"/>
        </w:rPr>
      </w:pPr>
      <w:r>
        <w:rPr>
          <w:rFonts w:ascii="Arial" w:cs="Arial" w:eastAsia="Arial" w:hAnsi="Arial"/>
          <w:sz w:val="18"/>
          <w:szCs w:val="18"/>
          <w:color w:val="auto"/>
        </w:rPr>
        <w:t>The Higher Education division primarily includes the results of Kaplan as a service provider to higher education institutions. In the second quarter and first six months of 2020, Higher Education revenue was up 13% and 1%, respectively, due primarily to an increase in the Purdue University Global fee, offset by a reduction in expenses incurred by Kaplan Higher Education as service provider to Purdue Global. In the first quarter of 2020, the Company did not record an additional fee with Purdue Global based on an assessment of its collectability under the TOSA. In the second quarter of 2020, the Company recorded a portion of the fee with Purdue Global based on an assessment of its collectability under the TOSA. Purdue Global experienced increased enrollments and higher retention rates in the first half of 2020, which resulted in improved Higher Education results for the second quarter and first six months of 2020. The Company will continue to assess the collectability of the fee with Purdue Global on a quarterly basis to make a determination as to whether to record all or part of the fee in the future. For the second quarter and first six months of 2020, Kaplan Higher Education recorded $1.5 million and $3.5 million, respectively, in lease restructuring costs, of which $0.1 million was accelerated depreciation expense.</w:t>
      </w:r>
    </w:p>
    <w:p>
      <w:pPr>
        <w:spacing w:after="0" w:line="137"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As of June 30, 2020, Kaplan had a total outstanding accounts receivable balance of $89.6 million from Purdue Global related to amounts due for reimbursements for services, fees earned and a deferred fee. In addition, Kaplan has an $19.1 million long-term receivable balance due from Purdue Global at June 30, 2020, related to the advance of $20 million during the initial KU Transaction.</w:t>
      </w:r>
    </w:p>
    <w:p>
      <w:pPr>
        <w:spacing w:after="0" w:line="137"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Kaplan Test Preparation includes Kaplan’s standardized test preparation programs. KTP revenue decreased 22% and 26% for the second quarter and first six months of 2020, respectively, due to reduced demand for KTP’s retail comprehensive test preparation programs and product-life extensions related to the postponement of various standardized test dates due to the COVID-19 pandemic. Overall, product-life extensions have resulted in lower revenue being recognized in the first half of 2020; however, substantially all of this will be recognized over the remainder of 2020. KTP operating results declined in the second quarter and first six months of 2020 due to these revenue declines and $4.5 million of lease restructuring costs, of which $1.8 million was accelerated depreciation expense.</w:t>
      </w:r>
    </w:p>
    <w:p>
      <w:pPr>
        <w:spacing w:after="0" w:line="137"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Kaplan Professional (U.S.) includes the domestic professional and other continuing education businesses. Kaplan Professional (U.S.) revenue in the second quarter and first six months of 2020 declined 18% and 12%, respectively, due to declines in CFA, real estate and accountancy programs, partly due to the postponement of certification exams. Kaplan Professional (U.S.) operating results declined in the second quarter and first six months of 2020, primarily due to the revenue declines and $0.6 million in lease restructuring costs.</w:t>
      </w:r>
    </w:p>
    <w:p>
      <w:pPr>
        <w:spacing w:after="0" w:line="135"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 Overall, Kaplan corporate and other expenses declined in the first six months of 2020 due to lower compensation costs.</w:t>
      </w:r>
    </w:p>
    <w:p>
      <w:pPr>
        <w:spacing w:after="0" w:line="135" w:lineRule="exact"/>
        <w:rPr>
          <w:sz w:val="20"/>
          <w:szCs w:val="20"/>
          <w:color w:val="auto"/>
        </w:rPr>
      </w:pPr>
    </w:p>
    <w:p>
      <w:pPr>
        <w:ind w:right="120"/>
        <w:spacing w:after="0" w:line="227" w:lineRule="auto"/>
        <w:rPr>
          <w:sz w:val="20"/>
          <w:szCs w:val="20"/>
          <w:color w:val="auto"/>
        </w:rPr>
      </w:pPr>
      <w:r>
        <w:rPr>
          <w:rFonts w:ascii="Arial" w:cs="Arial" w:eastAsia="Arial" w:hAnsi="Arial"/>
          <w:sz w:val="18"/>
          <w:szCs w:val="18"/>
          <w:color w:val="auto"/>
        </w:rPr>
        <w:t>In the second quarter of 2020, the Company approved a Separation Incentive Program (SIP) that reduced the number of employees at Kaplan International, Higher Education, Kaplan Professional (U.S.) and Kaplan corporate, resulting in $5.0 million in non-operating pension expense in the second quarter of 2020. In the second quarter of 2019, the Company approved a SIP that reduced the number of employees at KTP and Higher Education, resulting in $6.6 million in non-operating pension expense in the second quarter of 2019.</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32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3"/>
          </w:tcPr>
          <w:p>
            <w:pPr>
              <w:jc w:val="center"/>
              <w:ind w:right="162"/>
              <w:spacing w:after="0"/>
              <w:rPr>
                <w:sz w:val="20"/>
                <w:szCs w:val="20"/>
                <w:color w:val="auto"/>
              </w:rPr>
            </w:pPr>
            <w:r>
              <w:rPr>
                <w:rFonts w:ascii="Arial" w:cs="Arial" w:eastAsia="Arial" w:hAnsi="Arial"/>
                <w:sz w:val="14"/>
                <w:szCs w:val="14"/>
                <w:b w:val="1"/>
                <w:bCs w:val="1"/>
                <w:color w:val="auto"/>
              </w:rPr>
              <w:t>Six Months Ended</w:t>
            </w:r>
          </w:p>
        </w:tc>
        <w:tc>
          <w:tcPr>
            <w:tcW w:w="1180" w:type="dxa"/>
            <w:vAlign w:val="bottom"/>
          </w:tcPr>
          <w:p>
            <w:pPr>
              <w:spacing w:after="0"/>
              <w:rPr>
                <w:sz w:val="16"/>
                <w:szCs w:val="16"/>
                <w:color w:val="auto"/>
              </w:rPr>
            </w:pPr>
          </w:p>
        </w:tc>
      </w:tr>
      <w:tr>
        <w:trPr>
          <w:trHeight w:val="222"/>
        </w:trPr>
        <w:tc>
          <w:tcPr>
            <w:tcW w:w="4120" w:type="dxa"/>
            <w:vAlign w:val="bottom"/>
          </w:tcPr>
          <w:p>
            <w:pPr>
              <w:spacing w:after="0"/>
              <w:rPr>
                <w:sz w:val="19"/>
                <w:szCs w:val="19"/>
                <w:color w:val="auto"/>
              </w:rPr>
            </w:pPr>
          </w:p>
        </w:tc>
        <w:tc>
          <w:tcPr>
            <w:tcW w:w="1500" w:type="dxa"/>
            <w:vAlign w:val="bottom"/>
            <w:tcBorders>
              <w:bottom w:val="single" w:sz="8" w:color="auto"/>
            </w:tcBorders>
            <w:gridSpan w:val="2"/>
          </w:tcPr>
          <w:p>
            <w:pPr>
              <w:jc w:val="center"/>
              <w:ind w:left="72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r>
      <w:tr>
        <w:trPr>
          <w:trHeight w:val="209"/>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0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c>
          <w:tcPr>
            <w:tcW w:w="12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 Change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 Change</w:t>
            </w:r>
          </w:p>
        </w:tc>
      </w:tr>
      <w:tr>
        <w:trPr>
          <w:trHeight w:val="223"/>
        </w:trPr>
        <w:tc>
          <w:tcPr>
            <w:tcW w:w="4120" w:type="dxa"/>
            <w:vAlign w:val="bottom"/>
          </w:tcPr>
          <w:p>
            <w:pPr>
              <w:ind w:left="20"/>
              <w:spacing w:after="0"/>
              <w:rPr>
                <w:sz w:val="20"/>
                <w:szCs w:val="20"/>
                <w:color w:val="auto"/>
              </w:rPr>
            </w:pPr>
            <w:r>
              <w:rPr>
                <w:rFonts w:ascii="Arial" w:cs="Arial" w:eastAsia="Arial" w:hAnsi="Arial"/>
                <w:sz w:val="16"/>
                <w:szCs w:val="16"/>
                <w:color w:val="auto"/>
              </w:rPr>
              <w:t>Revenue</w:t>
            </w:r>
          </w:p>
        </w:tc>
        <w:tc>
          <w:tcPr>
            <w:tcW w:w="1080" w:type="dxa"/>
            <w:vAlign w:val="bottom"/>
          </w:tcPr>
          <w:p>
            <w:pPr>
              <w:jc w:val="right"/>
              <w:ind w:right="64"/>
              <w:spacing w:after="0"/>
              <w:rPr>
                <w:sz w:val="20"/>
                <w:szCs w:val="20"/>
                <w:color w:val="auto"/>
              </w:rPr>
            </w:pPr>
            <w:r>
              <w:rPr>
                <w:rFonts w:ascii="Arial" w:cs="Arial" w:eastAsia="Arial" w:hAnsi="Arial"/>
                <w:sz w:val="16"/>
                <w:szCs w:val="16"/>
                <w:b w:val="1"/>
                <w:bCs w:val="1"/>
                <w:color w:val="auto"/>
              </w:rPr>
              <w:t>$   100,762</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116,628</w:t>
            </w:r>
          </w:p>
        </w:tc>
        <w:tc>
          <w:tcPr>
            <w:tcW w:w="1280" w:type="dxa"/>
            <w:vAlign w:val="bottom"/>
          </w:tcPr>
          <w:p>
            <w:pPr>
              <w:jc w:val="right"/>
              <w:ind w:right="122"/>
              <w:spacing w:after="0"/>
              <w:rPr>
                <w:sz w:val="20"/>
                <w:szCs w:val="20"/>
                <w:color w:val="auto"/>
              </w:rPr>
            </w:pPr>
            <w:r>
              <w:rPr>
                <w:rFonts w:ascii="Arial" w:cs="Arial" w:eastAsia="Arial" w:hAnsi="Arial"/>
                <w:sz w:val="16"/>
                <w:szCs w:val="16"/>
                <w:color w:val="auto"/>
              </w:rPr>
              <w:t>(14)</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64"/>
              <w:spacing w:after="0"/>
              <w:rPr>
                <w:sz w:val="20"/>
                <w:szCs w:val="20"/>
                <w:color w:val="auto"/>
              </w:rPr>
            </w:pPr>
            <w:r>
              <w:rPr>
                <w:rFonts w:ascii="Arial" w:cs="Arial" w:eastAsia="Arial" w:hAnsi="Arial"/>
                <w:sz w:val="16"/>
                <w:szCs w:val="16"/>
                <w:b w:val="1"/>
                <w:bCs w:val="1"/>
                <w:color w:val="auto"/>
              </w:rPr>
              <w:t>216,210</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224,851</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(4)</w:t>
            </w:r>
          </w:p>
        </w:tc>
      </w:tr>
      <w:tr>
        <w:trPr>
          <w:trHeight w:val="243"/>
        </w:trPr>
        <w:tc>
          <w:tcPr>
            <w:tcW w:w="412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1080" w:type="dxa"/>
            <w:vAlign w:val="bottom"/>
          </w:tcPr>
          <w:p>
            <w:pPr>
              <w:jc w:val="right"/>
              <w:ind w:right="64"/>
              <w:spacing w:after="0"/>
              <w:rPr>
                <w:sz w:val="20"/>
                <w:szCs w:val="20"/>
                <w:color w:val="auto"/>
              </w:rPr>
            </w:pPr>
            <w:r>
              <w:rPr>
                <w:rFonts w:ascii="Arial" w:cs="Arial" w:eastAsia="Arial" w:hAnsi="Arial"/>
                <w:sz w:val="16"/>
                <w:szCs w:val="16"/>
                <w:b w:val="1"/>
                <w:bCs w:val="1"/>
                <w:color w:val="auto"/>
              </w:rPr>
              <w:t>23,627</w:t>
            </w:r>
          </w:p>
        </w:tc>
        <w:tc>
          <w:tcPr>
            <w:tcW w:w="420" w:type="dxa"/>
            <w:vAlign w:val="bottom"/>
          </w:tcPr>
          <w:p>
            <w:pPr>
              <w:spacing w:after="0"/>
              <w:rPr>
                <w:sz w:val="21"/>
                <w:szCs w:val="21"/>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44,494</w:t>
            </w:r>
          </w:p>
        </w:tc>
        <w:tc>
          <w:tcPr>
            <w:tcW w:w="1280" w:type="dxa"/>
            <w:vAlign w:val="bottom"/>
          </w:tcPr>
          <w:p>
            <w:pPr>
              <w:jc w:val="right"/>
              <w:ind w:right="122"/>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21"/>
                <w:szCs w:val="21"/>
                <w:color w:val="auto"/>
              </w:rPr>
            </w:pPr>
          </w:p>
        </w:tc>
        <w:tc>
          <w:tcPr>
            <w:tcW w:w="860" w:type="dxa"/>
            <w:vAlign w:val="bottom"/>
          </w:tcPr>
          <w:p>
            <w:pPr>
              <w:jc w:val="right"/>
              <w:ind w:right="64"/>
              <w:spacing w:after="0"/>
              <w:rPr>
                <w:sz w:val="20"/>
                <w:szCs w:val="20"/>
                <w:color w:val="auto"/>
              </w:rPr>
            </w:pPr>
            <w:r>
              <w:rPr>
                <w:rFonts w:ascii="Arial" w:cs="Arial" w:eastAsia="Arial" w:hAnsi="Arial"/>
                <w:sz w:val="16"/>
                <w:szCs w:val="16"/>
                <w:b w:val="1"/>
                <w:bCs w:val="1"/>
                <w:color w:val="auto"/>
              </w:rPr>
              <w:t>59,403</w:t>
            </w:r>
          </w:p>
        </w:tc>
        <w:tc>
          <w:tcPr>
            <w:tcW w:w="420" w:type="dxa"/>
            <w:vAlign w:val="bottom"/>
          </w:tcPr>
          <w:p>
            <w:pPr>
              <w:spacing w:after="0"/>
              <w:rPr>
                <w:sz w:val="21"/>
                <w:szCs w:val="21"/>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80,034</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(26)</w:t>
            </w:r>
          </w:p>
        </w:tc>
      </w:tr>
    </w:tbl>
    <w:p>
      <w:pPr>
        <w:spacing w:after="0" w:line="221"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Revenue at the television broadcasting division decreased 14% to $100.8 million in the second quarter of 2020, from $116.6 million in the same period of 2019. The revenue decline is due to reduced advertising demand related to the COVID-19 pandemic, partially offset by a $3.7 million increase in political advertising revenue and a $3.5 million increase in retransmission revenues. In the second quarter of 2020 and 2019, the television broadcasting division recorded $1.1 million and $7.8 million, respectively, in reductions to operating expenses related to property, plant and equipment gains due to new equipment received at no cost in connection with the spectrum repacking mandate of the FCC. Operating income for the second quarter of 2020 decreased 47% to $23.6 million, from $44.5 million in the same period of 2019, due to revenue declines, higher network fees and a reduction in property, plant and equipment gains. While revenue and operating results were adversely impacted by the COVID-19 pandemic in the second quarter of 2020, both revenue and operating results improved steadily throughout the quarter.</w:t>
      </w:r>
    </w:p>
    <w:p>
      <w:pPr>
        <w:spacing w:after="0" w:line="140"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Revenue at the television broadcasting division decreased 4% to $216.2 million in the first six months of 2020, from $ 224.9 million in the same period of 2019. The revenue decline is due to reduced advertising demand related to the COVID-19 pandemic, partially offset by a $13.5 million increase in political advertising revenue and $4.1 million in higher retransmission revenues. In the first six months of 2020 and 2019, the television broadcasting division recorded $1.4 million and $9.6 million, respectively, in reductions to operating expenses related to property, plant and equipment gains due to new equipment received at no cost in connection with the spectrum repacking mandate of the FCC. Operating income for the first six months of 2020 decreased 26% to $59.4 million, from $80.0 million in the same period of 2019, due to revenue declines, higher network fees and a reduction in property, plant and equipment gains.</w:t>
      </w:r>
    </w:p>
    <w:p>
      <w:pPr>
        <w:spacing w:after="0" w:line="139"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The postponement of the 2020 summer Olympics, the reduction and uncertainty surrounding broadcast sporting events, and overall reduced advertising demand related to the COVID-19 pandemic are expected to negatively impact advertising revenue and the operating results at the television broadcasting division for the remainder of 2020.</w:t>
      </w:r>
    </w:p>
    <w:p>
      <w:pPr>
        <w:spacing w:after="0" w:line="137"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In March 2019, the Company’s television station in Orlando (WKMG) entered into a new network affiliation agreement with CBS that covers the period April 7, 2019 through June 30, 2022.</w:t>
      </w:r>
    </w:p>
    <w:p>
      <w:pPr>
        <w:spacing w:after="0" w:line="13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In October 2019, the Company’s television stations in Houston (KPRC), Detroit (WDIV) and Roanoke (WSLS) have entered into a new three-year NBC Affiliation Agreement effective January 1, 2020 through December 31,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3"/>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3"/>
          </w:tcPr>
          <w:p>
            <w:pPr>
              <w:jc w:val="center"/>
              <w:ind w:right="162"/>
              <w:spacing w:after="0"/>
              <w:rPr>
                <w:sz w:val="20"/>
                <w:szCs w:val="20"/>
                <w:color w:val="auto"/>
              </w:rPr>
            </w:pPr>
            <w:r>
              <w:rPr>
                <w:rFonts w:ascii="Arial" w:cs="Arial" w:eastAsia="Arial" w:hAnsi="Arial"/>
                <w:sz w:val="14"/>
                <w:szCs w:val="14"/>
                <w:b w:val="1"/>
                <w:bCs w:val="1"/>
                <w:color w:val="auto"/>
              </w:rPr>
              <w:t>Six Months Ended</w:t>
            </w:r>
          </w:p>
        </w:tc>
        <w:tc>
          <w:tcPr>
            <w:tcW w:w="1180" w:type="dxa"/>
            <w:vAlign w:val="bottom"/>
          </w:tcPr>
          <w:p>
            <w:pPr>
              <w:spacing w:after="0"/>
              <w:rPr>
                <w:sz w:val="16"/>
                <w:szCs w:val="16"/>
                <w:color w:val="auto"/>
              </w:rPr>
            </w:pPr>
          </w:p>
        </w:tc>
      </w:tr>
      <w:tr>
        <w:trPr>
          <w:trHeight w:val="222"/>
        </w:trPr>
        <w:tc>
          <w:tcPr>
            <w:tcW w:w="4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r>
      <w:tr>
        <w:trPr>
          <w:trHeight w:val="21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 Change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 Change</w:t>
            </w:r>
          </w:p>
        </w:tc>
      </w:tr>
      <w:tr>
        <w:trPr>
          <w:trHeight w:val="223"/>
        </w:trPr>
        <w:tc>
          <w:tcPr>
            <w:tcW w:w="414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ind w:left="200"/>
              <w:spacing w:after="0"/>
              <w:rPr>
                <w:sz w:val="20"/>
                <w:szCs w:val="20"/>
                <w:color w:val="auto"/>
              </w:rPr>
            </w:pPr>
            <w:r>
              <w:rPr>
                <w:rFonts w:ascii="Arial" w:cs="Arial" w:eastAsia="Arial" w:hAnsi="Arial"/>
                <w:sz w:val="16"/>
                <w:szCs w:val="16"/>
                <w:b w:val="1"/>
                <w:bCs w:val="1"/>
                <w:color w:val="auto"/>
              </w:rPr>
              <w:t>83,239</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114,873</w:t>
            </w:r>
          </w:p>
        </w:tc>
        <w:tc>
          <w:tcPr>
            <w:tcW w:w="1280" w:type="dxa"/>
            <w:vAlign w:val="bottom"/>
          </w:tcPr>
          <w:p>
            <w:pPr>
              <w:jc w:val="right"/>
              <w:ind w:right="122"/>
              <w:spacing w:after="0"/>
              <w:rPr>
                <w:sz w:val="20"/>
                <w:szCs w:val="20"/>
                <w:color w:val="auto"/>
              </w:rPr>
            </w:pPr>
            <w:r>
              <w:rPr>
                <w:rFonts w:ascii="Arial" w:cs="Arial" w:eastAsia="Arial" w:hAnsi="Arial"/>
                <w:sz w:val="16"/>
                <w:szCs w:val="16"/>
                <w:color w:val="auto"/>
              </w:rPr>
              <w:t>(28)</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64"/>
              <w:spacing w:after="0"/>
              <w:rPr>
                <w:sz w:val="20"/>
                <w:szCs w:val="20"/>
                <w:color w:val="auto"/>
              </w:rPr>
            </w:pPr>
            <w:r>
              <w:rPr>
                <w:rFonts w:ascii="Arial" w:cs="Arial" w:eastAsia="Arial" w:hAnsi="Arial"/>
                <w:sz w:val="16"/>
                <w:szCs w:val="16"/>
                <w:b w:val="1"/>
                <w:bCs w:val="1"/>
                <w:color w:val="auto"/>
              </w:rPr>
              <w:t>196,697</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230,030</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(14)</w:t>
            </w:r>
          </w:p>
        </w:tc>
      </w:tr>
      <w:tr>
        <w:trPr>
          <w:trHeight w:val="243"/>
        </w:trPr>
        <w:tc>
          <w:tcPr>
            <w:tcW w:w="4140" w:type="dxa"/>
            <w:vAlign w:val="bottom"/>
          </w:tcPr>
          <w:p>
            <w:pPr>
              <w:ind w:left="20"/>
              <w:spacing w:after="0"/>
              <w:rPr>
                <w:sz w:val="20"/>
                <w:szCs w:val="20"/>
                <w:color w:val="auto"/>
              </w:rPr>
            </w:pPr>
            <w:r>
              <w:rPr>
                <w:rFonts w:ascii="Arial" w:cs="Arial" w:eastAsia="Arial" w:hAnsi="Arial"/>
                <w:sz w:val="16"/>
                <w:szCs w:val="16"/>
                <w:color w:val="auto"/>
              </w:rPr>
              <w:t>Operating (Loss) Income</w:t>
            </w:r>
          </w:p>
        </w:tc>
        <w:tc>
          <w:tcPr>
            <w:tcW w:w="240" w:type="dxa"/>
            <w:vAlign w:val="bottom"/>
          </w:tcPr>
          <w:p>
            <w:pPr>
              <w:spacing w:after="0"/>
              <w:rPr>
                <w:sz w:val="21"/>
                <w:szCs w:val="21"/>
                <w:color w:val="auto"/>
              </w:rPr>
            </w:pPr>
          </w:p>
        </w:tc>
        <w:tc>
          <w:tcPr>
            <w:tcW w:w="840" w:type="dxa"/>
            <w:vAlign w:val="bottom"/>
          </w:tcPr>
          <w:p>
            <w:pPr>
              <w:jc w:val="right"/>
              <w:ind w:right="24"/>
              <w:spacing w:after="0"/>
              <w:rPr>
                <w:sz w:val="20"/>
                <w:szCs w:val="20"/>
                <w:color w:val="auto"/>
              </w:rPr>
            </w:pPr>
            <w:r>
              <w:rPr>
                <w:rFonts w:ascii="Arial" w:cs="Arial" w:eastAsia="Arial" w:hAnsi="Arial"/>
                <w:sz w:val="16"/>
                <w:szCs w:val="16"/>
                <w:b w:val="1"/>
                <w:bCs w:val="1"/>
                <w:color w:val="auto"/>
              </w:rPr>
              <w:t>(1,482)</w:t>
            </w:r>
          </w:p>
        </w:tc>
        <w:tc>
          <w:tcPr>
            <w:tcW w:w="400" w:type="dxa"/>
            <w:vAlign w:val="bottom"/>
          </w:tcPr>
          <w:p>
            <w:pPr>
              <w:spacing w:after="0"/>
              <w:rPr>
                <w:sz w:val="21"/>
                <w:szCs w:val="21"/>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4,692</w:t>
            </w:r>
          </w:p>
        </w:tc>
        <w:tc>
          <w:tcPr>
            <w:tcW w:w="1280" w:type="dxa"/>
            <w:vAlign w:val="bottom"/>
          </w:tcPr>
          <w:p>
            <w:pPr>
              <w:jc w:val="center"/>
              <w:ind w:left="522"/>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21"/>
                <w:szCs w:val="21"/>
                <w:color w:val="auto"/>
              </w:rPr>
            </w:pPr>
          </w:p>
        </w:tc>
        <w:tc>
          <w:tcPr>
            <w:tcW w:w="860" w:type="dxa"/>
            <w:vAlign w:val="bottom"/>
          </w:tcPr>
          <w:p>
            <w:pPr>
              <w:jc w:val="right"/>
              <w:ind w:right="64"/>
              <w:spacing w:after="0"/>
              <w:rPr>
                <w:sz w:val="20"/>
                <w:szCs w:val="20"/>
                <w:color w:val="auto"/>
              </w:rPr>
            </w:pPr>
            <w:r>
              <w:rPr>
                <w:rFonts w:ascii="Arial" w:cs="Arial" w:eastAsia="Arial" w:hAnsi="Arial"/>
                <w:sz w:val="16"/>
                <w:szCs w:val="16"/>
                <w:b w:val="1"/>
                <w:bCs w:val="1"/>
                <w:color w:val="auto"/>
              </w:rPr>
              <w:t>5,019</w:t>
            </w:r>
          </w:p>
        </w:tc>
        <w:tc>
          <w:tcPr>
            <w:tcW w:w="420" w:type="dxa"/>
            <w:vAlign w:val="bottom"/>
          </w:tcPr>
          <w:p>
            <w:pPr>
              <w:spacing w:after="0"/>
              <w:rPr>
                <w:sz w:val="21"/>
                <w:szCs w:val="21"/>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7,966</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(37)</w:t>
            </w:r>
          </w:p>
        </w:tc>
      </w:tr>
    </w:tbl>
    <w:p>
      <w:pPr>
        <w:spacing w:after="0" w:line="221"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 assemblies; Joyce/Dayton, a manufacturer of screw jacks and other linear motion systems; and Forney, a global supplier of products and systems that control and monitor combustion processes in electric utility and industrial applications.</w:t>
      </w:r>
    </w:p>
    <w:p>
      <w:pPr>
        <w:spacing w:after="0" w:line="135"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Manufacturing revenues declined 28% and 14% in the second quarter and first six months of 2020, respectively. The revenue declines are due primarily to a significant reduction in product demand at Dekko, particularly in the hospitality, household appliance and transportation sectors, as well as lower product demand at Hoover, partially offset by higher wood prices at Hoover in the second quarter of 2020. Manufacturing operating results declined in the second quarter and first six months of 2020, due to a significant decline in Dekko results for the second quarter of 2020 from lower revenues, partially offset by improved results at Hoover from reduced operating costs and gains on inventory sales.</w:t>
      </w:r>
    </w:p>
    <w:p>
      <w:pPr>
        <w:spacing w:after="0" w:line="137" w:lineRule="exact"/>
        <w:rPr>
          <w:sz w:val="20"/>
          <w:szCs w:val="20"/>
          <w:color w:val="auto"/>
        </w:rPr>
      </w:pPr>
    </w:p>
    <w:p>
      <w:pPr>
        <w:jc w:val="both"/>
        <w:ind w:right="280"/>
        <w:spacing w:after="0" w:line="229" w:lineRule="auto"/>
        <w:rPr>
          <w:sz w:val="20"/>
          <w:szCs w:val="20"/>
          <w:color w:val="auto"/>
        </w:rPr>
      </w:pPr>
      <w:r>
        <w:rPr>
          <w:rFonts w:ascii="Arial" w:cs="Arial" w:eastAsia="Arial" w:hAnsi="Arial"/>
          <w:sz w:val="18"/>
          <w:szCs w:val="18"/>
          <w:color w:val="auto"/>
        </w:rPr>
        <w:t>Starting in the second half of March 2020, certain of Dekko, Joyce/Dayton and Hoover’s manufacturing plants began operating at reduced levels due to lower product demand and other jurisdictional factors related to the COVID-19 pandemic. The manufacturing businesses are tightly managing expenses and continuing with cost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4" w:name="page35"/>
    <w:bookmarkEnd w:id="34"/>
    <w:p>
      <w:pPr>
        <w:ind w:right="500"/>
        <w:spacing w:after="0" w:line="235" w:lineRule="auto"/>
        <w:rPr>
          <w:sz w:val="20"/>
          <w:szCs w:val="20"/>
          <w:color w:val="auto"/>
        </w:rPr>
      </w:pPr>
      <w:r>
        <w:rPr>
          <w:rFonts w:ascii="Arial" w:cs="Arial" w:eastAsia="Arial" w:hAnsi="Arial"/>
          <w:sz w:val="18"/>
          <w:szCs w:val="18"/>
          <w:color w:val="auto"/>
        </w:rPr>
        <w:t>reduction plans to mitigate the impact of lower product demand. Overall, this is expected to continue to adversely impact manufacturing revenues and operating results for the remainder of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3"/>
          </w:tcPr>
          <w:p>
            <w:pPr>
              <w:jc w:val="center"/>
              <w:ind w:right="162"/>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Six Months Ended</w:t>
            </w:r>
          </w:p>
        </w:tc>
        <w:tc>
          <w:tcPr>
            <w:tcW w:w="1180" w:type="dxa"/>
            <w:vAlign w:val="bottom"/>
          </w:tcPr>
          <w:p>
            <w:pPr>
              <w:spacing w:after="0"/>
              <w:rPr>
                <w:sz w:val="16"/>
                <w:szCs w:val="16"/>
                <w:color w:val="auto"/>
              </w:rPr>
            </w:pPr>
          </w:p>
        </w:tc>
      </w:tr>
      <w:tr>
        <w:trPr>
          <w:trHeight w:val="222"/>
        </w:trPr>
        <w:tc>
          <w:tcPr>
            <w:tcW w:w="4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left="484"/>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left="48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r>
      <w:tr>
        <w:trPr>
          <w:trHeight w:val="209"/>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c>
          <w:tcPr>
            <w:tcW w:w="12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 Change</w:t>
            </w:r>
          </w:p>
        </w:tc>
      </w:tr>
      <w:tr>
        <w:trPr>
          <w:trHeight w:val="223"/>
        </w:trPr>
        <w:tc>
          <w:tcPr>
            <w:tcW w:w="414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64"/>
              <w:spacing w:after="0"/>
              <w:rPr>
                <w:sz w:val="20"/>
                <w:szCs w:val="20"/>
                <w:color w:val="auto"/>
              </w:rPr>
            </w:pPr>
            <w:r>
              <w:rPr>
                <w:rFonts w:ascii="Arial" w:cs="Arial" w:eastAsia="Arial" w:hAnsi="Arial"/>
                <w:sz w:val="16"/>
                <w:szCs w:val="16"/>
                <w:b w:val="1"/>
                <w:bCs w:val="1"/>
                <w:color w:val="auto"/>
              </w:rPr>
              <w:t>49,181</w:t>
            </w:r>
          </w:p>
        </w:tc>
        <w:tc>
          <w:tcPr>
            <w:tcW w:w="4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2"/>
              <w:spacing w:after="0"/>
              <w:rPr>
                <w:sz w:val="20"/>
                <w:szCs w:val="20"/>
                <w:color w:val="auto"/>
              </w:rPr>
            </w:pPr>
            <w:r>
              <w:rPr>
                <w:rFonts w:ascii="Arial" w:cs="Arial" w:eastAsia="Arial" w:hAnsi="Arial"/>
                <w:sz w:val="16"/>
                <w:szCs w:val="16"/>
                <w:color w:val="auto"/>
              </w:rPr>
              <w:t>40,641</w:t>
            </w:r>
          </w:p>
        </w:tc>
        <w:tc>
          <w:tcPr>
            <w:tcW w:w="1280" w:type="dxa"/>
            <w:vAlign w:val="bottom"/>
          </w:tcPr>
          <w:p>
            <w:pPr>
              <w:jc w:val="right"/>
              <w:ind w:right="182"/>
              <w:spacing w:after="0"/>
              <w:rPr>
                <w:sz w:val="20"/>
                <w:szCs w:val="20"/>
                <w:color w:val="auto"/>
              </w:rPr>
            </w:pPr>
            <w:r>
              <w:rPr>
                <w:rFonts w:ascii="Arial" w:cs="Arial" w:eastAsia="Arial" w:hAnsi="Arial"/>
                <w:sz w:val="16"/>
                <w:szCs w:val="16"/>
                <w:color w:val="auto"/>
              </w:rPr>
              <w:t>21</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64"/>
              <w:spacing w:after="0"/>
              <w:rPr>
                <w:sz w:val="20"/>
                <w:szCs w:val="20"/>
                <w:color w:val="auto"/>
              </w:rPr>
            </w:pPr>
            <w:r>
              <w:rPr>
                <w:rFonts w:ascii="Arial" w:cs="Arial" w:eastAsia="Arial" w:hAnsi="Arial"/>
                <w:sz w:val="16"/>
                <w:szCs w:val="16"/>
                <w:b w:val="1"/>
                <w:bCs w:val="1"/>
                <w:color w:val="auto"/>
              </w:rPr>
              <w:t>95,175</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78,369</w:t>
            </w: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21</w:t>
            </w:r>
          </w:p>
        </w:tc>
      </w:tr>
      <w:tr>
        <w:trPr>
          <w:trHeight w:val="243"/>
        </w:trPr>
        <w:tc>
          <w:tcPr>
            <w:tcW w:w="414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21"/>
                <w:szCs w:val="21"/>
                <w:color w:val="auto"/>
              </w:rPr>
            </w:pPr>
          </w:p>
        </w:tc>
        <w:tc>
          <w:tcPr>
            <w:tcW w:w="820" w:type="dxa"/>
            <w:vAlign w:val="bottom"/>
          </w:tcPr>
          <w:p>
            <w:pPr>
              <w:jc w:val="right"/>
              <w:ind w:right="64"/>
              <w:spacing w:after="0"/>
              <w:rPr>
                <w:sz w:val="20"/>
                <w:szCs w:val="20"/>
                <w:color w:val="auto"/>
              </w:rPr>
            </w:pPr>
            <w:r>
              <w:rPr>
                <w:rFonts w:ascii="Arial" w:cs="Arial" w:eastAsia="Arial" w:hAnsi="Arial"/>
                <w:sz w:val="16"/>
                <w:szCs w:val="16"/>
                <w:b w:val="1"/>
                <w:bCs w:val="1"/>
                <w:color w:val="auto"/>
              </w:rPr>
              <w:t>8,818</w:t>
            </w:r>
          </w:p>
        </w:tc>
        <w:tc>
          <w:tcPr>
            <w:tcW w:w="440" w:type="dxa"/>
            <w:vAlign w:val="bottom"/>
          </w:tcPr>
          <w:p>
            <w:pPr>
              <w:spacing w:after="0"/>
              <w:rPr>
                <w:sz w:val="21"/>
                <w:szCs w:val="21"/>
                <w:color w:val="auto"/>
              </w:rPr>
            </w:pPr>
          </w:p>
        </w:tc>
        <w:tc>
          <w:tcPr>
            <w:tcW w:w="800" w:type="dxa"/>
            <w:vAlign w:val="bottom"/>
          </w:tcPr>
          <w:p>
            <w:pPr>
              <w:jc w:val="right"/>
              <w:ind w:right="82"/>
              <w:spacing w:after="0"/>
              <w:rPr>
                <w:sz w:val="20"/>
                <w:szCs w:val="20"/>
                <w:color w:val="auto"/>
              </w:rPr>
            </w:pPr>
            <w:r>
              <w:rPr>
                <w:rFonts w:ascii="Arial" w:cs="Arial" w:eastAsia="Arial" w:hAnsi="Arial"/>
                <w:sz w:val="16"/>
                <w:szCs w:val="16"/>
                <w:color w:val="auto"/>
              </w:rPr>
              <w:t>2,598</w:t>
            </w:r>
          </w:p>
        </w:tc>
        <w:tc>
          <w:tcPr>
            <w:tcW w:w="128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840" w:type="dxa"/>
            <w:vAlign w:val="bottom"/>
          </w:tcPr>
          <w:p>
            <w:pPr>
              <w:jc w:val="right"/>
              <w:ind w:right="64"/>
              <w:spacing w:after="0"/>
              <w:rPr>
                <w:sz w:val="20"/>
                <w:szCs w:val="20"/>
                <w:color w:val="auto"/>
              </w:rPr>
            </w:pPr>
            <w:r>
              <w:rPr>
                <w:rFonts w:ascii="Arial" w:cs="Arial" w:eastAsia="Arial" w:hAnsi="Arial"/>
                <w:sz w:val="16"/>
                <w:szCs w:val="16"/>
                <w:b w:val="1"/>
                <w:bCs w:val="1"/>
                <w:color w:val="auto"/>
              </w:rPr>
              <w:t>11,987</w:t>
            </w:r>
          </w:p>
        </w:tc>
        <w:tc>
          <w:tcPr>
            <w:tcW w:w="420" w:type="dxa"/>
            <w:vAlign w:val="bottom"/>
          </w:tcPr>
          <w:p>
            <w:pPr>
              <w:spacing w:after="0"/>
              <w:rPr>
                <w:sz w:val="21"/>
                <w:szCs w:val="21"/>
                <w:color w:val="auto"/>
              </w:rPr>
            </w:pP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4,927</w:t>
            </w:r>
          </w:p>
        </w:tc>
        <w:tc>
          <w:tcPr>
            <w:tcW w:w="1180" w:type="dxa"/>
            <w:vAlign w:val="bottom"/>
          </w:tcPr>
          <w:p>
            <w:pPr>
              <w:jc w:val="right"/>
              <w:ind w:right="82"/>
              <w:spacing w:after="0"/>
              <w:rPr>
                <w:sz w:val="20"/>
                <w:szCs w:val="20"/>
                <w:color w:val="auto"/>
              </w:rPr>
            </w:pPr>
            <w:r>
              <w:rPr>
                <w:rFonts w:ascii="Arial" w:cs="Arial" w:eastAsia="Arial" w:hAnsi="Arial"/>
                <w:sz w:val="16"/>
                <w:szCs w:val="16"/>
                <w:color w:val="auto"/>
              </w:rPr>
              <w:t>—</w:t>
            </w:r>
          </w:p>
        </w:tc>
      </w:tr>
    </w:tbl>
    <w:p>
      <w:pPr>
        <w:spacing w:after="0" w:line="221"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The Graham Healthcare Group (GHG) provides home health and hospice services in three states. In December 2019, GHG acquired a 75% interest in CSI Pharmacy Holding Company, LLC (CSI), a Wake Village, TX-based company, which coordinates the prescriptions and nursing care for patients receiving in-home infusion treatments. Healthcare revenues increased 21% for the second quarter and first six months of 2020, due to the CSI acquisition, offset by revenue declines from home health services due to lower patient volumes.</w:t>
      </w:r>
    </w:p>
    <w:p>
      <w:pPr>
        <w:spacing w:after="0" w:line="135" w:lineRule="exact"/>
        <w:rPr>
          <w:sz w:val="20"/>
          <w:szCs w:val="20"/>
          <w:color w:val="auto"/>
        </w:rPr>
      </w:pPr>
    </w:p>
    <w:p>
      <w:pPr>
        <w:spacing w:after="0" w:line="222" w:lineRule="auto"/>
        <w:rPr>
          <w:sz w:val="20"/>
          <w:szCs w:val="20"/>
          <w:color w:val="auto"/>
        </w:rPr>
      </w:pPr>
      <w:r>
        <w:rPr>
          <w:rFonts w:ascii="Arial" w:cs="Arial" w:eastAsia="Arial" w:hAnsi="Arial"/>
          <w:sz w:val="18"/>
          <w:szCs w:val="18"/>
          <w:color w:val="auto"/>
        </w:rPr>
        <w:t>In the second quarter of 2020, GHG received $7.4 million from the Federal CARES Act Provider Relief Fund. GHG did not apply for these funds; they were disbursed to GHG as a Medicare provider under the CARES Act. Under the Department of Health and Human Services guidelines, these funds may be used to offset revenue reductions and expenses incurred in connection with the COVID-19 pandemic. Of this amount, GHG recorded $5.5 million in revenue in the second quarter to partially offset the impact of revenue reductions due to the COVID-19 pandemic from the curtailment of elective procedures by health systems and other factors. GHG recorded $1.7 million as a credit to operating costs to partially offset the impact of costs incurred to procure personal protective equipment for GHG employees and other COVID-19 related costs. The improvement in GHG operating results in the second quarter and first six months of 2020 is due to improved results from home health and hospice services and operating income from the CSI acquisition. The Company expects home health care revenues for the remainder of 2020 to continue to be down from 2019, due to the effects of COVID-19.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SocialCode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3"/>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Six Months Ended</w:t>
            </w:r>
          </w:p>
        </w:tc>
        <w:tc>
          <w:tcPr>
            <w:tcW w:w="1180" w:type="dxa"/>
            <w:vAlign w:val="bottom"/>
          </w:tcPr>
          <w:p>
            <w:pPr>
              <w:spacing w:after="0"/>
              <w:rPr>
                <w:sz w:val="16"/>
                <w:szCs w:val="16"/>
                <w:color w:val="auto"/>
              </w:rPr>
            </w:pPr>
          </w:p>
        </w:tc>
      </w:tr>
      <w:tr>
        <w:trPr>
          <w:trHeight w:val="222"/>
        </w:trPr>
        <w:tc>
          <w:tcPr>
            <w:tcW w:w="4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left="484"/>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r>
      <w:tr>
        <w:trPr>
          <w:trHeight w:val="210"/>
        </w:trPr>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c>
          <w:tcPr>
            <w:tcW w:w="128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2019</w:t>
            </w:r>
          </w:p>
        </w:tc>
        <w:tc>
          <w:tcPr>
            <w:tcW w:w="11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color w:val="auto"/>
              </w:rPr>
              <w:t>% Change</w:t>
            </w:r>
          </w:p>
        </w:tc>
      </w:tr>
      <w:tr>
        <w:trPr>
          <w:trHeight w:val="223"/>
        </w:trPr>
        <w:tc>
          <w:tcPr>
            <w:tcW w:w="4140" w:type="dxa"/>
            <w:vAlign w:val="bottom"/>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ind w:left="200"/>
              <w:spacing w:after="0"/>
              <w:rPr>
                <w:sz w:val="20"/>
                <w:szCs w:val="20"/>
                <w:color w:val="auto"/>
              </w:rPr>
            </w:pPr>
            <w:r>
              <w:rPr>
                <w:rFonts w:ascii="Arial" w:cs="Arial" w:eastAsia="Arial" w:hAnsi="Arial"/>
                <w:sz w:val="16"/>
                <w:szCs w:val="16"/>
                <w:b w:val="1"/>
                <w:bCs w:val="1"/>
                <w:color w:val="auto"/>
              </w:rPr>
              <w:t>10,483</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2"/>
              <w:spacing w:after="0"/>
              <w:rPr>
                <w:sz w:val="20"/>
                <w:szCs w:val="20"/>
                <w:color w:val="auto"/>
              </w:rPr>
            </w:pPr>
            <w:r>
              <w:rPr>
                <w:rFonts w:ascii="Arial" w:cs="Arial" w:eastAsia="Arial" w:hAnsi="Arial"/>
                <w:sz w:val="16"/>
                <w:szCs w:val="16"/>
                <w:color w:val="auto"/>
              </w:rPr>
              <w:t>16,382</w:t>
            </w:r>
          </w:p>
        </w:tc>
        <w:tc>
          <w:tcPr>
            <w:tcW w:w="1280" w:type="dxa"/>
            <w:vAlign w:val="bottom"/>
          </w:tcPr>
          <w:p>
            <w:pPr>
              <w:jc w:val="right"/>
              <w:ind w:right="122"/>
              <w:spacing w:after="0"/>
              <w:rPr>
                <w:sz w:val="20"/>
                <w:szCs w:val="20"/>
                <w:color w:val="auto"/>
              </w:rPr>
            </w:pPr>
            <w:r>
              <w:rPr>
                <w:rFonts w:ascii="Arial" w:cs="Arial" w:eastAsia="Arial" w:hAnsi="Arial"/>
                <w:sz w:val="16"/>
                <w:szCs w:val="16"/>
                <w:color w:val="auto"/>
              </w:rPr>
              <w:t>(36)</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84"/>
              <w:spacing w:after="0"/>
              <w:rPr>
                <w:sz w:val="20"/>
                <w:szCs w:val="20"/>
                <w:color w:val="auto"/>
              </w:rPr>
            </w:pPr>
            <w:r>
              <w:rPr>
                <w:rFonts w:ascii="Arial" w:cs="Arial" w:eastAsia="Arial" w:hAnsi="Arial"/>
                <w:sz w:val="16"/>
                <w:szCs w:val="16"/>
                <w:b w:val="1"/>
                <w:bCs w:val="1"/>
                <w:color w:val="auto"/>
              </w:rPr>
              <w:t>22,506</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2"/>
              <w:spacing w:after="0"/>
              <w:rPr>
                <w:sz w:val="20"/>
                <w:szCs w:val="20"/>
                <w:color w:val="auto"/>
              </w:rPr>
            </w:pPr>
            <w:r>
              <w:rPr>
                <w:rFonts w:ascii="Arial" w:cs="Arial" w:eastAsia="Arial" w:hAnsi="Arial"/>
                <w:sz w:val="16"/>
                <w:szCs w:val="16"/>
                <w:color w:val="auto"/>
              </w:rPr>
              <w:t>29,829</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(25)</w:t>
            </w:r>
          </w:p>
        </w:tc>
      </w:tr>
      <w:tr>
        <w:trPr>
          <w:trHeight w:val="243"/>
        </w:trPr>
        <w:tc>
          <w:tcPr>
            <w:tcW w:w="4140" w:type="dxa"/>
            <w:vAlign w:val="bottom"/>
          </w:tcPr>
          <w:p>
            <w:pPr>
              <w:ind w:left="20"/>
              <w:spacing w:after="0"/>
              <w:rPr>
                <w:sz w:val="20"/>
                <w:szCs w:val="20"/>
                <w:color w:val="auto"/>
              </w:rPr>
            </w:pPr>
            <w:r>
              <w:rPr>
                <w:rFonts w:ascii="Arial" w:cs="Arial" w:eastAsia="Arial" w:hAnsi="Arial"/>
                <w:sz w:val="16"/>
                <w:szCs w:val="16"/>
                <w:color w:val="auto"/>
              </w:rPr>
              <w:t>Operating Loss</w:t>
            </w:r>
          </w:p>
        </w:tc>
        <w:tc>
          <w:tcPr>
            <w:tcW w:w="240" w:type="dxa"/>
            <w:vAlign w:val="bottom"/>
          </w:tcPr>
          <w:p>
            <w:pPr>
              <w:spacing w:after="0"/>
              <w:rPr>
                <w:sz w:val="21"/>
                <w:szCs w:val="21"/>
                <w:color w:val="auto"/>
              </w:rPr>
            </w:pPr>
          </w:p>
        </w:tc>
        <w:tc>
          <w:tcPr>
            <w:tcW w:w="840" w:type="dxa"/>
            <w:vAlign w:val="bottom"/>
          </w:tcPr>
          <w:p>
            <w:pPr>
              <w:jc w:val="right"/>
              <w:ind w:right="24"/>
              <w:spacing w:after="0"/>
              <w:rPr>
                <w:sz w:val="20"/>
                <w:szCs w:val="20"/>
                <w:color w:val="auto"/>
              </w:rPr>
            </w:pPr>
            <w:r>
              <w:rPr>
                <w:rFonts w:ascii="Arial" w:cs="Arial" w:eastAsia="Arial" w:hAnsi="Arial"/>
                <w:sz w:val="16"/>
                <w:szCs w:val="16"/>
                <w:b w:val="1"/>
                <w:bCs w:val="1"/>
                <w:color w:val="auto"/>
              </w:rPr>
              <w:t>(3,004)</w:t>
            </w:r>
          </w:p>
        </w:tc>
        <w:tc>
          <w:tcPr>
            <w:tcW w:w="420" w:type="dxa"/>
            <w:vAlign w:val="bottom"/>
          </w:tcPr>
          <w:p>
            <w:pPr>
              <w:spacing w:after="0"/>
              <w:rPr>
                <w:sz w:val="21"/>
                <w:szCs w:val="21"/>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(975)</w:t>
            </w:r>
          </w:p>
        </w:tc>
        <w:tc>
          <w:tcPr>
            <w:tcW w:w="1280" w:type="dxa"/>
            <w:vAlign w:val="bottom"/>
          </w:tcPr>
          <w:p>
            <w:pPr>
              <w:jc w:val="center"/>
              <w:ind w:left="522"/>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21"/>
                <w:szCs w:val="21"/>
                <w:color w:val="auto"/>
              </w:rPr>
            </w:pPr>
          </w:p>
        </w:tc>
        <w:tc>
          <w:tcPr>
            <w:tcW w:w="860" w:type="dxa"/>
            <w:vAlign w:val="bottom"/>
          </w:tcPr>
          <w:p>
            <w:pPr>
              <w:jc w:val="right"/>
              <w:ind w:right="44"/>
              <w:spacing w:after="0"/>
              <w:rPr>
                <w:sz w:val="20"/>
                <w:szCs w:val="20"/>
                <w:color w:val="auto"/>
              </w:rPr>
            </w:pPr>
            <w:r>
              <w:rPr>
                <w:rFonts w:ascii="Arial" w:cs="Arial" w:eastAsia="Arial" w:hAnsi="Arial"/>
                <w:sz w:val="16"/>
                <w:szCs w:val="16"/>
                <w:b w:val="1"/>
                <w:bCs w:val="1"/>
                <w:color w:val="auto"/>
              </w:rPr>
              <w:t>(6,793)</w:t>
            </w:r>
          </w:p>
        </w:tc>
        <w:tc>
          <w:tcPr>
            <w:tcW w:w="400" w:type="dxa"/>
            <w:vAlign w:val="bottom"/>
          </w:tcPr>
          <w:p>
            <w:pPr>
              <w:spacing w:after="0"/>
              <w:rPr>
                <w:sz w:val="21"/>
                <w:szCs w:val="21"/>
                <w:color w:val="auto"/>
              </w:rPr>
            </w:pP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(4,993)</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(36)</w:t>
            </w:r>
          </w:p>
        </w:tc>
      </w:tr>
    </w:tbl>
    <w:p>
      <w:pPr>
        <w:spacing w:after="0" w:line="221"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SocialCode is a provider of marketing solutions managing data, creative, media and marketplaces to accelerate client growth. SocialCode’s revenue decreased 36% and 25% in the second quarter and first six months of 2020, respectively, due to reduced marketing spending by advertising clients as a result of the recessionary environment from the COVID-19 pandemic. SocialCode also has some significant CPG industry clients and has experienced the adverse impact of brand boycotts. SocialCode reported operating losses of $3.0 million and $ 6.8 million in the second quarter and first six months of 2020, respectively, compared to $1.0 million and $5.0 million in the second quarter and first six months of 2019, respectively. In July 2020, SocialCode announced it will be splitting into two separate companies. SocialCode’s agency business will continue as a leading digital marketing agency and the Audience Intelligence Platform (AIP) will be a separate software company, operating under the new name, Decile. Decile uses first party customer data to deliver business intelligence and customer insights to its customers. In the second quarter of 2020, SocialCode recorded a $1.5 million lease impairment charge (including $0.1 million in property, plant and equipment write-downs) in connection with a restructuring plan that included other cost reduction initiatives to mitigate the adverse impact of COVID-19 on advertising demand, which is expected to continue for the remainder of 2020. These initiatives included the approval of a Separation Incentive Program (SIP) that reduced the number of employees at SocialCode, resulting in $1.0 million in non-operating pension expense in the second quarter of 2020.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66" w:lineRule="exact"/>
        <w:rPr>
          <w:sz w:val="20"/>
          <w:szCs w:val="20"/>
          <w:color w:val="auto"/>
        </w:rPr>
      </w:pPr>
    </w:p>
    <w:p>
      <w:pPr>
        <w:ind w:right="60"/>
        <w:spacing w:after="0" w:line="229" w:lineRule="auto"/>
        <w:rPr>
          <w:sz w:val="20"/>
          <w:szCs w:val="20"/>
          <w:color w:val="auto"/>
        </w:rPr>
      </w:pPr>
      <w:r>
        <w:rPr>
          <w:rFonts w:ascii="Arial" w:cs="Arial" w:eastAsia="Arial" w:hAnsi="Arial"/>
          <w:sz w:val="18"/>
          <w:szCs w:val="18"/>
          <w:color w:val="auto"/>
        </w:rPr>
        <w:t>On May 15, 2020, the Company acquired Framebridge, Inc., a custom framing service company, headquartered in Washington, DC, with two retail locations in the metropolitan area and a manufacturing facility in Richmond, KY. The Company previously disclosed a minority investment interest in Framebridge.</w:t>
      </w:r>
    </w:p>
    <w:p>
      <w:pPr>
        <w:spacing w:after="0" w:line="137"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On July 31, 2019, the Company acquired Clyde’s Restaurant Group (CRG). CRG owns and operates twelve restaurants and entertainment venues in the Washington, DC metropolitan area, including Old Ebbitt Grill and The Hamilton, two of the top twenty highest grossing independent restaurants in the United States. As a result of the COVID-19 pandemic, CRG temporarily closed all of its restaurants and venues in the second half of March 2020, pursuant to government orders, maintaining limited operations for delivery and pickup. At the time, CRG had temporarily laid off many of its employees due to the uncertainty as to the timing, safety and other details regarding</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5" w:name="page36"/>
    <w:bookmarkEnd w:id="35"/>
    <w:p>
      <w:pPr>
        <w:ind w:right="280"/>
        <w:spacing w:after="0" w:line="229" w:lineRule="auto"/>
        <w:rPr>
          <w:sz w:val="20"/>
          <w:szCs w:val="20"/>
          <w:color w:val="auto"/>
        </w:rPr>
      </w:pPr>
      <w:r>
        <w:rPr>
          <w:rFonts w:ascii="Arial" w:cs="Arial" w:eastAsia="Arial" w:hAnsi="Arial"/>
          <w:sz w:val="18"/>
          <w:szCs w:val="18"/>
          <w:color w:val="auto"/>
        </w:rPr>
        <w:t>reopening. Given the uncertain and challenging operating environment for the restaurant industry, the Company completed a goodwill and other long-lived assets impairment review of CRG in the first quarter of 2020, resulting in a $9.7 million goodwill and intangible assets impairment charge.</w:t>
      </w:r>
    </w:p>
    <w:p>
      <w:pPr>
        <w:spacing w:after="0" w:line="137"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In the second half of May 2020, CRG began limited outdoor dining services at most of its restaurants, and in the second half of June 2020, CRG began limited indoor dining services at most of its restaurants. While many of CRG’s laid-off employees were rehired, CRG is uncertain as to the timing and other details regarding a full reopening. In June 2020, CRG made the decision to close its restaurant and entertainment venue in Columbia, MD effective July 19, 2020, resulting in accelerated depreciation of property, plant and equipment totaling $2.8 million in the second quarter of 2020; an additional $2.8 million in accelerated depreciation will be recorded in the third quarter of 2020. CRG incurred a significant loss in the second quarter of 2020 due to limited revenues and costs incurred to support its employees and to reopen the restaurants for limited outdoor and indoor services. CRG continues to develop cost reduction plans to mitigate the impact of COVID-19. The pandemic is expected to continue to adversely impact CRG revenues and operating results for the remainder of 2020.</w:t>
      </w:r>
    </w:p>
    <w:p>
      <w:pPr>
        <w:spacing w:after="0" w:line="135"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 January 31, 2019, the Company acquired two automotive dealerships, Lexus of Rockville and Honda of Tysons Corner, from Sonic Automotive. The Company also announced it had entered into an agreement with Christopher J. Ourisman, a member of the Ourisman Automotive Group family of dealerships. In the fourth quarter of 2019, the Company and Mr. Ourisman commenced operations at a new Jeep automotive dealership, which began generating sales in January 2020 as Ourisman Jeep of Bethesda. Mr. Ourisman and his team of industry professionals operate and manage the dealerships. Graham Holdings Company holds a 90% stake in all three dealerships. As a result of the COVID-19 pandemic and the related recessionary conditions, the Company’s automotive dealerships experienced reduced demand for sales and service beginning in March 2020. Given the uncertain and challenging operating environment for automotive dealerships, the Company completed a goodwill and other long-lived assets impairment review of its automotive dealerships in the first quarter of 2020, resulting in a $6.7 million intangible assets impairment charge. Revenue and operating results at the automotive dealerships continued to be adversely impacted in the second quarter of 2020; however, results improved steadily throughout the quarter. While the impact of the pandemic is uncertain, the Company expects improved operating results in the second half of 2020, compared to the first half of 2020.</w:t>
      </w:r>
    </w:p>
    <w:p>
      <w:pPr>
        <w:spacing w:after="0" w:line="136"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Other businesses include an investment stage business, Megaphone, which provides podcast technology for publishers and advertisers through the Megaphone platform and Megaphone Targeted Marketplace (MTM). Megaphone’s revenues increased significantly in the first six months of 2020, as both advertising and platform sales experienced rapid growth during the period.</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Overall, for the first half of 2020, operating revenues for other businesses increased due largely to the CRG, Framebridge and automotive dealership acquisitions and growth at Megaphone. Revenues from other businesses decreased in the second quarter of 2020, due largely to declines at the automotive dealerships, offset by revenues from the CRG and Framebridge acquisitions and growth at Megaphone. CRG and the automotive dealerships incurred losses in the second quarter and first six months of 2020 due to the challenging operating conditions that began in March 2020 and the goodwill and other long-lived asset impairment charges. As investment stage businesses, Megaphone and Framebridge also reported operating losses in the second quarter and first six months of 2020.</w:t>
      </w:r>
    </w:p>
    <w:p>
      <w:pPr>
        <w:spacing w:after="0" w:line="137" w:lineRule="exact"/>
        <w:rPr>
          <w:sz w:val="20"/>
          <w:szCs w:val="20"/>
          <w:color w:val="auto"/>
        </w:rPr>
      </w:pPr>
    </w:p>
    <w:p>
      <w:pPr>
        <w:ind w:right="220"/>
        <w:spacing w:after="0" w:line="229"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two investment stage businesses, Pinna and CyberVista. Foreign Policy, CyberVista and Pinna also reported revenue increases in the first six months of 2020. Losses from each of these four businesses in the first six months of 2020 adversely affected operating results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66" w:lineRule="exact"/>
        <w:rPr>
          <w:sz w:val="20"/>
          <w:szCs w:val="20"/>
          <w:color w:val="auto"/>
        </w:rPr>
      </w:pPr>
    </w:p>
    <w:p>
      <w:pPr>
        <w:ind w:right="700"/>
        <w:spacing w:after="0" w:line="258" w:lineRule="auto"/>
        <w:rPr>
          <w:sz w:val="20"/>
          <w:szCs w:val="20"/>
          <w:color w:val="auto"/>
        </w:rPr>
      </w:pPr>
      <w:r>
        <w:rPr>
          <w:rFonts w:ascii="Arial" w:cs="Arial" w:eastAsia="Arial" w:hAnsi="Arial"/>
          <w:sz w:val="17"/>
          <w:szCs w:val="17"/>
          <w:color w:val="auto"/>
        </w:rPr>
        <w:t>Corporate office includes the expenses of the Company’s corporate office and certain continuing obligations related to prior business dispositions. Corporate office expenses declined in the first six months of 2020 due primarily to lower incentive compensation costs.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(Losses) Earnings of Affiliates</w:t>
      </w:r>
    </w:p>
    <w:p>
      <w:pPr>
        <w:spacing w:after="0" w:line="166" w:lineRule="exact"/>
        <w:rPr>
          <w:sz w:val="20"/>
          <w:szCs w:val="20"/>
          <w:color w:val="auto"/>
        </w:rPr>
      </w:pPr>
    </w:p>
    <w:p>
      <w:pPr>
        <w:ind w:right="100"/>
        <w:spacing w:after="0" w:line="223" w:lineRule="auto"/>
        <w:rPr>
          <w:sz w:val="20"/>
          <w:szCs w:val="20"/>
          <w:color w:val="auto"/>
        </w:rPr>
      </w:pPr>
      <w:r>
        <w:rPr>
          <w:rFonts w:ascii="Arial" w:cs="Arial" w:eastAsia="Arial" w:hAnsi="Arial"/>
          <w:sz w:val="18"/>
          <w:szCs w:val="18"/>
          <w:color w:val="auto"/>
        </w:rPr>
        <w:t>At June 30, 2020, the Company held an approximate 12% interest in Intersection Holdings, LLC, a company that provides digital marketing and advertising services and products for cities, transit systems, airports, and other public and private spaces. The Company also holds interests in a number of home health and hospice joint ventures, and several other affiliates. The Company recorded equity in earnings of affiliates of $1.2 million for the second quarter of 2020, compared to $1.5 million for the second quarter of 2019. The Company recorded equity in losses of affiliates of $0.4 million for the first six months of 2020, compared to earnings of $ 3.1 million for the first six months of 2019. The Company recorded $3.6 million in write-downs in equity in earnings of affiliates related to two of its investments in the first quarter of 2020.</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66"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On June 30, 2020, the Company repaid the £60 million borrowings due under the Kaplan Credit Agreement, financed by a £60 million drawdown on the Company’s $300 million revolving credit facility.</w:t>
      </w:r>
    </w:p>
    <w:p>
      <w:pPr>
        <w:spacing w:after="0" w:line="135" w:lineRule="exact"/>
        <w:rPr>
          <w:sz w:val="20"/>
          <w:szCs w:val="20"/>
          <w:color w:val="auto"/>
        </w:rPr>
      </w:pPr>
    </w:p>
    <w:p>
      <w:pPr>
        <w:spacing w:after="0" w:line="225" w:lineRule="auto"/>
        <w:rPr>
          <w:sz w:val="20"/>
          <w:szCs w:val="20"/>
          <w:color w:val="auto"/>
        </w:rPr>
      </w:pPr>
      <w:r>
        <w:rPr>
          <w:rFonts w:ascii="Arial" w:cs="Arial" w:eastAsia="Arial" w:hAnsi="Arial"/>
          <w:sz w:val="18"/>
          <w:szCs w:val="18"/>
          <w:color w:val="auto"/>
        </w:rPr>
        <w:t>In connection with the auto dealership acquisition that closed on January 31, 2019, a subsidiary of the Company borrowed $30 million to finance a portion of the acquisition and entered into an interest rate swap to fix the interest rate on the debt at 4.7% per annum. The subsidiary is required to repay the loan over a 10-year period by making monthly installment payments. In connection with the CSI acquisition that closed in December 2019, a subsidiary of GHG borrowed $ 11.25 million to finance a portion of the acquisition. The debt bears interest at 4.35% per annum. The GHG subsidiary is required to repay the loan over a five-year period by making monthly installment payments.</w:t>
      </w:r>
    </w:p>
    <w:p>
      <w:pPr>
        <w:spacing w:after="0" w:line="13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incurred net interest expense of $6.4 million and $13.0 million for the second quarter and first six months of 2020, respectively; compared to $6.8 million and $12.5 million for the second quarter and first six months of 2019, respectively.</w:t>
      </w:r>
    </w:p>
    <w:p>
      <w:pPr>
        <w:spacing w:after="0" w:line="135" w:lineRule="exact"/>
        <w:rPr>
          <w:sz w:val="20"/>
          <w:szCs w:val="20"/>
          <w:color w:val="auto"/>
        </w:rPr>
      </w:pPr>
    </w:p>
    <w:p>
      <w:pPr>
        <w:ind w:right="220"/>
        <w:spacing w:after="0" w:line="225" w:lineRule="auto"/>
        <w:rPr>
          <w:sz w:val="20"/>
          <w:szCs w:val="20"/>
          <w:color w:val="auto"/>
        </w:rPr>
      </w:pPr>
      <w:r>
        <w:rPr>
          <w:rFonts w:ascii="Arial" w:cs="Arial" w:eastAsia="Arial" w:hAnsi="Arial"/>
          <w:sz w:val="18"/>
          <w:szCs w:val="18"/>
          <w:color w:val="auto"/>
        </w:rPr>
        <w:t>At June 30, 2020, the Company had $511.5 million in borrowings outstanding at an average interest rate of 5.1% and cash, marketable equity securities and other investments of $723.8 million. At June 30, 2020, the Company had £60 million ($73.9 million) outstanding on its $300 million revolving credit facility, in connection with the refinancing of the debt repaid under the Kaplan Credit Agreement. In management’s opinion, the Company will have sufficient financial resources to meet its business requirements in the next twelve months, including working capital requirements, capital expenditures, interest payments and dividends.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66"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The Company recorded net non-operating pension and postretirement benefit income of $12.1 million and $30.5 million for the second quarter and first six months of 2020, respectively; compared to $12.3 million and $32.2 million for the second quarter and first six months of 2019, respectively.</w:t>
      </w:r>
    </w:p>
    <w:p>
      <w:pPr>
        <w:spacing w:after="0" w:line="137" w:lineRule="exact"/>
        <w:rPr>
          <w:sz w:val="20"/>
          <w:szCs w:val="20"/>
          <w:color w:val="auto"/>
        </w:rPr>
      </w:pPr>
    </w:p>
    <w:p>
      <w:pPr>
        <w:ind w:right="300"/>
        <w:spacing w:after="0" w:line="229" w:lineRule="auto"/>
        <w:rPr>
          <w:sz w:val="20"/>
          <w:szCs w:val="20"/>
          <w:color w:val="auto"/>
        </w:rPr>
      </w:pPr>
      <w:r>
        <w:rPr>
          <w:rFonts w:ascii="Arial" w:cs="Arial" w:eastAsia="Arial" w:hAnsi="Arial"/>
          <w:sz w:val="18"/>
          <w:szCs w:val="18"/>
          <w:color w:val="auto"/>
        </w:rPr>
        <w:t>In the second quarter of 2020, the Company recorded $6.0 million in expenses related to non-operating Separation Incentive Programs at the education division and SocialCode. In the second quarter of 2019, the Company recorded $6.6 million in expenses related to a non-operating Separation Incentive Program at the education division.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(Loss) on Marketable Equity Securities, net</w:t>
      </w:r>
    </w:p>
    <w:p>
      <w:pPr>
        <w:spacing w:after="0" w:line="166" w:lineRule="exact"/>
        <w:rPr>
          <w:sz w:val="20"/>
          <w:szCs w:val="20"/>
          <w:color w:val="auto"/>
        </w:rPr>
      </w:pPr>
    </w:p>
    <w:p>
      <w:pPr>
        <w:ind w:right="200"/>
        <w:spacing w:after="0" w:line="229" w:lineRule="auto"/>
        <w:rPr>
          <w:sz w:val="20"/>
          <w:szCs w:val="20"/>
          <w:color w:val="auto"/>
        </w:rPr>
      </w:pPr>
      <w:r>
        <w:rPr>
          <w:rFonts w:ascii="Arial" w:cs="Arial" w:eastAsia="Arial" w:hAnsi="Arial"/>
          <w:sz w:val="18"/>
          <w:szCs w:val="18"/>
          <w:color w:val="auto"/>
        </w:rPr>
        <w:t>Overall, the Company recognized $39.9 million in net gains and $60.5 million in net losses on marketable equity securities in the second quarter and first six months of 2020, respectively; compared to $7.8 million and $31.9 million in net gains on marketable equity securities in the second quarter and first six months of 2019,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66" w:lineRule="exact"/>
        <w:rPr>
          <w:sz w:val="20"/>
          <w:szCs w:val="20"/>
          <w:color w:val="auto"/>
        </w:rPr>
      </w:pPr>
    </w:p>
    <w:p>
      <w:pPr>
        <w:jc w:val="both"/>
        <w:ind w:right="60"/>
        <w:spacing w:after="0" w:line="227" w:lineRule="auto"/>
        <w:rPr>
          <w:sz w:val="20"/>
          <w:szCs w:val="20"/>
          <w:color w:val="auto"/>
        </w:rPr>
      </w:pPr>
      <w:r>
        <w:rPr>
          <w:rFonts w:ascii="Arial" w:cs="Arial" w:eastAsia="Arial" w:hAnsi="Arial"/>
          <w:sz w:val="18"/>
          <w:szCs w:val="18"/>
          <w:color w:val="auto"/>
        </w:rPr>
        <w:t>The Company recorded total other non-operating income, net, of $8.1 million for the second quarter of 2020, compared to $1.2 million for the second quarter of 2019. The 2020 amounts included a $3.7 million gain on acquiring a controlling interest in an equity affiliate; a $2.6 million gain on a cost method investment; a $1.5 million gain on sale of an equity affiliate, and other items; offset by $1.1 million in foreign currency losses. The 2019 amounts included $0.1 million in foreign currency gains and other items.</w:t>
      </w:r>
    </w:p>
    <w:p>
      <w:pPr>
        <w:spacing w:after="0" w:line="135"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color w:val="auto"/>
        </w:rPr>
        <w:t>The Company recorded total other non-operating income, net, of $10.8 million for the first six months of 2020, compared to $30.6 million for the first six months of 2019. The 2020 amounts included a $3.7 million gain on acquiring a controlling interest in an equity affiliate; $3.2 million in foreign currency gains; a $2.6 million gain on a cost method investment; a $1.4 million net gain on sales of equity affiliates, and other items; partially offset by $2.6 million in impairments on cost method investments. The 2019 amounts included a $29.0 million gain on the sale of the Company’s interest in Gimlet Media; a $1.4 million gain on sale of cost method investments; $0.6 million in foreign currency gains and other items.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from) Provision for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the first six months of 2020 was 18.9%.</w:t>
      </w:r>
    </w:p>
    <w:p>
      <w:pPr>
        <w:spacing w:after="0" w:line="144"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The Company’s effective tax rate for the first six months of 2019 was 24.2%. In the first quarter of 2019, the Company recorded income tax benefits related to stock compensation of $1.7 million.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(Losses) Per Share</w:t>
      </w:r>
    </w:p>
    <w:p>
      <w:pPr>
        <w:spacing w:after="0" w:line="166"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The calculation of diluted earnings (losses) per share for the second quarter and first six months of 2020 was based on 5,201,101 and 5,234,809 weighted average shares outstanding, compared to 5,328,252 and 5,327,369 for the second quarter and first six months of 2019. At June 30, 2020, there were 5,159,370 shares outstanding. 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7" w:name="page38"/>
    <w:bookmarkEnd w:id="37"/>
    <w:p>
      <w:pPr>
        <w:ind w:right="660"/>
        <w:spacing w:after="0" w:line="235" w:lineRule="auto"/>
        <w:rPr>
          <w:sz w:val="20"/>
          <w:szCs w:val="20"/>
          <w:color w:val="auto"/>
        </w:rPr>
      </w:pPr>
      <w:r>
        <w:rPr>
          <w:rFonts w:ascii="Arial" w:cs="Arial" w:eastAsia="Arial" w:hAnsi="Arial"/>
          <w:sz w:val="18"/>
          <w:szCs w:val="18"/>
          <w:color w:val="auto"/>
        </w:rPr>
        <w:t>November 9, 2017, the Board of Directors authorized the Company to acquire up to 500,000 shares of its Class B common stock; the Company has remaining authorization for 100,996 shares as of June 30,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166"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The Company performed an interim impairment review at CRG and the automotive dealerships given the uncertain and challenging operating environment and recorded $16.4 million in goodwill and intangible asset impairment charges in the first quarter of 2020. Following the impairments, the remaining goodwill balance at these two reporting units as of June 30, 2020 was $39.1 million, or 3% of the total goodwill of the Company.</w:t>
      </w:r>
    </w:p>
    <w:p>
      <w:pPr>
        <w:spacing w:after="0" w:line="135" w:lineRule="exact"/>
        <w:rPr>
          <w:sz w:val="20"/>
          <w:szCs w:val="20"/>
          <w:color w:val="auto"/>
        </w:rPr>
      </w:pPr>
    </w:p>
    <w:p>
      <w:pPr>
        <w:ind w:right="120"/>
        <w:spacing w:after="0" w:line="223" w:lineRule="auto"/>
        <w:rPr>
          <w:sz w:val="20"/>
          <w:szCs w:val="20"/>
          <w:color w:val="auto"/>
        </w:rPr>
      </w:pPr>
      <w:r>
        <w:rPr>
          <w:rFonts w:ascii="Arial" w:cs="Arial" w:eastAsia="Arial" w:hAnsi="Arial"/>
          <w:sz w:val="18"/>
          <w:szCs w:val="18"/>
          <w:color w:val="auto"/>
        </w:rPr>
        <w:t>In connection with the Company’s annual impairment testing in 2019, the Company performed a quantitative goodwill impairment process at all of its reporting units. At the time, the estimated fair value of the Hoover reporting unit at the manufacturing businesses exceeded its carrying values by a margin less than 25%. The total goodwill at this reporting unit was $91.3 million as of June 30, 2020, or 6% of the total goodwill of the Company. The estimated fair value of the Company’s other reporting units with significant goodwill balances exceeded their respective carrying values by a margin in excess of 25%. Given the uncertain impact of the COVID-19 pandemic, it is possible that impairment charges could occur in the future, given changes in market conditions and the inherent variability in projecting future operating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auto"/>
            </w:tcBorders>
          </w:tcPr>
          <w:p>
            <w:pPr>
              <w:spacing w:after="0"/>
              <w:rPr>
                <w:sz w:val="17"/>
                <w:szCs w:val="17"/>
                <w:color w:val="auto"/>
              </w:rPr>
            </w:pPr>
          </w:p>
        </w:tc>
      </w:tr>
      <w:tr>
        <w:trPr>
          <w:trHeight w:val="209"/>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15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December 31, 2019</w:t>
            </w:r>
          </w:p>
        </w:tc>
      </w:tr>
      <w:tr>
        <w:trPr>
          <w:trHeight w:val="223"/>
        </w:trPr>
        <w:tc>
          <w:tcPr>
            <w:tcW w:w="84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260,247</w:t>
            </w:r>
          </w:p>
        </w:tc>
        <w:tc>
          <w:tcPr>
            <w:tcW w:w="620" w:type="dxa"/>
            <w:vAlign w:val="bottom"/>
          </w:tcPr>
          <w:p>
            <w:pPr>
              <w:ind w:left="2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200,165</w:t>
            </w:r>
          </w:p>
        </w:tc>
      </w:tr>
      <w:tr>
        <w:trPr>
          <w:trHeight w:val="243"/>
        </w:trPr>
        <w:tc>
          <w:tcPr>
            <w:tcW w:w="844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18,827</w:t>
            </w:r>
          </w:p>
        </w:tc>
        <w:tc>
          <w:tcPr>
            <w:tcW w:w="620" w:type="dxa"/>
            <w:vAlign w:val="bottom"/>
          </w:tcPr>
          <w:p>
            <w:pPr>
              <w:ind w:left="2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13,879</w:t>
            </w:r>
          </w:p>
        </w:tc>
      </w:tr>
      <w:tr>
        <w:trPr>
          <w:trHeight w:val="243"/>
        </w:trPr>
        <w:tc>
          <w:tcPr>
            <w:tcW w:w="844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444,742</w:t>
            </w:r>
          </w:p>
        </w:tc>
        <w:tc>
          <w:tcPr>
            <w:tcW w:w="620" w:type="dxa"/>
            <w:vAlign w:val="bottom"/>
          </w:tcPr>
          <w:p>
            <w:pPr>
              <w:ind w:left="2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599,967</w:t>
            </w:r>
          </w:p>
        </w:tc>
      </w:tr>
      <w:tr>
        <w:trPr>
          <w:trHeight w:val="243"/>
        </w:trPr>
        <w:tc>
          <w:tcPr>
            <w:tcW w:w="844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511,530</w:t>
            </w:r>
          </w:p>
        </w:tc>
        <w:tc>
          <w:tcPr>
            <w:tcW w:w="620" w:type="dxa"/>
            <w:vAlign w:val="bottom"/>
          </w:tcPr>
          <w:p>
            <w:pPr>
              <w:ind w:left="2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512,829</w:t>
            </w:r>
          </w:p>
        </w:tc>
      </w:tr>
    </w:tbl>
    <w:p>
      <w:pPr>
        <w:spacing w:after="0" w:line="221" w:lineRule="exact"/>
        <w:rPr>
          <w:sz w:val="20"/>
          <w:szCs w:val="20"/>
          <w:color w:val="auto"/>
        </w:rPr>
      </w:pPr>
    </w:p>
    <w:p>
      <w:pPr>
        <w:ind w:right="80"/>
        <w:spacing w:after="0" w:line="229" w:lineRule="auto"/>
        <w:rPr>
          <w:sz w:val="20"/>
          <w:szCs w:val="20"/>
          <w:color w:val="auto"/>
        </w:rPr>
      </w:pPr>
      <w:r>
        <w:rPr>
          <w:rFonts w:ascii="Arial" w:cs="Arial" w:eastAsia="Arial" w:hAnsi="Arial"/>
          <w:sz w:val="18"/>
          <w:szCs w:val="18"/>
          <w:color w:val="auto"/>
        </w:rPr>
        <w:t>Cash generated by operations is the Company’s primary source of liquidity. The Company maintains investments in a portfolio of marketable equity securities, which is considered when assessing the Company’s sources of liquidity. An additional source of liquidity includes the undrawn portion of the Company’s $300 million revolving credit facility, amounting to $226.1 million at June 30, 2020.</w:t>
      </w:r>
    </w:p>
    <w:p>
      <w:pPr>
        <w:spacing w:after="0" w:line="83"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In March 2020, the U.S. government enacted legislation, including the Coronavirus Aid, Relief, and Economic Security Act (“CARES Act”) to provide stimulus in the form of financial aid to businesses affected by the COVID-19 pandemic. Under the CARES Act, employers may defer the payment of the employer share of FICA taxes due for the period beginning on March 27, 2020, and ending December 31, 2020. As of June 30, 2020, the Company has deferred $6.3 million of FICA payments under this program, of which 50% is due by December 31, 2021 and the remaining balance due by December 31, 2022.</w:t>
      </w:r>
    </w:p>
    <w:p>
      <w:pPr>
        <w:spacing w:after="0" w:line="83"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The CARES Act also included provisions to support healthcare providers in the form of grants and changes to Medicare and Medicaid payments. In the second quarter of 2020, GHG received $7.4 million under the CARES Act as a general distribution from the Provider Relief Fund to provide relief for lost revenues and expenses incurred in connection with COVID-19. In addition to the above distribution, in April 2020, GHG applied for and received $31.5 million under the expanded Medicare Accelerated and Advanced Payment Program, modified by the CARES Act. The Department of Health and Human Services will recoup this advance beginning 120 days after the payment was issued, and the advance will be reduced by the amount of revenue recognized for claims submitted for services provided after the recoupment period begins.</w:t>
      </w:r>
    </w:p>
    <w:p>
      <w:pPr>
        <w:spacing w:after="0" w:line="85" w:lineRule="exact"/>
        <w:rPr>
          <w:sz w:val="20"/>
          <w:szCs w:val="20"/>
          <w:color w:val="auto"/>
        </w:rPr>
      </w:pPr>
    </w:p>
    <w:p>
      <w:pPr>
        <w:ind w:right="260"/>
        <w:spacing w:after="0" w:line="227" w:lineRule="auto"/>
        <w:rPr>
          <w:sz w:val="20"/>
          <w:szCs w:val="20"/>
          <w:color w:val="auto"/>
        </w:rPr>
      </w:pPr>
      <w:r>
        <w:rPr>
          <w:rFonts w:ascii="Arial" w:cs="Arial" w:eastAsia="Arial" w:hAnsi="Arial"/>
          <w:sz w:val="18"/>
          <w:szCs w:val="18"/>
          <w:color w:val="auto"/>
        </w:rPr>
        <w:t>Governments in other jurisdictions where the Company operates also provided relief to businesses affected by the COVID-19 pandemic in the form of job retention schemes, payroll assistance, deferral of income and other tax payments, and loans. As of June 30, 2020, Kaplan has recorded benefits totaling $6.6 million related to job retention and payroll schemes. Additionally, Kaplan deferred VAT and other tax payments in the U.K. and Ireland amounting to $2.6 million as of June 30, 2020.</w:t>
      </w:r>
    </w:p>
    <w:p>
      <w:pPr>
        <w:spacing w:after="0" w:line="81"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During the first six months of 2020, the Company’s cash and cash equivalents increased by $60.1 million, due largely to cash generated from operations and the proceeds from the sale of marketable equity securities. The increase was offset by the repurchase of common shares, payment of dividends, capital expenditures and the acquisition of three businesses and other investments. In the first six months of 2020, the Company’s borrowings decreased by $1.3 million, primarily due to foreign currency translation adjustments, partially offset by additional borrowings.</w:t>
      </w:r>
    </w:p>
    <w:p>
      <w:pPr>
        <w:spacing w:after="0" w:line="8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As of June 30, 2020 and December 31, 2019, the Company had money market investments of $178.5 million and $45.2 million, respectively, that are included in cash and cash equivalents. At June 30, 2020, the Company held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8" w:name="page39"/>
    <w:bookmarkEnd w:id="38"/>
    <w:p>
      <w:pPr>
        <w:ind w:right="100"/>
        <w:spacing w:after="0"/>
        <w:rPr>
          <w:sz w:val="20"/>
          <w:szCs w:val="20"/>
          <w:color w:val="auto"/>
        </w:rPr>
      </w:pPr>
      <w:r>
        <w:rPr>
          <w:rFonts w:ascii="Arial" w:cs="Arial" w:eastAsia="Arial" w:hAnsi="Arial"/>
          <w:sz w:val="17"/>
          <w:szCs w:val="17"/>
          <w:color w:val="auto"/>
        </w:rPr>
        <w:t>approximately $65 million in cash and cash equivalents in businesses domiciled outside the U.S., of which approximately $7 million is not available for immediate use in operations or for distribution. Additionally, Kaplan’s business operations outside the U.S. retain cash balances to support ongoing working capital requirements, capital expenditures, and regulatory requirements. As a result, the Company considers a significant portion of the cash and cash equivalents balance held outside the U.S. as not readily available for use in U.S. operations.</w:t>
      </w:r>
    </w:p>
    <w:p>
      <w:pPr>
        <w:spacing w:after="0" w:line="82"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At June 30, 2020, the fair value of the Company’s investments in marketable equity securities was $431.8 million, which includes investments in the common stock of five publicly traded companies. During the first six months of 2020, the Company sold marketable equity securities that generated proceeds of $93.8 million. At June 30, 2020, the unrealized gain related to the Company’s investments totaled $219.0 million.</w:t>
      </w:r>
    </w:p>
    <w:p>
      <w:pPr>
        <w:spacing w:after="0" w:line="83"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The Company had working capital of $590.3 million and $621.6 million at June 30, 2020 and December 31, 2019, respectively. The Company maintains working capital levels consistent with its underlying business requirements and consistently generates cash from operations in excess of required interest or principal payments.</w:t>
      </w:r>
    </w:p>
    <w:p>
      <w:pPr>
        <w:spacing w:after="0" w:line="83"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At June 30, 2020 and December 31, 2019, the Company had borrowings outstanding of $511.5 million and $512.8 million, respectively. The Company’s borrowings at June 30, 2020 were mostly from $400.0 million of 5.75% unsecured notes due June 1, 2026, £60 million in outstanding borrowings under the Company’s revolving credit facility and a commercial note of $26.5 million at the Automotive subsidiary. The Company’s borrowings at December 31, 2019 were mostly from $400.0 million of 5.75% unsecured notes due June 1, 2026, £60 million in outstanding borrowings under the Kaplan Credit Agreement and a commercial note of $27.5 million at the Automotive subsidiary. The interest on $400.0 million of 5.75% unsecured notes is payable semiannually on June 1 and December 1.</w:t>
      </w:r>
    </w:p>
    <w:p>
      <w:pPr>
        <w:spacing w:after="0" w:line="83" w:lineRule="exact"/>
        <w:rPr>
          <w:sz w:val="20"/>
          <w:szCs w:val="20"/>
          <w:color w:val="auto"/>
        </w:rPr>
      </w:pPr>
    </w:p>
    <w:p>
      <w:pPr>
        <w:ind w:right="180"/>
        <w:spacing w:after="0" w:line="229" w:lineRule="auto"/>
        <w:rPr>
          <w:sz w:val="20"/>
          <w:szCs w:val="20"/>
          <w:color w:val="auto"/>
        </w:rPr>
      </w:pPr>
      <w:r>
        <w:rPr>
          <w:rFonts w:ascii="Arial" w:cs="Arial" w:eastAsia="Arial" w:hAnsi="Arial"/>
          <w:sz w:val="18"/>
          <w:szCs w:val="18"/>
          <w:color w:val="auto"/>
        </w:rPr>
        <w:t>During the six months ended June 30, 2020 and 2019, the Company had average borrowings outstanding of approximately $511.2 million and $ 499.8 million, respectively, at an average annual interest rate of approximately 5.1%. During the six months ended June 30, 2020 and 2019, the Company incurred net interest expense of $13.0 million and $12.5 million, respectively.</w:t>
      </w:r>
    </w:p>
    <w:p>
      <w:pPr>
        <w:spacing w:after="0" w:line="137" w:lineRule="exact"/>
        <w:rPr>
          <w:sz w:val="20"/>
          <w:szCs w:val="20"/>
          <w:color w:val="auto"/>
        </w:rPr>
      </w:pPr>
    </w:p>
    <w:p>
      <w:pPr>
        <w:ind w:right="660"/>
        <w:spacing w:after="0" w:line="235" w:lineRule="auto"/>
        <w:rPr>
          <w:sz w:val="20"/>
          <w:szCs w:val="20"/>
          <w:color w:val="auto"/>
        </w:rPr>
      </w:pPr>
      <w:r>
        <w:rPr>
          <w:rFonts w:ascii="Arial" w:cs="Arial" w:eastAsia="Arial" w:hAnsi="Arial"/>
          <w:sz w:val="18"/>
          <w:szCs w:val="18"/>
          <w:color w:val="auto"/>
        </w:rPr>
        <w:t>On April 10, 2020, Moody’s affirmed the Company’s credit ratings, but revised the outlook from Stable to Negative. On April 27, 2020, Standard &amp; Poor’s downgraded the Company’s credit rating to BB and revised the outlook from Stable to Negative.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current credit ratings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6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tcPr>
          <w:p>
            <w:pPr>
              <w:ind w:left="3920"/>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Standard &amp; Poor’s</w:t>
            </w:r>
          </w:p>
        </w:tc>
      </w:tr>
      <w:tr>
        <w:trPr>
          <w:trHeight w:val="223"/>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900" w:type="dxa"/>
            <w:vAlign w:val="bottom"/>
          </w:tcPr>
          <w:p>
            <w:pPr>
              <w:ind w:left="4440"/>
              <w:spacing w:after="0"/>
              <w:rPr>
                <w:sz w:val="20"/>
                <w:szCs w:val="20"/>
                <w:color w:val="auto"/>
              </w:rPr>
            </w:pPr>
            <w:r>
              <w:rPr>
                <w:rFonts w:ascii="Arial" w:cs="Arial" w:eastAsia="Arial" w:hAnsi="Arial"/>
                <w:sz w:val="16"/>
                <w:szCs w:val="16"/>
                <w:color w:val="auto"/>
              </w:rPr>
              <w:t>Ba1</w:t>
            </w:r>
          </w:p>
        </w:tc>
        <w:tc>
          <w:tcPr>
            <w:tcW w:w="1660" w:type="dxa"/>
            <w:vAlign w:val="bottom"/>
          </w:tcPr>
          <w:p>
            <w:pPr>
              <w:ind w:left="1420"/>
              <w:spacing w:after="0"/>
              <w:rPr>
                <w:sz w:val="20"/>
                <w:szCs w:val="20"/>
                <w:color w:val="auto"/>
              </w:rPr>
            </w:pPr>
            <w:r>
              <w:rPr>
                <w:rFonts w:ascii="Arial" w:cs="Arial" w:eastAsia="Arial" w:hAnsi="Arial"/>
                <w:sz w:val="16"/>
                <w:szCs w:val="16"/>
                <w:color w:val="auto"/>
              </w:rPr>
              <w:t>BB</w:t>
            </w:r>
          </w:p>
        </w:tc>
      </w:tr>
    </w:tbl>
    <w:p>
      <w:pPr>
        <w:spacing w:after="0" w:line="221"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to a lesser extent, borrowings under its revolving credit facility. As of June 30, 2020, the Company had $73.9 million outstanding under the $300 million revolving credit facility, which borrowing was used to repay the £60 million Kaplan U.K. credit facility that matured at the end of June 2020. In management’s opinion, the Company will have sufficient financial resources to meet its business requirements in the next 12 months, including working capital requirements, capital expenditures, interest payments, potential acquisitions and strategic investments, dividends and stock repurchases.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145"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14605</wp:posOffset>
            </wp:positionV>
            <wp:extent cx="17487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9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840" w:type="dxa"/>
            <w:vAlign w:val="bottom"/>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880" w:type="dxa"/>
            <w:vAlign w:val="bottom"/>
          </w:tcPr>
          <w:p>
            <w:pPr>
              <w:jc w:val="right"/>
              <w:spacing w:after="0"/>
              <w:rPr>
                <w:sz w:val="20"/>
                <w:szCs w:val="20"/>
                <w:color w:val="auto"/>
              </w:rPr>
            </w:pPr>
            <w:r>
              <w:rPr>
                <w:rFonts w:ascii="Arial" w:cs="Arial" w:eastAsia="Arial" w:hAnsi="Arial"/>
                <w:sz w:val="14"/>
                <w:szCs w:val="14"/>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062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(used in) operating activities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provided by (used in) investing activities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cash (used in) provided by financing activities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Effect of currency exchange rate change</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increase (decrease) in cash and cash equivalents and restricted cash</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121,351</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(16,675)</w:t>
            </w:r>
          </w:p>
        </w:tc>
      </w:tr>
      <w:tr>
        <w:trPr>
          <w:trHeight w:val="243"/>
        </w:trPr>
        <w:tc>
          <w:tcPr>
            <w:tcW w:w="36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b w:val="1"/>
                <w:bCs w:val="1"/>
                <w:color w:val="auto"/>
              </w:rPr>
              <w:t>26,651</w:t>
            </w:r>
          </w:p>
        </w:tc>
        <w:tc>
          <w:tcPr>
            <w:tcW w:w="42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(100,901)</w:t>
            </w:r>
          </w:p>
        </w:tc>
      </w:tr>
      <w:tr>
        <w:trPr>
          <w:trHeight w:val="243"/>
        </w:trPr>
        <w:tc>
          <w:tcPr>
            <w:tcW w:w="36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(78,019)</w:t>
            </w:r>
          </w:p>
        </w:tc>
        <w:tc>
          <w:tcPr>
            <w:tcW w:w="42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40,317</w:t>
            </w:r>
          </w:p>
        </w:tc>
      </w:tr>
      <w:tr>
        <w:trPr>
          <w:trHeight w:val="256"/>
        </w:trPr>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(4,953)</w:t>
            </w: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778</w:t>
            </w:r>
          </w:p>
        </w:tc>
      </w:tr>
      <w:tr>
        <w:trPr>
          <w:trHeight w:val="236"/>
        </w:trPr>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65,030</w:t>
            </w:r>
          </w:p>
        </w:tc>
        <w:tc>
          <w:tcPr>
            <w:tcW w:w="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(76,481)</w:t>
            </w:r>
          </w:p>
        </w:tc>
      </w:tr>
      <w:tr>
        <w:trPr>
          <w:trHeight w:val="27"/>
        </w:trPr>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1057" w:right="33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39" w:name="page40"/>
    <w:bookmarkEnd w:id="39"/>
    <w:p>
      <w:pPr>
        <w:ind w:right="340"/>
        <w:spacing w:after="0" w:line="256"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(used in) operating activities were as follows:</w:t>
      </w:r>
    </w:p>
    <w:p>
      <w:pPr>
        <w:spacing w:after="0" w:line="122"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203"/>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2019</w:t>
            </w:r>
          </w:p>
        </w:tc>
      </w:tr>
      <w:tr>
        <w:trPr>
          <w:trHeight w:val="223"/>
        </w:trPr>
        <w:tc>
          <w:tcPr>
            <w:tcW w:w="844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(15,029)</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138,897</w:t>
            </w:r>
          </w:p>
        </w:tc>
      </w:tr>
      <w:tr>
        <w:trPr>
          <w:trHeight w:val="243"/>
        </w:trPr>
        <w:tc>
          <w:tcPr>
            <w:tcW w:w="8440" w:type="dxa"/>
            <w:vAlign w:val="bottom"/>
          </w:tcPr>
          <w:p>
            <w:pPr>
              <w:ind w:left="2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43"/>
        </w:trPr>
        <w:tc>
          <w:tcPr>
            <w:tcW w:w="8440" w:type="dxa"/>
            <w:vAlign w:val="bottom"/>
          </w:tcPr>
          <w:p>
            <w:pPr>
              <w:ind w:left="120"/>
              <w:spacing w:after="0"/>
              <w:rPr>
                <w:sz w:val="20"/>
                <w:szCs w:val="20"/>
                <w:color w:val="auto"/>
              </w:rPr>
            </w:pPr>
            <w:r>
              <w:rPr>
                <w:rFonts w:ascii="Arial" w:cs="Arial" w:eastAsia="Arial" w:hAnsi="Arial"/>
                <w:sz w:val="16"/>
                <w:szCs w:val="16"/>
                <w:color w:val="auto"/>
              </w:rPr>
              <w:t>Depreciation, amortization and goodwill and intangible asset impairment</w:t>
            </w:r>
          </w:p>
        </w:tc>
        <w:tc>
          <w:tcPr>
            <w:tcW w:w="320" w:type="dxa"/>
            <w:vAlign w:val="bottom"/>
          </w:tcPr>
          <w:p>
            <w:pPr>
              <w:spacing w:after="0"/>
              <w:rPr>
                <w:sz w:val="21"/>
                <w:szCs w:val="21"/>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b w:val="1"/>
                <w:bCs w:val="1"/>
                <w:color w:val="auto"/>
              </w:rPr>
              <w:t>96,021</w:t>
            </w:r>
          </w:p>
        </w:tc>
        <w:tc>
          <w:tcPr>
            <w:tcW w:w="46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54,040</w:t>
            </w:r>
          </w:p>
        </w:tc>
      </w:tr>
      <w:tr>
        <w:trPr>
          <w:trHeight w:val="243"/>
        </w:trPr>
        <w:tc>
          <w:tcPr>
            <w:tcW w:w="8440" w:type="dxa"/>
            <w:vAlign w:val="bottom"/>
          </w:tcPr>
          <w:p>
            <w:pPr>
              <w:ind w:left="120"/>
              <w:spacing w:after="0"/>
              <w:rPr>
                <w:sz w:val="20"/>
                <w:szCs w:val="20"/>
                <w:color w:val="auto"/>
              </w:rPr>
            </w:pPr>
            <w:r>
              <w:rPr>
                <w:rFonts w:ascii="Arial" w:cs="Arial" w:eastAsia="Arial" w:hAnsi="Arial"/>
                <w:sz w:val="16"/>
                <w:szCs w:val="16"/>
                <w:color w:val="auto"/>
              </w:rPr>
              <w:t>Amortization of lease right-of-use asset</w:t>
            </w:r>
          </w:p>
        </w:tc>
        <w:tc>
          <w:tcPr>
            <w:tcW w:w="320" w:type="dxa"/>
            <w:vAlign w:val="bottom"/>
          </w:tcPr>
          <w:p>
            <w:pPr>
              <w:spacing w:after="0"/>
              <w:rPr>
                <w:sz w:val="21"/>
                <w:szCs w:val="21"/>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b w:val="1"/>
                <w:bCs w:val="1"/>
                <w:color w:val="auto"/>
              </w:rPr>
              <w:t>50,954</w:t>
            </w:r>
          </w:p>
        </w:tc>
        <w:tc>
          <w:tcPr>
            <w:tcW w:w="46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40,871</w:t>
            </w:r>
          </w:p>
        </w:tc>
      </w:tr>
      <w:tr>
        <w:trPr>
          <w:trHeight w:val="243"/>
        </w:trPr>
        <w:tc>
          <w:tcPr>
            <w:tcW w:w="8440" w:type="dxa"/>
            <w:vAlign w:val="bottom"/>
          </w:tcPr>
          <w:p>
            <w:pPr>
              <w:ind w:left="140"/>
              <w:spacing w:after="0"/>
              <w:rPr>
                <w:sz w:val="20"/>
                <w:szCs w:val="20"/>
                <w:color w:val="auto"/>
              </w:rPr>
            </w:pPr>
            <w:r>
              <w:rPr>
                <w:rFonts w:ascii="Arial" w:cs="Arial" w:eastAsia="Arial" w:hAnsi="Arial"/>
                <w:sz w:val="16"/>
                <w:szCs w:val="16"/>
                <w:color w:val="auto"/>
              </w:rPr>
              <w:t>Net pension benefit and special separation benefit expense</w:t>
            </w:r>
          </w:p>
        </w:tc>
        <w:tc>
          <w:tcPr>
            <w:tcW w:w="320" w:type="dxa"/>
            <w:vAlign w:val="bottom"/>
          </w:tcPr>
          <w:p>
            <w:pPr>
              <w:spacing w:after="0"/>
              <w:rPr>
                <w:sz w:val="21"/>
                <w:szCs w:val="21"/>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(21,409)</w:t>
            </w:r>
          </w:p>
        </w:tc>
        <w:tc>
          <w:tcPr>
            <w:tcW w:w="46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(19,763)</w:t>
            </w:r>
          </w:p>
        </w:tc>
      </w:tr>
      <w:tr>
        <w:trPr>
          <w:trHeight w:val="243"/>
        </w:trPr>
        <w:tc>
          <w:tcPr>
            <w:tcW w:w="8440" w:type="dxa"/>
            <w:vAlign w:val="bottom"/>
          </w:tcPr>
          <w:p>
            <w:pPr>
              <w:ind w:left="120"/>
              <w:spacing w:after="0"/>
              <w:rPr>
                <w:sz w:val="20"/>
                <w:szCs w:val="20"/>
                <w:color w:val="auto"/>
              </w:rPr>
            </w:pPr>
            <w:r>
              <w:rPr>
                <w:rFonts w:ascii="Arial" w:cs="Arial" w:eastAsia="Arial" w:hAnsi="Arial"/>
                <w:sz w:val="16"/>
                <w:szCs w:val="16"/>
                <w:color w:val="auto"/>
              </w:rPr>
              <w:t>Other non-cash activities</w:t>
            </w:r>
          </w:p>
        </w:tc>
        <w:tc>
          <w:tcPr>
            <w:tcW w:w="320" w:type="dxa"/>
            <w:vAlign w:val="bottom"/>
          </w:tcPr>
          <w:p>
            <w:pPr>
              <w:spacing w:after="0"/>
              <w:rPr>
                <w:sz w:val="21"/>
                <w:szCs w:val="21"/>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b w:val="1"/>
                <w:bCs w:val="1"/>
                <w:color w:val="auto"/>
              </w:rPr>
              <w:t>64,776</w:t>
            </w:r>
          </w:p>
        </w:tc>
        <w:tc>
          <w:tcPr>
            <w:tcW w:w="46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(45,774)</w:t>
            </w:r>
          </w:p>
        </w:tc>
      </w:tr>
      <w:tr>
        <w:trPr>
          <w:trHeight w:val="256"/>
        </w:trPr>
        <w:tc>
          <w:tcPr>
            <w:tcW w:w="8440" w:type="dxa"/>
            <w:vAlign w:val="bottom"/>
          </w:tcPr>
          <w:p>
            <w:pPr>
              <w:ind w:left="120"/>
              <w:spacing w:after="0"/>
              <w:rPr>
                <w:sz w:val="20"/>
                <w:szCs w:val="20"/>
                <w:color w:val="auto"/>
              </w:rPr>
            </w:pPr>
            <w:r>
              <w:rPr>
                <w:rFonts w:ascii="Arial" w:cs="Arial" w:eastAsia="Arial" w:hAnsi="Arial"/>
                <w:sz w:val="16"/>
                <w:szCs w:val="16"/>
                <w:color w:val="auto"/>
              </w:rPr>
              <w:t>Change in operating assets and liabilities</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(53,962)</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(184,946)</w:t>
            </w:r>
          </w:p>
        </w:tc>
      </w:tr>
      <w:tr>
        <w:trPr>
          <w:trHeight w:val="243"/>
        </w:trPr>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121,351</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(16,675)</w:t>
            </w:r>
          </w:p>
        </w:tc>
      </w:tr>
      <w:tr>
        <w:trPr>
          <w:trHeight w:val="20"/>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81"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For the first six months of 2020 compared to the first six months of 2019, the increase in net cash provided by operating activities is primarily due to changes in operating assets and liabilities. Changes in operating assets and liabilities were driven by the collection of accounts receivable, the advance received by GHG under the expanded Medicare Accelerated and Advanced Payment Program as modified by the CARES Act, and the deferral of FICA payments under the CARES Act.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used in investing activities were as follows:</w:t>
      </w:r>
    </w:p>
    <w:p>
      <w:pPr>
        <w:spacing w:after="0" w:line="167"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14605</wp:posOffset>
            </wp:positionV>
            <wp:extent cx="17487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9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840" w:type="dxa"/>
            <w:vAlign w:val="bottom"/>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880" w:type="dxa"/>
            <w:vAlign w:val="bottom"/>
          </w:tcPr>
          <w:p>
            <w:pPr>
              <w:jc w:val="right"/>
              <w:spacing w:after="0"/>
              <w:rPr>
                <w:sz w:val="20"/>
                <w:szCs w:val="20"/>
                <w:color w:val="auto"/>
              </w:rPr>
            </w:pPr>
            <w:r>
              <w:rPr>
                <w:rFonts w:ascii="Arial" w:cs="Arial" w:eastAsia="Arial" w:hAnsi="Arial"/>
                <w:sz w:val="14"/>
                <w:szCs w:val="14"/>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062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Investments in certain businesses, net of cash acquired</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Purchases of property, plant and equipment</w:t>
      </w:r>
    </w:p>
    <w:p>
      <w:pPr>
        <w:spacing w:after="0" w:line="59" w:lineRule="exact"/>
        <w:rPr>
          <w:sz w:val="20"/>
          <w:szCs w:val="20"/>
          <w:color w:val="auto"/>
        </w:rPr>
      </w:pPr>
    </w:p>
    <w:p>
      <w:pPr>
        <w:ind w:left="20" w:right="2940"/>
        <w:spacing w:after="0" w:line="316" w:lineRule="auto"/>
        <w:rPr>
          <w:sz w:val="20"/>
          <w:szCs w:val="20"/>
          <w:color w:val="auto"/>
        </w:rPr>
      </w:pPr>
      <w:r>
        <w:rPr>
          <w:rFonts w:ascii="Arial" w:cs="Arial" w:eastAsia="Arial" w:hAnsi="Arial"/>
          <w:sz w:val="16"/>
          <w:szCs w:val="16"/>
          <w:color w:val="auto"/>
        </w:rPr>
        <w:t>Net proceeds from sales of marketable equity securities Investments in equity affiliates, cost method and other investments</w:t>
      </w:r>
    </w:p>
    <w:p>
      <w:pPr>
        <w:spacing w:after="0" w:line="2" w:lineRule="exact"/>
        <w:rPr>
          <w:sz w:val="20"/>
          <w:szCs w:val="20"/>
          <w:color w:val="auto"/>
        </w:rPr>
      </w:pPr>
    </w:p>
    <w:p>
      <w:pPr>
        <w:ind w:left="20" w:right="1460"/>
        <w:spacing w:after="0" w:line="330" w:lineRule="auto"/>
        <w:rPr>
          <w:sz w:val="20"/>
          <w:szCs w:val="20"/>
          <w:color w:val="auto"/>
        </w:rPr>
      </w:pPr>
      <w:r>
        <w:rPr>
          <w:rFonts w:ascii="Arial" w:cs="Arial" w:eastAsia="Arial" w:hAnsi="Arial"/>
          <w:sz w:val="16"/>
          <w:szCs w:val="16"/>
          <w:color w:val="auto"/>
        </w:rPr>
        <w:t>Net proceeds from sales of businesses, property, plant and equipment and investments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tabs>
          <w:tab w:leader="none" w:pos="580" w:val="left"/>
          <w:tab w:leader="none" w:pos="1420" w:val="left"/>
          <w:tab w:leader="none" w:pos="20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(20,080)</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(84,071)</w:t>
      </w:r>
    </w:p>
    <w:p>
      <w:pPr>
        <w:spacing w:after="0" w:line="59" w:lineRule="exact"/>
        <w:rPr>
          <w:sz w:val="20"/>
          <w:szCs w:val="20"/>
          <w:color w:val="auto"/>
        </w:rPr>
      </w:pPr>
    </w:p>
    <w:p>
      <w:pPr>
        <w:jc w:val="both"/>
        <w:ind w:left="600"/>
        <w:spacing w:after="0"/>
        <w:tabs>
          <w:tab w:leader="none" w:pos="2000" w:val="left"/>
        </w:tabs>
        <w:rPr>
          <w:sz w:val="20"/>
          <w:szCs w:val="20"/>
          <w:color w:val="auto"/>
        </w:rPr>
      </w:pPr>
      <w:r>
        <w:rPr>
          <w:rFonts w:ascii="Arial" w:cs="Arial" w:eastAsia="Arial" w:hAnsi="Arial"/>
          <w:sz w:val="16"/>
          <w:szCs w:val="16"/>
          <w:b w:val="1"/>
          <w:bCs w:val="1"/>
          <w:color w:val="auto"/>
        </w:rPr>
        <w:t>(40,209)</w:t>
      </w:r>
      <w:r>
        <w:rPr>
          <w:sz w:val="20"/>
          <w:szCs w:val="20"/>
          <w:color w:val="auto"/>
        </w:rPr>
        <w:tab/>
      </w:r>
      <w:r>
        <w:rPr>
          <w:rFonts w:ascii="Arial" w:cs="Arial" w:eastAsia="Arial" w:hAnsi="Arial"/>
          <w:sz w:val="16"/>
          <w:szCs w:val="16"/>
          <w:color w:val="auto"/>
        </w:rPr>
        <w:t>(52,703)</w:t>
      </w:r>
    </w:p>
    <w:p>
      <w:pPr>
        <w:spacing w:after="0" w:line="59"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6"/>
          <w:szCs w:val="16"/>
          <w:b w:val="1"/>
          <w:bCs w:val="1"/>
          <w:color w:val="auto"/>
        </w:rPr>
        <w:t>93,775</w:t>
      </w:r>
      <w:r>
        <w:rPr>
          <w:sz w:val="20"/>
          <w:szCs w:val="20"/>
          <w:color w:val="auto"/>
        </w:rPr>
        <w:tab/>
      </w:r>
      <w:r>
        <w:rPr>
          <w:rFonts w:ascii="Arial" w:cs="Arial" w:eastAsia="Arial" w:hAnsi="Arial"/>
          <w:sz w:val="16"/>
          <w:szCs w:val="16"/>
          <w:color w:val="auto"/>
        </w:rPr>
        <w:t>9,663</w:t>
      </w:r>
    </w:p>
    <w:p>
      <w:pPr>
        <w:spacing w:after="0" w:line="59" w:lineRule="exact"/>
        <w:rPr>
          <w:sz w:val="20"/>
          <w:szCs w:val="20"/>
          <w:color w:val="auto"/>
        </w:rPr>
      </w:pPr>
    </w:p>
    <w:p>
      <w:pPr>
        <w:jc w:val="both"/>
        <w:ind w:left="680"/>
        <w:spacing w:after="0"/>
        <w:tabs>
          <w:tab w:leader="none" w:pos="2000" w:val="left"/>
        </w:tabs>
        <w:rPr>
          <w:sz w:val="20"/>
          <w:szCs w:val="20"/>
          <w:color w:val="auto"/>
        </w:rPr>
      </w:pPr>
      <w:r>
        <w:rPr>
          <w:rFonts w:ascii="Arial" w:cs="Arial" w:eastAsia="Arial" w:hAnsi="Arial"/>
          <w:sz w:val="16"/>
          <w:szCs w:val="16"/>
          <w:b w:val="1"/>
          <w:bCs w:val="1"/>
          <w:color w:val="auto"/>
        </w:rPr>
        <w:t>(8,011)</w:t>
      </w:r>
      <w:r>
        <w:rPr>
          <w:sz w:val="20"/>
          <w:szCs w:val="20"/>
          <w:color w:val="auto"/>
        </w:rPr>
        <w:tab/>
      </w:r>
      <w:r>
        <w:rPr>
          <w:rFonts w:ascii="Arial" w:cs="Arial" w:eastAsia="Arial" w:hAnsi="Arial"/>
          <w:sz w:val="16"/>
          <w:szCs w:val="16"/>
          <w:color w:val="auto"/>
        </w:rPr>
        <w:t>(24,342)</w:t>
      </w:r>
    </w:p>
    <w:p>
      <w:pPr>
        <w:spacing w:after="0" w:line="79" w:lineRule="exact"/>
        <w:rPr>
          <w:sz w:val="20"/>
          <w:szCs w:val="20"/>
          <w:color w:val="auto"/>
        </w:rPr>
      </w:pPr>
    </w:p>
    <w:p>
      <w:pPr>
        <w:ind w:left="2100" w:hanging="1215"/>
        <w:spacing w:after="0"/>
        <w:tabs>
          <w:tab w:leader="none" w:pos="210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53,414</w:t>
      </w:r>
    </w:p>
    <w:p>
      <w:pPr>
        <w:spacing w:after="0" w:line="59" w:lineRule="exact"/>
        <w:rPr>
          <w:rFonts w:ascii="Arial" w:cs="Arial" w:eastAsia="Arial" w:hAnsi="Arial"/>
          <w:sz w:val="16"/>
          <w:szCs w:val="16"/>
          <w:b w:val="1"/>
          <w:bCs w:val="1"/>
          <w:color w:val="auto"/>
        </w:rPr>
      </w:pPr>
    </w:p>
    <w:p>
      <w:pPr>
        <w:ind w:left="2120" w:hanging="1235"/>
        <w:spacing w:after="0"/>
        <w:tabs>
          <w:tab w:leader="none" w:pos="212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(2,862)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wp:posOffset>
            </wp:positionV>
            <wp:extent cx="17487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3" w:lineRule="exact"/>
        <w:rPr>
          <w:sz w:val="20"/>
          <w:szCs w:val="20"/>
          <w:color w:val="auto"/>
        </w:rPr>
      </w:pPr>
    </w:p>
    <w:p>
      <w:pPr>
        <w:spacing w:after="0"/>
        <w:tabs>
          <w:tab w:leader="none" w:pos="640" w:val="left"/>
          <w:tab w:leader="none" w:pos="1420" w:val="left"/>
          <w:tab w:leader="none" w:pos="19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26,651</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(100,901)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17487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4879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57785</wp:posOffset>
            </wp:positionV>
            <wp:extent cx="17487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740" w:space="720"/>
            <w:col w:w="2780"/>
          </w:cols>
          <w:pgMar w:left="320" w:top="1035" w:right="339" w:bottom="1440" w:gutter="0" w:footer="0" w:header="0"/>
          <w:type w:val="continuous"/>
        </w:sectPr>
      </w:pPr>
    </w:p>
    <w:p>
      <w:pPr>
        <w:spacing w:after="0" w:line="47" w:lineRule="exact"/>
        <w:rPr>
          <w:sz w:val="20"/>
          <w:szCs w:val="20"/>
          <w:color w:val="auto"/>
        </w:rPr>
      </w:pPr>
    </w:p>
    <w:p>
      <w:pPr>
        <w:spacing w:after="0" w:line="232"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first six months of 2020, the Company acquired three businesses: two small businesses in its education division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an additional interest in Framebridge, Inc., which is included in other businesses. The Framebridge purchase price includes $54.3 million in deferred payments and contingent consideration based on the acquiree achieving certain revenue milestones in the future. During the first six months of 2019, the Company acquired an interest in two automotive dealerships for cash and the assumption of floor plan payables.</w:t>
      </w:r>
    </w:p>
    <w:p>
      <w:pPr>
        <w:spacing w:after="0" w:line="118"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Capital expenditures for the first six months of 2020 were lower than the first six months of 2019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an academic and student residential facility in connection with Kaplan’s Pathways program in Liverpool, U.K. Both periods include capital expenditures in connection with spectrum repacking at the Company’s television stations in Detroit, MI, Jacksonville, FL, and Roanoke, VA, as mandated by the FCC; these expenditures are expected to be largely reimbursed to the Company by the FCC. The amounts reflected in the Company’s Condensed Consolidated Statements of Cash Flows are based on cash payments made during the relevant periods, whereas the Company’s capital expenditures for the first six months of 2020 of $35.6 million include assets acquired during the quarter. The Company is also postponing noncritical capital expenditures originally planned for 2020 to preserve cash resources in response to the COVID-19 pandemic. The Company estimates that its capital expenditures will be in the range of $50 million to $60 million in 2020.</w:t>
      </w:r>
    </w:p>
    <w:p>
      <w:pPr>
        <w:spacing w:after="0" w:line="63"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i w:val="1"/>
          <w:iCs w:val="1"/>
          <w:color w:val="auto"/>
        </w:rPr>
        <w:t xml:space="preserve">Net proceeds from sale of investments and businesses. </w:t>
      </w:r>
      <w:r>
        <w:rPr>
          <w:rFonts w:ascii="Arial" w:cs="Arial" w:eastAsia="Arial" w:hAnsi="Arial"/>
          <w:sz w:val="18"/>
          <w:szCs w:val="18"/>
          <w:color w:val="auto"/>
        </w:rPr>
        <w:t>During the first six months of 2020 and 2019, the Company sold marketable equity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that generated proceeds of $93.8 million and $17.2 million, respectively. The Company purchased $7.5 million of marketable equity securities during the first six months of 2019. The Company sold its interest in Gimlet Media during February 2019; the total proceeds from the sale were $33.5 million.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financing activities were as follows:</w:t>
      </w:r>
    </w:p>
    <w:p>
      <w:pPr>
        <w:spacing w:after="0" w:line="167"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203"/>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2019</w:t>
            </w:r>
          </w:p>
        </w:tc>
      </w:tr>
      <w:tr>
        <w:trPr>
          <w:trHeight w:val="223"/>
        </w:trPr>
        <w:tc>
          <w:tcPr>
            <w:tcW w:w="8440" w:type="dxa"/>
            <w:vAlign w:val="bottom"/>
          </w:tcPr>
          <w:p>
            <w:pPr>
              <w:ind w:left="20"/>
              <w:spacing w:after="0"/>
              <w:rPr>
                <w:sz w:val="20"/>
                <w:szCs w:val="20"/>
                <w:color w:val="auto"/>
              </w:rPr>
            </w:pPr>
            <w:r>
              <w:rPr>
                <w:rFonts w:ascii="Arial" w:cs="Arial" w:eastAsia="Arial" w:hAnsi="Arial"/>
                <w:sz w:val="16"/>
                <w:szCs w:val="16"/>
                <w:color w:val="auto"/>
              </w:rPr>
              <w:t>Issuance of borrowings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81"/>
              <w:spacing w:after="0"/>
              <w:rPr>
                <w:sz w:val="20"/>
                <w:szCs w:val="20"/>
                <w:color w:val="auto"/>
              </w:rPr>
            </w:pPr>
            <w:r>
              <w:rPr>
                <w:rFonts w:ascii="Arial" w:cs="Arial" w:eastAsia="Arial" w:hAnsi="Arial"/>
                <w:sz w:val="16"/>
                <w:szCs w:val="16"/>
                <w:b w:val="1"/>
                <w:bCs w:val="1"/>
                <w:color w:val="auto"/>
              </w:rPr>
              <w:t>76,984</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30,000</w:t>
            </w:r>
          </w:p>
        </w:tc>
      </w:tr>
      <w:tr>
        <w:trPr>
          <w:trHeight w:val="243"/>
        </w:trPr>
        <w:tc>
          <w:tcPr>
            <w:tcW w:w="8440" w:type="dxa"/>
            <w:vAlign w:val="bottom"/>
          </w:tcPr>
          <w:p>
            <w:pPr>
              <w:ind w:left="20"/>
              <w:spacing w:after="0"/>
              <w:rPr>
                <w:sz w:val="20"/>
                <w:szCs w:val="20"/>
                <w:color w:val="auto"/>
              </w:rPr>
            </w:pPr>
            <w:r>
              <w:rPr>
                <w:rFonts w:ascii="Arial" w:cs="Arial" w:eastAsia="Arial" w:hAnsi="Arial"/>
                <w:sz w:val="16"/>
                <w:szCs w:val="16"/>
                <w:color w:val="auto"/>
              </w:rPr>
              <w:t>Repayments of borrowings</w:t>
            </w:r>
          </w:p>
        </w:tc>
        <w:tc>
          <w:tcPr>
            <w:tcW w:w="320" w:type="dxa"/>
            <w:vAlign w:val="bottom"/>
          </w:tcPr>
          <w:p>
            <w:pPr>
              <w:spacing w:after="0"/>
              <w:rPr>
                <w:sz w:val="21"/>
                <w:szCs w:val="21"/>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(75,206)</w:t>
            </w:r>
          </w:p>
        </w:tc>
        <w:tc>
          <w:tcPr>
            <w:tcW w:w="46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(1,006)</w:t>
            </w:r>
          </w:p>
        </w:tc>
      </w:tr>
      <w:tr>
        <w:trPr>
          <w:trHeight w:val="243"/>
        </w:trPr>
        <w:tc>
          <w:tcPr>
            <w:tcW w:w="8440" w:type="dxa"/>
            <w:vAlign w:val="bottom"/>
          </w:tcPr>
          <w:p>
            <w:pPr>
              <w:ind w:left="20"/>
              <w:spacing w:after="0"/>
              <w:rPr>
                <w:sz w:val="20"/>
                <w:szCs w:val="20"/>
                <w:color w:val="auto"/>
              </w:rPr>
            </w:pPr>
            <w:r>
              <w:rPr>
                <w:rFonts w:ascii="Arial" w:cs="Arial" w:eastAsia="Arial" w:hAnsi="Arial"/>
                <w:sz w:val="16"/>
                <w:szCs w:val="16"/>
                <w:color w:val="auto"/>
              </w:rPr>
              <w:t>Net (payments) proceeds from vehicle floor plan payable</w:t>
            </w:r>
          </w:p>
        </w:tc>
        <w:tc>
          <w:tcPr>
            <w:tcW w:w="320" w:type="dxa"/>
            <w:vAlign w:val="bottom"/>
          </w:tcPr>
          <w:p>
            <w:pPr>
              <w:spacing w:after="0"/>
              <w:rPr>
                <w:sz w:val="21"/>
                <w:szCs w:val="21"/>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(11,063)</w:t>
            </w:r>
          </w:p>
        </w:tc>
        <w:tc>
          <w:tcPr>
            <w:tcW w:w="46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24,618</w:t>
            </w:r>
          </w:p>
        </w:tc>
      </w:tr>
      <w:tr>
        <w:trPr>
          <w:trHeight w:val="243"/>
        </w:trPr>
        <w:tc>
          <w:tcPr>
            <w:tcW w:w="844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320" w:type="dxa"/>
            <w:vAlign w:val="bottom"/>
          </w:tcPr>
          <w:p>
            <w:pPr>
              <w:spacing w:after="0"/>
              <w:rPr>
                <w:sz w:val="21"/>
                <w:szCs w:val="21"/>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(62,905)</w:t>
            </w:r>
          </w:p>
        </w:tc>
        <w:tc>
          <w:tcPr>
            <w:tcW w:w="460" w:type="dxa"/>
            <w:vAlign w:val="bottom"/>
          </w:tcPr>
          <w:p>
            <w:pPr>
              <w:spacing w:after="0"/>
              <w:rPr>
                <w:sz w:val="21"/>
                <w:szCs w:val="21"/>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43"/>
        </w:trPr>
        <w:tc>
          <w:tcPr>
            <w:tcW w:w="844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20" w:type="dxa"/>
            <w:vAlign w:val="bottom"/>
          </w:tcPr>
          <w:p>
            <w:pPr>
              <w:spacing w:after="0"/>
              <w:rPr>
                <w:sz w:val="21"/>
                <w:szCs w:val="21"/>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(15,289)</w:t>
            </w:r>
          </w:p>
        </w:tc>
        <w:tc>
          <w:tcPr>
            <w:tcW w:w="46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(14,779)</w:t>
            </w:r>
          </w:p>
        </w:tc>
      </w:tr>
      <w:tr>
        <w:trPr>
          <w:trHeight w:val="256"/>
        </w:trPr>
        <w:tc>
          <w:tcPr>
            <w:tcW w:w="8440" w:type="dxa"/>
            <w:vAlign w:val="bottom"/>
          </w:tcPr>
          <w:p>
            <w:pPr>
              <w:ind w:left="2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9,460</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1,484</w:t>
            </w:r>
          </w:p>
        </w:tc>
      </w:tr>
      <w:tr>
        <w:trPr>
          <w:trHeight w:val="243"/>
        </w:trPr>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(78,019)</w:t>
            </w:r>
          </w:p>
        </w:tc>
        <w:tc>
          <w:tcPr>
            <w:tcW w:w="4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40,317</w:t>
            </w:r>
          </w:p>
        </w:tc>
      </w:tr>
      <w:tr>
        <w:trPr>
          <w:trHeight w:val="21"/>
        </w:trPr>
        <w:tc>
          <w:tcPr>
            <w:tcW w:w="8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i w:val="1"/>
          <w:iCs w:val="1"/>
          <w:color w:val="auto"/>
        </w:rPr>
        <w:t xml:space="preserve">Borrowings and Vehicle Floor Plan Payable. </w:t>
      </w:r>
      <w:r>
        <w:rPr>
          <w:rFonts w:ascii="Arial" w:cs="Arial" w:eastAsia="Arial" w:hAnsi="Arial"/>
          <w:sz w:val="18"/>
          <w:szCs w:val="18"/>
          <w:color w:val="auto"/>
        </w:rPr>
        <w:t>In the first six months of 2020, the Company borrowed £ 60 million against the $300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 and used the proceeds to repay the £60 million outstanding balance under the Kaplan Credit Agreement that matured at the end of June 2020. In the first six months of 2019, the Company had cash inflows from borrowings to fund the acquisition of a business at Automotive and used floor vehicle plan financing to fund the purchase of new vehicles at its Automotive subsidiary.</w:t>
      </w:r>
    </w:p>
    <w:p>
      <w:pPr>
        <w:spacing w:after="0" w:line="64" w:lineRule="exact"/>
        <w:rPr>
          <w:sz w:val="20"/>
          <w:szCs w:val="20"/>
          <w:color w:val="auto"/>
        </w:rPr>
      </w:pPr>
    </w:p>
    <w:p>
      <w:pPr>
        <w:spacing w:after="0" w:line="228"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first six months of 2020, the Company purchased a total of 169,267 shares of its Class B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at a cost of approximately $62.9 million. During the first six months of 2019, the Company did not purchase any shares of its Class B common stock. On November 9, 2017, the Board of Directors authorized the Company to acquire up to 500,000 shares of its Class B common stock. The Company did not announce a ceiling price or time limit for the purchases. The authorization included 163,237 shares that remained under the previous authorization. At June 30, 2020, the Company had remaining authorization from the Board of Directors to purchase up to 100,996 shares of Class B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quarterly dividend rate per share was $1.45 and $1.39 for the first six months of 2020 and 2019, respectively.</w:t>
      </w:r>
    </w:p>
    <w:p>
      <w:pPr>
        <w:spacing w:after="0" w:line="90"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During the first six months of 2020, the Company increased the borrowings under its cash overdraft facilities by $9.1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$ 5.3 million in proceeds from the exercise of stock options. In March 2019, a Hoover minority shareholder put some shares to the Company, which had a redemption value of $0.6 million.</w:t>
      </w:r>
    </w:p>
    <w:p>
      <w:pPr>
        <w:spacing w:after="0" w:line="82"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6"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report, in the Company’s Annual Report on Form 10-K and in the Company’s 2019 Annual Report to Stockholders, are “forward-looking statements” within the meaning of the Private Securities Litigation Reform Act of 1995. Actual results may differ materially from those projected as a result of certain risks and uncertainties, including but not limited to the duration and severity of the COVID-19 pandemic and its effects on the Company’s operations, financial results, liquidity and cash flows. Other forward-looking statements include comments about expectations related to acquisitions or dispositions or related business activities, including the TOSA, the Company’s business strategies and objectives, anticipated results of license renewal applications,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the Company’s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ind w:right="280"/>
        <w:spacing w:after="0" w:line="227"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2019 Annual Report filed on Form 10-K have not otherwise changed significantly.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80" w:lineRule="exact"/>
        <w:rPr>
          <w:sz w:val="20"/>
          <w:szCs w:val="20"/>
          <w:color w:val="auto"/>
        </w:rPr>
      </w:pPr>
    </w:p>
    <w:p>
      <w:pPr>
        <w:ind w:right="200"/>
        <w:spacing w:after="0" w:line="222" w:lineRule="auto"/>
        <w:rPr>
          <w:sz w:val="20"/>
          <w:szCs w:val="20"/>
          <w:color w:val="auto"/>
        </w:rPr>
      </w:pPr>
      <w:r>
        <w:rPr>
          <w:rFonts w:ascii="Arial" w:cs="Arial" w:eastAsia="Arial" w:hAnsi="Arial"/>
          <w:sz w:val="18"/>
          <w:szCs w:val="18"/>
          <w:color w:val="auto"/>
        </w:rPr>
        <w:t>An evaluation was performed by the Company’s management, with the participation of the Company’s Chief Executive Officer (the Company’s principal executive officer) and the Company’s Chief Financial Officer (the Company’s principal financial officer), of the effectiveness of the Company’s disclosure controls and procedures (as defined in Exchange Act Rules 13a-15(e) and 15d-15(e)), as of June 30, 2020. Based on that evaluation, the Company’s Chief Executive Officer and Chief Financial Officer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Chief Financial Officer, in a manner that allows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80"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June 30, 2020</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11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June 30, 2020, the Company purchased shares of its Class B Common Stock as set forth in the following table: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260" w:type="dxa"/>
            <w:vAlign w:val="bottom"/>
          </w:tcPr>
          <w:p>
            <w:pPr>
              <w:jc w:val="center"/>
              <w:ind w:left="364"/>
              <w:spacing w:after="0"/>
              <w:rPr>
                <w:sz w:val="20"/>
                <w:szCs w:val="20"/>
                <w:color w:val="auto"/>
              </w:rPr>
            </w:pPr>
            <w:r>
              <w:rPr>
                <w:rFonts w:ascii="Arial" w:cs="Arial" w:eastAsia="Arial" w:hAnsi="Arial"/>
                <w:sz w:val="14"/>
                <w:szCs w:val="14"/>
                <w:b w:val="1"/>
                <w:bCs w:val="1"/>
                <w:color w:val="auto"/>
              </w:rPr>
              <w:t>Maximum Number of</w:t>
            </w:r>
          </w:p>
        </w:tc>
      </w:tr>
      <w:tr>
        <w:trPr>
          <w:trHeight w:val="162"/>
        </w:trPr>
        <w:tc>
          <w:tcPr>
            <w:tcW w:w="4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63"/>
              <w:spacing w:after="0"/>
              <w:rPr>
                <w:sz w:val="20"/>
                <w:szCs w:val="20"/>
                <w:color w:val="auto"/>
              </w:rPr>
            </w:pPr>
            <w:r>
              <w:rPr>
                <w:rFonts w:ascii="Arial" w:cs="Arial" w:eastAsia="Arial" w:hAnsi="Arial"/>
                <w:sz w:val="14"/>
                <w:szCs w:val="14"/>
                <w:b w:val="1"/>
                <w:bCs w:val="1"/>
                <w:color w:val="auto"/>
              </w:rPr>
              <w:t>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260" w:type="dxa"/>
            <w:vAlign w:val="bottom"/>
          </w:tcPr>
          <w:p>
            <w:pPr>
              <w:jc w:val="center"/>
              <w:ind w:left="364"/>
              <w:spacing w:after="0"/>
              <w:rPr>
                <w:sz w:val="20"/>
                <w:szCs w:val="20"/>
                <w:color w:val="auto"/>
              </w:rPr>
            </w:pPr>
            <w:r>
              <w:rPr>
                <w:rFonts w:ascii="Arial" w:cs="Arial" w:eastAsia="Arial" w:hAnsi="Arial"/>
                <w:sz w:val="14"/>
                <w:szCs w:val="14"/>
                <w:b w:val="1"/>
                <w:bCs w:val="1"/>
                <w:color w:val="auto"/>
              </w:rPr>
              <w:t>Shares that May Yet Be</w:t>
            </w:r>
          </w:p>
        </w:tc>
      </w:tr>
      <w:tr>
        <w:trPr>
          <w:trHeight w:val="162"/>
        </w:trPr>
        <w:tc>
          <w:tcPr>
            <w:tcW w:w="4720" w:type="dxa"/>
            <w:vAlign w:val="bottom"/>
          </w:tcPr>
          <w:p>
            <w:pPr>
              <w:spacing w:after="0"/>
              <w:rPr>
                <w:sz w:val="14"/>
                <w:szCs w:val="14"/>
                <w:color w:val="auto"/>
              </w:rPr>
            </w:pPr>
          </w:p>
        </w:tc>
        <w:tc>
          <w:tcPr>
            <w:tcW w:w="1300" w:type="dxa"/>
            <w:vAlign w:val="bottom"/>
          </w:tcPr>
          <w:p>
            <w:pPr>
              <w:jc w:val="right"/>
              <w:ind w:right="22"/>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4"/>
                <w:szCs w:val="14"/>
                <w:color w:val="auto"/>
              </w:rPr>
            </w:pPr>
          </w:p>
        </w:tc>
        <w:tc>
          <w:tcPr>
            <w:tcW w:w="960" w:type="dxa"/>
            <w:vAlign w:val="bottom"/>
          </w:tcPr>
          <w:p>
            <w:pPr>
              <w:jc w:val="center"/>
              <w:ind w:right="183"/>
              <w:spacing w:after="0"/>
              <w:rPr>
                <w:sz w:val="20"/>
                <w:szCs w:val="20"/>
                <w:color w:val="auto"/>
              </w:rPr>
            </w:pPr>
            <w:r>
              <w:rPr>
                <w:rFonts w:ascii="Arial" w:cs="Arial" w:eastAsia="Arial" w:hAnsi="Arial"/>
                <w:sz w:val="14"/>
                <w:szCs w:val="14"/>
                <w:b w:val="1"/>
                <w:bCs w:val="1"/>
                <w:color w:val="auto"/>
              </w:rPr>
              <w:t>Price Paid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260" w:type="dxa"/>
            <w:vAlign w:val="bottom"/>
          </w:tcPr>
          <w:p>
            <w:pPr>
              <w:jc w:val="center"/>
              <w:ind w:left="364"/>
              <w:spacing w:after="0"/>
              <w:rPr>
                <w:sz w:val="20"/>
                <w:szCs w:val="20"/>
                <w:color w:val="auto"/>
              </w:rPr>
            </w:pPr>
            <w:r>
              <w:rPr>
                <w:rFonts w:ascii="Arial" w:cs="Arial" w:eastAsia="Arial" w:hAnsi="Arial"/>
                <w:sz w:val="14"/>
                <w:szCs w:val="14"/>
                <w:b w:val="1"/>
                <w:bCs w:val="1"/>
                <w:color w:val="auto"/>
              </w:rPr>
              <w:t>Purchased Under the</w:t>
            </w:r>
          </w:p>
        </w:tc>
      </w:tr>
      <w:tr>
        <w:trPr>
          <w:trHeight w:val="196"/>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per Share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2260" w:type="dxa"/>
            <w:vAlign w:val="bottom"/>
            <w:tcBorders>
              <w:bottom w:val="single" w:sz="8" w:color="auto"/>
            </w:tcBorders>
          </w:tcPr>
          <w:p>
            <w:pPr>
              <w:jc w:val="center"/>
              <w:ind w:left="344"/>
              <w:spacing w:after="0"/>
              <w:rPr>
                <w:sz w:val="20"/>
                <w:szCs w:val="20"/>
                <w:color w:val="auto"/>
              </w:rPr>
            </w:pPr>
            <w:r>
              <w:rPr>
                <w:rFonts w:ascii="Arial" w:cs="Arial" w:eastAsia="Arial" w:hAnsi="Arial"/>
                <w:sz w:val="14"/>
                <w:szCs w:val="14"/>
                <w:b w:val="1"/>
                <w:bCs w:val="1"/>
                <w:color w:val="auto"/>
              </w:rPr>
              <w:t>Plan*</w:t>
            </w:r>
          </w:p>
        </w:tc>
      </w:tr>
      <w:tr>
        <w:trPr>
          <w:trHeight w:val="223"/>
        </w:trPr>
        <w:tc>
          <w:tcPr>
            <w:tcW w:w="4720" w:type="dxa"/>
            <w:vAlign w:val="bottom"/>
          </w:tcPr>
          <w:p>
            <w:pPr>
              <w:ind w:left="20"/>
              <w:spacing w:after="0"/>
              <w:rPr>
                <w:sz w:val="20"/>
                <w:szCs w:val="20"/>
                <w:color w:val="auto"/>
              </w:rPr>
            </w:pPr>
            <w:r>
              <w:rPr>
                <w:rFonts w:ascii="Arial" w:cs="Arial" w:eastAsia="Arial" w:hAnsi="Arial"/>
                <w:sz w:val="16"/>
                <w:szCs w:val="16"/>
                <w:color w:val="auto"/>
              </w:rPr>
              <w:t>April</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6,921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83"/>
              <w:spacing w:after="0"/>
              <w:rPr>
                <w:sz w:val="20"/>
                <w:szCs w:val="20"/>
                <w:color w:val="auto"/>
              </w:rPr>
            </w:pPr>
            <w:r>
              <w:rPr>
                <w:rFonts w:ascii="Arial" w:cs="Arial" w:eastAsia="Arial" w:hAnsi="Arial"/>
                <w:sz w:val="16"/>
                <w:szCs w:val="16"/>
                <w:color w:val="auto"/>
              </w:rPr>
              <w:t>356.66</w:t>
            </w:r>
          </w:p>
        </w:tc>
        <w:tc>
          <w:tcPr>
            <w:tcW w:w="1720" w:type="dxa"/>
            <w:vAlign w:val="bottom"/>
          </w:tcPr>
          <w:p>
            <w:pPr>
              <w:jc w:val="right"/>
              <w:ind w:right="84"/>
              <w:spacing w:after="0"/>
              <w:rPr>
                <w:sz w:val="20"/>
                <w:szCs w:val="20"/>
                <w:color w:val="auto"/>
              </w:rPr>
            </w:pPr>
            <w:r>
              <w:rPr>
                <w:rFonts w:ascii="Arial" w:cs="Arial" w:eastAsia="Arial" w:hAnsi="Arial"/>
                <w:sz w:val="16"/>
                <w:szCs w:val="16"/>
                <w:color w:val="auto"/>
              </w:rPr>
              <w:t>6,921</w:t>
            </w:r>
          </w:p>
        </w:tc>
        <w:tc>
          <w:tcPr>
            <w:tcW w:w="2260" w:type="dxa"/>
            <w:vAlign w:val="bottom"/>
          </w:tcPr>
          <w:p>
            <w:pPr>
              <w:jc w:val="right"/>
              <w:ind w:right="84"/>
              <w:spacing w:after="0"/>
              <w:rPr>
                <w:sz w:val="20"/>
                <w:szCs w:val="20"/>
                <w:color w:val="auto"/>
              </w:rPr>
            </w:pPr>
            <w:r>
              <w:rPr>
                <w:rFonts w:ascii="Arial" w:cs="Arial" w:eastAsia="Arial" w:hAnsi="Arial"/>
                <w:sz w:val="16"/>
                <w:szCs w:val="16"/>
                <w:color w:val="auto"/>
              </w:rPr>
              <w:t>179,423</w:t>
            </w:r>
          </w:p>
        </w:tc>
      </w:tr>
      <w:tr>
        <w:trPr>
          <w:trHeight w:val="243"/>
        </w:trPr>
        <w:tc>
          <w:tcPr>
            <w:tcW w:w="4720" w:type="dxa"/>
            <w:vAlign w:val="bottom"/>
          </w:tcPr>
          <w:p>
            <w:pPr>
              <w:ind w:left="20"/>
              <w:spacing w:after="0"/>
              <w:rPr>
                <w:sz w:val="20"/>
                <w:szCs w:val="20"/>
                <w:color w:val="auto"/>
              </w:rPr>
            </w:pPr>
            <w:r>
              <w:rPr>
                <w:rFonts w:ascii="Arial" w:cs="Arial" w:eastAsia="Arial" w:hAnsi="Arial"/>
                <w:sz w:val="16"/>
                <w:szCs w:val="16"/>
                <w:color w:val="auto"/>
              </w:rPr>
              <w:t>May</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15,500</w:t>
            </w:r>
          </w:p>
        </w:tc>
        <w:tc>
          <w:tcPr>
            <w:tcW w:w="240" w:type="dxa"/>
            <w:vAlign w:val="bottom"/>
          </w:tcPr>
          <w:p>
            <w:pPr>
              <w:spacing w:after="0"/>
              <w:rPr>
                <w:sz w:val="21"/>
                <w:szCs w:val="21"/>
                <w:color w:val="auto"/>
              </w:rPr>
            </w:pPr>
          </w:p>
        </w:tc>
        <w:tc>
          <w:tcPr>
            <w:tcW w:w="960" w:type="dxa"/>
            <w:vAlign w:val="bottom"/>
          </w:tcPr>
          <w:p>
            <w:pPr>
              <w:jc w:val="right"/>
              <w:ind w:right="183"/>
              <w:spacing w:after="0"/>
              <w:rPr>
                <w:sz w:val="20"/>
                <w:szCs w:val="20"/>
                <w:color w:val="auto"/>
              </w:rPr>
            </w:pPr>
            <w:r>
              <w:rPr>
                <w:rFonts w:ascii="Arial" w:cs="Arial" w:eastAsia="Arial" w:hAnsi="Arial"/>
                <w:sz w:val="16"/>
                <w:szCs w:val="16"/>
                <w:color w:val="auto"/>
              </w:rPr>
              <w:t>343.05</w:t>
            </w:r>
          </w:p>
        </w:tc>
        <w:tc>
          <w:tcPr>
            <w:tcW w:w="1720" w:type="dxa"/>
            <w:vAlign w:val="bottom"/>
          </w:tcPr>
          <w:p>
            <w:pPr>
              <w:jc w:val="right"/>
              <w:ind w:right="84"/>
              <w:spacing w:after="0"/>
              <w:rPr>
                <w:sz w:val="20"/>
                <w:szCs w:val="20"/>
                <w:color w:val="auto"/>
              </w:rPr>
            </w:pPr>
            <w:r>
              <w:rPr>
                <w:rFonts w:ascii="Arial" w:cs="Arial" w:eastAsia="Arial" w:hAnsi="Arial"/>
                <w:sz w:val="16"/>
                <w:szCs w:val="16"/>
                <w:color w:val="auto"/>
              </w:rPr>
              <w:t>15,500</w:t>
            </w:r>
          </w:p>
        </w:tc>
        <w:tc>
          <w:tcPr>
            <w:tcW w:w="2260" w:type="dxa"/>
            <w:vAlign w:val="bottom"/>
          </w:tcPr>
          <w:p>
            <w:pPr>
              <w:jc w:val="right"/>
              <w:ind w:right="84"/>
              <w:spacing w:after="0"/>
              <w:rPr>
                <w:sz w:val="20"/>
                <w:szCs w:val="20"/>
                <w:color w:val="auto"/>
              </w:rPr>
            </w:pPr>
            <w:r>
              <w:rPr>
                <w:rFonts w:ascii="Arial" w:cs="Arial" w:eastAsia="Arial" w:hAnsi="Arial"/>
                <w:sz w:val="16"/>
                <w:szCs w:val="16"/>
                <w:color w:val="auto"/>
              </w:rPr>
              <w:t>163,923</w:t>
            </w:r>
          </w:p>
        </w:tc>
      </w:tr>
      <w:tr>
        <w:trPr>
          <w:trHeight w:val="256"/>
        </w:trPr>
        <w:tc>
          <w:tcPr>
            <w:tcW w:w="4720" w:type="dxa"/>
            <w:vAlign w:val="bottom"/>
          </w:tcPr>
          <w:p>
            <w:pPr>
              <w:ind w:left="20"/>
              <w:spacing w:after="0"/>
              <w:rPr>
                <w:sz w:val="20"/>
                <w:szCs w:val="20"/>
                <w:color w:val="auto"/>
              </w:rPr>
            </w:pPr>
            <w:r>
              <w:rPr>
                <w:rFonts w:ascii="Arial" w:cs="Arial" w:eastAsia="Arial" w:hAnsi="Arial"/>
                <w:sz w:val="16"/>
                <w:szCs w:val="16"/>
                <w:color w:val="auto"/>
              </w:rPr>
              <w:t>June</w:t>
            </w:r>
          </w:p>
        </w:tc>
        <w:tc>
          <w:tcPr>
            <w:tcW w:w="130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62,927</w:t>
            </w:r>
          </w:p>
        </w:tc>
        <w:tc>
          <w:tcPr>
            <w:tcW w:w="240" w:type="dxa"/>
            <w:vAlign w:val="bottom"/>
          </w:tcPr>
          <w:p>
            <w:pPr>
              <w:spacing w:after="0"/>
              <w:rPr>
                <w:sz w:val="22"/>
                <w:szCs w:val="22"/>
                <w:color w:val="auto"/>
              </w:rPr>
            </w:pPr>
          </w:p>
        </w:tc>
        <w:tc>
          <w:tcPr>
            <w:tcW w:w="960" w:type="dxa"/>
            <w:vAlign w:val="bottom"/>
          </w:tcPr>
          <w:p>
            <w:pPr>
              <w:jc w:val="right"/>
              <w:ind w:right="183"/>
              <w:spacing w:after="0"/>
              <w:rPr>
                <w:sz w:val="20"/>
                <w:szCs w:val="20"/>
                <w:color w:val="auto"/>
              </w:rPr>
            </w:pPr>
            <w:r>
              <w:rPr>
                <w:rFonts w:ascii="Arial" w:cs="Arial" w:eastAsia="Arial" w:hAnsi="Arial"/>
                <w:sz w:val="16"/>
                <w:szCs w:val="16"/>
                <w:color w:val="auto"/>
              </w:rPr>
              <w:t>341.81</w:t>
            </w:r>
          </w:p>
        </w:tc>
        <w:tc>
          <w:tcPr>
            <w:tcW w:w="172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62,927</w:t>
            </w:r>
          </w:p>
        </w:tc>
        <w:tc>
          <w:tcPr>
            <w:tcW w:w="2260" w:type="dxa"/>
            <w:vAlign w:val="bottom"/>
          </w:tcPr>
          <w:p>
            <w:pPr>
              <w:jc w:val="right"/>
              <w:ind w:right="84"/>
              <w:spacing w:after="0"/>
              <w:rPr>
                <w:sz w:val="20"/>
                <w:szCs w:val="20"/>
                <w:color w:val="auto"/>
              </w:rPr>
            </w:pPr>
            <w:r>
              <w:rPr>
                <w:rFonts w:ascii="Arial" w:cs="Arial" w:eastAsia="Arial" w:hAnsi="Arial"/>
                <w:sz w:val="16"/>
                <w:szCs w:val="16"/>
                <w:color w:val="auto"/>
              </w:rPr>
              <w:t>100,996</w:t>
            </w:r>
          </w:p>
        </w:tc>
      </w:tr>
      <w:tr>
        <w:trPr>
          <w:trHeight w:val="223"/>
        </w:trPr>
        <w:tc>
          <w:tcPr>
            <w:tcW w:w="4720" w:type="dxa"/>
            <w:vAlign w:val="bottom"/>
          </w:tcPr>
          <w:p>
            <w:pPr>
              <w:spacing w:after="0"/>
              <w:rPr>
                <w:sz w:val="19"/>
                <w:szCs w:val="19"/>
                <w:color w:val="auto"/>
              </w:rPr>
            </w:pP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85,348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83"/>
              <w:spacing w:after="0"/>
              <w:rPr>
                <w:sz w:val="20"/>
                <w:szCs w:val="20"/>
                <w:color w:val="auto"/>
              </w:rPr>
            </w:pPr>
            <w:r>
              <w:rPr>
                <w:rFonts w:ascii="Arial" w:cs="Arial" w:eastAsia="Arial" w:hAnsi="Arial"/>
                <w:sz w:val="16"/>
                <w:szCs w:val="16"/>
                <w:color w:val="auto"/>
              </w:rPr>
              <w:t>343.24</w:t>
            </w:r>
          </w:p>
        </w:tc>
        <w:tc>
          <w:tcPr>
            <w:tcW w:w="1720" w:type="dxa"/>
            <w:vAlign w:val="bottom"/>
          </w:tcPr>
          <w:p>
            <w:pPr>
              <w:jc w:val="right"/>
              <w:ind w:right="84"/>
              <w:spacing w:after="0"/>
              <w:rPr>
                <w:sz w:val="20"/>
                <w:szCs w:val="20"/>
                <w:color w:val="auto"/>
              </w:rPr>
            </w:pPr>
            <w:r>
              <w:rPr>
                <w:rFonts w:ascii="Arial" w:cs="Arial" w:eastAsia="Arial" w:hAnsi="Arial"/>
                <w:sz w:val="16"/>
                <w:szCs w:val="16"/>
                <w:color w:val="auto"/>
              </w:rPr>
              <w:t>85,348</w:t>
            </w:r>
          </w:p>
        </w:tc>
        <w:tc>
          <w:tcPr>
            <w:tcW w:w="2260" w:type="dxa"/>
            <w:vAlign w:val="bottom"/>
          </w:tcPr>
          <w:p>
            <w:pPr>
              <w:spacing w:after="0"/>
              <w:rPr>
                <w:sz w:val="19"/>
                <w:szCs w:val="19"/>
                <w:color w:val="auto"/>
              </w:rPr>
            </w:pPr>
          </w:p>
        </w:tc>
      </w:tr>
    </w:tbl>
    <w:p>
      <w:pPr>
        <w:spacing w:after="0" w:line="227" w:lineRule="exact"/>
        <w:rPr>
          <w:sz w:val="20"/>
          <w:szCs w:val="20"/>
          <w:color w:val="auto"/>
        </w:rPr>
      </w:pPr>
    </w:p>
    <w:p>
      <w:pPr>
        <w:jc w:val="both"/>
        <w:ind w:right="40"/>
        <w:spacing w:after="0" w:line="233" w:lineRule="auto"/>
        <w:rPr>
          <w:sz w:val="20"/>
          <w:szCs w:val="20"/>
          <w:color w:val="auto"/>
        </w:rPr>
      </w:pPr>
      <w:r>
        <w:rPr>
          <w:rFonts w:ascii="Arial" w:cs="Arial" w:eastAsia="Arial" w:hAnsi="Arial"/>
          <w:sz w:val="14"/>
          <w:szCs w:val="14"/>
          <w:color w:val="auto"/>
        </w:rPr>
        <w:t>*On November 9, 2017 the Company’s Board of Directors authorized the Company to purchase, on the open market or otherwise, up to 500,000 shares of its Class B Common Stock. This authorization included 163,237 shares that remained under the previous authorization. There is no expiration date for that authorization. All purchases made during the quarter ended June 30, 2020 were open market transactions.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35"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19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940" w:type="dxa"/>
            <w:vAlign w:val="bottom"/>
          </w:tcPr>
          <w:p>
            <w:pPr>
              <w:jc w:val="center"/>
              <w:ind w:right="2308"/>
              <w:spacing w:after="0"/>
              <w:rPr>
                <w:sz w:val="20"/>
                <w:szCs w:val="20"/>
                <w:color w:val="auto"/>
              </w:rPr>
            </w:pPr>
            <w:r>
              <w:rPr>
                <w:rFonts w:ascii="Arial" w:cs="Arial" w:eastAsia="Arial" w:hAnsi="Arial"/>
                <w:sz w:val="14"/>
                <w:szCs w:val="14"/>
                <w:b w:val="1"/>
                <w:bCs w:val="1"/>
                <w:color w:val="auto"/>
              </w:rPr>
              <w:t>Exhibit</w:t>
            </w:r>
          </w:p>
        </w:tc>
        <w:tc>
          <w:tcPr>
            <w:tcW w:w="3300" w:type="dxa"/>
            <w:vAlign w:val="bottom"/>
            <w:vMerge w:val="restart"/>
          </w:tcPr>
          <w:p>
            <w:pPr>
              <w:ind w:left="2420"/>
              <w:spacing w:after="0"/>
              <w:rPr>
                <w:sz w:val="20"/>
                <w:szCs w:val="20"/>
                <w:color w:val="auto"/>
              </w:rPr>
            </w:pPr>
            <w:r>
              <w:rPr>
                <w:rFonts w:ascii="Arial" w:cs="Arial" w:eastAsia="Arial" w:hAnsi="Arial"/>
                <w:sz w:val="16"/>
                <w:szCs w:val="16"/>
                <w:b w:val="1"/>
                <w:bCs w:val="1"/>
                <w:color w:val="auto"/>
                <w:w w:val="97"/>
              </w:rPr>
              <w:t>Description</w:t>
            </w:r>
          </w:p>
        </w:tc>
        <w:tc>
          <w:tcPr>
            <w:tcW w:w="0" w:type="dxa"/>
            <w:vAlign w:val="bottom"/>
          </w:tcPr>
          <w:p>
            <w:pPr>
              <w:spacing w:after="0"/>
              <w:rPr>
                <w:sz w:val="1"/>
                <w:szCs w:val="1"/>
                <w:color w:val="auto"/>
              </w:rPr>
            </w:pPr>
          </w:p>
        </w:tc>
      </w:tr>
      <w:tr>
        <w:trPr>
          <w:trHeight w:val="190"/>
        </w:trPr>
        <w:tc>
          <w:tcPr>
            <w:tcW w:w="2940" w:type="dxa"/>
            <w:vAlign w:val="bottom"/>
          </w:tcPr>
          <w:p>
            <w:pPr>
              <w:jc w:val="center"/>
              <w:ind w:right="2328"/>
              <w:spacing w:after="0"/>
              <w:rPr>
                <w:sz w:val="20"/>
                <w:szCs w:val="20"/>
                <w:color w:val="auto"/>
              </w:rPr>
            </w:pPr>
            <w:r>
              <w:rPr>
                <w:rFonts w:ascii="Arial" w:cs="Arial" w:eastAsia="Arial" w:hAnsi="Arial"/>
                <w:sz w:val="14"/>
                <w:szCs w:val="14"/>
                <w:b w:val="1"/>
                <w:bCs w:val="1"/>
                <w:color w:val="auto"/>
              </w:rPr>
              <w:t>Number</w:t>
            </w: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0628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160"/>
          </w:cols>
          <w:pgMar w:left="320" w:top="1035" w:right="41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3.2</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3.3</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ind w:right="120"/>
        <w:spacing w:after="0" w:line="242" w:lineRule="auto"/>
        <w:rPr>
          <w:rFonts w:ascii="Arial" w:cs="Arial" w:eastAsia="Arial" w:hAnsi="Arial"/>
          <w:sz w:val="16"/>
          <w:szCs w:val="16"/>
          <w:u w:val="single" w:color="auto"/>
          <w:color w:val="0000FF"/>
        </w:rPr>
      </w:pPr>
      <w:hyperlink r:id="rId68">
        <w:r>
          <w:rPr>
            <w:rFonts w:ascii="Arial" w:cs="Arial" w:eastAsia="Arial" w:hAnsi="Arial"/>
            <w:sz w:val="16"/>
            <w:szCs w:val="16"/>
            <w:u w:val="single" w:color="auto"/>
            <w:color w:val="0000FF"/>
          </w:rPr>
          <w:t>Restated Certificate of Incorporation of the Company dated November 13, 2003 (incorporated by reference to Exhibit 3.1 to the Company’s</w:t>
        </w:r>
      </w:hyperlink>
      <w:r>
        <w:rPr>
          <w:rFonts w:ascii="Arial" w:cs="Arial" w:eastAsia="Arial" w:hAnsi="Arial"/>
          <w:sz w:val="16"/>
          <w:szCs w:val="16"/>
          <w:u w:val="single" w:color="auto"/>
          <w:color w:val="0000FF"/>
        </w:rPr>
        <w:t xml:space="preserve"> </w:t>
      </w:r>
      <w:hyperlink r:id="rId68">
        <w:r>
          <w:rPr>
            <w:rFonts w:ascii="Arial" w:cs="Arial" w:eastAsia="Arial" w:hAnsi="Arial"/>
            <w:sz w:val="16"/>
            <w:szCs w:val="16"/>
            <w:u w:val="single" w:color="auto"/>
            <w:color w:val="0000FF"/>
          </w:rPr>
          <w:t>Annual Report on Form 10-K for the fiscal year ended December 28, 2003).</w:t>
        </w:r>
      </w:hyperlink>
    </w:p>
    <w:p>
      <w:pPr>
        <w:spacing w:after="0" w:line="200" w:lineRule="exact"/>
        <w:rPr>
          <w:sz w:val="20"/>
          <w:szCs w:val="20"/>
          <w:color w:val="auto"/>
        </w:rPr>
      </w:pPr>
    </w:p>
    <w:p>
      <w:pPr>
        <w:spacing w:after="0" w:line="387" w:lineRule="exact"/>
        <w:rPr>
          <w:sz w:val="20"/>
          <w:szCs w:val="20"/>
          <w:color w:val="auto"/>
        </w:rPr>
      </w:pPr>
    </w:p>
    <w:p>
      <w:pPr>
        <w:ind w:right="540"/>
        <w:spacing w:after="0" w:line="242" w:lineRule="auto"/>
        <w:rPr>
          <w:rFonts w:ascii="Arial" w:cs="Arial" w:eastAsia="Arial" w:hAnsi="Arial"/>
          <w:sz w:val="16"/>
          <w:szCs w:val="16"/>
          <w:u w:val="single" w:color="auto"/>
          <w:color w:val="0000FF"/>
        </w:rPr>
      </w:pPr>
      <w:hyperlink r:id="rId69">
        <w:r>
          <w:rPr>
            <w:rFonts w:ascii="Arial" w:cs="Arial" w:eastAsia="Arial" w:hAnsi="Arial"/>
            <w:sz w:val="16"/>
            <w:szCs w:val="16"/>
            <w:u w:val="single" w:color="auto"/>
            <w:color w:val="0000FF"/>
          </w:rPr>
          <w:t>Certificate of Amendment, effective November 29, 2013, to the Restated Certificate of Incorporation of the Company (incorporated by</w:t>
        </w:r>
      </w:hyperlink>
      <w:r>
        <w:rPr>
          <w:rFonts w:ascii="Arial" w:cs="Arial" w:eastAsia="Arial" w:hAnsi="Arial"/>
          <w:sz w:val="16"/>
          <w:szCs w:val="16"/>
          <w:u w:val="single" w:color="auto"/>
          <w:color w:val="0000FF"/>
        </w:rPr>
        <w:t xml:space="preserve"> </w:t>
      </w:r>
      <w:hyperlink r:id="rId69">
        <w:r>
          <w:rPr>
            <w:rFonts w:ascii="Arial" w:cs="Arial" w:eastAsia="Arial" w:hAnsi="Arial"/>
            <w:sz w:val="16"/>
            <w:szCs w:val="16"/>
            <w:u w:val="single" w:color="auto"/>
            <w:color w:val="0000FF"/>
          </w:rPr>
          <w:t>reference to Exhibit 3.1 to the Company’s current Report on Form 8-K dated November 29, 2013).</w:t>
        </w:r>
      </w:hyperlink>
    </w:p>
    <w:p>
      <w:pPr>
        <w:spacing w:after="0" w:line="200" w:lineRule="exact"/>
        <w:rPr>
          <w:sz w:val="20"/>
          <w:szCs w:val="20"/>
          <w:color w:val="auto"/>
        </w:rPr>
      </w:pPr>
    </w:p>
    <w:p>
      <w:pPr>
        <w:spacing w:after="0" w:line="387" w:lineRule="exact"/>
        <w:rPr>
          <w:sz w:val="20"/>
          <w:szCs w:val="20"/>
          <w:color w:val="auto"/>
        </w:rPr>
      </w:pPr>
    </w:p>
    <w:p>
      <w:pPr>
        <w:ind w:right="80"/>
        <w:spacing w:after="0" w:line="242" w:lineRule="auto"/>
        <w:rPr>
          <w:rFonts w:ascii="Arial" w:cs="Arial" w:eastAsia="Arial" w:hAnsi="Arial"/>
          <w:sz w:val="16"/>
          <w:szCs w:val="16"/>
          <w:u w:val="single" w:color="auto"/>
          <w:color w:val="0000FF"/>
        </w:rPr>
      </w:pPr>
      <w:hyperlink r:id="rId70">
        <w:r>
          <w:rPr>
            <w:rFonts w:ascii="Arial" w:cs="Arial" w:eastAsia="Arial" w:hAnsi="Arial"/>
            <w:sz w:val="16"/>
            <w:szCs w:val="16"/>
            <w:u w:val="single" w:color="auto"/>
            <w:color w:val="0000FF"/>
          </w:rPr>
          <w:t>By-Laws of the Company as amended and restated through November 29, 2013 (incorporated by reference to Exhibit 3.2 to the Company’s</w:t>
        </w:r>
      </w:hyperlink>
      <w:r>
        <w:rPr>
          <w:rFonts w:ascii="Arial" w:cs="Arial" w:eastAsia="Arial" w:hAnsi="Arial"/>
          <w:sz w:val="16"/>
          <w:szCs w:val="16"/>
          <w:u w:val="single" w:color="auto"/>
          <w:color w:val="0000FF"/>
        </w:rPr>
        <w:t xml:space="preserve"> </w:t>
      </w:r>
      <w:hyperlink r:id="rId70">
        <w:r>
          <w:rPr>
            <w:rFonts w:ascii="Arial" w:cs="Arial" w:eastAsia="Arial" w:hAnsi="Arial"/>
            <w:sz w:val="16"/>
            <w:szCs w:val="16"/>
            <w:u w:val="single" w:color="auto"/>
            <w:color w:val="0000FF"/>
          </w:rPr>
          <w:t>Current Report on Form 8-K dated November 29, 2013).</w:t>
        </w:r>
      </w:hyperlink>
    </w:p>
    <w:p>
      <w:pPr>
        <w:spacing w:after="0" w:line="200" w:lineRule="exact"/>
        <w:rPr>
          <w:sz w:val="20"/>
          <w:szCs w:val="20"/>
          <w:color w:val="auto"/>
        </w:rPr>
      </w:pPr>
    </w:p>
    <w:p>
      <w:pPr>
        <w:spacing w:after="0" w:line="387" w:lineRule="exact"/>
        <w:rPr>
          <w:sz w:val="20"/>
          <w:szCs w:val="20"/>
          <w:color w:val="auto"/>
        </w:rPr>
      </w:pPr>
    </w:p>
    <w:p>
      <w:pPr>
        <w:ind w:right="520"/>
        <w:spacing w:after="0" w:line="242" w:lineRule="auto"/>
        <w:rPr>
          <w:rFonts w:ascii="Arial" w:cs="Arial" w:eastAsia="Arial" w:hAnsi="Arial"/>
          <w:sz w:val="16"/>
          <w:szCs w:val="16"/>
          <w:u w:val="single" w:color="auto"/>
          <w:color w:val="0000FF"/>
        </w:rPr>
      </w:pPr>
      <w:hyperlink r:id="rId71">
        <w:r>
          <w:rPr>
            <w:rFonts w:ascii="Arial" w:cs="Arial" w:eastAsia="Arial" w:hAnsi="Arial"/>
            <w:sz w:val="16"/>
            <w:szCs w:val="16"/>
            <w:u w:val="single" w:color="auto"/>
            <w:color w:val="0000FF"/>
          </w:rPr>
          <w:t>Senior Notes Indenture dated as of May 30, 2018, between the Company and The Bank of New York Mellon Trust Company, N.A., as</w:t>
        </w:r>
      </w:hyperlink>
      <w:r>
        <w:rPr>
          <w:rFonts w:ascii="Arial" w:cs="Arial" w:eastAsia="Arial" w:hAnsi="Arial"/>
          <w:sz w:val="16"/>
          <w:szCs w:val="16"/>
          <w:u w:val="single" w:color="auto"/>
          <w:color w:val="0000FF"/>
        </w:rPr>
        <w:t xml:space="preserve"> </w:t>
      </w:r>
      <w:hyperlink r:id="rId71">
        <w:r>
          <w:rPr>
            <w:rFonts w:ascii="Arial" w:cs="Arial" w:eastAsia="Arial" w:hAnsi="Arial"/>
            <w:sz w:val="16"/>
            <w:szCs w:val="16"/>
            <w:u w:val="single" w:color="auto"/>
            <w:color w:val="0000FF"/>
          </w:rPr>
          <w:t>Trustee (incorporated by reference to Exhibit 4.1 to the Company’s Current Report on Form 8-K dated May 30, 2018).</w:t>
        </w:r>
      </w:hyperlink>
    </w:p>
    <w:p>
      <w:pPr>
        <w:spacing w:after="0" w:line="200" w:lineRule="exact"/>
        <w:rPr>
          <w:sz w:val="20"/>
          <w:szCs w:val="20"/>
          <w:color w:val="auto"/>
        </w:rPr>
      </w:pPr>
    </w:p>
    <w:p>
      <w:pPr>
        <w:spacing w:after="0" w:line="387" w:lineRule="exact"/>
        <w:rPr>
          <w:sz w:val="20"/>
          <w:szCs w:val="20"/>
          <w:color w:val="auto"/>
        </w:rPr>
      </w:pPr>
    </w:p>
    <w:p>
      <w:pPr>
        <w:spacing w:after="0" w:line="237" w:lineRule="auto"/>
        <w:rPr>
          <w:rFonts w:ascii="Arial" w:cs="Arial" w:eastAsia="Arial" w:hAnsi="Arial"/>
          <w:sz w:val="16"/>
          <w:szCs w:val="16"/>
          <w:u w:val="single" w:color="auto"/>
          <w:color w:val="0000FF"/>
        </w:rPr>
      </w:pPr>
      <w:hyperlink r:id="rId72">
        <w:r>
          <w:rPr>
            <w:rFonts w:ascii="Arial" w:cs="Arial" w:eastAsia="Arial" w:hAnsi="Arial"/>
            <w:sz w:val="16"/>
            <w:szCs w:val="16"/>
            <w:u w:val="single" w:color="auto"/>
            <w:color w:val="0000FF"/>
          </w:rPr>
          <w:t>First Supplemental Indenture, dated as of March 24, 2020, among Graham Healthcare Group, Inc., a Delaware corporation, a subsidiary of</w:t>
        </w:r>
      </w:hyperlink>
      <w:r>
        <w:rPr>
          <w:rFonts w:ascii="Arial" w:cs="Arial" w:eastAsia="Arial" w:hAnsi="Arial"/>
          <w:sz w:val="16"/>
          <w:szCs w:val="16"/>
          <w:u w:val="single" w:color="auto"/>
          <w:color w:val="0000FF"/>
        </w:rPr>
        <w:t xml:space="preserve"> </w:t>
      </w:r>
      <w:hyperlink r:id="rId72">
        <w:r>
          <w:rPr>
            <w:rFonts w:ascii="Arial" w:cs="Arial" w:eastAsia="Arial" w:hAnsi="Arial"/>
            <w:sz w:val="16"/>
            <w:szCs w:val="16"/>
            <w:u w:val="single" w:color="auto"/>
            <w:color w:val="0000FF"/>
          </w:rPr>
          <w:t>the Company, and The Bank of New York Mellon Trust Company, N.A., as trustee (incorporated by reference to Exhibit 4.2 to the</w:t>
        </w:r>
        <w:r>
          <w:rPr>
            <w:rFonts w:ascii="Arial" w:cs="Arial" w:eastAsia="Arial" w:hAnsi="Arial"/>
            <w:sz w:val="16"/>
            <w:szCs w:val="16"/>
            <w:color w:val="0000FF"/>
          </w:rPr>
          <w:t xml:space="preserve"> Company</w:t>
        </w:r>
        <w:r>
          <w:rPr>
            <w:rFonts w:ascii="Arial" w:cs="Arial" w:eastAsia="Arial" w:hAnsi="Arial"/>
            <w:sz w:val="16"/>
            <w:szCs w:val="16"/>
            <w:u w:val="single" w:color="auto"/>
            <w:color w:val="0000FF"/>
          </w:rPr>
          <w:t>’s</w:t>
        </w:r>
      </w:hyperlink>
      <w:r>
        <w:rPr>
          <w:rFonts w:ascii="Arial" w:cs="Arial" w:eastAsia="Arial" w:hAnsi="Arial"/>
          <w:sz w:val="16"/>
          <w:szCs w:val="16"/>
          <w:color w:val="0000FF"/>
        </w:rPr>
        <w:t xml:space="preserve"> </w:t>
      </w:r>
      <w:hyperlink r:id="rId72">
        <w:r>
          <w:rPr>
            <w:rFonts w:ascii="Arial" w:cs="Arial" w:eastAsia="Arial" w:hAnsi="Arial"/>
            <w:sz w:val="16"/>
            <w:szCs w:val="16"/>
            <w:u w:val="single" w:color="auto"/>
            <w:color w:val="0000FF"/>
          </w:rPr>
          <w:t>Quarterly Report on Form 10-Q for the quarter ended March 31, 2020).</w:t>
        </w:r>
      </w:hyperlink>
    </w:p>
    <w:p>
      <w:pPr>
        <w:spacing w:after="0" w:line="200" w:lineRule="exact"/>
        <w:rPr>
          <w:rFonts w:ascii="Arial" w:cs="Arial" w:eastAsia="Arial" w:hAnsi="Arial"/>
          <w:sz w:val="16"/>
          <w:szCs w:val="16"/>
          <w:u w:val="single" w:color="auto"/>
          <w:color w:val="0000FF"/>
        </w:rPr>
      </w:pPr>
    </w:p>
    <w:p>
      <w:pPr>
        <w:sectPr>
          <w:pgSz w:w="11900" w:h="16838" w:orient="portrait"/>
          <w:cols w:equalWidth="0" w:num="2">
            <w:col w:w="380" w:space="720"/>
            <w:col w:w="10060"/>
          </w:cols>
          <w:pgMar w:left="320" w:top="1035" w:right="419" w:bottom="1440" w:gutter="0" w:footer="0" w:header="0"/>
          <w:type w:val="continuous"/>
        </w:sectPr>
      </w:pPr>
    </w:p>
    <w:p>
      <w:pPr>
        <w:spacing w:after="0" w:line="213" w:lineRule="exact"/>
        <w:rPr>
          <w:rFonts w:ascii="Arial" w:cs="Arial" w:eastAsia="Arial" w:hAnsi="Arial"/>
          <w:sz w:val="16"/>
          <w:szCs w:val="16"/>
          <w:u w:val="single" w:color="auto"/>
          <w:color w:val="0000FF"/>
        </w:rPr>
      </w:pPr>
    </w:p>
    <w:tbl>
      <w:tblPr>
        <w:tblLayout w:type="fixed"/>
        <w:tblInd w:w="120" w:type="dxa"/>
        <w:tblCellMar>
          <w:top w:w="0" w:type="dxa"/>
          <w:left w:w="0" w:type="dxa"/>
          <w:bottom w:w="0" w:type="dxa"/>
          <w:right w:w="0" w:type="dxa"/>
        </w:tblCellMar>
      </w:tblPr>
      <w:tr>
        <w:trPr>
          <w:trHeight w:val="208"/>
        </w:trPr>
        <w:tc>
          <w:tcPr>
            <w:tcW w:w="660" w:type="dxa"/>
            <w:vAlign w:val="bottom"/>
          </w:tcPr>
          <w:p>
            <w:pPr>
              <w:jc w:val="right"/>
              <w:ind w:right="259"/>
              <w:spacing w:after="0"/>
              <w:rPr>
                <w:sz w:val="20"/>
                <w:szCs w:val="20"/>
                <w:color w:val="auto"/>
              </w:rPr>
            </w:pPr>
            <w:r>
              <w:rPr>
                <w:rFonts w:ascii="Arial" w:cs="Arial" w:eastAsia="Arial" w:hAnsi="Arial"/>
                <w:sz w:val="16"/>
                <w:szCs w:val="16"/>
                <w:color w:val="auto"/>
                <w:w w:val="96"/>
              </w:rPr>
              <w:t>31.1</w:t>
            </w:r>
          </w:p>
        </w:tc>
        <w:tc>
          <w:tcPr>
            <w:tcW w:w="2180" w:type="dxa"/>
            <w:vAlign w:val="bottom"/>
          </w:tcPr>
          <w:p>
            <w:pPr>
              <w:ind w:left="32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Rule 13a-14(a)/15d-14(a)</w:t>
              </w:r>
            </w:hyperlink>
          </w:p>
        </w:tc>
        <w:tc>
          <w:tcPr>
            <w:tcW w:w="3060" w:type="dxa"/>
            <w:vAlign w:val="bottom"/>
          </w:tcPr>
          <w:p>
            <w:pPr>
              <w:ind w:left="20"/>
              <w:spacing w:after="0"/>
              <w:rPr>
                <w:rFonts w:ascii="Arial" w:cs="Arial" w:eastAsia="Arial" w:hAnsi="Arial"/>
                <w:sz w:val="16"/>
                <w:szCs w:val="16"/>
                <w:u w:val="single" w:color="auto"/>
                <w:color w:val="0000FF"/>
              </w:rPr>
            </w:pPr>
            <w:hyperlink w:anchor="page45">
              <w:r>
                <w:rPr>
                  <w:rFonts w:ascii="Arial" w:cs="Arial" w:eastAsia="Arial" w:hAnsi="Arial"/>
                  <w:sz w:val="16"/>
                  <w:szCs w:val="16"/>
                  <w:u w:val="single" w:color="auto"/>
                  <w:color w:val="0000FF"/>
                </w:rPr>
                <w:t>Certification of the Chief Executive Officer.</w:t>
              </w:r>
            </w:hyperlink>
          </w:p>
        </w:tc>
      </w:tr>
      <w:tr>
        <w:trPr>
          <w:trHeight w:val="783"/>
        </w:trPr>
        <w:tc>
          <w:tcPr>
            <w:tcW w:w="660" w:type="dxa"/>
            <w:vAlign w:val="bottom"/>
          </w:tcPr>
          <w:p>
            <w:pPr>
              <w:jc w:val="right"/>
              <w:ind w:right="259"/>
              <w:spacing w:after="0"/>
              <w:rPr>
                <w:sz w:val="20"/>
                <w:szCs w:val="20"/>
                <w:color w:val="auto"/>
              </w:rPr>
            </w:pPr>
            <w:r>
              <w:rPr>
                <w:rFonts w:ascii="Arial" w:cs="Arial" w:eastAsia="Arial" w:hAnsi="Arial"/>
                <w:sz w:val="16"/>
                <w:szCs w:val="16"/>
                <w:color w:val="auto"/>
                <w:w w:val="96"/>
              </w:rPr>
              <w:t>31.2</w:t>
            </w:r>
          </w:p>
        </w:tc>
        <w:tc>
          <w:tcPr>
            <w:tcW w:w="2180" w:type="dxa"/>
            <w:vAlign w:val="bottom"/>
          </w:tcPr>
          <w:p>
            <w:pPr>
              <w:ind w:left="32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Rule 13a-14(a)/15d-14(a)</w:t>
              </w:r>
            </w:hyperlink>
          </w:p>
        </w:tc>
        <w:tc>
          <w:tcPr>
            <w:tcW w:w="3060" w:type="dxa"/>
            <w:vAlign w:val="bottom"/>
          </w:tcPr>
          <w:p>
            <w:pPr>
              <w:ind w:left="20"/>
              <w:spacing w:after="0"/>
              <w:rPr>
                <w:rFonts w:ascii="Arial" w:cs="Arial" w:eastAsia="Arial" w:hAnsi="Arial"/>
                <w:sz w:val="16"/>
                <w:szCs w:val="16"/>
                <w:u w:val="single" w:color="auto"/>
                <w:color w:val="0000FF"/>
              </w:rPr>
            </w:pPr>
            <w:hyperlink w:anchor="page46">
              <w:r>
                <w:rPr>
                  <w:rFonts w:ascii="Arial" w:cs="Arial" w:eastAsia="Arial" w:hAnsi="Arial"/>
                  <w:sz w:val="16"/>
                  <w:szCs w:val="16"/>
                  <w:u w:val="single" w:color="auto"/>
                  <w:color w:val="0000FF"/>
                </w:rPr>
                <w:t>Certification of the Chief Financial Officer.</w:t>
              </w:r>
            </w:hyperlink>
          </w:p>
        </w:tc>
      </w:tr>
    </w:tbl>
    <w:p>
      <w:pPr>
        <w:spacing w:after="0" w:line="200" w:lineRule="exact"/>
        <w:rPr>
          <w:sz w:val="20"/>
          <w:szCs w:val="20"/>
          <w:color w:val="auto"/>
        </w:rPr>
      </w:pPr>
    </w:p>
    <w:p>
      <w:pPr>
        <w:spacing w:after="0" w:line="375" w:lineRule="exact"/>
        <w:rPr>
          <w:sz w:val="20"/>
          <w:szCs w:val="20"/>
          <w:color w:val="auto"/>
        </w:rPr>
      </w:pPr>
    </w:p>
    <w:p>
      <w:pPr>
        <w:ind w:left="1100" w:hanging="971"/>
        <w:spacing w:after="0"/>
        <w:tabs>
          <w:tab w:leader="none" w:pos="1100" w:val="left"/>
        </w:tabs>
        <w:numPr>
          <w:ilvl w:val="0"/>
          <w:numId w:val="14"/>
        </w:numPr>
        <w:rPr>
          <w:rFonts w:ascii="Arial" w:cs="Arial" w:eastAsia="Arial" w:hAnsi="Arial"/>
          <w:sz w:val="16"/>
          <w:szCs w:val="16"/>
          <w:color w:val="0000FF"/>
        </w:rPr>
      </w:pPr>
      <w:hyperlink w:anchor="page47">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hyperlink>
      <w:r>
        <w:rPr>
          <w:rFonts w:ascii="Arial" w:cs="Arial" w:eastAsia="Arial" w:hAnsi="Arial"/>
          <w:sz w:val="16"/>
          <w:szCs w:val="16"/>
          <w:color w:val="000000"/>
        </w:rPr>
        <w:t>*</w:t>
      </w:r>
    </w:p>
    <w:p>
      <w:pPr>
        <w:spacing w:after="0" w:line="200" w:lineRule="exact"/>
        <w:rPr>
          <w:sz w:val="20"/>
          <w:szCs w:val="20"/>
          <w:color w:val="auto"/>
        </w:rPr>
      </w:pP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20" w:type="dxa"/>
            <w:vAlign w:val="bottom"/>
          </w:tcPr>
          <w:p>
            <w:pPr>
              <w:spacing w:after="0"/>
              <w:rPr>
                <w:sz w:val="20"/>
                <w:szCs w:val="20"/>
                <w:color w:val="auto"/>
              </w:rPr>
            </w:pPr>
            <w:r>
              <w:rPr>
                <w:rFonts w:ascii="Arial" w:cs="Arial" w:eastAsia="Arial" w:hAnsi="Arial"/>
                <w:sz w:val="16"/>
                <w:szCs w:val="16"/>
                <w:color w:val="auto"/>
              </w:rPr>
              <w:t>101.INS</w:t>
            </w:r>
          </w:p>
        </w:tc>
        <w:tc>
          <w:tcPr>
            <w:tcW w:w="10160" w:type="dxa"/>
            <w:vAlign w:val="bottom"/>
          </w:tcPr>
          <w:p>
            <w:pPr>
              <w:ind w:left="16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195"/>
        </w:trPr>
        <w:tc>
          <w:tcPr>
            <w:tcW w:w="820" w:type="dxa"/>
            <w:vAlign w:val="bottom"/>
          </w:tcPr>
          <w:p>
            <w:pPr>
              <w:spacing w:after="0"/>
              <w:rPr>
                <w:sz w:val="16"/>
                <w:szCs w:val="16"/>
                <w:color w:val="auto"/>
              </w:rPr>
            </w:pPr>
          </w:p>
        </w:tc>
        <w:tc>
          <w:tcPr>
            <w:tcW w:w="10160" w:type="dxa"/>
            <w:vAlign w:val="bottom"/>
          </w:tcPr>
          <w:p>
            <w:pPr>
              <w:ind w:left="160"/>
              <w:spacing w:after="0"/>
              <w:rPr>
                <w:sz w:val="20"/>
                <w:szCs w:val="20"/>
                <w:color w:val="auto"/>
              </w:rPr>
            </w:pPr>
            <w:r>
              <w:rPr>
                <w:rFonts w:ascii="Arial" w:cs="Arial" w:eastAsia="Arial" w:hAnsi="Arial"/>
                <w:sz w:val="16"/>
                <w:szCs w:val="16"/>
                <w:color w:val="auto"/>
              </w:rPr>
              <w:t>within the Inline XBRL document</w:t>
            </w:r>
          </w:p>
        </w:tc>
      </w:tr>
      <w:tr>
        <w:trPr>
          <w:trHeight w:val="621"/>
        </w:trPr>
        <w:tc>
          <w:tcPr>
            <w:tcW w:w="820" w:type="dxa"/>
            <w:vAlign w:val="bottom"/>
          </w:tcPr>
          <w:p>
            <w:pPr>
              <w:spacing w:after="0"/>
              <w:rPr>
                <w:sz w:val="20"/>
                <w:szCs w:val="20"/>
                <w:color w:val="auto"/>
              </w:rPr>
            </w:pPr>
            <w:r>
              <w:rPr>
                <w:rFonts w:ascii="Arial" w:cs="Arial" w:eastAsia="Arial" w:hAnsi="Arial"/>
                <w:sz w:val="16"/>
                <w:szCs w:val="16"/>
                <w:color w:val="auto"/>
              </w:rPr>
              <w:t>101.SCH</w:t>
            </w:r>
          </w:p>
        </w:tc>
        <w:tc>
          <w:tcPr>
            <w:tcW w:w="1016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r>
      <w:tr>
        <w:trPr>
          <w:trHeight w:val="608"/>
        </w:trPr>
        <w:tc>
          <w:tcPr>
            <w:tcW w:w="820" w:type="dxa"/>
            <w:vAlign w:val="bottom"/>
          </w:tcPr>
          <w:p>
            <w:pPr>
              <w:spacing w:after="0"/>
              <w:rPr>
                <w:sz w:val="20"/>
                <w:szCs w:val="20"/>
                <w:color w:val="auto"/>
              </w:rPr>
            </w:pPr>
            <w:r>
              <w:rPr>
                <w:rFonts w:ascii="Arial" w:cs="Arial" w:eastAsia="Arial" w:hAnsi="Arial"/>
                <w:sz w:val="16"/>
                <w:szCs w:val="16"/>
                <w:color w:val="auto"/>
              </w:rPr>
              <w:t>101.CAL</w:t>
            </w:r>
          </w:p>
        </w:tc>
        <w:tc>
          <w:tcPr>
            <w:tcW w:w="1016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608"/>
        </w:trPr>
        <w:tc>
          <w:tcPr>
            <w:tcW w:w="820" w:type="dxa"/>
            <w:vAlign w:val="bottom"/>
          </w:tcPr>
          <w:p>
            <w:pPr>
              <w:spacing w:after="0"/>
              <w:rPr>
                <w:sz w:val="20"/>
                <w:szCs w:val="20"/>
                <w:color w:val="auto"/>
              </w:rPr>
            </w:pPr>
            <w:r>
              <w:rPr>
                <w:rFonts w:ascii="Arial" w:cs="Arial" w:eastAsia="Arial" w:hAnsi="Arial"/>
                <w:sz w:val="16"/>
                <w:szCs w:val="16"/>
                <w:color w:val="auto"/>
              </w:rPr>
              <w:t>101.DEF</w:t>
            </w:r>
          </w:p>
        </w:tc>
        <w:tc>
          <w:tcPr>
            <w:tcW w:w="1016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607"/>
        </w:trPr>
        <w:tc>
          <w:tcPr>
            <w:tcW w:w="820" w:type="dxa"/>
            <w:vAlign w:val="bottom"/>
          </w:tcPr>
          <w:p>
            <w:pPr>
              <w:spacing w:after="0"/>
              <w:rPr>
                <w:sz w:val="20"/>
                <w:szCs w:val="20"/>
                <w:color w:val="auto"/>
              </w:rPr>
            </w:pPr>
            <w:r>
              <w:rPr>
                <w:rFonts w:ascii="Arial" w:cs="Arial" w:eastAsia="Arial" w:hAnsi="Arial"/>
                <w:sz w:val="16"/>
                <w:szCs w:val="16"/>
                <w:color w:val="auto"/>
              </w:rPr>
              <w:t>101.LAB</w:t>
            </w:r>
          </w:p>
        </w:tc>
        <w:tc>
          <w:tcPr>
            <w:tcW w:w="1016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608"/>
        </w:trPr>
        <w:tc>
          <w:tcPr>
            <w:tcW w:w="820" w:type="dxa"/>
            <w:vAlign w:val="bottom"/>
          </w:tcPr>
          <w:p>
            <w:pPr>
              <w:spacing w:after="0"/>
              <w:rPr>
                <w:sz w:val="20"/>
                <w:szCs w:val="20"/>
                <w:color w:val="auto"/>
              </w:rPr>
            </w:pPr>
            <w:r>
              <w:rPr>
                <w:rFonts w:ascii="Arial" w:cs="Arial" w:eastAsia="Arial" w:hAnsi="Arial"/>
                <w:sz w:val="16"/>
                <w:szCs w:val="16"/>
                <w:color w:val="auto"/>
              </w:rPr>
              <w:t>101.PRE</w:t>
            </w:r>
          </w:p>
        </w:tc>
        <w:tc>
          <w:tcPr>
            <w:tcW w:w="1016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104Cover Page Interactive Data File, formatted in Inline XBRL and included as Exhibit 101</w:t>
      </w: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color w:val="auto"/>
        </w:rPr>
        <w:t>* Furnished herewith.</w:t>
      </w:r>
    </w:p>
    <w:p>
      <w:pPr>
        <w:sectPr>
          <w:pgSz w:w="11900" w:h="16838" w:orient="portrait"/>
          <w:cols w:equalWidth="0" w:num="1">
            <w:col w:w="11160"/>
          </w:cols>
          <w:pgMar w:left="320" w:top="1035" w:right="41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035" w:right="419" w:bottom="1440" w:gutter="0" w:footer="0" w:header="0"/>
          <w:type w:val="continuous"/>
        </w:sectPr>
      </w:pPr>
    </w:p>
    <w:bookmarkStart w:id="43" w:name="page44"/>
    <w:bookmarkEnd w:id="43"/>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5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6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6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60"/>
        </w:trPr>
        <w:tc>
          <w:tcPr>
            <w:tcW w:w="3600" w:type="dxa"/>
            <w:vAlign w:val="bottom"/>
          </w:tcPr>
          <w:p>
            <w:pPr>
              <w:spacing w:after="0"/>
              <w:rPr>
                <w:sz w:val="20"/>
                <w:szCs w:val="20"/>
                <w:color w:val="auto"/>
              </w:rPr>
            </w:pPr>
            <w:r>
              <w:rPr>
                <w:rFonts w:ascii="Arial" w:cs="Arial" w:eastAsia="Arial" w:hAnsi="Arial"/>
                <w:sz w:val="18"/>
                <w:szCs w:val="18"/>
                <w:color w:val="auto"/>
              </w:rPr>
              <w:t>Date: August 5, 2020</w:t>
            </w:r>
          </w:p>
        </w:tc>
        <w:tc>
          <w:tcPr>
            <w:tcW w:w="358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148"/>
        </w:trPr>
        <w:tc>
          <w:tcPr>
            <w:tcW w:w="36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4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Timothy J. O’Shaughnessy,</w:t>
            </w:r>
          </w:p>
        </w:tc>
      </w:tr>
      <w:tr>
        <w:trPr>
          <w:trHeight w:val="135"/>
        </w:trPr>
        <w:tc>
          <w:tcPr>
            <w:tcW w:w="36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4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President &amp; Chief Executive Officer</w:t>
            </w:r>
          </w:p>
        </w:tc>
      </w:tr>
      <w:tr>
        <w:trPr>
          <w:trHeight w:val="190"/>
        </w:trPr>
        <w:tc>
          <w:tcPr>
            <w:tcW w:w="3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32"/>
        </w:trPr>
        <w:tc>
          <w:tcPr>
            <w:tcW w:w="3600" w:type="dxa"/>
            <w:vAlign w:val="bottom"/>
          </w:tcPr>
          <w:p>
            <w:pPr>
              <w:spacing w:after="0"/>
              <w:rPr>
                <w:sz w:val="20"/>
                <w:szCs w:val="20"/>
                <w:color w:val="auto"/>
              </w:rPr>
            </w:pPr>
            <w:r>
              <w:rPr>
                <w:rFonts w:ascii="Arial" w:cs="Arial" w:eastAsia="Arial" w:hAnsi="Arial"/>
                <w:sz w:val="18"/>
                <w:szCs w:val="18"/>
                <w:color w:val="auto"/>
              </w:rPr>
              <w:t>Date: August 5, 2020</w:t>
            </w:r>
          </w:p>
        </w:tc>
        <w:tc>
          <w:tcPr>
            <w:tcW w:w="358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176"/>
        </w:trPr>
        <w:tc>
          <w:tcPr>
            <w:tcW w:w="36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rPr>
              <w:t>Wallace R. Cooney,</w:t>
            </w:r>
          </w:p>
        </w:tc>
      </w:tr>
      <w:tr>
        <w:trPr>
          <w:trHeight w:val="162"/>
        </w:trPr>
        <w:tc>
          <w:tcPr>
            <w:tcW w:w="36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r>
      <w:tr>
        <w:trPr>
          <w:trHeight w:val="190"/>
        </w:trPr>
        <w:tc>
          <w:tcPr>
            <w:tcW w:w="36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400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633"/>
        </w:trPr>
        <w:tc>
          <w:tcPr>
            <w:tcW w:w="3600" w:type="dxa"/>
            <w:vAlign w:val="bottom"/>
          </w:tcPr>
          <w:p>
            <w:pPr>
              <w:spacing w:after="0"/>
              <w:rPr>
                <w:sz w:val="24"/>
                <w:szCs w:val="24"/>
                <w:color w:val="auto"/>
              </w:rPr>
            </w:pPr>
          </w:p>
        </w:tc>
        <w:tc>
          <w:tcPr>
            <w:tcW w:w="3580" w:type="dxa"/>
            <w:vAlign w:val="bottom"/>
          </w:tcPr>
          <w:p>
            <w:pPr>
              <w:jc w:val="right"/>
              <w:ind w:right="1410"/>
              <w:spacing w:after="0"/>
              <w:rPr>
                <w:sz w:val="20"/>
                <w:szCs w:val="20"/>
                <w:color w:val="auto"/>
              </w:rPr>
            </w:pPr>
            <w:r>
              <w:rPr>
                <w:rFonts w:ascii="Arial" w:cs="Arial" w:eastAsia="Arial" w:hAnsi="Arial"/>
                <w:sz w:val="18"/>
                <w:szCs w:val="18"/>
                <w:color w:val="auto"/>
              </w:rPr>
              <w:t>40</w:t>
            </w:r>
          </w:p>
        </w:tc>
        <w:tc>
          <w:tcPr>
            <w:tcW w:w="4000" w:type="dxa"/>
            <w:vAlign w:val="bottom"/>
          </w:tcPr>
          <w:p>
            <w:pPr>
              <w:spacing w:after="0"/>
              <w:rPr>
                <w:sz w:val="24"/>
                <w:szCs w:val="24"/>
                <w:color w:val="auto"/>
              </w:rPr>
            </w:pPr>
          </w:p>
        </w:tc>
      </w:tr>
    </w:tbl>
    <w:p>
      <w:pPr>
        <w:sectPr>
          <w:pgSz w:w="11900" w:h="16838" w:orient="portrait"/>
          <w:cols w:equalWidth="0" w:num="1">
            <w:col w:w="11220"/>
          </w:cols>
          <w:pgMar w:left="320" w:top="1039"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144"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56"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jc w:val="both"/>
        <w:ind w:left="340" w:right="100" w:hanging="8"/>
        <w:spacing w:after="0" w:line="291" w:lineRule="auto"/>
        <w:tabs>
          <w:tab w:leader="none" w:pos="6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340" w:right="80" w:hanging="8"/>
        <w:spacing w:after="0" w:line="265" w:lineRule="auto"/>
        <w:tabs>
          <w:tab w:leader="none" w:pos="6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1300" w:right="20" w:hanging="320"/>
        <w:spacing w:after="0" w:line="256"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320"/>
        <w:spacing w:after="0" w:line="278" w:lineRule="auto"/>
        <w:tabs>
          <w:tab w:leader="none" w:pos="12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320"/>
        <w:spacing w:after="0" w:line="256" w:lineRule="auto"/>
        <w:tabs>
          <w:tab w:leader="none" w:pos="1294"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300" w:hanging="320"/>
        <w:spacing w:after="0" w:line="278" w:lineRule="auto"/>
        <w:tabs>
          <w:tab w:leader="none" w:pos="129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7"/>
          <w:szCs w:val="17"/>
          <w:color w:val="auto"/>
        </w:rPr>
      </w:pPr>
    </w:p>
    <w:p>
      <w:pPr>
        <w:jc w:val="both"/>
        <w:ind w:left="340" w:right="280" w:hanging="8"/>
        <w:spacing w:after="0" w:line="256" w:lineRule="auto"/>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20" w:hanging="320"/>
        <w:spacing w:after="0" w:line="256"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231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2020</w:t>
      </w:r>
    </w:p>
    <w:p>
      <w:pPr>
        <w:sectPr>
          <w:pgSz w:w="11900" w:h="16838" w:orient="portrait"/>
          <w:cols w:equalWidth="0" w:num="1">
            <w:col w:w="11240"/>
          </w:cols>
          <w:pgMar w:left="320" w:top="116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71"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56" w:lineRule="auto"/>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jc w:val="both"/>
        <w:ind w:left="340" w:right="100" w:hanging="8"/>
        <w:spacing w:after="0" w:line="291" w:lineRule="auto"/>
        <w:tabs>
          <w:tab w:leader="none" w:pos="6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340" w:right="80" w:hanging="8"/>
        <w:spacing w:after="0" w:line="265" w:lineRule="auto"/>
        <w:tabs>
          <w:tab w:leader="none" w:pos="6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1300" w:right="20" w:hanging="320"/>
        <w:spacing w:after="0" w:line="256" w:lineRule="auto"/>
        <w:tabs>
          <w:tab w:leader="none" w:pos="12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540" w:hanging="320"/>
        <w:spacing w:after="0" w:line="278" w:lineRule="auto"/>
        <w:tabs>
          <w:tab w:leader="none" w:pos="129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7"/>
          <w:szCs w:val="17"/>
          <w:color w:val="auto"/>
        </w:rPr>
      </w:pPr>
    </w:p>
    <w:p>
      <w:pPr>
        <w:ind w:left="1300" w:right="300" w:hanging="320"/>
        <w:spacing w:after="0" w:line="256" w:lineRule="auto"/>
        <w:tabs>
          <w:tab w:leader="none" w:pos="1294"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300" w:hanging="320"/>
        <w:spacing w:after="0" w:line="278" w:lineRule="auto"/>
        <w:tabs>
          <w:tab w:leader="none" w:pos="1290" w:val="left"/>
        </w:tabs>
        <w:numPr>
          <w:ilvl w:val="1"/>
          <w:numId w:val="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rFonts w:ascii="Arial" w:cs="Arial" w:eastAsia="Arial" w:hAnsi="Arial"/>
          <w:sz w:val="17"/>
          <w:szCs w:val="17"/>
          <w:color w:val="auto"/>
        </w:rPr>
      </w:pPr>
    </w:p>
    <w:p>
      <w:pPr>
        <w:jc w:val="both"/>
        <w:ind w:left="340" w:right="280" w:hanging="8"/>
        <w:spacing w:after="0" w:line="256" w:lineRule="auto"/>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7" w:lineRule="exact"/>
        <w:rPr>
          <w:rFonts w:ascii="Arial" w:cs="Arial" w:eastAsia="Arial" w:hAnsi="Arial"/>
          <w:sz w:val="18"/>
          <w:szCs w:val="18"/>
          <w:color w:val="auto"/>
        </w:rPr>
      </w:pPr>
    </w:p>
    <w:p>
      <w:pPr>
        <w:jc w:val="both"/>
        <w:ind w:left="1300" w:right="420" w:hanging="320"/>
        <w:spacing w:after="0" w:line="256" w:lineRule="auto"/>
        <w:tabs>
          <w:tab w:leader="none" w:pos="12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780" w:hanging="320"/>
        <w:spacing w:after="0" w:line="261" w:lineRule="auto"/>
        <w:tabs>
          <w:tab w:leader="none" w:pos="129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231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2020</w:t>
      </w:r>
    </w:p>
    <w:p>
      <w:pPr>
        <w:sectPr>
          <w:pgSz w:w="11900" w:h="16838" w:orient="portrait"/>
          <w:cols w:equalWidth="0" w:num="1">
            <w:col w:w="11240"/>
          </w:cols>
          <w:pgMar w:left="320" w:top="116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7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June 30, 2020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150"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340" w:hanging="332"/>
        <w:spacing w:after="0" w:line="261" w:lineRule="auto"/>
        <w:tabs>
          <w:tab w:leader="none" w:pos="3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231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2020</w:t>
      </w:r>
    </w:p>
    <w:p>
      <w:pPr>
        <w:spacing w:after="0" w:line="3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231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2020</w:t>
      </w:r>
    </w:p>
    <w:sectPr>
      <w:pgSz w:w="11900" w:h="16838" w:orient="portrait"/>
      <w:cols w:equalWidth="0" w:num="1">
        <w:col w:w="11240"/>
      </w:cols>
      <w:pgMar w:left="320" w:top="11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lowerRoman"/>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862"/>
    </w:lvl>
  </w:abstractNum>
  <w:abstractNum w:abstractNumId="12">
    <w:nsid w:val="41A7C4C9"/>
    <w:multiLevelType w:val="hybridMultilevel"/>
    <w:lvl w:ilvl="0">
      <w:lvlJc w:val="left"/>
      <w:lvlText w:val="%1"/>
      <w:numFmt w:val="decimal"/>
      <w:start w:val="314"/>
    </w:lvl>
  </w:abstractNum>
  <w:abstractNum w:abstractNumId="13">
    <w:nsid w:val="6B68079A"/>
    <w:multiLevelType w:val="hybridMultilevel"/>
    <w:lvl w:ilvl="0">
      <w:lvlJc w:val="left"/>
      <w:lvlText w:val="%1"/>
      <w:numFmt w:val="decimal"/>
      <w:start w:val="32"/>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68" Type="http://schemas.openxmlformats.org/officeDocument/2006/relationships/hyperlink" Target="http://www.sec.gov/Archives/edgar/data/104889/000095013304000785/w94191exv3w1.htm" TargetMode="External"/><Relationship Id="rId69" Type="http://schemas.openxmlformats.org/officeDocument/2006/relationships/hyperlink" Target="http://www.sec.gov/Archives/edgar/data/104889/000095015713000428/ex3-1.htm" TargetMode="External"/><Relationship Id="rId70" Type="http://schemas.openxmlformats.org/officeDocument/2006/relationships/hyperlink" Target="http://www.sec.gov/Archives/edgar/data/104889/000095015713000428/ex3-2.htm" TargetMode="External"/><Relationship Id="rId71" Type="http://schemas.openxmlformats.org/officeDocument/2006/relationships/hyperlink" Target="http://www.sec.gov/Archives/edgar/data/104889/000095015718000572/ex4-1.htm" TargetMode="External"/><Relationship Id="rId72" Type="http://schemas.openxmlformats.org/officeDocument/2006/relationships/hyperlink" Target="http://www.sec.gov/Archives/edgar/data/104889/00001048892000003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2020-08-05T07:44:41Z</dcterms:created>
  <dcterms:modified xsi:type="dcterms:W3CDTF">2020-08-05T07:44:41Z</dcterms:modified>
</cp:coreProperties>
</file>