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8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 NW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12/26/2007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58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6,753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23,251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174,019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(5)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123,475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513,137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Siblings'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582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7. Title andAmount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Amountorof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SecuritiesNumber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Acquired(A)(D)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DerivativeTitleShares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Gift to charity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Not applicable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3. Gift to charitable trust of which Spouse is a 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3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4. The reporting person disclaims any beneficial ownership of these 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0" w:type="dxa"/>
            <w:vAlign w:val="bottom"/>
            <w:gridSpan w:val="25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5. The reporting person disclaims any beneficial ownership of these shares. In addition to the direct and indirect ownership of Class B shares herein, I am one of five trustees of a charitable trust which owns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26,339 Class B shares in which I disclaim any beneficial ownership.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9"/>
              </w:rPr>
              <w:t>Veronica Dillon for Donald E.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Graham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422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42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2019-12-16T16:46:09Z</dcterms:created>
  <dcterms:modified xsi:type="dcterms:W3CDTF">2019-12-16T16:46:09Z</dcterms:modified>
</cp:coreProperties>
</file>