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180"/>
        <w:jc w:val="center"/>
        <w:rPr>
          <w:rFonts w:ascii="Arial;sans-serif" w:hAnsi="Arial;sans-serif"/>
          <w:b/>
          <w:color w:val="000000"/>
          <w:sz w:val="36"/>
        </w:rPr>
      </w:pPr>
      <w:r>
        <w:rPr>
          <w:rFonts w:ascii="Arial;sans-serif" w:hAnsi="Arial;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64" w:before="100" w:after="24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64" w:before="180" w:after="240"/>
        <w:jc w:val="center"/>
        <w:rPr/>
      </w:pPr>
      <w:r>
        <w:rPr>
          <w:rFonts w:ascii="Arial;sans-serif" w:hAnsi="Arial;sans-serif"/>
          <w:b/>
          <w:color w:val="000000"/>
          <w:sz w:val="24"/>
        </w:rPr>
        <w:t>Date of Report (Date of earliest event reported)</w:t>
      </w:r>
      <w:r>
        <w:rPr>
          <w:color w:val="000000"/>
        </w:rPr>
        <w:t xml:space="preserve"> </w:t>
      </w:r>
      <w:r>
        <w:rPr>
          <w:rFonts w:ascii="Arial;sans-serif" w:hAnsi="Arial;sans-serif"/>
          <w:b/>
          <w:color w:val="000000"/>
          <w:sz w:val="24"/>
          <w:u w:val="single"/>
        </w:rPr>
        <w:t xml:space="preserve">May 1, 2026 </w:t>
      </w:r>
    </w:p>
    <w:p>
      <w:pPr>
        <w:pStyle w:val="TextBody"/>
        <w:bidi w:val="0"/>
        <w:spacing w:lineRule="auto" w:line="264" w:before="100" w:after="180"/>
        <w:jc w:val="center"/>
        <w:rPr>
          <w:rFonts w:ascii="Arial;sans-serif" w:hAnsi="Arial;sans-serif"/>
          <w:b/>
          <w:color w:val="000000"/>
          <w:sz w:val="48"/>
        </w:rPr>
      </w:pPr>
      <w:r>
        <w:rPr>
          <w:rFonts w:ascii="Arial;sans-serif" w:hAnsi="Arial;sans-serif"/>
          <w:b/>
          <w:color w:val="000000"/>
          <w:sz w:val="48"/>
        </w:rPr>
        <w:t>GRAHAM HOLDINGS COMPANY</w:t>
      </w:r>
    </w:p>
    <w:p>
      <w:pPr>
        <w:pStyle w:val="TextBody"/>
        <w:bidi w:val="0"/>
        <w:spacing w:lineRule="auto" w:line="264" w:before="0" w:after="240"/>
        <w:jc w:val="center"/>
        <w:rPr/>
      </w:pPr>
      <w:r>
        <w:rPr>
          <w:rFonts w:ascii="Arial;sans-serif" w:hAnsi="Arial;sans-serif"/>
          <w:b/>
          <w:color w:val="000000"/>
          <w:sz w:val="20"/>
        </w:rPr>
        <w:t>(Exact name of registrant as specified in its charter)</w:t>
      </w:r>
      <w:r>
        <w:rPr>
          <w:color w:val="000000"/>
        </w:rPr>
        <w:t> </w:t>
      </w:r>
    </w:p>
    <w:tbl>
      <w:tblPr>
        <w:tblW w:w="6938" w:type="dxa"/>
        <w:jc w:val="center"/>
        <w:tblInd w:w="0" w:type="dxa"/>
        <w:tblLayout w:type="fixed"/>
        <w:tblCellMar>
          <w:top w:w="28" w:type="dxa"/>
          <w:left w:w="28" w:type="dxa"/>
          <w:bottom w:w="28" w:type="dxa"/>
          <w:right w:w="28" w:type="dxa"/>
        </w:tblCellMar>
      </w:tblPr>
      <w:tblGrid>
        <w:gridCol w:w="315"/>
        <w:gridCol w:w="277"/>
        <w:gridCol w:w="277"/>
        <w:gridCol w:w="277"/>
        <w:gridCol w:w="277"/>
        <w:gridCol w:w="277"/>
        <w:gridCol w:w="277"/>
        <w:gridCol w:w="277"/>
        <w:gridCol w:w="277"/>
        <w:gridCol w:w="277"/>
        <w:gridCol w:w="277"/>
        <w:gridCol w:w="277"/>
        <w:gridCol w:w="277"/>
        <w:gridCol w:w="277"/>
        <w:gridCol w:w="277"/>
        <w:gridCol w:w="389"/>
        <w:gridCol w:w="389"/>
        <w:gridCol w:w="393"/>
        <w:gridCol w:w="460"/>
        <w:gridCol w:w="460"/>
        <w:gridCol w:w="6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001-06714</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53-0182885</w:t>
            </w:r>
          </w:p>
        </w:tc>
      </w:tr>
      <w:tr>
        <w:trPr/>
        <w:tc>
          <w:tcPr>
            <w:tcW w:w="41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File Number)</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1812 North Moore Street, Arlington, Virginia</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22209</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color w:val="000000"/>
                <w:sz w:val="16"/>
              </w:rPr>
            </w:pPr>
            <w:r>
              <w:rPr>
                <w:rFonts w:ascii="Arial;sans-serif" w:hAnsi="Arial;sans-serif"/>
                <w:b/>
                <w:color w:val="000000"/>
                <w:sz w:val="16"/>
              </w:rPr>
              <w:t>(Address of principal executive offices)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64" w:before="80" w:after="180"/>
        <w:jc w:val="center"/>
        <w:rPr>
          <w:rFonts w:ascii="Arial;sans-serif" w:hAnsi="Arial;sans-serif"/>
          <w:b/>
          <w:color w:val="000000"/>
          <w:sz w:val="20"/>
        </w:rPr>
      </w:pPr>
      <w:r>
        <w:rPr>
          <w:rFonts w:ascii="Arial;sans-serif" w:hAnsi="Arial;sans-serif"/>
          <w:b/>
          <w:color w:val="000000"/>
          <w:sz w:val="20"/>
        </w:rPr>
        <w:t xml:space="preserve">(703) 345-6300 </w:t>
      </w:r>
    </w:p>
    <w:p>
      <w:pPr>
        <w:pStyle w:val="TextBody"/>
        <w:bidi w:val="0"/>
        <w:spacing w:lineRule="auto" w:line="264" w:before="0" w:after="18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89" w:type="dxa"/>
        <w:jc w:val="left"/>
        <w:tblInd w:w="0" w:type="dxa"/>
        <w:tblLayout w:type="fixed"/>
        <w:tblCellMar>
          <w:top w:w="28" w:type="dxa"/>
          <w:left w:w="28" w:type="dxa"/>
          <w:bottom w:w="28" w:type="dxa"/>
          <w:right w:w="28" w:type="dxa"/>
        </w:tblCellMar>
      </w:tblPr>
      <w:tblGrid>
        <w:gridCol w:w="1532"/>
        <w:gridCol w:w="1346"/>
        <w:gridCol w:w="1352"/>
        <w:gridCol w:w="454"/>
        <w:gridCol w:w="454"/>
        <w:gridCol w:w="456"/>
        <w:gridCol w:w="1108"/>
        <w:gridCol w:w="1108"/>
        <w:gridCol w:w="157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Class B Common Stock, par value $1.00 per share</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GHC</w:t>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64" w:before="8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180"/>
              <w:jc w:val="center"/>
              <w:rPr>
                <w:color w:val="000000"/>
              </w:rPr>
            </w:pPr>
            <w:r>
              <w:rPr>
                <w:color w:val="000000"/>
              </w:rPr>
              <w:t>☐</w:t>
            </w:r>
          </w:p>
        </w:tc>
      </w:tr>
    </w:tbl>
    <w:p>
      <w:pPr>
        <w:pStyle w:val="TextBody"/>
        <w:bidi w:val="0"/>
        <w:spacing w:lineRule="auto" w:line="264" w:before="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18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18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On May 1, 2026, Kaplan closed on the transaction to sell the Kaplan Languages Group (KLG). On a preliminary basis, the Company expects to record a current U.S. income tax benefit of approximately $60 million in 2026 related to the KLG business.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9920"/>
                <wp:effectExtent l="0" t="0" r="0" b="0"/>
                <wp:wrapNone/>
                <wp:docPr id="2"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000000"/>
          <w:sz w:val="20"/>
        </w:rPr>
        <w:t>Exhibit Index </w:t>
      </w:r>
      <w:r>
        <w:rPr>
          <w:color w:val="000000"/>
        </w:rPr>
        <w:t> </w:t>
      </w:r>
    </w:p>
    <w:tbl>
      <w:tblPr>
        <w:tblW w:w="8849" w:type="dxa"/>
        <w:jc w:val="left"/>
        <w:tblInd w:w="0" w:type="dxa"/>
        <w:tblLayout w:type="fixed"/>
        <w:tblCellMar>
          <w:top w:w="28" w:type="dxa"/>
          <w:left w:w="28" w:type="dxa"/>
          <w:bottom w:w="28" w:type="dxa"/>
          <w:right w:w="28" w:type="dxa"/>
        </w:tblCellMar>
      </w:tblPr>
      <w:tblGrid>
        <w:gridCol w:w="396"/>
        <w:gridCol w:w="348"/>
        <w:gridCol w:w="351"/>
        <w:gridCol w:w="2272"/>
        <w:gridCol w:w="2272"/>
        <w:gridCol w:w="3210"/>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Exhibit 104</w:t>
            </w:r>
          </w:p>
        </w:tc>
        <w:tc>
          <w:tcPr>
            <w:tcW w:w="77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 and included as Exhibit 101.</w:t>
            </w:r>
          </w:p>
        </w:tc>
      </w:tr>
    </w:tbl>
    <w:p>
      <w:pPr>
        <w:pStyle w:val="TextBody"/>
        <w:bidi w:val="0"/>
        <w:spacing w:before="0" w:after="0"/>
        <w:ind w:left="0" w:right="0" w:hanging="14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9920"/>
                <wp:effectExtent l="0" t="0" r="0" b="0"/>
                <wp:wrapNone/>
                <wp:docPr id="3" name="Frame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585"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740"/>
        <w:gridCol w:w="740"/>
        <w:gridCol w:w="10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Date: May 1, 2026</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/s/ Wallace R. Cooney</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 </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Wallace R. Cooney,</w:t>
            </w:r>
          </w:p>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9920"/>
                <wp:effectExtent l="0" t="0" r="0" b="0"/>
                <wp:wrapNone/>
                <wp:docPr id="4" name="Frame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412</Words>
  <Characters>2227</Characters>
  <CharactersWithSpaces>2612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