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June 24, 2013</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2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020" w:space="720"/>
            <w:col w:w="3680"/>
          </w:cols>
          <w:pgMar w:left="240" w:top="229"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1150 15th Street, N.W.</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229" w:right="239" w:bottom="144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2012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Veronica Dillon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(202)-334-6000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38"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5480" w:type="dxa"/>
            <w:vAlign w:val="bottom"/>
          </w:tcPr>
          <w:p>
            <w:pPr>
              <w:jc w:val="right"/>
              <w:ind w:right="163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9"/>
        </w:trPr>
        <w:tc>
          <w:tcPr>
            <w:tcW w:w="59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w:t>
            </w:r>
          </w:p>
        </w:tc>
        <w:tc>
          <w:tcPr>
            <w:tcW w:w="5480" w:type="dxa"/>
            <w:vAlign w:val="bottom"/>
            <w:vMerge w:val="restart"/>
          </w:tcPr>
          <w:p>
            <w:pPr>
              <w:jc w:val="right"/>
              <w:ind w:right="163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2"/>
        </w:trPr>
        <w:tc>
          <w:tcPr>
            <w:tcW w:w="594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5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940" w:type="dxa"/>
            <w:vAlign w:val="bottom"/>
            <w:vMerge w:val="continue"/>
          </w:tcPr>
          <w:p>
            <w:pPr>
              <w:spacing w:after="0"/>
              <w:rPr>
                <w:sz w:val="7"/>
                <w:szCs w:val="7"/>
                <w:color w:val="auto"/>
              </w:rPr>
            </w:pPr>
          </w:p>
        </w:tc>
        <w:tc>
          <w:tcPr>
            <w:tcW w:w="5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2"/>
        </w:trPr>
        <w:tc>
          <w:tcPr>
            <w:tcW w:w="59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Proposed</w:t>
            </w:r>
          </w:p>
        </w:tc>
        <w:tc>
          <w:tcPr>
            <w:tcW w:w="1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Proposed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Amount to be</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 per</w:t>
            </w: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 Price</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20" w:type="dxa"/>
            <w:vAlign w:val="bottom"/>
          </w:tcPr>
          <w:p>
            <w:pPr>
              <w:spacing w:after="0"/>
              <w:rPr>
                <w:sz w:val="20"/>
                <w:szCs w:val="20"/>
                <w:color w:val="auto"/>
              </w:rPr>
            </w:pPr>
          </w:p>
        </w:tc>
        <w:tc>
          <w:tcPr>
            <w:tcW w:w="5400" w:type="dxa"/>
            <w:vAlign w:val="bottom"/>
          </w:tcPr>
          <w:p>
            <w:pPr>
              <w:ind w:left="1380"/>
              <w:spacing w:after="0"/>
              <w:rPr>
                <w:sz w:val="20"/>
                <w:szCs w:val="20"/>
                <w:color w:val="auto"/>
              </w:rPr>
            </w:pPr>
            <w:r>
              <w:rPr>
                <w:rFonts w:ascii="Arial" w:cs="Arial" w:eastAsia="Arial" w:hAnsi="Arial"/>
                <w:sz w:val="18"/>
                <w:szCs w:val="18"/>
                <w:b w:val="1"/>
                <w:bCs w:val="1"/>
                <w:color w:val="auto"/>
              </w:rPr>
              <w:t>Title of Securities to be Registered</w:t>
            </w: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Registered (1)</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 (2)</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Fee</w:t>
            </w:r>
          </w:p>
        </w:tc>
      </w:tr>
      <w:tr>
        <w:trPr>
          <w:trHeight w:val="202"/>
        </w:trPr>
        <w:tc>
          <w:tcPr>
            <w:tcW w:w="20" w:type="dxa"/>
            <w:vAlign w:val="bottom"/>
          </w:tcPr>
          <w:p>
            <w:pPr>
              <w:spacing w:after="0"/>
              <w:rPr>
                <w:sz w:val="17"/>
                <w:szCs w:val="17"/>
                <w:color w:val="auto"/>
              </w:rPr>
            </w:pPr>
          </w:p>
        </w:tc>
        <w:tc>
          <w:tcPr>
            <w:tcW w:w="5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Class B Common Stock, par value $1.00 per share (“Class B Common</w:t>
            </w: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377,106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489.24</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$ 184,495,339.44</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   25,165.16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 w:right="260" w:hanging="492"/>
        <w:spacing w:after="0" w:line="284"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Class B Common Stock being registered hereby represents shares reserved for issuance pursuant to awards granted or to be granted to eligible employees and directors of The Washington Post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all of its subsidiaries under The Washington Post Company 2012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In addition, pursuant to Rule 416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this registration statement covers any additional shares of Class B Common Stock which become issuable under the Plan pursuant to this registration statement by reason of any stock dividend, stock split, recapitalization or any other similar transaction effected without the receipt of consideration which results in an increase in the number of the Company’s outstanding shares of Class B Common Stock.</w:t>
      </w:r>
    </w:p>
    <w:p>
      <w:pPr>
        <w:spacing w:after="0" w:line="4" w:lineRule="exact"/>
        <w:rPr>
          <w:rFonts w:ascii="Arial" w:cs="Arial" w:eastAsia="Arial" w:hAnsi="Arial"/>
          <w:sz w:val="16"/>
          <w:szCs w:val="16"/>
          <w:color w:val="auto"/>
        </w:rPr>
      </w:pPr>
    </w:p>
    <w:p>
      <w:pPr>
        <w:ind w:left="500" w:hanging="492"/>
        <w:spacing w:after="0" w:line="261"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purposes of this offering under Rule 457(h) of the Securities Act, on the basis of the average of the high and low selling price per share of Class B Common Stock of the Company on June 19, 2013, as reported by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887095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56" w:right="3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Information required by Part I of Form S-8 to be contained in the Section 10(a) prospectus is omitted from this registration statement in accordance with Rule 428 under the Securities Act and the Note to Part I of Form S-8.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Information required by Part I of Form S-8 to be contained in the Section 10(a) prospectus is omitted from this registration statement in accordance with Rule 428 under the Securities Act and the Note to Part I of Form S-8.</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documents of the Company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are incorporated in this registration statement by reference and made a part hereof:</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8, 2013 and May 16, 2013; and</w:t>
      </w:r>
    </w:p>
    <w:p>
      <w:pPr>
        <w:spacing w:after="0" w:line="25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Class B Common Stock contained in the Company’s Registration Statement on Form 8-A filed on January 1, 1990, including any amendments or reports filed for the purposes of updating such description.</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All reports and definitive proxy or information statements filed pursuant to Section 13(a), 13(c), 14 or 15(d)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21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Article NINTH, Section A of the Company’s Restated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provides that, to the fullest extent permitted by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no director of the Company shall be liable to the Company or its shareholders for monetary damages for breach of fiduciary duty as a director.</w:t>
      </w: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6" w:right="339" w:bottom="1440" w:gutter="0" w:footer="0" w:header="0"/>
        </w:sectPr>
      </w:pPr>
    </w:p>
    <w:bookmarkStart w:id="3" w:name="page4"/>
    <w:bookmarkEnd w:id="3"/>
    <w:p>
      <w:pPr>
        <w:ind w:left="340"/>
        <w:spacing w:after="0"/>
        <w:rPr>
          <w:sz w:val="20"/>
          <w:szCs w:val="20"/>
          <w:color w:val="auto"/>
        </w:rPr>
      </w:pPr>
      <w:r>
        <w:rPr>
          <w:rFonts w:ascii="Arial" w:cs="Arial" w:eastAsia="Arial" w:hAnsi="Arial"/>
          <w:sz w:val="17"/>
          <w:szCs w:val="17"/>
          <w:color w:val="auto"/>
        </w:rPr>
        <w:t>Article NINTH, Section B-1 of the Certificate of Incorporation provides that the Company shall, to the fullest extent permitted by applicable law,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indemnify any person (an “</w:t>
      </w:r>
      <w:r>
        <w:rPr>
          <w:rFonts w:ascii="Arial" w:cs="Arial" w:eastAsia="Arial" w:hAnsi="Arial"/>
          <w:sz w:val="17"/>
          <w:szCs w:val="17"/>
          <w:u w:val="single" w:color="auto"/>
          <w:color w:val="auto"/>
        </w:rPr>
        <w:t>Indemnitee</w:t>
      </w:r>
      <w:r>
        <w:rPr>
          <w:rFonts w:ascii="Arial" w:cs="Arial" w:eastAsia="Arial" w:hAnsi="Arial"/>
          <w:sz w:val="17"/>
          <w:szCs w:val="17"/>
          <w:color w:val="auto"/>
        </w:rPr>
        <w:t>”) who was or is involved in any manner (including, without limitation, as a party or witness) or is threatened to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made so involved in any threatened, pending or completed investigation, claim, action, suit or proceeding, whether civil, criminal, administrative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investigative (including, without limitation, any action, suit or proceeding by or in the right of the Company to procure a judgment in its favor)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is or was a director, officer, employee or agent of the Company, or is or was serving at the request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director, officer, employee or agent of another corporation, partnership, joint venture, trust or other enterprise (including, without limitation,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 benefit plan) against all expenses (including attorneys’ fees), judgments, fines and amounts paid in settlement actually and reasonably incurred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him in connection with such Proceeding. Such indemnification shall be a contract right and shall include the right to receive payment in advance of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incurred by the Indemnitee in connection with such Proceeding, consistent with the provisions of applicable law. Article NINTH, Section B-2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Incorporation also permits the Company to (i) purchase and maintain insurance to protect itself and any Indemnitee against any expenses,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judgments, fines and amounts paid in settlement as specified in Section B-1 of Article NINTH of the Certificate of Incorporation or incurred by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Indemnitee in connection with any Proceeding referred to in Section B-1 of Article NINTH of the Certificate of Incorporation, to the fullest extent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applicable law as then in effect and (ii) enter into contracts with any director, officer, employee or agent of the Company in furtherance of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Article NINTH of the Certificate of Incorporation and the Company may create a trust fund, grant a security interest or use other means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limitation, a letter of credit) to ensure the payment of such amounts as may be necessary to effect indemnification as provided in Article NINTH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Article NINTH, Section B-3 provides that the right of indemnification provided in Article NINTH of the 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Incorporation is not exclusive of any other rights to which those seeking indemnification may otherwise be entitled and the provisions of such Article inure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benefit of the heirs and legal representatives of any person entitled to indemnity under Article NINTH of the Certificate of Incorporation. Article NINTH,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B-4(a) provides for the advancement of reasonable expenses incurred by or on behalf of an Indemnitee in connection with any Proceeding. Article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NINTH, Section B-4(b) sets forth the procedures by which an Indemnitee obtains indemnification under Article NINTH of the 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Incorporation. Article NINTH Section B-4(d) sets forth the remedies of an Indemnitee in the event it is determined pursuant to Article NINTH, Section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4(b) of the Certificate of Incorporation that such Indemnitee is not entitled to indemnification under Article NINTH of the Certificate of Incorporation.</w:t>
      </w:r>
    </w:p>
    <w:p>
      <w:pPr>
        <w:spacing w:after="0" w:line="24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various actions, suits or proceedings, whether civil, criminal, administrative or investigative other than an action by or in the right of the corporation, a derivative action, if they acted in good faith and in a manner they reasonably believed to be in or not opposed to the best interests of the corporation, and, with respect to any criminal action or proceeding, if they had no reasonable cause to believe their conduct was unlawful.</w:t>
      </w:r>
    </w:p>
    <w:p>
      <w:pPr>
        <w:spacing w:after="0" w:line="21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Company maintains directors’ and officers’ liability insurance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wp:posOffset>
            </wp:positionV>
            <wp:extent cx="6732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18"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Restated Certificate of Incorporation of the Company dated November 13, 2003, filed as Exhibit 3.1 to the Company’s Annual Report on Form 10-K for the fiscal year ended December 28, 2003, and incorporated herein by reference.</w:t>
      </w:r>
    </w:p>
    <w:p>
      <w:pPr>
        <w:spacing w:after="0" w:line="170"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By-Laws of the Company as amended and restated through November 8, 2007, filed as Exhibit 3.1 to the Registrant’s Current Report on Form 8-K dated November 14, 2007, and incorporated herein by reference.</w:t>
      </w:r>
    </w:p>
    <w:p>
      <w:pPr>
        <w:spacing w:after="0" w:line="170"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Washington Post Company 2012 Incentive Compensation Plan, filed as Exhibit 10.1 to the Company’s Quarterly Report on Form 10-Q for the quarter ended June 30, 2012, and incorporated herein by reference.</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Cravath, Swaine &amp; Moore LLP, regarding the legality of the securities being registered.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Cravath, Swaine &amp; Moore LLP (included in Exhibit 5.1).</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in the signature page hereto).</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1680" w:hanging="375"/>
        <w:spacing w:after="0"/>
        <w:tabs>
          <w:tab w:leader="none" w:pos="16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undersigned Company hereby undertakes:</w:t>
      </w:r>
    </w:p>
    <w:p>
      <w:pPr>
        <w:spacing w:after="0" w:line="229" w:lineRule="exact"/>
        <w:rPr>
          <w:sz w:val="20"/>
          <w:szCs w:val="20"/>
          <w:color w:val="auto"/>
        </w:rPr>
      </w:pPr>
    </w:p>
    <w:p>
      <w:pPr>
        <w:ind w:left="1620" w:hanging="315"/>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1960" w:hanging="331"/>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left="1960" w:right="60" w:hanging="331"/>
        <w:spacing w:after="0" w:line="291" w:lineRule="auto"/>
        <w:tabs>
          <w:tab w:leader="none" w:pos="1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94" w:lineRule="exact"/>
        <w:rPr>
          <w:rFonts w:ascii="Arial" w:cs="Arial" w:eastAsia="Arial" w:hAnsi="Arial"/>
          <w:sz w:val="16"/>
          <w:szCs w:val="16"/>
          <w:color w:val="auto"/>
        </w:rPr>
      </w:pPr>
    </w:p>
    <w:p>
      <w:pPr>
        <w:ind w:left="1960" w:right="40" w:hanging="331"/>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ind w:left="1960" w:right="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registration statement is on Form S-8,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information required to be included in a post-effective amendment by those paragraphs is contained in reports filed with or furnished to the Commission by the Company pursuant to Section 13 or Section 15(d) of the Exchange Act that are incorporated by reference in this registration statement;</w:t>
      </w:r>
    </w:p>
    <w:p>
      <w:pPr>
        <w:spacing w:after="0" w:line="213" w:lineRule="exact"/>
        <w:rPr>
          <w:rFonts w:ascii="Arial" w:cs="Arial" w:eastAsia="Arial" w:hAnsi="Arial"/>
          <w:sz w:val="18"/>
          <w:szCs w:val="18"/>
          <w:color w:val="auto"/>
        </w:rPr>
      </w:pPr>
    </w:p>
    <w:p>
      <w:pPr>
        <w:jc w:val="both"/>
        <w:ind w:left="1620" w:right="20" w:hanging="315"/>
        <w:spacing w:after="0" w:line="26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ind w:left="1600" w:right="100" w:hanging="315"/>
        <w:spacing w:after="0" w:line="277" w:lineRule="auto"/>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left="-20" w:right="40" w:firstLine="1305"/>
        <w:spacing w:after="0" w:line="257" w:lineRule="auto"/>
        <w:tabs>
          <w:tab w:leader="none" w:pos="161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u w:val="single" w:color="auto"/>
          <w:color w:val="auto"/>
        </w:rPr>
        <w:t>bona fide</w:t>
      </w:r>
      <w:r>
        <w:rPr>
          <w:rFonts w:ascii="Arial" w:cs="Arial" w:eastAsia="Arial" w:hAnsi="Arial"/>
          <w:sz w:val="18"/>
          <w:szCs w:val="18"/>
          <w:color w:val="auto"/>
        </w:rPr>
        <w:t xml:space="preserve"> offering thereof.</w:t>
      </w:r>
    </w:p>
    <w:p>
      <w:pPr>
        <w:spacing w:after="0" w:line="215" w:lineRule="exact"/>
        <w:rPr>
          <w:rFonts w:ascii="Arial" w:cs="Arial" w:eastAsia="Arial" w:hAnsi="Arial"/>
          <w:sz w:val="18"/>
          <w:szCs w:val="18"/>
          <w:color w:val="auto"/>
        </w:rPr>
      </w:pPr>
    </w:p>
    <w:p>
      <w:pPr>
        <w:ind w:left="-20" w:firstLine="1305"/>
        <w:spacing w:after="0" w:line="254" w:lineRule="auto"/>
        <w:tabs>
          <w:tab w:leader="none" w:pos="1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60" w:right="25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Washington, D.C., on June 24, 2013.</w:t>
      </w: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Veronica Dillon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56"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Donald E. Graham, Hal S. Jones and Veronica Dillon and each of them, his or her true and lawful attorneys-in-fact and agents, with full power of substitution and resubstitution, for him or her and in his or her name, place and stead, in any and all capacities, to sign any or all amendments (including post-effective amendments) and exhibits to this registration statement on Form S-8, and to any registration statement filed under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3"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Signatures</w:t>
            </w:r>
          </w:p>
        </w:tc>
        <w:tc>
          <w:tcPr>
            <w:tcW w:w="46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Graham</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Donald E. Graham</w:t>
            </w:r>
          </w:p>
        </w:tc>
        <w:tc>
          <w:tcPr>
            <w:tcW w:w="4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Hal S. Jones</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Senior Vice President-Finance and</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Hal S. Jones</w:t>
            </w:r>
          </w:p>
        </w:tc>
        <w:tc>
          <w:tcPr>
            <w:tcW w:w="4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Wallace R. Cooney</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Vice President-Finance and Chief</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Wallace R. Cooney</w:t>
            </w:r>
          </w:p>
        </w:tc>
        <w:tc>
          <w:tcPr>
            <w:tcW w:w="4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Accounting Officer</w:t>
            </w:r>
          </w:p>
        </w:tc>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C. Bollinger</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Lee C. Bollinger</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Davis</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Christopher C. Davis</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Diller</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Barry Diller</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S. Gayner</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Thomas S. Gayner</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Goldberg</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David Goldberg</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M. Mulcahy</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Anne M. Mulcahy</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L. Olson</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Ronald L. Olson</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D. Thompson</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Larry D. Thompson</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Richard Wagoner, Jr.</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G. Richard Wagoner, Jr.</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Katharine Weymouth</w:t>
            </w:r>
          </w:p>
        </w:tc>
        <w:tc>
          <w:tcPr>
            <w:tcW w:w="4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June 24, 2013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Katharine Weymouth</w:t>
            </w: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836"/>
        </w:trPr>
        <w:tc>
          <w:tcPr>
            <w:tcW w:w="3440" w:type="dxa"/>
            <w:vAlign w:val="bottom"/>
          </w:tcPr>
          <w:p>
            <w:pPr>
              <w:spacing w:after="0"/>
              <w:rPr>
                <w:sz w:val="24"/>
                <w:szCs w:val="24"/>
                <w:color w:val="auto"/>
              </w:rPr>
            </w:pPr>
          </w:p>
        </w:tc>
        <w:tc>
          <w:tcPr>
            <w:tcW w:w="3880" w:type="dxa"/>
            <w:vAlign w:val="bottom"/>
            <w:gridSpan w:val="2"/>
          </w:tcPr>
          <w:p>
            <w:pPr>
              <w:jc w:val="right"/>
              <w:ind w:right="147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wp:posOffset>
            </wp:positionV>
            <wp:extent cx="67322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18"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Restated Certificate of Incorporation of the Company dated November 13, 2003, filed as Exhibit 3.1 to the Company’s Annual Report on Form 10-K for the fiscal year ended December 28, 2003, and incorporated herein by reference.</w:t>
      </w:r>
    </w:p>
    <w:p>
      <w:pPr>
        <w:spacing w:after="0" w:line="170"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By-Laws of the Company as amended and restated through November 8, 2007, filed as Exhibit 3.1 to the Registrant’s Current Report on Form 8-K dated November 14, 2007, and incorporated herein by reference.</w:t>
      </w:r>
    </w:p>
    <w:p>
      <w:pPr>
        <w:spacing w:after="0" w:line="170"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Washington Post Company 2012 Incentive Compensation Plan, filed as Exhibit 10.1 to the Company’s Quarterly Report on Form 10-Q for the quarter ended June 30, 2012, and incorporated herein by reference.</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Cravath, Swaine &amp; Moore LLP, regarding the legality of the securities being registered.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Cravath, Swaine &amp; Moore LLP (included in Exhibit 5.1).</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in the signature page hereto).</w:t>
      </w:r>
    </w:p>
    <w:p>
      <w:pPr>
        <w:sectPr>
          <w:pgSz w:w="11900" w:h="16838" w:orient="portrait"/>
          <w:cols w:equalWidth="0" w:num="1">
            <w:col w:w="11420"/>
          </w:cols>
          <w:pgMar w:left="240" w:top="756"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Office]</w:t>
      </w:r>
    </w:p>
    <w:p>
      <w:pPr>
        <w:spacing w:after="0" w:line="211"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24, 2013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have acted as counsel for The Washington Post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377,106 shares of Class B Common Stock, par value $1.00 per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issuable pursuant to The Washington Post Company 2012 Incentive Compensation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the Company’s Restated Certificate of Incorporation, dated November 13, 2003; (b) the Company’s By-Laws, as amended and restated through November 8, 2007; (c) certain resolutions adopted by the Board of Directors of the Company; and (d) the Plan.</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rendering our opinion,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21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Based on the foregoing and in reliance thereon, and subject to compliance with applicable state securities laws, we are of opinion that the Shares have been duly and validly authorized, and when, and if, issued pursuant to the terms of the Plans will be validly issued, fully paid and non-assessable.</w:t>
      </w:r>
    </w:p>
    <w:p>
      <w:pPr>
        <w:spacing w:after="0" w:line="15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admitted to practice in the State of New York, and we express no opinion as to matters governed by any laws other than the laws of the State of New York, the General Corporation Law of the State of Delaware and the Federal laws of the United States of America. The reference and limitation to “General Corporation Law of the State of Delaware” includes the statutory provisions and all applicable provisions of the Delaware Constitution and reported judicial decisions interpreting these laws.</w:t>
      </w:r>
    </w:p>
    <w:p>
      <w:pPr>
        <w:spacing w:after="0" w:line="21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hereby consent to the filing of this opinion with the Commission as Exhibit 5.1 to the Registration Statement. In giving this consent, we do not thereby admit that we are included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Cravath, Swaine &amp; Moore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Cravath, Swaine &amp; Moore LLP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Washington, D.C. 20071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27, 2013, relating to the consolidated financial statements and the effectiveness of internal control over financial reporting, which appears in The Washington Post Company’s Annual Report on Form 10-K for the year ended December 31, 2012.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2019-12-05T16:17:09Z</dcterms:created>
  <dcterms:modified xsi:type="dcterms:W3CDTF">2019-12-05T16:17:09Z</dcterms:modified>
</cp:coreProperties>
</file>