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13)*</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Graham Holdings Company</w:t>
      </w:r>
    </w:p>
    <w:p>
      <w:pPr>
        <w:ind w:left="2120"/>
        <w:spacing w:after="0" w:line="238" w:lineRule="auto"/>
        <w:rPr>
          <w:sz w:val="20"/>
          <w:szCs w:val="20"/>
          <w:color w:val="auto"/>
        </w:rPr>
      </w:pPr>
      <w:r>
        <w:rPr>
          <w:rFonts w:ascii="Courier New" w:cs="Courier New" w:eastAsia="Courier New" w:hAnsi="Courier New"/>
          <w:sz w:val="18"/>
          <w:szCs w:val="18"/>
          <w:color w:val="auto"/>
        </w:rPr>
        <w:t>(formerly The Washington Post Company)</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384637104</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(5)</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840" w:type="dxa"/>
            <w:vAlign w:val="bottom"/>
          </w:tcPr>
          <w:p>
            <w:pPr>
              <w:jc w:val="center"/>
              <w:ind w:right="1552"/>
              <w:spacing w:after="0" w:line="203" w:lineRule="exact"/>
              <w:rPr>
                <w:sz w:val="20"/>
                <w:szCs w:val="20"/>
                <w:color w:val="auto"/>
              </w:rPr>
            </w:pPr>
            <w:r>
              <w:rPr>
                <w:rFonts w:ascii="Courier New" w:cs="Courier New" w:eastAsia="Courier New" w:hAnsi="Courier New"/>
                <w:sz w:val="18"/>
                <w:szCs w:val="18"/>
                <w:color w:val="auto"/>
                <w:w w:val="97"/>
              </w:rPr>
              <w:t>108,281 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(6)</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OR NO VOTING POWER</w:t>
            </w:r>
          </w:p>
        </w:tc>
      </w:tr>
    </w:tbl>
    <w:p>
      <w:pPr>
        <w:spacing w:after="0" w:line="20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495,135 shares (Shared)</w:t>
      </w:r>
    </w:p>
    <w:p>
      <w:pPr>
        <w:sectPr>
          <w:pgSz w:w="11900" w:h="16855" w:orient="portrait"/>
          <w:cols w:equalWidth="0" w:num="1">
            <w:col w:w="10219"/>
          </w:cols>
          <w:pgMar w:left="240" w:top="244" w:right="1440" w:bottom="0" w:gutter="0" w:footer="0" w:header="0"/>
        </w:sectPr>
      </w:pPr>
    </w:p>
    <w:bookmarkStart w:id="1" w:name="page2"/>
    <w:bookmarkEnd w:id="1"/>
    <w:p>
      <w:pPr>
        <w:ind w:left="4740"/>
        <w:spacing w:after="0"/>
        <w:rPr>
          <w:sz w:val="20"/>
          <w:szCs w:val="20"/>
          <w:color w:val="auto"/>
        </w:rPr>
      </w:pPr>
      <w:r>
        <w:rPr>
          <w:rFonts w:ascii="Courier New" w:cs="Courier New" w:eastAsia="Courier New" w:hAnsi="Courier New"/>
          <w:sz w:val="18"/>
          <w:szCs w:val="18"/>
          <w:color w:val="auto"/>
        </w:rPr>
        <w:t>46,693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0"/>
          <w:szCs w:val="20"/>
          <w:color w:val="auto"/>
        </w:rPr>
      </w:pPr>
    </w:p>
    <w:p>
      <w:pPr>
        <w:ind w:left="4220" w:right="3479" w:hanging="525"/>
        <w:spacing w:after="0" w:line="268" w:lineRule="auto"/>
        <w:tabs>
          <w:tab w:leader="none" w:pos="39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SOLE DISPOSITIVE POWER (Discretionary Accounts)</w:t>
      </w:r>
    </w:p>
    <w:p>
      <w:pPr>
        <w:ind w:left="4640" w:hanging="945"/>
        <w:spacing w:after="0" w:line="238" w:lineRule="auto"/>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222,109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650,109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680" w:type="dxa"/>
            <w:vAlign w:val="bottom"/>
          </w:tcPr>
          <w:p>
            <w:pPr>
              <w:ind w:left="238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Longleaf Partners Small-Cap Fund</w:t>
      </w:r>
      <w:r>
        <w:rPr>
          <w:sz w:val="20"/>
          <w:szCs w:val="20"/>
          <w:color w:val="auto"/>
        </w:rPr>
        <w:tab/>
      </w:r>
      <w:r>
        <w:rPr>
          <w:rFonts w:ascii="Courier New" w:cs="Courier New" w:eastAsia="Courier New" w:hAnsi="Courier New"/>
          <w:sz w:val="16"/>
          <w:szCs w:val="16"/>
          <w:color w:val="auto"/>
        </w:rPr>
        <w:t>I.D. No. 62-1376170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Massachusetts Business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 (6) SHARED VOTING POWER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428,000</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900" w:hanging="205"/>
        <w:spacing w:after="0"/>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(Shared)</w:t>
      </w:r>
    </w:p>
    <w:p>
      <w:pPr>
        <w:ind w:left="4220" w:hanging="525"/>
        <w:spacing w:after="0" w:line="238" w:lineRule="auto"/>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428,000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9.9 %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136" w:right="1440" w:bottom="0" w:gutter="0" w:footer="0" w:header="0"/>
        </w:sectPr>
      </w:pPr>
    </w:p>
    <w:bookmarkStart w:id="2" w:name="page3"/>
    <w:bookmarkEnd w:id="2"/>
    <w:p>
      <w:pPr>
        <w:ind w:left="4860"/>
        <w:spacing w:after="0"/>
        <w:rPr>
          <w:sz w:val="20"/>
          <w:szCs w:val="20"/>
          <w:color w:val="auto"/>
        </w:rPr>
      </w:pPr>
      <w:r>
        <w:rPr>
          <w:rFonts w:ascii="Courier New" w:cs="Courier New" w:eastAsia="Courier New" w:hAnsi="Courier New"/>
          <w:sz w:val="18"/>
          <w:szCs w:val="18"/>
          <w:color w:val="auto"/>
        </w:rPr>
        <w:t>(a)</w:t>
      </w:r>
    </w:p>
    <w:p>
      <w:pPr>
        <w:ind w:left="486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2"/>
              </w:rPr>
              <w:t>: (5)</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2"/>
              </w:rPr>
              <w:t>: (6)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3579" w:hanging="526"/>
        <w:spacing w:after="0" w:line="235" w:lineRule="auto"/>
        <w:rPr>
          <w:sz w:val="20"/>
          <w:szCs w:val="20"/>
          <w:color w:val="auto"/>
        </w:rPr>
      </w:pPr>
      <w:r>
        <w:rPr>
          <w:rFonts w:ascii="Courier New" w:cs="Courier New" w:eastAsia="Courier New" w:hAnsi="Courier New"/>
          <w:sz w:val="18"/>
          <w:szCs w:val="18"/>
          <w:color w:val="auto"/>
        </w:rPr>
        <w:t>(a). Name of Issuer: Graham Holdings Company (formerly The Washington Post Company) ("Issuer")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1300 North 17th Street</w:t>
      </w:r>
    </w:p>
    <w:p>
      <w:pPr>
        <w:ind w:left="1060"/>
        <w:spacing w:after="0" w:line="238" w:lineRule="auto"/>
        <w:rPr>
          <w:sz w:val="20"/>
          <w:szCs w:val="20"/>
          <w:color w:val="auto"/>
        </w:rPr>
      </w:pPr>
      <w:r>
        <w:rPr>
          <w:rFonts w:ascii="Courier New" w:cs="Courier New" w:eastAsia="Courier New" w:hAnsi="Courier New"/>
          <w:sz w:val="18"/>
          <w:szCs w:val="18"/>
          <w:color w:val="auto"/>
        </w:rPr>
        <w:t>Arlington, Virginia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w:t>
      </w:r>
    </w:p>
    <w:p>
      <w:pPr>
        <w:spacing w:after="0" w:line="4" w:lineRule="exact"/>
        <w:rPr>
          <w:rFonts w:ascii="Courier New" w:cs="Courier New" w:eastAsia="Courier New" w:hAnsi="Courier New"/>
          <w:sz w:val="18"/>
          <w:szCs w:val="18"/>
          <w:color w:val="auto"/>
        </w:rPr>
      </w:pPr>
    </w:p>
    <w:p>
      <w:pPr>
        <w:ind w:left="15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6410 Poplar Ave., Suite 900 Memphis, TN 38119</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Longleaf Partners Small-Cap Fund</w:t>
      </w:r>
    </w:p>
    <w:p>
      <w:pPr>
        <w:spacing w:after="0" w:line="4" w:lineRule="exact"/>
        <w:rPr>
          <w:rFonts w:ascii="Courier New" w:cs="Courier New" w:eastAsia="Courier New" w:hAnsi="Courier New"/>
          <w:sz w:val="18"/>
          <w:szCs w:val="18"/>
          <w:color w:val="auto"/>
        </w:rPr>
      </w:pPr>
    </w:p>
    <w:p>
      <w:pPr>
        <w:ind w:left="158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Southeastern Asset Management, Inc. 6410 Poplar Avenue, Suite 900 Memphis, TN, 38119</w:t>
      </w:r>
    </w:p>
    <w:p>
      <w:pPr>
        <w:spacing w:after="0" w:line="203" w:lineRule="exact"/>
        <w:rPr>
          <w:sz w:val="20"/>
          <w:szCs w:val="20"/>
          <w:color w:val="auto"/>
        </w:rPr>
      </w:pPr>
    </w:p>
    <w:p>
      <w:pPr>
        <w:ind w:left="1580" w:hanging="940"/>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Longleaf Partners Small-Cap Fund, a series of Longleaf Partners Funds Trust, a Massachusetts business trust.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ectPr>
          <w:pgSz w:w="11900" w:h="16838" w:orient="portrait"/>
          <w:cols w:equalWidth="0" w:num="1">
            <w:col w:w="10219"/>
          </w:cols>
          <w:pgMar w:left="240" w:top="136" w:right="1440" w:bottom="0" w:gutter="0" w:footer="0" w:header="0"/>
        </w:sectPr>
      </w:pPr>
    </w:p>
    <w:bookmarkStart w:id="3" w:name="page4"/>
    <w:bookmarkEnd w:id="3"/>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384637104</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960" w:right="2939" w:hanging="526"/>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 Investment Adviser registered under Section 203 of the</w:t>
      </w:r>
    </w:p>
    <w:p>
      <w:pPr>
        <w:ind w:left="960"/>
        <w:spacing w:after="0"/>
        <w:tabs>
          <w:tab w:leader="none" w:pos="4520" w:val="left"/>
        </w:tabs>
        <w:rPr>
          <w:sz w:val="20"/>
          <w:szCs w:val="20"/>
          <w:color w:val="auto"/>
        </w:rPr>
      </w:pPr>
      <w:r>
        <w:rPr>
          <w:rFonts w:ascii="Courier New" w:cs="Courier New" w:eastAsia="Courier New" w:hAnsi="Courier New"/>
          <w:sz w:val="18"/>
          <w:szCs w:val="18"/>
          <w:color w:val="auto"/>
        </w:rPr>
        <w:t>Investment Advisers Act of 1940.</w:t>
      </w:r>
      <w:r>
        <w:rPr>
          <w:sz w:val="20"/>
          <w:szCs w:val="20"/>
          <w:color w:val="auto"/>
        </w:rPr>
        <w:tab/>
      </w:r>
      <w:r>
        <w:rPr>
          <w:rFonts w:ascii="Courier New" w:cs="Courier New" w:eastAsia="Courier New" w:hAnsi="Courier New"/>
          <w:sz w:val="16"/>
          <w:szCs w:val="16"/>
          <w:color w:val="auto"/>
        </w:rPr>
        <w:t>This statement is being filed</w:t>
      </w:r>
    </w:p>
    <w:p>
      <w:pPr>
        <w:ind w:left="960"/>
        <w:spacing w:after="0"/>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960"/>
        <w:spacing w:after="0" w:line="237" w:lineRule="auto"/>
        <w:rPr>
          <w:sz w:val="20"/>
          <w:szCs w:val="20"/>
          <w:color w:val="auto"/>
        </w:rPr>
      </w:pPr>
      <w:r>
        <w:rPr>
          <w:rFonts w:ascii="Courier New" w:cs="Courier New" w:eastAsia="Courier New" w:hAnsi="Courier New"/>
          <w:sz w:val="18"/>
          <w:szCs w:val="18"/>
          <w:color w:val="auto"/>
        </w:rPr>
        <w:t>adviser. All of the securities covered by this report are owned</w:t>
      </w:r>
    </w:p>
    <w:p>
      <w:pPr>
        <w:ind w:left="960"/>
        <w:spacing w:after="0" w:line="238" w:lineRule="auto"/>
        <w:rPr>
          <w:sz w:val="20"/>
          <w:szCs w:val="20"/>
          <w:color w:val="auto"/>
        </w:rPr>
      </w:pPr>
      <w:r>
        <w:rPr>
          <w:rFonts w:ascii="Courier New" w:cs="Courier New" w:eastAsia="Courier New" w:hAnsi="Courier New"/>
          <w:sz w:val="18"/>
          <w:szCs w:val="18"/>
          <w:color w:val="auto"/>
        </w:rPr>
        <w:t>legally by Southeastern's investment advisory clients and none</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are owned directly or indirectly by Southeastern.</w:t>
      </w:r>
      <w:r>
        <w:rPr>
          <w:sz w:val="20"/>
          <w:szCs w:val="20"/>
          <w:color w:val="auto"/>
        </w:rPr>
        <w:tab/>
      </w:r>
      <w:r>
        <w:rPr>
          <w:rFonts w:ascii="Courier New" w:cs="Courier New" w:eastAsia="Courier New" w:hAnsi="Courier New"/>
          <w:sz w:val="16"/>
          <w:szCs w:val="16"/>
          <w:color w:val="auto"/>
        </w:rPr>
        <w:t>As permitted</w:t>
      </w:r>
    </w:p>
    <w:p>
      <w:pPr>
        <w:ind w:left="960"/>
        <w:spacing w:after="0" w:line="237" w:lineRule="auto"/>
        <w:rPr>
          <w:sz w:val="20"/>
          <w:szCs w:val="20"/>
          <w:color w:val="auto"/>
        </w:rPr>
      </w:pPr>
      <w:r>
        <w:rPr>
          <w:rFonts w:ascii="Courier New" w:cs="Courier New" w:eastAsia="Courier New" w:hAnsi="Courier New"/>
          <w:sz w:val="18"/>
          <w:szCs w:val="18"/>
          <w:color w:val="auto"/>
        </w:rPr>
        <w:t>by Rule 13d-4, the filing of this statement shall not be construed</w:t>
      </w:r>
    </w:p>
    <w:p>
      <w:pPr>
        <w:ind w:left="960"/>
        <w:spacing w:after="0"/>
        <w:rPr>
          <w:sz w:val="20"/>
          <w:szCs w:val="20"/>
          <w:color w:val="auto"/>
        </w:rPr>
      </w:pPr>
      <w:r>
        <w:rPr>
          <w:rFonts w:ascii="Courier New" w:cs="Courier New" w:eastAsia="Courier New" w:hAnsi="Courier New"/>
          <w:sz w:val="18"/>
          <w:szCs w:val="18"/>
          <w:color w:val="auto"/>
        </w:rPr>
        <w:t>as an admission that Southeastern Asset Management, Inc. is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beneficial owner of any of the securities covered by this statement.</w:t>
      </w:r>
    </w:p>
    <w:p>
      <w:pPr>
        <w:spacing w:after="0" w:line="224" w:lineRule="exact"/>
        <w:rPr>
          <w:sz w:val="20"/>
          <w:szCs w:val="20"/>
          <w:color w:val="auto"/>
        </w:rPr>
      </w:pPr>
    </w:p>
    <w:p>
      <w:pPr>
        <w:ind w:left="960" w:right="219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12/31/18)</w:t>
      </w:r>
    </w:p>
    <w:p>
      <w:pPr>
        <w:ind w:left="1060"/>
        <w:spacing w:after="0" w:line="238" w:lineRule="auto"/>
        <w:rPr>
          <w:sz w:val="20"/>
          <w:szCs w:val="20"/>
          <w:color w:val="auto"/>
        </w:rPr>
      </w:pPr>
      <w:r>
        <w:rPr>
          <w:rFonts w:ascii="Courier New" w:cs="Courier New" w:eastAsia="Courier New" w:hAnsi="Courier New"/>
          <w:sz w:val="18"/>
          <w:szCs w:val="18"/>
          <w:color w:val="auto"/>
        </w:rPr>
        <w:t>650,109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15.0 %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4,337,758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108,281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- 46,693</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Other Shared - 67,135</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222,109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ectPr>
          <w:pgSz w:w="11900" w:h="16838" w:orient="portrait"/>
          <w:cols w:equalWidth="0" w:num="1">
            <w:col w:w="10219"/>
          </w:cols>
          <w:pgMar w:left="240" w:top="142" w:right="1440" w:bottom="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2019</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Southeastern Asset Management, Inc.</w:t>
      </w:r>
    </w:p>
    <w:p>
      <w:pPr>
        <w:ind w:left="3160"/>
        <w:spacing w:after="0" w:line="238" w:lineRule="auto"/>
        <w:rPr>
          <w:sz w:val="20"/>
          <w:szCs w:val="20"/>
          <w:color w:val="auto"/>
        </w:rPr>
      </w:pPr>
      <w:r>
        <w:rPr>
          <w:rFonts w:ascii="Courier New" w:cs="Courier New" w:eastAsia="Courier New" w:hAnsi="Courier New"/>
          <w:sz w:val="18"/>
          <w:szCs w:val="18"/>
          <w:color w:val="auto"/>
        </w:rPr>
        <w:t>By /s/ Andrew R. McCarroll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14, 2019.</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Southeastern Asset Management, Inc.</w:t>
      </w:r>
    </w:p>
    <w:p>
      <w:pPr>
        <w:sectPr>
          <w:pgSz w:w="11900" w:h="16838" w:orient="portrait"/>
          <w:cols w:equalWidth="0" w:num="1">
            <w:col w:w="10219"/>
          </w:cols>
          <w:pgMar w:left="240" w:top="136" w:right="1440" w:bottom="0" w:gutter="0" w:footer="0" w:header="0"/>
          <w:type w:val="continuous"/>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ind w:left="316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WPO13G13.doc</w:t>
      </w:r>
    </w:p>
    <w:p>
      <w:pPr>
        <w:spacing w:after="0"/>
        <w:rPr>
          <w:sz w:val="20"/>
          <w:szCs w:val="20"/>
          <w:color w:val="auto"/>
        </w:rPr>
      </w:pPr>
      <w:r>
        <w:rPr>
          <w:rFonts w:ascii="Courier New" w:cs="Courier New" w:eastAsia="Courier New" w:hAnsi="Courier New"/>
          <w:sz w:val="18"/>
          <w:szCs w:val="18"/>
          <w:color w:val="auto"/>
        </w:rPr>
        <w:t>SCHEDULE 13G - Graham Holdings Company ("Issuer")</w:t>
      </w:r>
    </w:p>
    <w:p>
      <w:pPr>
        <w:spacing w:after="0" w:line="237" w:lineRule="auto"/>
        <w:rPr>
          <w:sz w:val="20"/>
          <w:szCs w:val="20"/>
          <w:color w:val="auto"/>
        </w:rPr>
      </w:pPr>
      <w:r>
        <w:rPr>
          <w:rFonts w:ascii="Courier New" w:cs="Courier New" w:eastAsia="Courier New" w:hAnsi="Courier New"/>
          <w:sz w:val="18"/>
          <w:szCs w:val="18"/>
          <w:color w:val="auto"/>
        </w:rPr>
        <w:t>Amendment #13</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WPO13G13.doc</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decimal"/>
      <w:start w:val="8"/>
    </w:lvl>
    <w:lvl w:ilvl="1">
      <w:lvlJc w:val="left"/>
      <w:lvlText w:val=":"/>
      <w:numFmt w:val="bullet"/>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8"/>
    </w:lvl>
    <w:lvl w:ilvl="1">
      <w:lvlJc w:val="left"/>
      <w:lvlText w:val=":"/>
      <w:numFmt w:val="bullet"/>
      <w:start w:val="1"/>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lvl w:ilvl="1">
      <w:lvlJc w:val="left"/>
      <w:lvlText w:val="(%2)"/>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2019-12-04T23:34:06Z</dcterms:created>
  <dcterms:modified xsi:type="dcterms:W3CDTF">2019-12-04T23:34:06Z</dcterms:modified>
</cp:coreProperties>
</file>