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2, 2016</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197485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November 2, 2016, Graham Holdings Company issued a press release announcing the Company’s earnings for the third quarter ended September 30, 2016.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240" w:top="994" w:right="5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70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Hal S. Jones,</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tab/>
        <w:t>Graham Holdings Company Earnings Release dated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For Immediate</w:t>
            </w:r>
          </w:p>
        </w:tc>
        <w:tc>
          <w:tcPr>
            <w:tcW w:w="680" w:type="dxa"/>
            <w:vAlign w:val="bottom"/>
          </w:tcPr>
          <w:p>
            <w:pPr>
              <w:ind w:left="20"/>
              <w:spacing w:after="0"/>
              <w:rPr>
                <w:sz w:val="20"/>
                <w:szCs w:val="20"/>
                <w:color w:val="auto"/>
              </w:rPr>
            </w:pPr>
            <w:r>
              <w:rPr>
                <w:rFonts w:ascii="Arial" w:cs="Arial" w:eastAsia="Arial" w:hAnsi="Arial"/>
                <w:sz w:val="18"/>
                <w:szCs w:val="18"/>
                <w:color w:val="auto"/>
                <w:w w:val="96"/>
              </w:rPr>
              <w:t>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November 2,</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2016</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THIRD QUARTER EARNINGS</w:t>
      </w:r>
    </w:p>
    <w:p>
      <w:pPr>
        <w:spacing w:after="0" w:line="144" w:lineRule="exact"/>
        <w:rPr>
          <w:sz w:val="20"/>
          <w:szCs w:val="20"/>
          <w:color w:val="auto"/>
        </w:rPr>
      </w:pPr>
    </w:p>
    <w:p>
      <w:pPr>
        <w:jc w:val="both"/>
        <w:ind w:right="460"/>
        <w:spacing w:after="0" w:line="227"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$33.1 million ($ 5.87 per share) for the third quarter of 2016, compared to a loss of $231.2 million ($40.32 per share) for the third quarter of 2015. Net loss attributable to common shares was $230.8 million ($40.25 per share) for the third quarter of 2015, including $0.4 million ($0.07 per share) in income from discontinued operations. (Refer to “Discontinued Operations” discussion below.)</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results for the third quarter of 2016 and 2015 were affected by a number of items as described in the following paragraphs. Excluding these items, income from continuing operations attributable to common shares was $36.9 million ($6.53 per share) for the third quarter of 2016, compared to $35.6 million ($6.05 per share) for the third quarter of 2015.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2016:</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$2.4 million, or $0.43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2015:</w:t>
      </w:r>
    </w:p>
    <w:p>
      <w:pPr>
        <w:spacing w:after="0" w:line="144" w:lineRule="exact"/>
        <w:rPr>
          <w:sz w:val="20"/>
          <w:szCs w:val="20"/>
          <w:color w:val="auto"/>
        </w:rPr>
      </w:pPr>
    </w:p>
    <w:p>
      <w:pPr>
        <w:ind w:left="180" w:right="4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$248.6 million goodwill impairment charge related to the Kaplan Higher Education (KHE) business (after-tax impact of $217.1 million, or $37.85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$9.5 million in restructuring charges at the education division (after-tax impact of $5.8 million, or $1.00 per share);</w:t>
      </w:r>
    </w:p>
    <w:p>
      <w:pPr>
        <w:spacing w:after="0" w:line="14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$1.99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$26.3 million in net non-operating losses arising from the sales of two businesses (after tax impact of $24.3 million, or $4.16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$13.0 million in non-operating foreign currency losses (after-tax impact of $8.0 million, or $1.37 per share).</w:t>
      </w:r>
    </w:p>
    <w:p>
      <w:pPr>
        <w:spacing w:after="0" w:line="144"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Revenue for the third quarter of 2016 was $621.6 million, down 3% from $641.4 million in the third quarter of 2015. Revenues declined at the education division, offset by an increase at the television broadcasting division and in other businesses. The Company reported operating income of $68.0 million for the third quarter of 2016, compared to an operating loss of $213.7 million for the third quarter of 2015. Operating results improved at the education and television broadcasting divisions, offset by a decline in other businesses.</w:t>
      </w:r>
    </w:p>
    <w:p>
      <w:pPr>
        <w:spacing w:after="0" w:line="135" w:lineRule="exact"/>
        <w:rPr>
          <w:sz w:val="20"/>
          <w:szCs w:val="20"/>
          <w:color w:val="auto"/>
        </w:rPr>
      </w:pPr>
    </w:p>
    <w:p>
      <w:pPr>
        <w:jc w:val="both"/>
        <w:ind w:right="200"/>
        <w:spacing w:after="0" w:line="227" w:lineRule="auto"/>
        <w:rPr>
          <w:sz w:val="20"/>
          <w:szCs w:val="20"/>
          <w:color w:val="auto"/>
        </w:rPr>
      </w:pPr>
      <w:r>
        <w:rPr>
          <w:rFonts w:ascii="Arial" w:cs="Arial" w:eastAsia="Arial" w:hAnsi="Arial"/>
          <w:sz w:val="18"/>
          <w:szCs w:val="18"/>
          <w:color w:val="auto"/>
        </w:rPr>
        <w:t>For the first nine months of 2016, the Company reported income from continuing operations attributable to common shares of $131.7 million ($23.21 per share), compared to a loss of $194.6 million ($34.18 per share) for the first nine months of 2015. Net loss attributable to common shares was $152.5 million ($26.19 per share) for the first nine months of 2015, including income of $42.2 million ($7.99 per share) in income from discontinued operations. (Refer to “Discontinued Operations” discussion below.)</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results for the first nine months of 2016 and 2015 were affected by a number of items as described in the following paragraphs. Excluding these items, income from continuing operations attributable to common shares was $110.1 million ($ 19.41 per share) for the first nine months of 2016, compared to $87.6 million ($14.95 per share) for the first nine months of 2015. (Refer to the Non-GAAP Financial Information schedule at the end of this release for additional details.)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2016:</w:t>
      </w:r>
    </w:p>
    <w:p>
      <w:pPr>
        <w:spacing w:after="0" w:line="144" w:lineRule="exact"/>
        <w:rPr>
          <w:sz w:val="20"/>
          <w:szCs w:val="20"/>
          <w:color w:val="auto"/>
        </w:rPr>
      </w:pPr>
    </w:p>
    <w:p>
      <w:pPr>
        <w:ind w:left="180" w:right="40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$33.3 million in non-operating foreign currency losses (after-tax impact of $21.3 million, or $3.76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144" w:lineRule="exact"/>
        <w:rPr>
          <w:rFonts w:ascii="Arial" w:cs="Arial" w:eastAsia="Arial" w:hAnsi="Arial"/>
          <w:sz w:val="18"/>
          <w:szCs w:val="18"/>
          <w:color w:val="auto"/>
        </w:rPr>
      </w:pPr>
    </w:p>
    <w:p>
      <w:pPr>
        <w:ind w:left="180" w:right="26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2015:</w:t>
      </w:r>
    </w:p>
    <w:p>
      <w:pPr>
        <w:spacing w:after="0" w:line="144" w:lineRule="exact"/>
        <w:rPr>
          <w:sz w:val="20"/>
          <w:szCs w:val="20"/>
          <w:color w:val="auto"/>
        </w:rPr>
      </w:pPr>
    </w:p>
    <w:p>
      <w:pPr>
        <w:ind w:left="180" w:right="24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$255.5 million goodwill and long-lived asset impairment charges related to the KHE business (after-tax impact of $221.5 million, or $38.57 per share);</w:t>
      </w:r>
    </w:p>
    <w:p>
      <w:pPr>
        <w:spacing w:after="0" w:line="134"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$36.8 million in restructuring charges and accelerated depreciation at the education division (after-tax impact of $23.3 million, or $4.01 per share);</w:t>
      </w:r>
    </w:p>
    <w:p>
      <w:pPr>
        <w:spacing w:after="0" w:line="134"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$2.00 per share);</w:t>
      </w:r>
    </w:p>
    <w:p>
      <w:pPr>
        <w:spacing w:after="0" w:line="134"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$12.5 million in non-operating losses arising from the sales of five businesses and an investment, and on the formation of a joint venture (after tax impact of $15.7 million, or $2.82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$16.2 million in non-operating foreign currency losses (after-tax impact of $10.1 million, or $1.73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first nine months of 2016 was $1,852.3 million, down 6% from $1,969.7 million in the first nine months of 2015. Revenues declined at the education division, offset by an increase at the television broadcasting division and in other businesses. The Company reported operating income of $194.0 million for the first nine months of 2016, compared to an operating loss of $148.6 million for the first nine months of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Education division revenue totaled $386.9 million for the third quarter of 2016, down 20% from revenue of $481.7 million for the same period of 2015. Kaplan reported operating income of $16.3 million for the third quarter of 2016, compared to an operating loss of $242.8 million for the third quarter of 2015. Operating results for the third quarter of 2015 included a $248.6 million goodwill impairment charge related to KHE. Operating results for the third quarter of 2015 also included restructuring costs of $9.5 million.</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For the first nine months of 2016, education division revenue totaled $1,207.2 million, down 20% from revenue of $1,506.0 million for the same period of 2015. Kaplan reported operating income of $63.7 million for the first nine months of 2016, compared to an operating loss of $249.8 million for the first nine months of 2015. Operating results for the first nine months of 2015 included $255.5 million in goodwill and other long-lived asset impairment charges related to KHE. Restructuring costs totaled $36.8 million for the first nine months of 2015.</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2015</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148,602</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203,529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472,131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681,814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78,291</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83,706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224,102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233,313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160,456</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192,702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512,068</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585,486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47</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1,905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190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5,723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(460)</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(1,266)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386,936</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481,746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1,207,225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1,505,973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11,494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3,153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50,037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28,510</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8,588</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13,620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13,314</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16,365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1,561</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8,295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22,937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33,585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(3,537)</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(17,368)</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(68,553)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(1,773)</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(5,158)</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8"/>
        </w:trPr>
        <w:tc>
          <w:tcPr>
            <w:tcW w:w="346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w:t>
            </w:r>
          </w:p>
        </w:tc>
        <w:tc>
          <w:tcPr>
            <w:tcW w:w="320" w:type="dxa"/>
            <w:vAlign w:val="bottom"/>
          </w:tcPr>
          <w:p>
            <w:pPr>
              <w:spacing w:after="0"/>
              <w:rPr>
                <w:sz w:val="20"/>
                <w:szCs w:val="20"/>
                <w:color w:val="auto"/>
              </w:rPr>
            </w:pPr>
          </w:p>
        </w:tc>
        <w:tc>
          <w:tcPr>
            <w:tcW w:w="10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3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(248,591)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(255,467)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16,333</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(242,777)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63,713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(249,778)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$3.8 million and $9.2 million in restructuring costs in the third quarter and first nine months of 2015, respectively.</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13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3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b w:val="1"/>
                <w:bCs w:val="1"/>
                <w:color w:val="auto"/>
              </w:rPr>
              <w:t>195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45,341</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1,259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176,800</w:t>
            </w: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2"/>
              <w:spacing w:after="0"/>
              <w:rPr>
                <w:sz w:val="20"/>
                <w:szCs w:val="20"/>
                <w:color w:val="auto"/>
              </w:rPr>
            </w:pPr>
            <w:r>
              <w:rPr>
                <w:rFonts w:ascii="Arial" w:cs="Arial" w:eastAsia="Arial" w:hAnsi="Arial"/>
                <w:sz w:val="16"/>
                <w:szCs w:val="16"/>
                <w:b w:val="1"/>
                <w:bCs w:val="1"/>
                <w:color w:val="auto"/>
              </w:rPr>
              <w:t>(301)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(14,745)</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(2,400)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(33,808)</w:t>
            </w:r>
          </w:p>
        </w:tc>
      </w:tr>
    </w:tbl>
    <w:p>
      <w:pPr>
        <w:spacing w:after="0" w:line="1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third quarter and first nine months of 2016, KHE revenue declined 27% and 31%, respectively, due to campus sales and closings, and declines in average enrollments at Kaplan University, offset by increased revenues at the domestic professional and other continuing education businesses. KHE operating results improved in the third quarter and first nine months of 2016 due to reduced losses at the KHE Campuses business, lower marketing expenditures at Kaplan University and improved results at the domestic professional and other continuing education businesses, partially offset by lower enrollment at Kaplan University.</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New higher education student enrollments at Kaplan University declined 17% in the third quarter of 2016 and 25% for the first nine months of 2016 due to lower demand across Kaplan University programs. Total students at Kaplan University were 34,462 at September 30, 2016, down 20% from September 30, 2015.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Kaplan University enrollments at September 30, 2016 and 2015,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7.7%</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19.5%</w:t>
            </w:r>
          </w:p>
        </w:tc>
        <w:tc>
          <w:tcPr>
            <w:tcW w:w="8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51.0%</w:t>
            </w:r>
          </w:p>
        </w:tc>
        <w:tc>
          <w:tcPr>
            <w:tcW w:w="88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6% and 4% for the third quarter and first nine months of 2016, respectively. Enrollments, excluding the new economy skills training offerings, were down 1% for the first nine months of 2016. In comparison to 2015, KTP operating results were down 37% and 19% in the third quarter and the first nine months of 2016, respectively, due to investment in new economy skills training programs and lower revenues from a change in the enrollment mix to lower priced programs. Operating losses for the new economy skills training programs were $9.8 million and $4.7 million for the first nine months of 2016 and 2015, respectively.</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International revenue declined 17% and 13% for the third quarter and first nine months of 2016, of which 5% was due to currency fluctuations. The remaining decrease is due to enrollment declines in English-language and Pathways programs. Revenue growth from the 2016 acquisitions was largely offset by revenue declines due to prior year dispositions. Operating income declined in the third quarter and first nine months of 2016, due largely to the reduced English-language and Pathways results, partially offset by operating income from newly acquired businesses.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third quarter of 2015, Kaplan corporate recorded $5.3 million in severance expense and in the first nine months of 2015, Kaplan corporate recorded a total of $26.5 million in restructuring charges. In 2016, Kaplan corporate expenses also declined due to the benefits from restructuring activities and a reduction in incentive compensation expense. Also, 2015 spending for the replacement of its human resources system was not repeated in 2016.</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 In the first nine months of 2015, Kaplan also sold four businesses, including the KHE Campuses business and a small business that was part of KHE, and two businesses that were part of Kaplan International. The net loss on the sale of these businesses totaled $26.3 million and $24.9 million in the third quarter and first nine months of 2015, respectively, that is also included in other non-operating expense for the relevant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Revenue at the television broadcasting division increased 25% to $112.4 million in the third quarter of 2016, from $89.7 million in the same period of 2015; operating income for the third quarter of 2016 increased 46% to $59.2 million, from $40.5 million in the same period of 2015. The revenue increase is due to $13.1 million in incremental summer Olympics-related advertising revenue at the Company's NBC affiliates, a $7.2 million increase in political advertising revenue and $4.4 million more in retransmission revenues. The increase in operating income is due to the revenue increase, offset by higher spending on digital initiatives and increased network fees.</w:t>
      </w:r>
    </w:p>
    <w:p>
      <w:pPr>
        <w:spacing w:after="0" w:line="137"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Revenue at the television broadcasting division increased 14% to $300.9 million in the first nine months of 2016, from $264.0 million in the same period of 2015; operating income for the first nine months of 2016 increased 19% to $144.6 million, from $121.1 million in the same period of 2015. The revenue increase is due to $13.1 million in incremental summer Olympics-related advertising revenue at the Company's NBC affiliates, $14.5 million more in retransmission revenues and a $9.9 million increase in political advertising revenue. The increase in operating income is due to the revenue increase, offset by higher spending on digital initiatives and increased network fees.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The acquisition is subject to approval by the FCC, other regulatory approvals, and the satisfaction of closing conditions.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 based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Manufacturing revenues and operating income increased in the first nine months of 2016 due primarily to the Dekko acquisition. In September 2016, Dekko acquired Electri-Cable Assemblies (ECA), a Shelton, CT based manufacturer of power, data and electrical solutions for the office furniture industry.</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12% in the first nine months of 2016 due primarily to patient growth for both home health and hospice. Operating results were down for the first nine months of 2016, largely due to the expenses incurred related to the transactions in the second quarter of 2016 and an increase in information systems costs.</w:t>
      </w:r>
    </w:p>
    <w:p>
      <w:pPr>
        <w:spacing w:after="0" w:line="139"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39% and 31% in the third quarter and first nine months of 2016, due to continued growth in digital advertising service revenues. SocialCode reported operating losses of $10.8 million and $15.3 million for the third quarter and first nine months of 2016, respectively; these results include incentive accruals of $11.3 million and $12.0 million related to phantom equity appreciation plans, for the relevant periods.The expense amounts related to these plans for the comparable periods of 2015 were insignificant.</w:t>
      </w:r>
    </w:p>
    <w:p>
      <w:pPr>
        <w:spacing w:after="0" w:line="13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third quarter and first nine months of 2016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third quarter of 2015, the Company recorded $18.8 million in incremental stock option expense, due to stock option modifications that resulted from the Cable ONE spin-off. The total pension credit for the Company’s traditional defined benefit plan was $48.1 million and $58.7 million in the first nine months of 2016 and 2015, respectively.</w:t>
      </w:r>
    </w:p>
    <w:p>
      <w:pPr>
        <w:spacing w:after="0" w:line="135" w:lineRule="exact"/>
        <w:rPr>
          <w:sz w:val="20"/>
          <w:szCs w:val="20"/>
          <w:color w:val="auto"/>
        </w:rPr>
      </w:pPr>
    </w:p>
    <w:p>
      <w:pPr>
        <w:ind w:right="480"/>
        <w:spacing w:after="0" w:line="407" w:lineRule="auto"/>
        <w:rPr>
          <w:sz w:val="20"/>
          <w:szCs w:val="20"/>
          <w:color w:val="auto"/>
        </w:rPr>
      </w:pPr>
      <w:r>
        <w:rPr>
          <w:rFonts w:ascii="Arial" w:cs="Arial" w:eastAsia="Arial" w:hAnsi="Arial"/>
          <w:sz w:val="18"/>
          <w:szCs w:val="18"/>
          <w:color w:val="auto"/>
        </w:rPr>
        <w:t xml:space="preserve">Without the pension credit, corporate office expenses declined in the first nine months of 2016 due primarily to lower compensation costs. </w:t>
      </w:r>
      <w:r>
        <w:rPr>
          <w:rFonts w:ascii="Arial" w:cs="Arial" w:eastAsia="Arial" w:hAnsi="Arial"/>
          <w:sz w:val="18"/>
          <w:szCs w:val="18"/>
          <w:b w:val="1"/>
          <w:bCs w:val="1"/>
          <w:u w:val="single" w:color="auto"/>
          <w:color w:val="auto"/>
        </w:rPr>
        <w:t>Equity in Earnings (Losses) of Affiliates</w:t>
      </w:r>
    </w:p>
    <w:p>
      <w:pPr>
        <w:ind w:right="180"/>
        <w:spacing w:after="0" w:line="227" w:lineRule="auto"/>
        <w:rPr>
          <w:sz w:val="20"/>
          <w:szCs w:val="20"/>
          <w:color w:val="auto"/>
        </w:rPr>
      </w:pPr>
      <w:r>
        <w:rPr>
          <w:rFonts w:ascii="Arial" w:cs="Arial" w:eastAsia="Arial" w:hAnsi="Arial"/>
          <w:sz w:val="18"/>
          <w:szCs w:val="18"/>
          <w:color w:val="auto"/>
        </w:rPr>
        <w:t>At September 30, 2016, the Company held interests in a number of home health and hospice joint ventures, and interests in several other affiliates. The Company recorded equity in losses of affiliates of $1.0 million for the third quarter of 2016, compared to earnings of $0.1 million for the third quarter of 2015. The Company recorded equity in losses of affiliates of $0.9 million for the first nine months of 2016, compared to $0.7 million for the first nine months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recorded total other non-operating expense, net, of $18.2 million for the third quarter of 2016, compared to $40.5 million for the third quarter of 2015. The 2016 amounts included a $15.0 million write-down of 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62" w:right="239" w:bottom="1440" w:gutter="0" w:footer="0" w:header="0"/>
        </w:sectPr>
      </w:pPr>
    </w:p>
    <w:bookmarkStart w:id="9" w:name="page10"/>
    <w:bookmarkEnd w:id="9"/>
    <w:p>
      <w:pPr>
        <w:ind w:right="160"/>
        <w:spacing w:after="0" w:line="235" w:lineRule="auto"/>
        <w:rPr>
          <w:sz w:val="20"/>
          <w:szCs w:val="20"/>
          <w:color w:val="auto"/>
        </w:rPr>
      </w:pPr>
      <w:r>
        <w:rPr>
          <w:rFonts w:ascii="Arial" w:cs="Arial" w:eastAsia="Arial" w:hAnsi="Arial"/>
          <w:sz w:val="18"/>
          <w:szCs w:val="18"/>
          <w:color w:val="auto"/>
        </w:rPr>
        <w:t>cost method investment and $3.8 million in foreign currency losses, partially offset by other items. The 2015 amounts included $26.3 million in losses from the sales of businesses, $13.0 million in foreign currency losses and other items.</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recorded total other non-operating income, net, of $15.9 million for the first nine months of 2016, compared to $29.9 million in non-operating expense, net for the first nine months of 2015. The 2016 amounts included a $34.1 million gain on the sale of land; an $18.9 million gain on the sale of a business; a $6.3 million gain on the sale of marketable equity securities; a $3.2 million gain on the Residential joint venture transaction and other items, partially offset by $33.3 million in foreign currency losses and $15.2 million in cost method investment write-downs. The 2015 amounts included $ 23.3 million in losses from the sales of businesses, $16.2 million in foreign currency losses and other items, offset by a $6.0 million gain on the Celtic joint venture transaction and a $4.8 million increase to the Classified Ventures gain.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incurred net interest expense of $7.9 million and $22.5 million for the third quarter and first nine months of 2016, respectively, compared to $7.3 million and $23.3 million for the third quarter and first nine months of 2015. At September 30, 2016, the Company had $497.4 million in borrowings outstanding at an average interest rate of 6.2% and cash, marketable equity securities and other investments of $1,029.9 million.</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July 2016, a Kaplan UK company entered into a 4-year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8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Company's effective tax rate for the first nine months of 2016 was 28.9%. In the third quarter of 2016, a net nonrecurring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these adjustments, the Company's effective tax rate for the first nine months of 2016 was 36.4%.</w:t>
      </w:r>
    </w:p>
    <w:p>
      <w:pPr>
        <w:spacing w:after="0" w:line="150"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effective tax rate on the loss for continuing operations for the first nine months of 2015 was 4.9%, as a large portion of the goodwill impairment charge and the goodwill included in the loss on the KHE Campuses sale are permanent differences. Excluding the effect of these permanent differences, the effective tax rate for continuing operations for the first nine months of 2015 was 38.0%.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2015, the Company completed the spin-off of Cable ONE as an independent, publicly traded company and the sale of a school in China that was previously part of Kaplan International.</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earnings per share for the third quarter and first nine months of 2016 was based on 5,573,982 and 5,599,898 weighted average shares outstanding, respectively, compared to 5,837,107 and 5,810,672 for the third quarter and first nine months of 2015. At September 30, 2016, there were 5,617,576 shares outstanding. On May 14, 2015, the Board of Directors authorized the Company to acquire up to 500,000 shares of its Class B common stock; the Company has remaining authorization for 264,859 shares as of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621,638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641,432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530,888</w:t>
            </w:r>
          </w:p>
        </w:tc>
        <w:tc>
          <w:tcPr>
            <w:tcW w:w="2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587,592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16,097</w:t>
            </w:r>
          </w:p>
        </w:tc>
        <w:tc>
          <w:tcPr>
            <w:tcW w:w="2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14,460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6,620</w:t>
            </w:r>
          </w:p>
        </w:tc>
        <w:tc>
          <w:tcPr>
            <w:tcW w:w="2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4,512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248,591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68,033</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(213,723)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(1,008)</w:t>
            </w:r>
          </w:p>
        </w:tc>
        <w:tc>
          <w:tcPr>
            <w:tcW w:w="2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740</w:t>
            </w:r>
          </w:p>
        </w:tc>
        <w:tc>
          <w:tcPr>
            <w:tcW w:w="2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(8,614)</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(7,830)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(18,225)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40,926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(261,435)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(benefit)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(230,935)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(230,556)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(230,843)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(230,843)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(231,222)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(230,843)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(40.32)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5,544</w:t>
            </w:r>
          </w:p>
        </w:tc>
        <w:tc>
          <w:tcPr>
            <w:tcW w:w="2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5,738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(40.32)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5,574</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5,837</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60" w:right="259"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1,852,311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1,969,747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1,590,203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1,786,753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48,903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62,266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19,160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255,467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194,045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(148,636)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(895)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(24,533)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(24,679)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15,871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186,540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(202,499)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(benefit)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132,540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(192,499)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132,540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(150,329)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131,672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(151,824)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131,672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131,672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(194,625)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131,672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2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5,600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6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386,936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481,746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1,207,225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1,505,973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112,389</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89,693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300,927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264,010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122,313</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70,052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344,298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199,823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621,638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641,432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1,852,311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1,969,747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370,603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724,523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1,143,512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1,755,751</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53,230</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49,167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156,333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142,908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133,114</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73,111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365,891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210,205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(3,342)</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8,413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(7,331)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553,605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855,155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1,658,266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2,118,383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16,333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(242,777)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63,713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(249,778)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59,159</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40,526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144,594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121,102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(10,801)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(21,593)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3,342</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68,033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(213,723)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194,045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9,977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10,637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31,322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51,145</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2,540</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2,237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7,367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3,289</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1,335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9,389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291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16,097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14,460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48,903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62,266</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249,930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259,780</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63</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4,784</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3,110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13,813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253,103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19,160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269,364</w:t>
            </w: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2,838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15,419</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428</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279</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(15,934)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(47,803)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(58,410)</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(41,077)</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148,602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203,529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472,131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681,814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78,291</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83,706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224,102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233,313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160,456</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192,702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512,068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585,486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5,723</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386,936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481,746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1,207,225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1,505,973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137,108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200,376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422,094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653,304</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69,703</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70,086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210,788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216,948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158,895</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184,407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489,131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551,901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3,584</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19,857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17,558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74,276</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1,339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5,158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248,591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255,467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370,603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724,523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1,143,512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1,755,751</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3,153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50,037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28,510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8,588</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13,620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13,314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16,365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1,561</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8,295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22,937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33,585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(3,537)</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(17,952)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(17,368)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(68,553)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(5,158)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(248,591)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(255,467)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(242,777)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63,713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4,157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4,066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12,325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13,688</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1,441</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2,052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7,205</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4,360</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4,277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13,739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14,004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16,248</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9,977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31,322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51,145</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3,964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5,715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9,028</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768</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98</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(96)</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3,740</w:t>
            </w: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2,838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8,965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15,419</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62,207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19,273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176,908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52,638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37,690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33,770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110,068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98,697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15,180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38,961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29,634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7,236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18,361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18,854</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122,313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70,052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344,298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58,430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17,594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169,145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48,997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36,383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31,797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107,288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94,077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26,017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12,939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54,223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32,206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68</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12,284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35,235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133,114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73,111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365,891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210,205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3,777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7,763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1,307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2,780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4,620</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(10,837)</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(15,262)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(5,048)</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(21,593)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1,809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5,588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686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2,090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241</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683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3,289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3,089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8,722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1,674</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1,695</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5,028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4,784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135</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406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Income (loss)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33,126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(231,222)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131,672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(194,625)</w:t>
            </w:r>
          </w:p>
        </w:tc>
        <w:tc>
          <w:tcPr>
            <w:tcW w:w="0" w:type="dxa"/>
            <w:vAlign w:val="bottom"/>
          </w:tcPr>
          <w:p>
            <w:pPr>
              <w:spacing w:after="0"/>
              <w:rPr>
                <w:sz w:val="1"/>
                <w:szCs w:val="1"/>
                <w:color w:val="auto"/>
              </w:rPr>
            </w:pP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217,101</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221,502</w:t>
            </w:r>
          </w:p>
        </w:tc>
        <w:tc>
          <w:tcPr>
            <w:tcW w:w="0" w:type="dxa"/>
            <w:vAlign w:val="bottom"/>
          </w:tcPr>
          <w:p>
            <w:pPr>
              <w:spacing w:after="0"/>
              <w:rPr>
                <w:sz w:val="1"/>
                <w:szCs w:val="1"/>
                <w:color w:val="auto"/>
              </w:rPr>
            </w:pPr>
          </w:p>
        </w:tc>
      </w:tr>
      <w:tr>
        <w:trPr>
          <w:trHeight w:val="276"/>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5,846</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23,343</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6"/>
                <w:szCs w:val="16"/>
                <w:color w:val="auto"/>
              </w:rPr>
              <w:t>Modification of stock options</w:t>
            </w:r>
          </w:p>
        </w:tc>
        <w:tc>
          <w:tcPr>
            <w:tcW w:w="22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11,626</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11,626</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(25,004)</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000" w:type="dxa"/>
            <w:vAlign w:val="bottom"/>
          </w:tcPr>
          <w:p>
            <w:pPr>
              <w:ind w:left="280"/>
              <w:spacing w:after="0"/>
              <w:rPr>
                <w:sz w:val="20"/>
                <w:szCs w:val="20"/>
                <w:color w:val="auto"/>
              </w:rPr>
            </w:pPr>
            <w:r>
              <w:rPr>
                <w:rFonts w:ascii="Arial" w:cs="Arial" w:eastAsia="Arial" w:hAnsi="Arial"/>
                <w:sz w:val="16"/>
                <w:szCs w:val="16"/>
                <w:color w:val="auto"/>
              </w:rPr>
              <w:t>Net losses (gains) from the sales of businesses and an investment, and the formation of</w:t>
            </w:r>
          </w:p>
        </w:tc>
        <w:tc>
          <w:tcPr>
            <w:tcW w:w="220" w:type="dxa"/>
            <w:vAlign w:val="bottom"/>
          </w:tcPr>
          <w:p>
            <w:pPr>
              <w:spacing w:after="0"/>
              <w:rPr>
                <w:sz w:val="20"/>
                <w:szCs w:val="2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(13,581)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80"/>
              <w:spacing w:after="0"/>
              <w:rPr>
                <w:sz w:val="20"/>
                <w:szCs w:val="20"/>
                <w:color w:val="auto"/>
              </w:rPr>
            </w:pPr>
            <w:r>
              <w:rPr>
                <w:rFonts w:ascii="Arial" w:cs="Arial" w:eastAsia="Arial" w:hAnsi="Arial"/>
                <w:sz w:val="16"/>
                <w:szCs w:val="16"/>
                <w:color w:val="auto"/>
              </w:rPr>
              <w:t>joint ventures</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24,265</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15,666</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9,600</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9,600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2,430</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8,004</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21,327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10,064</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(8,286)</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(8,286)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36,870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110,097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87,576</w:t>
            </w:r>
          </w:p>
        </w:tc>
        <w:tc>
          <w:tcPr>
            <w:tcW w:w="0" w:type="dxa"/>
            <w:vAlign w:val="bottom"/>
          </w:tcPr>
          <w:p>
            <w:pPr>
              <w:spacing w:after="0"/>
              <w:rPr>
                <w:sz w:val="1"/>
                <w:szCs w:val="1"/>
                <w:color w:val="auto"/>
              </w:rPr>
            </w:pPr>
          </w:p>
        </w:tc>
      </w:tr>
      <w:tr>
        <w:trPr>
          <w:trHeight w:val="494"/>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37.85</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76"/>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64"/>
        </w:trPr>
        <w:tc>
          <w:tcPr>
            <w:tcW w:w="7000" w:type="dxa"/>
            <w:vAlign w:val="bottom"/>
          </w:tcPr>
          <w:p>
            <w:pPr>
              <w:ind w:left="280"/>
              <w:spacing w:after="0"/>
              <w:rPr>
                <w:sz w:val="20"/>
                <w:szCs w:val="20"/>
                <w:color w:val="auto"/>
              </w:rPr>
            </w:pPr>
            <w:r>
              <w:rPr>
                <w:rFonts w:ascii="Arial" w:cs="Arial" w:eastAsia="Arial" w:hAnsi="Arial"/>
                <w:sz w:val="16"/>
                <w:szCs w:val="16"/>
                <w:color w:val="auto"/>
              </w:rPr>
              <w:t>Modification of stock options</w:t>
            </w:r>
          </w:p>
        </w:tc>
        <w:tc>
          <w:tcPr>
            <w:tcW w:w="22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1.99</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000" w:type="dxa"/>
            <w:vAlign w:val="bottom"/>
          </w:tcPr>
          <w:p>
            <w:pPr>
              <w:ind w:left="280"/>
              <w:spacing w:after="0"/>
              <w:rPr>
                <w:sz w:val="20"/>
                <w:szCs w:val="20"/>
                <w:color w:val="auto"/>
              </w:rPr>
            </w:pPr>
            <w:r>
              <w:rPr>
                <w:rFonts w:ascii="Arial" w:cs="Arial" w:eastAsia="Arial" w:hAnsi="Arial"/>
                <w:sz w:val="16"/>
                <w:szCs w:val="16"/>
                <w:color w:val="auto"/>
              </w:rPr>
              <w:t>Net losses (gains) from the sales of businesses and an investment, and the formation of</w:t>
            </w:r>
          </w:p>
        </w:tc>
        <w:tc>
          <w:tcPr>
            <w:tcW w:w="220" w:type="dxa"/>
            <w:vAlign w:val="bottom"/>
          </w:tcPr>
          <w:p>
            <w:pPr>
              <w:spacing w:after="0"/>
              <w:rPr>
                <w:sz w:val="20"/>
                <w:szCs w:val="2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(2.37)</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80"/>
              <w:spacing w:after="0"/>
              <w:rPr>
                <w:sz w:val="20"/>
                <w:szCs w:val="20"/>
                <w:color w:val="auto"/>
              </w:rPr>
            </w:pPr>
            <w:r>
              <w:rPr>
                <w:rFonts w:ascii="Arial" w:cs="Arial" w:eastAsia="Arial" w:hAnsi="Arial"/>
                <w:sz w:val="16"/>
                <w:szCs w:val="16"/>
                <w:color w:val="auto"/>
              </w:rPr>
              <w:t>joint ventures</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Write-down of a cost method investment</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1.70</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1.70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0.43</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3.76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(1.47)</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2019-12-05T11:52:42Z</dcterms:created>
  <dcterms:modified xsi:type="dcterms:W3CDTF">2019-12-05T11:52:42Z</dcterms:modified>
</cp:coreProperties>
</file>