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3,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7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20" w:type="dxa"/>
            <w:vAlign w:val="bottom"/>
          </w:tcPr>
          <w:p>
            <w:pPr>
              <w:spacing w:after="0"/>
              <w:rPr>
                <w:sz w:val="20"/>
                <w:szCs w:val="20"/>
                <w:color w:val="auto"/>
              </w:rPr>
            </w:pPr>
            <w:r>
              <w:rPr>
                <w:rFonts w:ascii="Arial" w:cs="Arial" w:eastAsia="Arial" w:hAnsi="Arial"/>
                <w:sz w:val="18"/>
                <w:szCs w:val="18"/>
                <w:color w:val="auto"/>
                <w:w w:val="95"/>
              </w:rPr>
              <w:t>Large accelerated filer</w:t>
            </w:r>
          </w:p>
        </w:tc>
        <w:tc>
          <w:tcPr>
            <w:tcW w:w="63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63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060" w:type="dxa"/>
            <w:vAlign w:val="bottom"/>
            <w:gridSpan w:val="2"/>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9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400" w:type="dxa"/>
            <w:vAlign w:val="bottom"/>
          </w:tcPr>
          <w:p>
            <w:pPr>
              <w:spacing w:after="0"/>
              <w:rPr>
                <w:sz w:val="24"/>
                <w:szCs w:val="24"/>
                <w:color w:val="auto"/>
              </w:rPr>
            </w:pPr>
          </w:p>
        </w:tc>
      </w:tr>
      <w:tr>
        <w:trPr>
          <w:trHeight w:val="358"/>
        </w:trPr>
        <w:tc>
          <w:tcPr>
            <w:tcW w:w="8060" w:type="dxa"/>
            <w:vAlign w:val="bottom"/>
            <w:gridSpan w:val="2"/>
          </w:tcPr>
          <w:p>
            <w:pPr>
              <w:spacing w:after="0"/>
              <w:rPr>
                <w:sz w:val="20"/>
                <w:szCs w:val="20"/>
                <w:color w:val="auto"/>
              </w:rPr>
            </w:pPr>
            <w:r>
              <w:rPr>
                <w:rFonts w:ascii="Arial" w:cs="Arial" w:eastAsia="Arial" w:hAnsi="Arial"/>
                <w:sz w:val="18"/>
                <w:szCs w:val="18"/>
                <w:color w:val="auto"/>
              </w:rPr>
              <w:t>Shares outstanding at August 5, 2011:</w:t>
            </w: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2"/>
        </w:trPr>
        <w:tc>
          <w:tcPr>
            <w:tcW w:w="17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Arial" w:cs="Arial" w:eastAsia="Arial" w:hAnsi="Arial"/>
                <w:sz w:val="18"/>
                <w:szCs w:val="18"/>
                <w:color w:val="auto"/>
              </w:rPr>
              <w:t>Class A Common Stock</w:t>
            </w:r>
          </w:p>
        </w:tc>
        <w:tc>
          <w:tcPr>
            <w:tcW w:w="2960" w:type="dxa"/>
            <w:vAlign w:val="bottom"/>
          </w:tcPr>
          <w:p>
            <w:pPr>
              <w:ind w:left="200"/>
              <w:spacing w:after="0"/>
              <w:rPr>
                <w:sz w:val="20"/>
                <w:szCs w:val="20"/>
                <w:color w:val="auto"/>
              </w:rPr>
            </w:pPr>
            <w:r>
              <w:rPr>
                <w:rFonts w:ascii="Arial" w:cs="Arial" w:eastAsia="Arial" w:hAnsi="Arial"/>
                <w:sz w:val="18"/>
                <w:szCs w:val="18"/>
                <w:color w:val="auto"/>
              </w:rPr>
              <w:t>1,229,383 Shares</w:t>
            </w:r>
          </w:p>
        </w:tc>
        <w:tc>
          <w:tcPr>
            <w:tcW w:w="400" w:type="dxa"/>
            <w:vAlign w:val="bottom"/>
          </w:tcPr>
          <w:p>
            <w:pPr>
              <w:spacing w:after="0"/>
              <w:rPr>
                <w:sz w:val="24"/>
                <w:szCs w:val="24"/>
                <w:color w:val="auto"/>
              </w:rPr>
            </w:pPr>
          </w:p>
        </w:tc>
      </w:tr>
      <w:tr>
        <w:trPr>
          <w:trHeight w:val="222"/>
        </w:trPr>
        <w:tc>
          <w:tcPr>
            <w:tcW w:w="1720" w:type="dxa"/>
            <w:vAlign w:val="bottom"/>
          </w:tcPr>
          <w:p>
            <w:pPr>
              <w:spacing w:after="0"/>
              <w:rPr>
                <w:sz w:val="19"/>
                <w:szCs w:val="19"/>
                <w:color w:val="auto"/>
              </w:rPr>
            </w:pPr>
          </w:p>
        </w:tc>
        <w:tc>
          <w:tcPr>
            <w:tcW w:w="6340" w:type="dxa"/>
            <w:vAlign w:val="bottom"/>
          </w:tcPr>
          <w:p>
            <w:pPr>
              <w:ind w:left="120"/>
              <w:spacing w:after="0"/>
              <w:rPr>
                <w:sz w:val="20"/>
                <w:szCs w:val="20"/>
                <w:color w:val="auto"/>
              </w:rPr>
            </w:pPr>
            <w:r>
              <w:rPr>
                <w:rFonts w:ascii="Arial" w:cs="Arial" w:eastAsia="Arial" w:hAnsi="Arial"/>
                <w:sz w:val="18"/>
                <w:szCs w:val="18"/>
                <w:color w:val="auto"/>
              </w:rPr>
              <w:t>Class B Common Stock</w:t>
            </w:r>
          </w:p>
        </w:tc>
        <w:tc>
          <w:tcPr>
            <w:tcW w:w="2960" w:type="dxa"/>
            <w:vAlign w:val="bottom"/>
          </w:tcPr>
          <w:p>
            <w:pPr>
              <w:ind w:left="200"/>
              <w:spacing w:after="0"/>
              <w:rPr>
                <w:sz w:val="20"/>
                <w:szCs w:val="20"/>
                <w:color w:val="auto"/>
              </w:rPr>
            </w:pPr>
            <w:r>
              <w:rPr>
                <w:rFonts w:ascii="Arial" w:cs="Arial" w:eastAsia="Arial" w:hAnsi="Arial"/>
                <w:sz w:val="18"/>
                <w:szCs w:val="18"/>
                <w:color w:val="auto"/>
              </w:rPr>
              <w:t>6,702,037 Shares</w:t>
            </w:r>
          </w:p>
        </w:tc>
        <w:tc>
          <w:tcPr>
            <w:tcW w:w="400" w:type="dxa"/>
            <w:vAlign w:val="bottom"/>
          </w:tcPr>
          <w:p>
            <w:pPr>
              <w:spacing w:after="0"/>
              <w:rPr>
                <w:sz w:val="19"/>
                <w:szCs w:val="19"/>
                <w:color w:val="auto"/>
              </w:rPr>
            </w:pPr>
          </w:p>
        </w:tc>
      </w:tr>
      <w:tr>
        <w:trPr>
          <w:trHeight w:val="164"/>
        </w:trPr>
        <w:tc>
          <w:tcPr>
            <w:tcW w:w="1720" w:type="dxa"/>
            <w:vAlign w:val="bottom"/>
            <w:tcBorders>
              <w:bottom w:val="single" w:sz="8" w:color="auto"/>
            </w:tcBorders>
          </w:tcPr>
          <w:p>
            <w:pPr>
              <w:spacing w:after="0"/>
              <w:rPr>
                <w:sz w:val="14"/>
                <w:szCs w:val="14"/>
                <w:color w:val="auto"/>
              </w:rPr>
            </w:pPr>
          </w:p>
        </w:tc>
        <w:tc>
          <w:tcPr>
            <w:tcW w:w="63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21"/>
        </w:trPr>
        <w:tc>
          <w:tcPr>
            <w:tcW w:w="1720" w:type="dxa"/>
            <w:vAlign w:val="bottom"/>
            <w:tcBorders>
              <w:bottom w:val="single" w:sz="8" w:color="auto"/>
            </w:tcBorders>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160" w:type="dxa"/>
            <w:vAlign w:val="bottom"/>
            <w:gridSpan w:val="8"/>
          </w:tcPr>
          <w:p>
            <w:pPr>
              <w:spacing w:after="0"/>
              <w:rPr>
                <w:sz w:val="17"/>
                <w:szCs w:val="17"/>
                <w:color w:val="auto"/>
              </w:rPr>
            </w:pPr>
          </w:p>
        </w:tc>
        <w:tc>
          <w:tcPr>
            <w:tcW w:w="340" w:type="dxa"/>
            <w:vAlign w:val="bottom"/>
          </w:tcPr>
          <w:p>
            <w:pPr>
              <w:spacing w:after="0"/>
              <w:rPr>
                <w:sz w:val="17"/>
                <w:szCs w:val="17"/>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4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a. Condensed Consolidated Statements of Operations (Unaudited) for the Thirteen and Twenty-Six Weeks Ended July 3, 2011 and July 4, 2010</w:t>
              </w:r>
            </w:hyperlink>
          </w:p>
        </w:tc>
        <w:tc>
          <w:tcPr>
            <w:tcW w:w="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b. Condensed Consolidated Statements of Comprehensive Income (Unaudited) for the Thirteen and Twenty-Six Weeks Ended July 3, 2011 and</w:t>
              </w:r>
            </w:hyperlink>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July 4, 2010</w:t>
              </w:r>
            </w:hyperlink>
          </w:p>
        </w:tc>
        <w:tc>
          <w:tcPr>
            <w:tcW w:w="912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 Condensed Consolidated Balance Sheets at July 3, 2011 (Unaudited) and January 2, 2011</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d. Condensed Consolidated Statements of Cash Flows (Unaudited) for the Twenty-Six Weeks Ended July 3, 2011 and July 4, 2010</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e. Notes to Condensed Consolidated Financial Statements (Unaudited)</w:t>
              </w:r>
            </w:hyperlink>
          </w:p>
        </w:tc>
        <w:tc>
          <w:tcPr>
            <w:tcW w:w="4200" w:type="dxa"/>
            <w:vAlign w:val="bottom"/>
            <w:tcBorders>
              <w:top w:val="single" w:sz="8" w:color="0000EE"/>
            </w:tcBorders>
            <w:gridSpan w:val="3"/>
          </w:tcPr>
          <w:p>
            <w:pPr>
              <w:spacing w:after="0"/>
              <w:rPr>
                <w:sz w:val="24"/>
                <w:szCs w:val="24"/>
                <w:color w:val="auto"/>
              </w:rPr>
            </w:pPr>
          </w:p>
        </w:tc>
        <w:tc>
          <w:tcPr>
            <w:tcW w:w="104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Results of Operations and Financial Condition</w:t>
              </w:r>
            </w:hyperlink>
          </w:p>
        </w:tc>
        <w:tc>
          <w:tcPr>
            <w:tcW w:w="3900" w:type="dxa"/>
            <w:vAlign w:val="bottom"/>
            <w:gridSpan w:val="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200" w:type="dxa"/>
            <w:vAlign w:val="bottom"/>
            <w:gridSpan w:val="1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600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PART II. OTHER INFORMATION</w:t>
              </w:r>
            </w:hyperlink>
          </w:p>
        </w:tc>
        <w:tc>
          <w:tcPr>
            <w:tcW w:w="8460" w:type="dxa"/>
            <w:vAlign w:val="bottom"/>
            <w:gridSpan w:val="9"/>
          </w:tcPr>
          <w:p>
            <w:pPr>
              <w:spacing w:after="0"/>
              <w:rPr>
                <w:sz w:val="24"/>
                <w:szCs w:val="24"/>
                <w:color w:val="auto"/>
              </w:rPr>
            </w:pPr>
          </w:p>
        </w:tc>
        <w:tc>
          <w:tcPr>
            <w:tcW w:w="340" w:type="dxa"/>
            <w:vAlign w:val="bottom"/>
          </w:tcPr>
          <w:p>
            <w:pPr>
              <w:spacing w:after="0"/>
              <w:rPr>
                <w:sz w:val="24"/>
                <w:szCs w:val="24"/>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32">
              <w:r>
                <w:rPr>
                  <w:rFonts w:ascii="Arial" w:cs="Arial" w:eastAsia="Arial" w:hAnsi="Arial"/>
                  <w:sz w:val="18"/>
                  <w:szCs w:val="18"/>
                  <w:color w:val="0000EE"/>
                  <w:w w:val="86"/>
                </w:rPr>
                <w:t>Unregistered Sales of Equity Securities and Use of Proceeds</w:t>
              </w:r>
            </w:hyperlink>
          </w:p>
        </w:tc>
        <w:tc>
          <w:tcPr>
            <w:tcW w:w="596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200" w:type="dxa"/>
            <w:vAlign w:val="bottom"/>
            <w:gridSpan w:val="1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780" w:type="dxa"/>
            <w:vAlign w:val="bottom"/>
            <w:gridSpan w:val="2"/>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83"/>
        </w:trPr>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gridSpan w:val="11"/>
          </w:tcPr>
          <w:p>
            <w:pPr>
              <w:ind w:left="49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740" w:type="dxa"/>
            <w:vAlign w:val="bottom"/>
            <w:gridSpan w:val="3"/>
          </w:tcPr>
          <w:p>
            <w:pPr>
              <w:jc w:val="center"/>
              <w:ind w:left="1512"/>
              <w:spacing w:after="0"/>
              <w:rPr>
                <w:sz w:val="20"/>
                <w:szCs w:val="20"/>
                <w:color w:val="auto"/>
              </w:rPr>
            </w:pPr>
            <w:r>
              <w:rPr>
                <w:rFonts w:ascii="Arial" w:cs="Arial" w:eastAsia="Arial" w:hAnsi="Arial"/>
                <w:sz w:val="18"/>
                <w:szCs w:val="18"/>
                <w:b w:val="1"/>
                <w:bCs w:val="1"/>
                <w:color w:val="auto"/>
                <w:w w:val="99"/>
              </w:rPr>
              <w:t>PART I. FINANCIAL INFORMATION</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14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540" w:type="dxa"/>
            <w:vAlign w:val="bottom"/>
          </w:tcPr>
          <w:p>
            <w:pPr>
              <w:jc w:val="center"/>
              <w:ind w:left="1712"/>
              <w:spacing w:after="0"/>
              <w:rPr>
                <w:sz w:val="20"/>
                <w:szCs w:val="20"/>
                <w:color w:val="auto"/>
              </w:rPr>
            </w:pPr>
            <w:r>
              <w:rPr>
                <w:rFonts w:ascii="Arial" w:cs="Arial" w:eastAsia="Arial" w:hAnsi="Arial"/>
                <w:sz w:val="18"/>
                <w:szCs w:val="18"/>
                <w:b w:val="1"/>
                <w:bCs w:val="1"/>
                <w:color w:val="auto"/>
                <w:w w:val="87"/>
              </w:rPr>
              <w:t>The Washington Post Company</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40" w:type="dxa"/>
            <w:vAlign w:val="bottom"/>
            <w:gridSpan w:val="5"/>
          </w:tcPr>
          <w:p>
            <w:pPr>
              <w:jc w:val="center"/>
              <w:ind w:left="632"/>
              <w:spacing w:after="0"/>
              <w:rPr>
                <w:sz w:val="20"/>
                <w:szCs w:val="20"/>
                <w:color w:val="auto"/>
              </w:rPr>
            </w:pPr>
            <w:r>
              <w:rPr>
                <w:rFonts w:ascii="Arial" w:cs="Arial" w:eastAsia="Arial" w:hAnsi="Arial"/>
                <w:sz w:val="18"/>
                <w:szCs w:val="18"/>
                <w:b w:val="1"/>
                <w:bCs w:val="1"/>
                <w:color w:val="auto"/>
                <w:w w:val="86"/>
              </w:rPr>
              <w:t>Condensed Consolidated Statements of Operations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540" w:type="dxa"/>
            <w:vAlign w:val="bottom"/>
          </w:tcPr>
          <w:p>
            <w:pPr>
              <w:jc w:val="center"/>
              <w:ind w:left="1712"/>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9"/>
              </w:rPr>
              <w:t>Thirteen Weeks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Twenty-Six Weeks Ended</w:t>
            </w:r>
          </w:p>
        </w:tc>
        <w:tc>
          <w:tcPr>
            <w:tcW w:w="0" w:type="dxa"/>
            <w:vAlign w:val="bottom"/>
          </w:tcPr>
          <w:p>
            <w:pPr>
              <w:spacing w:after="0"/>
              <w:rPr>
                <w:sz w:val="1"/>
                <w:szCs w:val="1"/>
                <w:color w:val="auto"/>
              </w:rPr>
            </w:pPr>
          </w:p>
        </w:tc>
      </w:tr>
      <w:tr>
        <w:trPr>
          <w:trHeight w:val="129"/>
        </w:trPr>
        <w:tc>
          <w:tcPr>
            <w:tcW w:w="7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July 3,</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July 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July 3,</w:t>
            </w: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July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0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4"/>
              <w:spacing w:after="0" w:line="148"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line="148"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line="148"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3"/>
              <w:spacing w:after="0" w:line="148"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Operating revenues</w:t>
            </w:r>
          </w:p>
        </w:tc>
        <w:tc>
          <w:tcPr>
            <w:tcW w:w="4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Education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628,701</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742,921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1,258,728</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1,441,257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370,736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Circulation and subscriber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216,607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215,995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431,130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1,072,997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1,197,410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2,126,007</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2,326,395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500,204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471,525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975,489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936,897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874,214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127,138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991,904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1,030,512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1,989,898</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2,052,898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Equity in earnings (losses) of affiliates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(3,807)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(26,623)</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102,419</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(9,592)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(3,227)</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w:t>
            </w:r>
          </w:p>
        </w:tc>
        <w:tc>
          <w:tcPr>
            <w:tcW w:w="16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61,392</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Net loss attributable to noncontrolling interests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The Washington Post Company</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Redeemable preferred stock dividends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The Washington Post Company common stockholders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137,283</w:t>
            </w:r>
          </w:p>
        </w:tc>
        <w:tc>
          <w:tcPr>
            <w:tcW w:w="0" w:type="dxa"/>
            <w:vAlign w:val="bottom"/>
          </w:tcPr>
          <w:p>
            <w:pPr>
              <w:spacing w:after="0"/>
              <w:rPr>
                <w:sz w:val="1"/>
                <w:szCs w:val="1"/>
                <w:color w:val="auto"/>
              </w:rPr>
            </w:pPr>
          </w:p>
        </w:tc>
      </w:tr>
      <w:tr>
        <w:trPr>
          <w:trHeight w:val="20"/>
        </w:trPr>
        <w:tc>
          <w:tcPr>
            <w:tcW w:w="70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Amounts attributable to The Washington Post Company common stockholders:</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08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(9,592)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(3,227)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(17,980)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The Washington Post Company common stockholders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137,283</w:t>
            </w:r>
          </w:p>
        </w:tc>
        <w:tc>
          <w:tcPr>
            <w:tcW w:w="0" w:type="dxa"/>
            <w:vAlign w:val="bottom"/>
          </w:tcPr>
          <w:p>
            <w:pPr>
              <w:spacing w:after="0"/>
              <w:rPr>
                <w:sz w:val="1"/>
                <w:szCs w:val="1"/>
                <w:color w:val="auto"/>
              </w:rPr>
            </w:pPr>
          </w:p>
        </w:tc>
      </w:tr>
      <w:tr>
        <w:trPr>
          <w:trHeight w:val="20"/>
        </w:trPr>
        <w:tc>
          <w:tcPr>
            <w:tcW w:w="708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89"/>
              </w:rPr>
              <w:t>Per share information attributable to The Washington Post Company common stockholders:</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income per common share from continuing 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Basic loss per common share from discontinued operations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0"/>
        </w:trPr>
        <w:tc>
          <w:tcPr>
            <w:tcW w:w="7080" w:type="dxa"/>
            <w:vAlign w:val="bottom"/>
            <w:gridSpan w:val="4"/>
            <w:vMerge w:val="restart"/>
          </w:tcPr>
          <w:p>
            <w:pPr>
              <w:spacing w:after="0"/>
              <w:rPr>
                <w:sz w:val="20"/>
                <w:szCs w:val="20"/>
                <w:color w:val="auto"/>
              </w:rPr>
            </w:pPr>
            <w:r>
              <w:rPr>
                <w:rFonts w:ascii="Arial" w:cs="Arial" w:eastAsia="Arial" w:hAnsi="Arial"/>
                <w:sz w:val="18"/>
                <w:szCs w:val="18"/>
                <w:color w:val="auto"/>
              </w:rPr>
              <w:t>Basic average number of common shares outstanding</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7,949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income per common share from continuing 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Diluted loss per common share from discontinued operations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0"/>
        </w:trPr>
        <w:tc>
          <w:tcPr>
            <w:tcW w:w="7080" w:type="dxa"/>
            <w:vAlign w:val="bottom"/>
            <w:gridSpan w:val="4"/>
            <w:vMerge w:val="restart"/>
          </w:tcPr>
          <w:p>
            <w:pPr>
              <w:spacing w:after="0"/>
              <w:rPr>
                <w:sz w:val="20"/>
                <w:szCs w:val="20"/>
                <w:color w:val="auto"/>
              </w:rPr>
            </w:pPr>
            <w:r>
              <w:rPr>
                <w:rFonts w:ascii="Arial" w:cs="Arial" w:eastAsia="Arial" w:hAnsi="Arial"/>
                <w:sz w:val="18"/>
                <w:szCs w:val="18"/>
                <w:color w:val="auto"/>
              </w:rPr>
              <w:t>Diluted average number of common shares outstanding</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8,026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140" w:type="dxa"/>
            <w:vAlign w:val="bottom"/>
            <w:gridSpan w:val="2"/>
            <w:vMerge w:val="restart"/>
          </w:tcPr>
          <w:p>
            <w:pPr>
              <w:jc w:val="center"/>
              <w:ind w:left="3332"/>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1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5"/>
              </w:rPr>
              <w:t>Thirteen Weeks Ended</w:t>
            </w:r>
          </w:p>
        </w:tc>
        <w:tc>
          <w:tcPr>
            <w:tcW w:w="17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0"/>
              </w:rPr>
              <w:t>Twenty-Six Weeks Ended</w:t>
            </w: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76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July 3,</w:t>
            </w:r>
          </w:p>
        </w:tc>
        <w:tc>
          <w:tcPr>
            <w:tcW w:w="64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rPr>
              <w:t>July 4,</w:t>
            </w:r>
          </w:p>
        </w:tc>
        <w:tc>
          <w:tcPr>
            <w:tcW w:w="32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July 3,</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July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6760" w:type="dxa"/>
            <w:vAlign w:val="bottom"/>
            <w:vMerge w:val="continue"/>
          </w:tcPr>
          <w:p>
            <w:pPr>
              <w:spacing w:after="0"/>
              <w:rPr>
                <w:sz w:val="14"/>
                <w:szCs w:val="14"/>
                <w:color w:val="auto"/>
              </w:rPr>
            </w:pPr>
          </w:p>
        </w:tc>
        <w:tc>
          <w:tcPr>
            <w:tcW w:w="760" w:type="dxa"/>
            <w:vAlign w:val="bottom"/>
            <w:gridSpan w:val="2"/>
          </w:tcPr>
          <w:p>
            <w:pPr>
              <w:jc w:val="right"/>
              <w:ind w:right="97"/>
              <w:spacing w:after="0" w:line="148"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64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640" w:type="dxa"/>
            <w:vAlign w:val="bottom"/>
          </w:tcPr>
          <w:p>
            <w:pPr>
              <w:jc w:val="right"/>
              <w:ind w:right="97"/>
              <w:spacing w:after="0" w:line="148"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800" w:type="dxa"/>
            <w:vAlign w:val="bottom"/>
            <w:gridSpan w:val="2"/>
          </w:tcPr>
          <w:p>
            <w:pPr>
              <w:jc w:val="right"/>
              <w:ind w:right="139"/>
              <w:spacing w:after="0" w:line="148"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$ 45,763</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$ 92,127</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$ 61,392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137,955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13,058</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(13,866)</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Change in unrealized (loss) gain on available-for-sale securities</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(22,315)</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(80,751)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(15,105)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Pension and other postretirement plan adjustments</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(593)</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23"/>
        </w:trPr>
        <w:tc>
          <w:tcPr>
            <w:tcW w:w="7640" w:type="dxa"/>
            <w:vAlign w:val="bottom"/>
            <w:gridSpan w:val="2"/>
          </w:tcPr>
          <w:p>
            <w:pPr>
              <w:ind w:left="440"/>
              <w:spacing w:after="0"/>
              <w:rPr>
                <w:sz w:val="20"/>
                <w:szCs w:val="20"/>
                <w:color w:val="auto"/>
              </w:rPr>
            </w:pPr>
            <w:r>
              <w:rPr>
                <w:rFonts w:ascii="Arial" w:cs="Arial" w:eastAsia="Arial" w:hAnsi="Arial"/>
                <w:sz w:val="18"/>
                <w:szCs w:val="18"/>
                <w:color w:val="auto"/>
                <w:w w:val="90"/>
              </w:rPr>
              <w:t>Less reclassification adjustment for write-down on available-for-sale security included in net income</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(17,820)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(91,865)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22,849</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(11,899)</w:t>
            </w:r>
          </w:p>
        </w:tc>
        <w:tc>
          <w:tcPr>
            <w:tcW w:w="0" w:type="dxa"/>
            <w:vAlign w:val="bottom"/>
          </w:tcPr>
          <w:p>
            <w:pPr>
              <w:spacing w:after="0"/>
              <w:rPr>
                <w:sz w:val="1"/>
                <w:szCs w:val="1"/>
                <w:color w:val="auto"/>
              </w:rPr>
            </w:pPr>
          </w:p>
        </w:tc>
      </w:tr>
      <w:tr>
        <w:trPr>
          <w:trHeight w:val="323"/>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Income tax benefit (expense) related to other comprehensive (loss) income</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9,100</w:t>
            </w:r>
          </w:p>
        </w:tc>
        <w:tc>
          <w:tcPr>
            <w:tcW w:w="32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33,008</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(6,269)</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(8,720)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(58,857)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(13,327)</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37,043</w:t>
            </w:r>
          </w:p>
        </w:tc>
        <w:tc>
          <w:tcPr>
            <w:tcW w:w="3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33,270</w:t>
            </w:r>
          </w:p>
        </w:tc>
        <w:tc>
          <w:tcPr>
            <w:tcW w:w="640" w:type="dxa"/>
            <w:vAlign w:val="bottom"/>
          </w:tcPr>
          <w:p>
            <w:pPr>
              <w:jc w:val="right"/>
              <w:spacing w:after="0"/>
              <w:rPr>
                <w:sz w:val="20"/>
                <w:szCs w:val="20"/>
                <w:color w:val="auto"/>
              </w:rPr>
            </w:pPr>
            <w:r>
              <w:rPr>
                <w:rFonts w:ascii="Arial" w:cs="Arial" w:eastAsia="Arial" w:hAnsi="Arial"/>
                <w:sz w:val="18"/>
                <w:szCs w:val="18"/>
                <w:color w:val="auto"/>
              </w:rPr>
              <w:t>77,972</w:t>
            </w:r>
          </w:p>
        </w:tc>
        <w:tc>
          <w:tcPr>
            <w:tcW w:w="2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124,628</w:t>
            </w: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income attributable to The Washington Post Company</w:t>
            </w: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$ 37,040</w:t>
            </w:r>
          </w:p>
        </w:tc>
        <w:tc>
          <w:tcPr>
            <w:tcW w:w="3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$ 33,291</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$ 77,934</w:t>
            </w:r>
          </w:p>
        </w:tc>
        <w:tc>
          <w:tcPr>
            <w:tcW w:w="2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124,661</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ind w:left="56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July 3,</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January 2,</w:t>
            </w:r>
          </w:p>
        </w:tc>
        <w:tc>
          <w:tcPr>
            <w:tcW w:w="0" w:type="dxa"/>
            <w:vAlign w:val="bottom"/>
          </w:tcPr>
          <w:p>
            <w:pPr>
              <w:spacing w:after="0"/>
              <w:rPr>
                <w:sz w:val="1"/>
                <w:szCs w:val="1"/>
                <w:color w:val="auto"/>
              </w:rPr>
            </w:pPr>
          </w:p>
        </w:tc>
      </w:tr>
      <w:tr>
        <w:trPr>
          <w:trHeight w:val="161"/>
        </w:trPr>
        <w:tc>
          <w:tcPr>
            <w:tcW w:w="9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160" w:type="dxa"/>
            <w:vAlign w:val="bottom"/>
            <w:gridSpan w:val="3"/>
            <w:vMerge w:val="continue"/>
          </w:tcPr>
          <w:p>
            <w:pPr>
              <w:spacing w:after="0"/>
              <w:rPr>
                <w:sz w:val="11"/>
                <w:szCs w:val="11"/>
                <w:color w:val="auto"/>
              </w:rPr>
            </w:pPr>
          </w:p>
        </w:tc>
        <w:tc>
          <w:tcPr>
            <w:tcW w:w="8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(Unaudited)</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86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20,452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Investments in marketable equity securities and other investments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86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388,106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397,024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Income taxes receivable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86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86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80,429</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1,205,248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1,361,898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1,168,596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1,200,726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Goodwill,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1,463,191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1,376,357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Amortized intangible assets,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59,024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pension cost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Deferred charges and other assets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72,257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5,092,494</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5,158,367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86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379,487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379,089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Dividends declared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860"/>
              <w:spacing w:after="0"/>
              <w:rPr>
                <w:sz w:val="20"/>
                <w:szCs w:val="20"/>
                <w:color w:val="auto"/>
              </w:rPr>
            </w:pPr>
            <w:r>
              <w:rPr>
                <w:rFonts w:ascii="Arial" w:cs="Arial" w:eastAsia="Arial" w:hAnsi="Arial"/>
                <w:sz w:val="18"/>
                <w:szCs w:val="18"/>
                <w:color w:val="auto"/>
              </w:rPr>
              <w:t>Short-term borrowings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1,044,529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1,008,277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Postretirement benefits other than pensions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66,374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related benefits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114,764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119,036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402,328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396,650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2,365,651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2,325,744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Redeemable preferred stock</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11,295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Common shareholders’ equity</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Capital in excess of par value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247,118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249,719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4,524,621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4,520,332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 net of taxes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Cumulative foreign currency translation adjustment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860"/>
              <w:spacing w:after="0"/>
              <w:rPr>
                <w:sz w:val="20"/>
                <w:szCs w:val="20"/>
                <w:color w:val="auto"/>
              </w:rPr>
            </w:pPr>
            <w:r>
              <w:rPr>
                <w:rFonts w:ascii="Arial" w:cs="Arial" w:eastAsia="Arial" w:hAnsi="Arial"/>
                <w:sz w:val="18"/>
                <w:szCs w:val="18"/>
                <w:color w:val="auto"/>
              </w:rPr>
              <w:t>Unrealized gain on available-for-sale securities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80,061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Unrealized gain on pensions and other postretirement plans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Cost of Class B common stock held in treasury</w:t>
            </w:r>
          </w:p>
        </w:tc>
        <w:tc>
          <w:tcPr>
            <w:tcW w:w="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(2,281,617)</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(2,157,826)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common shareholders’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2,708,841</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2,814,364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equity</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2,708,841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2,814,364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5,092,494</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5,158,367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7"/>
              </w:rPr>
              <w:t>Twenty-Six Weeks Ended</w:t>
            </w:r>
          </w:p>
        </w:tc>
        <w:tc>
          <w:tcPr>
            <w:tcW w:w="0" w:type="dxa"/>
            <w:vAlign w:val="bottom"/>
          </w:tcPr>
          <w:p>
            <w:pPr>
              <w:spacing w:after="0"/>
              <w:rPr>
                <w:sz w:val="1"/>
                <w:szCs w:val="1"/>
                <w:color w:val="auto"/>
              </w:rPr>
            </w:pPr>
          </w:p>
        </w:tc>
      </w:tr>
      <w:tr>
        <w:trPr>
          <w:trHeight w:val="129"/>
        </w:trPr>
        <w:tc>
          <w:tcPr>
            <w:tcW w:w="8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July 3,</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July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6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4"/>
              <w:spacing w:after="0" w:line="148"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820" w:type="dxa"/>
            <w:vAlign w:val="bottom"/>
            <w:gridSpan w:val="2"/>
          </w:tcPr>
          <w:p>
            <w:pPr>
              <w:jc w:val="right"/>
              <w:ind w:right="135"/>
              <w:spacing w:after="0" w:line="148"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0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flows from operating activities:</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61,392</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$137,955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128,973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125,633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14,215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rPr>
              <w:t>Net pension benefit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(1,747)</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Multiemployer pension plan withdrawal charge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rPr>
              <w:t>Early retirement program expense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Foreign exchange (gain) loss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rPr>
              <w:t>Net loss on write-down of marketable equity securities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30,696</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Equity in (earnings) losses of affiliates, net of distributions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rPr>
              <w:t>Provision (benefit) for deferred income taxes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4,798</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(20,818)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loss on sale or write-down of property, plant and equipment and other assets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5,638</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rPr>
              <w:t>Change in assets and liabilities: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accounts receivable, net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43,375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(Increase) decrease in inventories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(3,158)</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accounts payable and accrued liabilities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(44,888)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Decrease in deferred revenue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(28,216)</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receivable/payable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(Increase) decrease in other assets and other liabilities, net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(28,840)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180,014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317,318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(92,842)</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(84,835)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proceeds from sale of business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Proceeds from sale of property, plant and equipment and other assets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7,913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12,343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certain businesses, net of cash acquired</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(79,065)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Investments in marketable equity securities and other investments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(4,928)</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2"/>
            <w:vMerge w:val="continue"/>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(168,958)</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Common shares repurchased</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(131,520)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(43,482)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(38,262)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(41,997)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(153,484)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gridSpan w:val="2"/>
            <w:vMerge w:val="restart"/>
          </w:tcPr>
          <w:p>
            <w:pPr>
              <w:ind w:left="860"/>
              <w:spacing w:after="0"/>
              <w:rPr>
                <w:sz w:val="20"/>
                <w:szCs w:val="20"/>
                <w:color w:val="auto"/>
              </w:rPr>
            </w:pPr>
            <w:r>
              <w:rPr>
                <w:rFonts w:ascii="Arial" w:cs="Arial" w:eastAsia="Arial" w:hAnsi="Arial"/>
                <w:sz w:val="18"/>
                <w:szCs w:val="18"/>
                <w:color w:val="auto"/>
              </w:rPr>
              <w:t>Effect of currency exchange rate change</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(138,378)</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181,354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437,740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299,362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659,027</w:t>
            </w:r>
          </w:p>
        </w:tc>
        <w:tc>
          <w:tcPr>
            <w:tcW w:w="0" w:type="dxa"/>
            <w:vAlign w:val="bottom"/>
          </w:tcPr>
          <w:p>
            <w:pPr>
              <w:spacing w:after="0"/>
              <w:rPr>
                <w:sz w:val="1"/>
                <w:szCs w:val="1"/>
                <w:color w:val="auto"/>
              </w:rPr>
            </w:pPr>
          </w:p>
        </w:tc>
      </w:tr>
      <w:tr>
        <w:trPr>
          <w:trHeight w:val="20"/>
        </w:trPr>
        <w:tc>
          <w:tcPr>
            <w:tcW w:w="8060" w:type="dxa"/>
            <w:vAlign w:val="bottom"/>
            <w:gridSpan w:val="3"/>
            <w:vMerge w:val="restart"/>
          </w:tcPr>
          <w:p>
            <w:pPr>
              <w:jc w:val="right"/>
              <w:ind w:right="2212"/>
              <w:spacing w:after="0"/>
              <w:rPr>
                <w:sz w:val="20"/>
                <w:szCs w:val="20"/>
                <w:color w:val="auto"/>
              </w:rPr>
            </w:pPr>
            <w:r>
              <w:rPr>
                <w:rFonts w:ascii="Arial" w:cs="Arial" w:eastAsia="Arial" w:hAnsi="Arial"/>
                <w:sz w:val="18"/>
                <w:szCs w:val="18"/>
                <w:color w:val="auto"/>
              </w:rPr>
              <w:t>6</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060" w:type="dxa"/>
            <w:vAlign w:val="bottom"/>
            <w:gridSpan w:val="3"/>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Basis of Presentation and Recent Accounting Pronouncements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The Washington Post), and television broadcasting (through the ownership and operation of six television broadcast stations).</w:t>
      </w:r>
    </w:p>
    <w:p>
      <w:pPr>
        <w:spacing w:after="0" w:line="137"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color w:val="auto"/>
        </w:rPr>
        <w:t xml:space="preserve">Financial Periods </w:t>
      </w:r>
      <w:r>
        <w:rPr>
          <w:rFonts w:ascii="Arial" w:cs="Arial" w:eastAsia="Arial" w:hAnsi="Arial"/>
          <w:sz w:val="18"/>
          <w:szCs w:val="18"/>
          <w:color w:val="auto"/>
        </w:rPr>
        <w:t>– The Company generally reports on a thirteen week fiscal quarter ending on the Sunday nearest the calendar quarter-end. The fiscal quarters</w:t>
      </w:r>
      <w:r>
        <w:rPr>
          <w:rFonts w:ascii="Arial" w:cs="Arial" w:eastAsia="Arial" w:hAnsi="Arial"/>
          <w:sz w:val="18"/>
          <w:szCs w:val="18"/>
          <w:b w:val="1"/>
          <w:bCs w:val="1"/>
          <w:color w:val="auto"/>
        </w:rPr>
        <w:t xml:space="preserve"> </w:t>
      </w:r>
      <w:r>
        <w:rPr>
          <w:rFonts w:ascii="Arial" w:cs="Arial" w:eastAsia="Arial" w:hAnsi="Arial"/>
          <w:sz w:val="18"/>
          <w:szCs w:val="18"/>
          <w:color w:val="auto"/>
        </w:rPr>
        <w:t>for 2011 and 2010 ended on July 3, 2011, April 3, 2011, July 4, 2010 and April 4, 2010, respectively. With the exception of the newspaper publishing operations and the corporate office, subsidiaries of the Company report on a calendar-quarter basis.</w:t>
      </w:r>
    </w:p>
    <w:p>
      <w:pPr>
        <w:spacing w:after="0" w:line="132"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b w:val="1"/>
          <w:bCs w:val="1"/>
          <w:color w:val="auto"/>
        </w:rPr>
        <w:t xml:space="preserve">Basis of Presentation </w:t>
      </w:r>
      <w:r>
        <w:rPr>
          <w:rFonts w:ascii="Arial" w:cs="Arial" w:eastAsia="Arial" w:hAnsi="Arial"/>
          <w:sz w:val="15"/>
          <w:szCs w:val="15"/>
          <w:color w:val="auto"/>
        </w:rPr>
        <w:t>– The accompanying condensed consolidated financial statements have been prepared in accordance with: (i) generally accepted</w:t>
      </w:r>
      <w:r>
        <w:rPr>
          <w:rFonts w:ascii="Arial" w:cs="Arial" w:eastAsia="Arial" w:hAnsi="Arial"/>
          <w:sz w:val="15"/>
          <w:szCs w:val="15"/>
          <w:b w:val="1"/>
          <w:bCs w:val="1"/>
          <w:color w:val="auto"/>
        </w:rPr>
        <w:t xml:space="preserve"> </w:t>
      </w:r>
      <w:r>
        <w:rPr>
          <w:rFonts w:ascii="Arial" w:cs="Arial" w:eastAsia="Arial" w:hAnsi="Arial"/>
          <w:sz w:val="15"/>
          <w:szCs w:val="15"/>
          <w:color w:val="auto"/>
        </w:rPr>
        <w:t>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thirteen and twenty-six weeks ended July 3, 2011 and July 4, 2010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January 2, 2011.</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year-end condensed consolidated balance sheet data was derived from audited financial statements, but does not include all disclosures required by GAAP.</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Certain amounts in previously issued financial statements have been reclassified to conform to the current year presentation, which includes the reclassification of the results of operations of the magazine publishing segment as discontinued operations for all periods presented.</w:t>
      </w:r>
    </w:p>
    <w:p>
      <w:pPr>
        <w:spacing w:after="0" w:line="126"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color w:val="auto"/>
        </w:rPr>
        <w:t xml:space="preserve">Use of Estimates in the Preparation of the Condensed Consolidated Financial Statements </w:t>
      </w:r>
      <w:r>
        <w:rPr>
          <w:rFonts w:ascii="Arial" w:cs="Arial" w:eastAsia="Arial" w:hAnsi="Arial"/>
          <w:sz w:val="16"/>
          <w:szCs w:val="16"/>
          <w:color w:val="auto"/>
        </w:rPr>
        <w:t>– The preparation of the condensed consolidated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A business is classified as a discontinued operation when (i) the operations and cash flows of the business can be clearly</w:t>
      </w:r>
      <w:r>
        <w:rPr>
          <w:rFonts w:ascii="Arial" w:cs="Arial" w:eastAsia="Arial" w:hAnsi="Arial"/>
          <w:sz w:val="18"/>
          <w:szCs w:val="18"/>
          <w:b w:val="1"/>
          <w:bCs w:val="1"/>
          <w:color w:val="auto"/>
        </w:rPr>
        <w:t xml:space="preserve"> </w:t>
      </w:r>
      <w:r>
        <w:rPr>
          <w:rFonts w:ascii="Arial" w:cs="Arial" w:eastAsia="Arial" w:hAnsi="Arial"/>
          <w:sz w:val="18"/>
          <w:szCs w:val="18"/>
          <w:color w:val="auto"/>
        </w:rPr>
        <w:t>distinguished and have been or will be eliminated from the Company’s ongoing operations; (ii) the business has either been disposed of or is classified as held for sale; and (iii) the Company will not have any significant continuing involvement in the operations of the business after the disposal transactions. The results of discontinued operations (as well as the gain or loss on the disposal) are aggregated and separately presented in the Company’s condensed consolidated statement of operations, net of income taxes. The assets and related liabilities are aggregated and separately presented in the Company’s condensed consolidated balance sheet.</w:t>
      </w:r>
    </w:p>
    <w:p>
      <w:pPr>
        <w:spacing w:after="0" w:line="139"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b w:val="1"/>
          <w:bCs w:val="1"/>
          <w:color w:val="auto"/>
        </w:rPr>
        <w:t xml:space="preserve">Assets Held for Sale </w:t>
      </w:r>
      <w:r>
        <w:rPr>
          <w:rFonts w:ascii="Arial" w:cs="Arial" w:eastAsia="Arial" w:hAnsi="Arial"/>
          <w:sz w:val="16"/>
          <w:szCs w:val="16"/>
          <w:color w:val="auto"/>
        </w:rPr>
        <w:t>– An asset or business is classified as held for sale when (i) management commits to a plan to sell the asset or business; (ii) the asset or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is available for immediate sale in its present condition; (iii) the asset or business is actively marketed for sale at a reasonable price; (iv) the sale is expected to be completed within one year; and (v) it is unlikely significant changes to the plan will be made or that the plan will be withdrawn. The assets and related liabilities are aggregated and reported separately in the Company’s condensed consolidated balance sheet.</w:t>
      </w:r>
    </w:p>
    <w:p>
      <w:pPr>
        <w:spacing w:after="0" w:line="103" w:lineRule="exact"/>
        <w:rPr>
          <w:sz w:val="20"/>
          <w:szCs w:val="20"/>
          <w:color w:val="auto"/>
        </w:rPr>
      </w:pPr>
    </w:p>
    <w:p>
      <w:pPr>
        <w:jc w:val="both"/>
        <w:ind w:right="40"/>
        <w:spacing w:after="0" w:line="296" w:lineRule="auto"/>
        <w:rPr>
          <w:sz w:val="20"/>
          <w:szCs w:val="20"/>
          <w:color w:val="auto"/>
        </w:rPr>
      </w:pPr>
      <w:r>
        <w:rPr>
          <w:rFonts w:ascii="Arial" w:cs="Arial" w:eastAsia="Arial" w:hAnsi="Arial"/>
          <w:sz w:val="16"/>
          <w:szCs w:val="16"/>
          <w:b w:val="1"/>
          <w:bCs w:val="1"/>
          <w:color w:val="auto"/>
        </w:rPr>
        <w:t xml:space="preserve">Recently Adopted and Issued Accounting Pronouncements </w:t>
      </w:r>
      <w:r>
        <w:rPr>
          <w:rFonts w:ascii="Arial" w:cs="Arial" w:eastAsia="Arial" w:hAnsi="Arial"/>
          <w:sz w:val="16"/>
          <w:szCs w:val="16"/>
          <w:color w:val="auto"/>
        </w:rPr>
        <w:t>– In October 2009, the Financial Accounting Standards Board (“FASB”) issued new guidance that</w:t>
      </w:r>
      <w:r>
        <w:rPr>
          <w:rFonts w:ascii="Arial" w:cs="Arial" w:eastAsia="Arial" w:hAnsi="Arial"/>
          <w:sz w:val="16"/>
          <w:szCs w:val="16"/>
          <w:b w:val="1"/>
          <w:bCs w:val="1"/>
          <w:color w:val="auto"/>
        </w:rPr>
        <w:t xml:space="preserve"> </w:t>
      </w:r>
      <w:r>
        <w:rPr>
          <w:rFonts w:ascii="Arial" w:cs="Arial" w:eastAsia="Arial" w:hAnsi="Arial"/>
          <w:sz w:val="16"/>
          <w:szCs w:val="16"/>
          <w:color w:val="auto"/>
        </w:rPr>
        <w:t>modifies the fair value requirement of multiple element revenue arrangements. The new guidance allows the use of the “best estimate of selling price” in addition to vendor-specific objective evidence (“VSOE”) and third-party evidence (“TPE”) for determining the selling price of a deliverable. A vendor is now required to use its best estimate of the selling price when VSOE or TPE of the selling price cannot be determined. In addition, the residual method of allocating arrangement consideration is no longer permitted. The guidance requires expanded qualitative and quantitative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disclosures and is effective for revenue arrangements entered into or materially modified in fiscal years beginning on or after June 15, 2010. The implementation of this guidance in the first quarter of 2011 did not have a material impact on the condensed consolidated financial statements of the Company.</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January 2010, the FASB issued additional disclosure requirements for fair value measurements. One of the fair value disclosure amendments requires more detailed disclosures of the changes in Level 3 instruments. This change became effective for interim and annual periods beginning after December 15, 2010, and did not impact the condensed consolidated financial statements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May 16, 2011, Kaplan entered into an agreement to sell Kaplan Virtual Education. Under the terms of the asset purchase agreement, the buyer will receive Kaplan Virtual Education’s intellectual property, education programs and selected other long-lived assets. The transaction closed in July 2011. The resulting gain or loss at closing is not expected to be material to the financial position of the Company. The assets and liabilities of Kaplan Virtual Education have been classified on the Company’s condensed balance sheet as assets and liabilities of discontinued operations as of July 3, 2011. The Company did not reclassify its condensed consolidated balance sheet as of January 2, 2011 to reflect the discontinued operations.</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April 2010, Kaplan completed the sale of Education Connection and in September 2010, the Company completed the sale of Newsweek magazine. The results of operations of Kaplan Virtual Education, Education Connection and the magazine publishing division for the second quarter and first six months of 2011 and 2010, where applicable, are included in the Company’s condensed consolidated statements of income as “Loss from discontinued operations, net of tax.” All corresponding prior period operating results presented in the Company’s condensed consolidated financial statements and the accompanying notes have been reclassified to reflect the discontinued operations presented. The Company did not reclassify its condensed consolidated statements of cash flows to reflect the discontinued operations.</w:t>
      </w:r>
    </w:p>
    <w:p>
      <w:pPr>
        <w:spacing w:after="0" w:line="144"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Newsweek employees were participants in The Washington Post Company Retirement Plan, and the Company had historically allocated Newsweek a net pension credit for segment reporting purposes. Since the associated pension assets and liabilities were retained by the Company, the associated credit of $8.8 million and $17.1 million, respectively, for the second quarter and six months of 2010 has been excluded from the reclassification of Newsweek results to discontinued operations. In the second quarter of 2010, Newsweek recorded $3.9 million in accelerated depreciation and property, plant and equipment write-downs.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loss from discontinued operations, net of tax, for the first half of 2011 and 2010 is presented below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4"/>
              </w:rPr>
              <w:t>Second Quarter Period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 Period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91"/>
              </w:rPr>
              <w:t>July 3,</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91"/>
              </w:rPr>
              <w:t>July 4,</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91"/>
              </w:rPr>
              <w:t>July 3,</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rPr>
              <w:t>July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12,879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40,256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(15,093)</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(48,285)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(28,708)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(104,546)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(3,600)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Loss on sale of discontinued operations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6"/>
              </w:rPr>
              <w:t>Provision for income taxes on sale of discontinued operations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8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(1,414)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(9,592)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(3,227)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80" w:type="dxa"/>
            <w:vAlign w:val="bottom"/>
            <w:vMerge w:val="restart"/>
          </w:tcPr>
          <w:p>
            <w:pPr>
              <w:jc w:val="right"/>
              <w:ind w:right="972"/>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following table summarizes the quarterly operating results of the Company for 2010 and the first quarter of 2011, following the reclassification of the operations discussed above as discontinued operations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7"/>
              </w:rPr>
              <w:t>Thirteen Weeks Ended</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April 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6"/>
              </w:rPr>
              <w:t>January 2,</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9"/>
              </w:rPr>
              <w:t>October 3,</w:t>
            </w:r>
          </w:p>
        </w:tc>
        <w:tc>
          <w:tcPr>
            <w:tcW w:w="80" w:type="dxa"/>
            <w:vAlign w:val="bottom"/>
          </w:tcPr>
          <w:p>
            <w:pPr>
              <w:spacing w:after="0"/>
              <w:rPr>
                <w:sz w:val="11"/>
                <w:szCs w:val="11"/>
                <w:color w:val="auto"/>
              </w:rPr>
            </w:pPr>
          </w:p>
        </w:tc>
        <w:tc>
          <w:tcPr>
            <w:tcW w:w="1120" w:type="dxa"/>
            <w:vAlign w:val="bottom"/>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rPr>
              <w:t>July 4,</w:t>
            </w:r>
          </w:p>
        </w:tc>
        <w:tc>
          <w:tcPr>
            <w:tcW w:w="80" w:type="dxa"/>
            <w:vAlign w:val="bottom"/>
          </w:tcPr>
          <w:p>
            <w:pPr>
              <w:spacing w:after="0"/>
              <w:rPr>
                <w:sz w:val="11"/>
                <w:szCs w:val="11"/>
                <w:color w:val="auto"/>
              </w:rPr>
            </w:pPr>
          </w:p>
        </w:tc>
        <w:tc>
          <w:tcPr>
            <w:tcW w:w="720" w:type="dxa"/>
            <w:vAlign w:val="bottom"/>
          </w:tcPr>
          <w:p>
            <w:pPr>
              <w:jc w:val="right"/>
              <w:ind w:right="93"/>
              <w:spacing w:after="0" w:line="129" w:lineRule="exact"/>
              <w:rPr>
                <w:sz w:val="20"/>
                <w:szCs w:val="20"/>
                <w:color w:val="auto"/>
              </w:rPr>
            </w:pPr>
            <w:r>
              <w:rPr>
                <w:rFonts w:ascii="Arial" w:cs="Arial" w:eastAsia="Arial" w:hAnsi="Arial"/>
                <w:sz w:val="14"/>
                <w:szCs w:val="14"/>
                <w:b w:val="1"/>
                <w:bCs w:val="1"/>
                <w:color w:val="auto"/>
              </w:rPr>
              <w:t>April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630,027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695,619</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741,156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742,921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177,384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200,532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207,241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Circulation and subscriber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214,523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214,464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213,377</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215,995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213,454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32,495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31,253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1,053,010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1,185,839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1,187,560</w:t>
            </w:r>
          </w:p>
        </w:tc>
        <w:tc>
          <w:tcPr>
            <w:tcW w:w="8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1,197,410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1,128,985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475,285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496,694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473,328</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471,525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465,372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453,258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481,436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490,414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63,230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60,939</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61,024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6,466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7,549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Impairment of goodwill and other long-lived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27,477</w:t>
            </w: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1,034,970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1,049,646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1,030,512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1,022,386</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150,869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137,914</w:t>
            </w:r>
          </w:p>
        </w:tc>
        <w:tc>
          <w:tcPr>
            <w:tcW w:w="8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166,898</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106,599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Equity in earnings (losses) of affiliates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2,140</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(7,961)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(7,693)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(7,633)</w:t>
            </w:r>
          </w:p>
        </w:tc>
        <w:tc>
          <w:tcPr>
            <w:tcW w:w="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(7,598)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12,486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146,193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145,507</w:t>
            </w:r>
          </w:p>
        </w:tc>
        <w:tc>
          <w:tcPr>
            <w:tcW w:w="8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158,119</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87,916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59,600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56,400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33,700</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78,093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85,907</w:t>
            </w:r>
          </w:p>
        </w:tc>
        <w:tc>
          <w:tcPr>
            <w:tcW w:w="8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101,719</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54,216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(Loss) gain from discontinued operations, net of tax</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(24,831)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(9,592)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(8,388)</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78,989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61,076</w:t>
            </w:r>
          </w:p>
        </w:tc>
        <w:tc>
          <w:tcPr>
            <w:tcW w:w="8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92,127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45,828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The Washington Post Company</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78,987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61,152</w:t>
            </w:r>
          </w:p>
        </w:tc>
        <w:tc>
          <w:tcPr>
            <w:tcW w:w="8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92,135</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45,840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5"/>
        </w:trPr>
        <w:tc>
          <w:tcPr>
            <w:tcW w:w="5440" w:type="dxa"/>
            <w:vAlign w:val="bottom"/>
            <w:gridSpan w:val="2"/>
          </w:tcPr>
          <w:p>
            <w:pPr>
              <w:spacing w:after="0"/>
              <w:rPr>
                <w:sz w:val="20"/>
                <w:szCs w:val="20"/>
                <w:color w:val="auto"/>
              </w:rPr>
            </w:pPr>
            <w:r>
              <w:rPr>
                <w:rFonts w:ascii="Arial" w:cs="Arial" w:eastAsia="Arial" w:hAnsi="Arial"/>
                <w:sz w:val="18"/>
                <w:szCs w:val="18"/>
                <w:color w:val="auto"/>
              </w:rPr>
              <w:t>Net income attributable to The Washington Post Company common</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15,154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78,987</w:t>
            </w:r>
          </w:p>
        </w:tc>
        <w:tc>
          <w:tcPr>
            <w:tcW w:w="1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60,922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91,904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Amounts attributable to The Washington Post Company common</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stockholders:</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16,967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78,091</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85,753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101,496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(Loss) gain from discontinued operations, net of tax</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(24,831)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(9,592)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(8,388)</w:t>
            </w:r>
          </w:p>
        </w:tc>
        <w:tc>
          <w:tcPr>
            <w:tcW w:w="0" w:type="dxa"/>
            <w:vAlign w:val="bottom"/>
          </w:tcPr>
          <w:p>
            <w:pPr>
              <w:spacing w:after="0"/>
              <w:rPr>
                <w:sz w:val="1"/>
                <w:szCs w:val="1"/>
                <w:color w:val="auto"/>
              </w:rPr>
            </w:pPr>
          </w:p>
        </w:tc>
      </w:tr>
      <w:tr>
        <w:trPr>
          <w:trHeight w:val="215"/>
        </w:trPr>
        <w:tc>
          <w:tcPr>
            <w:tcW w:w="5440" w:type="dxa"/>
            <w:vAlign w:val="bottom"/>
            <w:gridSpan w:val="2"/>
          </w:tcPr>
          <w:p>
            <w:pPr>
              <w:spacing w:after="0"/>
              <w:rPr>
                <w:sz w:val="20"/>
                <w:szCs w:val="20"/>
                <w:color w:val="auto"/>
              </w:rPr>
            </w:pPr>
            <w:r>
              <w:rPr>
                <w:rFonts w:ascii="Arial" w:cs="Arial" w:eastAsia="Arial" w:hAnsi="Arial"/>
                <w:sz w:val="18"/>
                <w:szCs w:val="18"/>
                <w:color w:val="auto"/>
              </w:rPr>
              <w:t>Net income attributable to the Washington Post Company common</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15,154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78,987</w:t>
            </w:r>
          </w:p>
        </w:tc>
        <w:tc>
          <w:tcPr>
            <w:tcW w:w="1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60,922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91,904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1"/>
              </w:rPr>
              <w:t>Per share information attributable to The Washington Post Company</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common stockholders:</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Basic income per common share from continuing operations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9.64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w w:val="98"/>
              </w:rPr>
              <w:t>Basic (loss) income per common share from discontinued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common share</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common share from continuing operations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6"/>
              </w:rPr>
              <w:t>Diluted (loss) income per common share from discontinued operations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summarizes the operating results of the Company for fiscal year 2010 and 2009, following the reclassification of Kaplan Virtual Education and Education Connection as discontinued operations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6"/>
              </w:rPr>
              <w:t>January 2,</w:t>
            </w: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w w:val="86"/>
              </w:rPr>
              <w:t>January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2,878,032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2,595,802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833,605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Circulation and subscriber</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857,290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845,848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130,867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4,699,794</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4,345,680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1,906,919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1,852,166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1,928,826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1,878,310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247,322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26,970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Impairment of goodwill and other long-lived assets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4,137,514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4,073,378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562,280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272,302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Equity in losses of affiliates</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(4,133)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(30,503)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537,735</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227,110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217,800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319,935</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145,310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(41,915)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(54,110)</w:t>
            </w: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278,020</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Net income attributable to The Washington Post Company</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278,114</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92,774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Net income attributable to The Washington Post Company common stockholders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277,192</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attributable to The Washington Post Company common stockholders: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319,107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(41,915)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(54,110)</w:t>
            </w: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Net income attributable to The Washington Post Company common stockholders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277,192</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information attributable to The Washington Post Company common stockholders: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Basic income per common share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35.76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common share from discontinued operations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Basic net income per common share</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w:t>
            </w:r>
          </w:p>
        </w:tc>
        <w:tc>
          <w:tcPr>
            <w:tcW w:w="3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common share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Diluted loss per common share from discontinued operations</w:t>
            </w: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ind w:left="5620"/>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July 3, 2011 and January 2, 2011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4"/>
                <w:szCs w:val="14"/>
                <w:b w:val="1"/>
                <w:bCs w:val="1"/>
                <w:color w:val="auto"/>
              </w:rPr>
              <w:t>July 3,</w:t>
            </w:r>
          </w:p>
        </w:tc>
        <w:tc>
          <w:tcPr>
            <w:tcW w:w="4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w:t>
            </w: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3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110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cost</w:t>
            </w:r>
          </w:p>
        </w:tc>
        <w:tc>
          <w:tcPr>
            <w:tcW w:w="26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$192,368</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$223,064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unrealized gains</w:t>
            </w:r>
          </w:p>
        </w:tc>
        <w:tc>
          <w:tcPr>
            <w:tcW w:w="26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133,437</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117,846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325,805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340,910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new investments or sales of marketable equity securities in the first six months of 2011 and 2010.</w:t>
      </w:r>
    </w:p>
    <w:p>
      <w:pPr>
        <w:spacing w:after="0" w:line="17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At the end of the first quarter of 2011, the Company’s investment in Corinthian Colleges, Inc. had been in an unrealized loss position for over six months. The Company evaluated this investment for other-than-temporary impairment based on various factors, including the duration and severity of the unrealized loss, the reason for the decline in value and the potential recovery period, and the Company’s ability and intent to hold the investment. In the first quarter of 2011, the Company concluded the loss was other-than-temporary and recorded a $30.7 million write-down on the investment. The Company’s investment in Corinthian Colleges, Inc. accounted for $33.5 million of the total fair value of the Company’s investments in marketable equity securities at July 3,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 and Dispositions</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the first six months of 2011, the Company acquired four businesses totaling $127.2 million, including assumed debt of $5.5 million and other assumed liabilities. The assets and liabilities of the companies acquired have been recorded at their estimated fair values at the date of acquisition; most of the purchase price for these acquisitions has been allocated to goodwill, other intangible assets, and property, plant and equipment on a preliminary basis.</w:t>
      </w:r>
    </w:p>
    <w:p>
      <w:pPr>
        <w:spacing w:after="0" w:line="10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the second quarter of 2011, Kaplan acquired three businesses in its Kaplan International division. These acquisitions included Kaplan’s May 2011 acquisitions of Franklyn Scholar and Carrick Education Group, leading national providers of vocational training and higher education in Australia. In June 2011, Kaplan acquired Structuralia, a provider of e-learning for the engineering and infrastructure sector in Spain.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July 2011, Kaplan sold Kaplan Virtual Education, which was part of Kaplan Ventures.</w:t>
      </w:r>
    </w:p>
    <w:p>
      <w:pPr>
        <w:spacing w:after="0" w:line="17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In the second quarter of 2010, the Company made two small acquisitions in its Other Businesses and Cable divisions. In the first quarter of 2010, Kaplan made one small acquisition in its Kaplan Ventures division. In April 2010, Kaplan sold Education Connection, which was part of Kaplan Ventures.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education division made several changes to its operating and reporting structure in the first quarter of 2011, changing the composition of the reporting units within Kaplan Test Preparation, Kaplan Ventures and Kaplan Higher Education (see Note 12). The changes resulted in the reassignment of the assets and liabilities to the reporting units affected. The goodwill was allocated to the reporting units affected using the relative fair value approach.</w:t>
      </w:r>
    </w:p>
    <w:p>
      <w:pPr>
        <w:spacing w:after="0" w:line="10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 amortizes the recorded values of its amortized intangible assets over their estimated useful lives. Amortization of intangible assets for the thirteen weeks ended July 3, 2011 and July 4, 2010 was $7.4 million and $7.6 million, respectively. Amortization of intangible assets for the twenty-six weeks ended July 3, 2011 and July 4, 2010 was $14.2 million and $14.1 million, respectively. Amortization of intangible assets is estimated to be approximately $14 million for the remainder of 2011, $15 million in 2012, $11 million in 2013, $6 million in 2014, $4 million in 2015, $3 million in 2016 and $5 million thereafter.</w:t>
      </w:r>
    </w:p>
    <w:p>
      <w:pPr>
        <w:spacing w:after="0" w:line="1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changes in the carrying amount of goodwill related to continuing operations, by segment, for the twenty-six weeks ended July 3, 2011 are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Cable</w:t>
            </w: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Television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52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Education</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Television</w:t>
            </w:r>
          </w:p>
        </w:tc>
        <w:tc>
          <w:tcPr>
            <w:tcW w:w="1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2"/>
              </w:rPr>
              <w:t>Broadcasting</w:t>
            </w:r>
          </w:p>
        </w:tc>
        <w:tc>
          <w:tcPr>
            <w:tcW w:w="14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2"/>
              </w:rPr>
              <w:t>Businesses</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96"/>
        </w:trPr>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January 2, 2011:</w:t>
            </w: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Goodwill</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$1,073,089</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$85,488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81,183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203,165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100,152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$1,543,077</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impairment losses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(65,772)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(85,419)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(166,720)</w:t>
            </w:r>
          </w:p>
        </w:tc>
      </w:tr>
      <w:tr>
        <w:trPr>
          <w:trHeight w:val="20"/>
        </w:trPr>
        <w:tc>
          <w:tcPr>
            <w:tcW w:w="5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5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1,057,560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85,488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15,411</w:t>
            </w: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203,165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14,733</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1,376,357</w:t>
            </w:r>
          </w:p>
        </w:tc>
      </w:tr>
      <w:tr>
        <w:trPr>
          <w:trHeight w:val="218"/>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74,359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74,359</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Reclassification to discontinued operations</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(3,646)</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(3,646)</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rate changes and other</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16,121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16,121</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Balance as of July 3, 2011</w:t>
            </w: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1,159,923</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85,488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81,183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203,165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100,152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1,629,911</w:t>
            </w: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Accumulated impairment losses</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(15,529)</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(65,772)</w:t>
            </w:r>
          </w:p>
        </w:tc>
        <w:tc>
          <w:tcPr>
            <w:tcW w:w="10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(85,419)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(166,720)</w:t>
            </w:r>
          </w:p>
        </w:tc>
      </w:tr>
      <w:tr>
        <w:trPr>
          <w:trHeight w:val="27"/>
        </w:trPr>
        <w:tc>
          <w:tcPr>
            <w:tcW w:w="55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1,144,394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85,488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15,411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203,165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1,463,191</w:t>
            </w:r>
          </w:p>
        </w:tc>
      </w:tr>
      <w:tr>
        <w:trPr>
          <w:trHeight w:val="20"/>
        </w:trPr>
        <w:tc>
          <w:tcPr>
            <w:tcW w:w="5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5520" w:type="dxa"/>
            <w:vAlign w:val="bottom"/>
          </w:tcPr>
          <w:p>
            <w:pPr>
              <w:spacing w:after="0"/>
              <w:rPr>
                <w:sz w:val="24"/>
                <w:szCs w:val="24"/>
                <w:color w:val="auto"/>
              </w:rPr>
            </w:pPr>
          </w:p>
        </w:tc>
        <w:tc>
          <w:tcPr>
            <w:tcW w:w="800" w:type="dxa"/>
            <w:vAlign w:val="bottom"/>
          </w:tcPr>
          <w:p>
            <w:pPr>
              <w:jc w:val="right"/>
              <w:ind w:right="434"/>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4"/>
              </w:rPr>
              <w:t>Kaplan</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Higher</w:t>
            </w:r>
          </w:p>
        </w:tc>
        <w:tc>
          <w:tcPr>
            <w:tcW w:w="200" w:type="dxa"/>
            <w:vAlign w:val="bottom"/>
          </w:tcPr>
          <w:p>
            <w:pPr>
              <w:spacing w:after="0"/>
              <w:rPr>
                <w:sz w:val="12"/>
                <w:szCs w:val="12"/>
                <w:color w:val="auto"/>
              </w:rPr>
            </w:pPr>
          </w:p>
        </w:tc>
        <w:tc>
          <w:tcPr>
            <w:tcW w:w="80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Test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tcPr>
          <w:p>
            <w:pPr>
              <w:jc w:val="right"/>
              <w:ind w:right="360"/>
              <w:spacing w:after="0" w:line="149" w:lineRule="exact"/>
              <w:rPr>
                <w:sz w:val="20"/>
                <w:szCs w:val="20"/>
                <w:color w:val="auto"/>
              </w:rPr>
            </w:pPr>
            <w:r>
              <w:rPr>
                <w:rFonts w:ascii="Arial" w:cs="Arial" w:eastAsia="Arial" w:hAnsi="Arial"/>
                <w:sz w:val="14"/>
                <w:szCs w:val="14"/>
                <w:b w:val="1"/>
                <w:bCs w:val="1"/>
                <w:color w:val="auto"/>
                <w:w w:val="98"/>
              </w:rPr>
              <w:t>Kaplan</w:t>
            </w:r>
          </w:p>
        </w:tc>
        <w:tc>
          <w:tcPr>
            <w:tcW w:w="18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Kaplan</w:t>
            </w:r>
          </w:p>
        </w:tc>
        <w:tc>
          <w:tcPr>
            <w:tcW w:w="300" w:type="dxa"/>
            <w:vAlign w:val="bottom"/>
          </w:tcPr>
          <w:p>
            <w:pPr>
              <w:spacing w:after="0"/>
              <w:rPr>
                <w:sz w:val="12"/>
                <w:szCs w:val="12"/>
                <w:color w:val="auto"/>
              </w:rPr>
            </w:pPr>
          </w:p>
        </w:tc>
        <w:tc>
          <w:tcPr>
            <w:tcW w:w="86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Education</w:t>
            </w:r>
          </w:p>
        </w:tc>
        <w:tc>
          <w:tcPr>
            <w:tcW w:w="1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Preparation</w:t>
            </w:r>
          </w:p>
        </w:tc>
        <w:tc>
          <w:tcPr>
            <w:tcW w:w="20" w:type="dxa"/>
            <w:vAlign w:val="bottom"/>
          </w:tcPr>
          <w:p>
            <w:pPr>
              <w:spacing w:after="0"/>
              <w:rPr>
                <w:sz w:val="14"/>
                <w:szCs w:val="14"/>
                <w:color w:val="auto"/>
              </w:rPr>
            </w:pPr>
          </w:p>
        </w:tc>
        <w:tc>
          <w:tcPr>
            <w:tcW w:w="960" w:type="dxa"/>
            <w:vAlign w:val="bottom"/>
            <w:gridSpan w:val="6"/>
          </w:tcPr>
          <w:p>
            <w:pPr>
              <w:spacing w:after="0"/>
              <w:rPr>
                <w:sz w:val="20"/>
                <w:szCs w:val="20"/>
                <w:color w:val="auto"/>
              </w:rPr>
            </w:pPr>
            <w:r>
              <w:rPr>
                <w:rFonts w:ascii="Arial" w:cs="Arial" w:eastAsia="Arial" w:hAnsi="Arial"/>
                <w:sz w:val="14"/>
                <w:szCs w:val="14"/>
                <w:b w:val="1"/>
                <w:bCs w:val="1"/>
                <w:color w:val="auto"/>
              </w:rPr>
              <w:t>International</w:t>
            </w:r>
          </w:p>
        </w:tc>
        <w:tc>
          <w:tcPr>
            <w:tcW w:w="18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3"/>
              </w:rPr>
              <w:t>Ventures</w:t>
            </w:r>
          </w:p>
        </w:tc>
        <w:tc>
          <w:tcPr>
            <w:tcW w:w="300" w:type="dxa"/>
            <w:vAlign w:val="bottom"/>
          </w:tcPr>
          <w:p>
            <w:pPr>
              <w:spacing w:after="0"/>
              <w:rPr>
                <w:sz w:val="14"/>
                <w:szCs w:val="14"/>
                <w:color w:val="auto"/>
              </w:rPr>
            </w:pPr>
          </w:p>
        </w:tc>
        <w:tc>
          <w:tcPr>
            <w:tcW w:w="860" w:type="dxa"/>
            <w:vAlign w:val="bottom"/>
            <w:gridSpan w:val="6"/>
          </w:tcPr>
          <w:p>
            <w:pPr>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as of January 2, 2011:</w:t>
            </w:r>
          </w:p>
        </w:tc>
        <w:tc>
          <w:tcPr>
            <w:tcW w:w="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w w:val="87"/>
              </w:rPr>
              <w:t>$335,226</w:t>
            </w: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$ 229,486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444,940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$ 63,437</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$1,073,089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(7,037)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(8,492)</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335,226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222,449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444,940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54,945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1,057,560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Reallocation, net (Note 12)</w:t>
            </w:r>
          </w:p>
        </w:tc>
        <w:tc>
          <w:tcPr>
            <w:tcW w:w="7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91,043</w:t>
            </w: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(70,262)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(20,781)</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76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70,519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3,418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to discontinued operations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(3,646)</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Foreign currency exchange rate changes and other</w:t>
            </w:r>
          </w:p>
        </w:tc>
        <w:tc>
          <w:tcPr>
            <w:tcW w:w="76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14,164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1,852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July 3, 2011</w:t>
            </w:r>
          </w:p>
        </w:tc>
        <w:tc>
          <w:tcPr>
            <w:tcW w:w="7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433,833</w:t>
            </w: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152,187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529,623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44,280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1,159,923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7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(8,492)</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426,796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$ 152,187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529,623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$ 35,788</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1,144,394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8"/>
                <w:szCs w:val="18"/>
                <w:color w:val="auto"/>
                <w:w w:val="96"/>
              </w:rPr>
              <w:t>Other intangible assets consist of the following (in thousands):</w:t>
            </w: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7"/>
          </w:tcPr>
          <w:p>
            <w:pPr>
              <w:jc w:val="center"/>
              <w:spacing w:after="0"/>
              <w:rPr>
                <w:sz w:val="20"/>
                <w:szCs w:val="20"/>
                <w:color w:val="auto"/>
              </w:rPr>
            </w:pPr>
            <w:r>
              <w:rPr>
                <w:rFonts w:ascii="Arial" w:cs="Arial" w:eastAsia="Arial" w:hAnsi="Arial"/>
                <w:sz w:val="14"/>
                <w:szCs w:val="14"/>
                <w:b w:val="1"/>
                <w:bCs w:val="1"/>
                <w:color w:val="auto"/>
                <w:w w:val="85"/>
              </w:rPr>
              <w:t>As of July 3, 2011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10"/>
          </w:tcPr>
          <w:p>
            <w:pPr>
              <w:jc w:val="right"/>
              <w:ind w:right="800"/>
              <w:spacing w:after="0"/>
              <w:rPr>
                <w:sz w:val="20"/>
                <w:szCs w:val="20"/>
                <w:color w:val="auto"/>
              </w:rPr>
            </w:pPr>
            <w:r>
              <w:rPr>
                <w:rFonts w:ascii="Arial" w:cs="Arial" w:eastAsia="Arial" w:hAnsi="Arial"/>
                <w:sz w:val="14"/>
                <w:szCs w:val="14"/>
                <w:b w:val="1"/>
                <w:bCs w:val="1"/>
                <w:color w:val="auto"/>
                <w:w w:val="86"/>
              </w:rPr>
              <w:t>As of January 2,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Useful Life</w:t>
            </w:r>
          </w:p>
        </w:tc>
        <w:tc>
          <w:tcPr>
            <w:tcW w:w="200" w:type="dxa"/>
            <w:vAlign w:val="bottom"/>
          </w:tcPr>
          <w:p>
            <w:pPr>
              <w:spacing w:after="0"/>
              <w:rPr>
                <w:sz w:val="11"/>
                <w:szCs w:val="11"/>
                <w:color w:val="auto"/>
              </w:rPr>
            </w:pPr>
          </w:p>
        </w:tc>
        <w:tc>
          <w:tcPr>
            <w:tcW w:w="780" w:type="dxa"/>
            <w:vAlign w:val="bottom"/>
            <w:tcBorders>
              <w:top w:val="single" w:sz="8" w:color="auto"/>
            </w:tcBorders>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78"/>
              </w:rPr>
              <w:t>Gross</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Carrying</w:t>
            </w:r>
          </w:p>
        </w:tc>
        <w:tc>
          <w:tcPr>
            <w:tcW w:w="200" w:type="dxa"/>
            <w:vAlign w:val="bottom"/>
          </w:tcPr>
          <w:p>
            <w:pPr>
              <w:spacing w:after="0"/>
              <w:rPr>
                <w:sz w:val="11"/>
                <w:szCs w:val="11"/>
                <w:color w:val="auto"/>
              </w:rPr>
            </w:pPr>
          </w:p>
        </w:tc>
        <w:tc>
          <w:tcPr>
            <w:tcW w:w="80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Carrying</w:t>
            </w:r>
          </w:p>
        </w:tc>
        <w:tc>
          <w:tcPr>
            <w:tcW w:w="18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3"/>
              </w:rPr>
              <w:t>Carrying</w:t>
            </w:r>
          </w:p>
        </w:tc>
        <w:tc>
          <w:tcPr>
            <w:tcW w:w="300" w:type="dxa"/>
            <w:vAlign w:val="bottom"/>
          </w:tcPr>
          <w:p>
            <w:pPr>
              <w:spacing w:after="0"/>
              <w:rPr>
                <w:sz w:val="11"/>
                <w:szCs w:val="11"/>
                <w:color w:val="auto"/>
              </w:rPr>
            </w:pPr>
          </w:p>
        </w:tc>
        <w:tc>
          <w:tcPr>
            <w:tcW w:w="860" w:type="dxa"/>
            <w:vAlign w:val="bottom"/>
            <w:gridSpan w:val="6"/>
          </w:tcPr>
          <w:p>
            <w:pPr>
              <w:ind w:left="2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Range</w:t>
            </w:r>
          </w:p>
        </w:tc>
        <w:tc>
          <w:tcPr>
            <w:tcW w:w="200" w:type="dxa"/>
            <w:vAlign w:val="bottom"/>
          </w:tcPr>
          <w:p>
            <w:pPr>
              <w:spacing w:after="0"/>
              <w:rPr>
                <w:sz w:val="15"/>
                <w:szCs w:val="15"/>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5"/>
                <w:szCs w:val="15"/>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91"/>
              </w:rPr>
              <w:t>Amortization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5"/>
                <w:szCs w:val="15"/>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5"/>
                <w:szCs w:val="15"/>
                <w:color w:val="auto"/>
              </w:rPr>
            </w:pPr>
          </w:p>
        </w:tc>
        <w:tc>
          <w:tcPr>
            <w:tcW w:w="860" w:type="dxa"/>
            <w:vAlign w:val="bottom"/>
            <w:gridSpan w:val="6"/>
          </w:tcPr>
          <w:p>
            <w:pPr>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Amortized intangible assets:</w:t>
            </w:r>
          </w:p>
        </w:tc>
        <w:tc>
          <w:tcPr>
            <w:tcW w:w="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Non-compete agreements</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2-5 years</w:t>
            </w: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$ 44,033</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38,985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120"/>
              <w:spacing w:after="0"/>
              <w:rPr>
                <w:sz w:val="20"/>
                <w:szCs w:val="20"/>
                <w:color w:val="auto"/>
              </w:rPr>
            </w:pPr>
            <w:r>
              <w:rPr>
                <w:rFonts w:ascii="Arial" w:cs="Arial" w:eastAsia="Arial" w:hAnsi="Arial"/>
                <w:sz w:val="18"/>
                <w:szCs w:val="18"/>
                <w:color w:val="auto"/>
              </w:rPr>
              <w:t>$ 5,048</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$ 43,940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5"/>
          </w:tcPr>
          <w:p>
            <w:pPr>
              <w:jc w:val="right"/>
              <w:ind w:right="80"/>
              <w:spacing w:after="0"/>
              <w:rPr>
                <w:sz w:val="20"/>
                <w:szCs w:val="20"/>
                <w:color w:val="auto"/>
              </w:rPr>
            </w:pPr>
            <w:r>
              <w:rPr>
                <w:rFonts w:ascii="Arial" w:cs="Arial" w:eastAsia="Arial" w:hAnsi="Arial"/>
                <w:sz w:val="18"/>
                <w:szCs w:val="18"/>
                <w:color w:val="auto"/>
              </w:rPr>
              <w:t>33,570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Student and customer relationships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2-10 years</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75,929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44,466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31,463</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66,510</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41,958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Databases and technology</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3-5 years</w:t>
            </w: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10,514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4,861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120"/>
              <w:spacing w:after="0"/>
              <w:rPr>
                <w:sz w:val="20"/>
                <w:szCs w:val="20"/>
                <w:color w:val="auto"/>
              </w:rPr>
            </w:pPr>
            <w:r>
              <w:rPr>
                <w:rFonts w:ascii="Arial" w:cs="Arial" w:eastAsia="Arial" w:hAnsi="Arial"/>
                <w:sz w:val="18"/>
                <w:szCs w:val="18"/>
                <w:color w:val="auto"/>
              </w:rPr>
              <w:t>5,653</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10,514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5"/>
          </w:tcPr>
          <w:p>
            <w:pPr>
              <w:jc w:val="right"/>
              <w:ind w:right="80"/>
              <w:spacing w:after="0"/>
              <w:rPr>
                <w:sz w:val="20"/>
                <w:szCs w:val="20"/>
                <w:color w:val="auto"/>
              </w:rPr>
            </w:pPr>
            <w:r>
              <w:rPr>
                <w:rFonts w:ascii="Arial" w:cs="Arial" w:eastAsia="Arial" w:hAnsi="Arial"/>
                <w:sz w:val="18"/>
                <w:szCs w:val="18"/>
                <w:color w:val="auto"/>
              </w:rPr>
              <w:t>2,921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 names and trademarks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2-10 years</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29,618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12,556</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29,053</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15,330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1-25 years</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5,781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11,502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5"/>
          </w:tcPr>
          <w:p>
            <w:pPr>
              <w:jc w:val="right"/>
              <w:ind w:right="80"/>
              <w:spacing w:after="0"/>
              <w:rPr>
                <w:sz w:val="20"/>
                <w:szCs w:val="20"/>
                <w:color w:val="auto"/>
              </w:rPr>
            </w:pPr>
            <w:r>
              <w:rPr>
                <w:rFonts w:ascii="Arial" w:cs="Arial" w:eastAsia="Arial" w:hAnsi="Arial"/>
                <w:sz w:val="18"/>
                <w:szCs w:val="18"/>
                <w:color w:val="auto"/>
              </w:rPr>
              <w:t>6,498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170,179</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111,155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59,024</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161,519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2"/>
              </w:rPr>
              <w:t>100,277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8"/>
                <w:szCs w:val="18"/>
                <w:color w:val="auto"/>
              </w:rPr>
              <w:t>Indefinite-lived intangible assets:</w:t>
            </w: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gridSpan w:val="3"/>
            <w:vMerge w:val="continue"/>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Franchise agreements</w:t>
            </w:r>
          </w:p>
        </w:tc>
        <w:tc>
          <w:tcPr>
            <w:tcW w:w="7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$496,166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$496,166</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Wireless licenses</w:t>
            </w:r>
          </w:p>
        </w:tc>
        <w:tc>
          <w:tcPr>
            <w:tcW w:w="76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22,150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22,150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Licensure and accreditation</w:t>
            </w:r>
          </w:p>
        </w:tc>
        <w:tc>
          <w:tcPr>
            <w:tcW w:w="7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7,878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10,608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4,623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536,802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530,816</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6: Borrowings</w:t>
            </w: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80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00" w:type="dxa"/>
            <w:vAlign w:val="bottom"/>
            <w:gridSpan w:val="3"/>
          </w:tcPr>
          <w:p>
            <w:pPr>
              <w:spacing w:after="0"/>
              <w:rPr>
                <w:sz w:val="20"/>
                <w:szCs w:val="20"/>
                <w:color w:val="auto"/>
              </w:rPr>
            </w:pPr>
            <w:r>
              <w:rPr>
                <w:rFonts w:ascii="Arial" w:cs="Arial" w:eastAsia="Arial" w:hAnsi="Arial"/>
                <w:sz w:val="18"/>
                <w:szCs w:val="18"/>
                <w:color w:val="auto"/>
                <w:w w:val="90"/>
              </w:rPr>
              <w:t>The Company’s borrowings consist of the following (in thousands):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6"/>
              </w:rPr>
              <w:t>July 3, 2011</w:t>
            </w:r>
          </w:p>
        </w:tc>
        <w:tc>
          <w:tcPr>
            <w:tcW w:w="180" w:type="dxa"/>
            <w:vAlign w:val="bottom"/>
          </w:tcPr>
          <w:p>
            <w:pPr>
              <w:spacing w:after="0"/>
              <w:rPr>
                <w:sz w:val="24"/>
                <w:szCs w:val="24"/>
                <w:color w:val="auto"/>
              </w:rPr>
            </w:pPr>
          </w:p>
        </w:tc>
        <w:tc>
          <w:tcPr>
            <w:tcW w:w="1820" w:type="dxa"/>
            <w:vAlign w:val="bottom"/>
            <w:gridSpan w:val="10"/>
          </w:tcPr>
          <w:p>
            <w:pPr>
              <w:ind w:left="320"/>
              <w:spacing w:after="0"/>
              <w:rPr>
                <w:sz w:val="20"/>
                <w:szCs w:val="20"/>
                <w:color w:val="auto"/>
              </w:rPr>
            </w:pPr>
            <w:r>
              <w:rPr>
                <w:rFonts w:ascii="Arial" w:cs="Arial" w:eastAsia="Arial" w:hAnsi="Arial"/>
                <w:sz w:val="14"/>
                <w:szCs w:val="14"/>
                <w:b w:val="1"/>
                <w:bCs w:val="1"/>
                <w:color w:val="auto"/>
              </w:rPr>
              <w:t>January 2, 2011</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2"/>
              </w:rPr>
              <w:t>7.25% unsecured notes due February 1, 2019</w:t>
            </w: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$ 396,858</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396,650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Other indebtedness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405,547</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399,650</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Less: current portion</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(3,219)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$ 402,328</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396,650</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July 3, 2011 and January 2, 2011 is at an interest rate of 0% to 6% and matures from 2011 to 2016.</w:t>
      </w:r>
    </w:p>
    <w:p>
      <w:pPr>
        <w:spacing w:after="0" w:line="17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During the second quarter of 2011 and 2010, the Company had average borrowings outstanding of approximately $401.2 million and $399.4 million, respectively, at average annual interest rates of approximately 7.2%. During the second quarter of 2011 and 2010, the Company incurred net interest expense of $7.0 million.</w:t>
      </w:r>
    </w:p>
    <w:p>
      <w:pPr>
        <w:spacing w:after="0" w:line="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first six months of 2011 and 2010, the Company had average borrowings outstanding of approximately $400.6 million and $399.4 million, respectively, at average annual interest rates of approximately 7.2%. During the first six months of 2011 and 2010, the Company incurred net interest expense of $13.9 million and $14.3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June 17, 2011, The Washington Post Company (the “Company”) terminated its U.S. $500,000,000 five year revolving credit agreement, dated as of August 8, 2006, among the Company, the lenders party thereto and Citibank, N.A. (the “2006 Credit Agreement”), in connection with the entrance into a new revolving credit facility. No borrowings were outstanding under the 2006 Credit Agreement at the time of termination. On June 17, 2011, the Company entered into a credit agreement (the “Credit Agreement”) providing for a new U.S. $450 million, AUS $50 million four year revolving credit facility (the “Facility”), with each of the lenders party thereto, JPMorgan Chase Bank, N.A., as Administrative Agent (“JP Morgan”), and J.P. Morgan Australia Limited, as Australian Sub-Agent. The Facility consists of two tranches: (a) U.S. $450 million and (b) AUS $50 million (subject, at the Company’s option, to conversion of the unused Australian dollar commitments into U.S. dollar commitments at a specified exchange rate). The Credit Agreement provides for an option to increase the total U.S. dollar commitments up to an aggregate amount of U.S. $700 million. The Facility replaced the Company’s 2006 Credit Agreement. The Company is required to pay a facility fee on a quarterly basis, based on the Company’s long-term debt ratings, of between 0.08% and 0.20% of the amount of the Facility. Any borrowings are made on an unsecured basis and bear interest at (a) for U.S. dollar borrowings, at the Company’s option, either (i) a fluctuating interest rate equal to the highest of JPMorgan’s prime rate, 0.50 percent above the Federal funds rate or the one-month eurodollar rate plus 1%, or (ii) the eurodollar rate for the applicable interest period, or (b) for Australian dollar borrowings, the bank bill rate, in each case plus an applicable margin that depends on the Company’s long-term debt ratings. The Facility supports the issuance of the Company’s commercial paper, but the Company may also draw on the facility for other general corporate purposes. The Facility will expire on June 17, 2015, unless the Company and the banks agree to extend the term. Any outstanding borrowings must be repaid on or prior to the final termination date. The Credit Agreement contains terms and conditions, including remedies in the event of a default by the Company, typical of facilities of this type and, among other things, requires the Company to maintain at least $1.5 billion of consolidated shareholders’ equity. The Company did not borrow funds under its commercial paper program or its revolving credit facility in the first half of 2011.</w:t>
      </w:r>
    </w:p>
    <w:p>
      <w:pPr>
        <w:spacing w:after="0" w:line="121" w:lineRule="exact"/>
        <w:rPr>
          <w:sz w:val="20"/>
          <w:szCs w:val="20"/>
          <w:color w:val="auto"/>
        </w:rPr>
      </w:pPr>
    </w:p>
    <w:p>
      <w:pPr>
        <w:ind w:right="320"/>
        <w:spacing w:after="0" w:line="335" w:lineRule="auto"/>
        <w:rPr>
          <w:sz w:val="20"/>
          <w:szCs w:val="20"/>
          <w:color w:val="auto"/>
        </w:rPr>
      </w:pPr>
      <w:r>
        <w:rPr>
          <w:rFonts w:ascii="Arial" w:cs="Arial" w:eastAsia="Arial" w:hAnsi="Arial"/>
          <w:sz w:val="15"/>
          <w:szCs w:val="15"/>
          <w:color w:val="auto"/>
        </w:rPr>
        <w:t>At July 3, 2011, the fair value of the Company’s 7.25% unsecured notes, based on quoted market prices, totaled $463.1 million, compared with the carrying amount of $396.9 million. At January 2, 2011, the fair value of the Company’s 7.25% unsecured notes, based on quoted market prices, totaled $457.2 million, compared with the carrying amount of $396.7 million. The carrying value of the Company’s other unsecured debt at July 3, 2011 approximates fair value.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Company’s earnings per share from continuing operations (basic and diluted) for the second quarter and first six months of 2011 and 2010 are presented below (in thousands, except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9"/>
              </w:rPr>
              <w:t>Thirteen Weeks Ended</w:t>
            </w:r>
          </w:p>
        </w:tc>
        <w:tc>
          <w:tcPr>
            <w:tcW w:w="140" w:type="dxa"/>
            <w:vAlign w:val="bottom"/>
          </w:tcPr>
          <w:p>
            <w:pPr>
              <w:spacing w:after="0"/>
              <w:rPr>
                <w:sz w:val="14"/>
                <w:szCs w:val="14"/>
                <w:color w:val="auto"/>
              </w:rPr>
            </w:pPr>
          </w:p>
        </w:tc>
        <w:tc>
          <w:tcPr>
            <w:tcW w:w="168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88"/>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2"/>
              </w:rPr>
              <w:t>July 3,</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96"/>
              </w:rPr>
              <w:t>July 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7"/>
              </w:rPr>
              <w:t>July 3,</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1"/>
              </w:rPr>
              <w:t>July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3"/>
                <w:shd w:val="clear" w:color="auto" w:fill="CCEEFF"/>
              </w:rPr>
              <w:t>Income from continuing operations attributable to The Washington Post Company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shd w:val="clear" w:color="auto" w:fill="CCEEFF"/>
              </w:rPr>
              <w:t>46,987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shd w:val="clear" w:color="auto" w:fill="CCEEFF"/>
              </w:rPr>
              <w:t>101,496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63,954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shd w:val="clear" w:color="auto" w:fill="CCEEFF"/>
              </w:rPr>
              <w:t>155,263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Less: Amount attributable to participating securities</w:t>
            </w: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Basic income from continuing operations attributable to The Washington Post Company common</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46,507</w:t>
            </w: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100,779</w:t>
            </w: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63,323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154,145</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7820" w:type="dxa"/>
            <w:vAlign w:val="bottom"/>
            <w:gridSpan w:val="2"/>
          </w:tcPr>
          <w:p>
            <w:pPr>
              <w:spacing w:after="0"/>
              <w:rPr>
                <w:sz w:val="20"/>
                <w:szCs w:val="20"/>
                <w:color w:val="auto"/>
              </w:rPr>
            </w:pPr>
            <w:r>
              <w:rPr>
                <w:rFonts w:ascii="Arial" w:cs="Arial" w:eastAsia="Arial" w:hAnsi="Arial"/>
                <w:sz w:val="18"/>
                <w:szCs w:val="18"/>
                <w:color w:val="auto"/>
              </w:rPr>
              <w:t>Plus: Amount attributable to participating securities</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w w:val="99"/>
              </w:rPr>
              <w:t>Diluted income from continuing operations attributable to The Washington Post Company common</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46,987</w:t>
            </w: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101,496</w:t>
            </w: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63,954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155,263</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820" w:type="dxa"/>
            <w:vAlign w:val="bottom"/>
            <w:gridSpan w:val="2"/>
          </w:tcPr>
          <w:p>
            <w:pPr>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7,852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9,126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7,949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shares: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Stock options and restricted stock</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9,217</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w w:val="96"/>
              </w:rPr>
              <w:t>Income per share from continuing operations attributable to The Washington Post Company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diluted earnings per share amounts for the second quarter of 2011 and the first six months of 2011 exclude the effects of 89,850 and 79,850 stock options outstanding, respectively, as their inclusion would have been antidilutive. The diluted earnings per share amounts for the second quarter of 2010 and the first six months of 2010 exclude the effects of 51,275 stock options outstanding, as their inclusion would have been antidilutive.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 the second quarter and the first six months of 2011, the Company declared regular dividends totaling $2.35 and $7.05 per share,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Pension and Postretirement Plans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Defined Benefit Plans</w:t>
      </w:r>
      <w:r>
        <w:rPr>
          <w:rFonts w:ascii="Arial" w:cs="Arial" w:eastAsia="Arial" w:hAnsi="Arial"/>
          <w:sz w:val="15"/>
          <w:szCs w:val="15"/>
          <w:color w:val="auto"/>
        </w:rPr>
        <w:t>. The total benefit arising from the Company’s defined benefit pension plans for the second quarter and six months ended July 3, 2011 and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July 4, 2010, included in income from continuing operations, consists of the following components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7"/>
          </w:tcPr>
          <w:p>
            <w:pPr>
              <w:jc w:val="right"/>
              <w:ind w:right="700"/>
              <w:spacing w:after="0" w:line="142" w:lineRule="exact"/>
              <w:rPr>
                <w:sz w:val="20"/>
                <w:szCs w:val="20"/>
                <w:color w:val="auto"/>
              </w:rPr>
            </w:pPr>
            <w:r>
              <w:rPr>
                <w:rFonts w:ascii="Arial" w:cs="Arial" w:eastAsia="Arial" w:hAnsi="Arial"/>
                <w:sz w:val="14"/>
                <w:szCs w:val="14"/>
                <w:b w:val="1"/>
                <w:bCs w:val="1"/>
                <w:color w:val="auto"/>
                <w:w w:val="94"/>
              </w:rPr>
              <w:t>Thirteen Weeks Ended</w:t>
            </w:r>
          </w:p>
        </w:tc>
        <w:tc>
          <w:tcPr>
            <w:tcW w:w="100" w:type="dxa"/>
            <w:vAlign w:val="bottom"/>
          </w:tcPr>
          <w:p>
            <w:pPr>
              <w:spacing w:after="0"/>
              <w:rPr>
                <w:sz w:val="12"/>
                <w:szCs w:val="12"/>
                <w:color w:val="auto"/>
              </w:rPr>
            </w:pPr>
          </w:p>
        </w:tc>
        <w:tc>
          <w:tcPr>
            <w:tcW w:w="1680" w:type="dxa"/>
            <w:vAlign w:val="bottom"/>
            <w:gridSpan w:val="4"/>
          </w:tcPr>
          <w:p>
            <w:pPr>
              <w:jc w:val="right"/>
              <w:ind w:right="76"/>
              <w:spacing w:after="0" w:line="142" w:lineRule="exact"/>
              <w:rPr>
                <w:sz w:val="20"/>
                <w:szCs w:val="20"/>
                <w:color w:val="auto"/>
              </w:rPr>
            </w:pPr>
            <w:r>
              <w:rPr>
                <w:rFonts w:ascii="Arial" w:cs="Arial" w:eastAsia="Arial" w:hAnsi="Arial"/>
                <w:sz w:val="14"/>
                <w:szCs w:val="14"/>
                <w:b w:val="1"/>
                <w:bCs w:val="1"/>
                <w:color w:val="auto"/>
                <w:w w:val="88"/>
              </w:rPr>
              <w:t>Twenty-Six Weeks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w w:val="91"/>
              </w:rPr>
              <w:t>July 3,</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w w:val="91"/>
              </w:rPr>
              <w:t>July 4,</w:t>
            </w: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91"/>
              </w:rPr>
              <w:t>July 3,</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87"/>
              </w:rPr>
              <w:t>July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2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14,964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14,993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30,069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30,187</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(24,064)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(23,688)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(47,553)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(47,711)</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Net periodic benefit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(1,458)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Early retirement programs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Total benefit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(1,458)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(1,317)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total cost arising from the Company’s Supplemental Executive Retirement Plan (SERP) for the second quarter and six months ended July 3, 2011 and July 4, 2010, including a portion included in income from discontinued operations, consists of the following components (in thousands):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SERP</w:t>
            </w: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6"/>
          </w:tcPr>
          <w:p>
            <w:pPr>
              <w:jc w:val="right"/>
              <w:ind w:right="400"/>
              <w:spacing w:after="0" w:line="129" w:lineRule="exact"/>
              <w:rPr>
                <w:sz w:val="20"/>
                <w:szCs w:val="20"/>
                <w:color w:val="auto"/>
              </w:rPr>
            </w:pPr>
            <w:r>
              <w:rPr>
                <w:rFonts w:ascii="Arial" w:cs="Arial" w:eastAsia="Arial" w:hAnsi="Arial"/>
                <w:sz w:val="14"/>
                <w:szCs w:val="14"/>
                <w:b w:val="1"/>
                <w:bCs w:val="1"/>
                <w:color w:val="auto"/>
              </w:rPr>
              <w:t>Thirteen Weeks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ind w:left="4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52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rPr>
              <w:t>July 3,</w:t>
            </w:r>
          </w:p>
        </w:tc>
        <w:tc>
          <w:tcPr>
            <w:tcW w:w="4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July 4,</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w w:val="87"/>
              </w:rPr>
              <w:t>July 3,</w:t>
            </w: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w w:val="91"/>
              </w:rPr>
              <w:t>July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1,084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2,168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1,756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Defined Benefit Plan Assets</w:t>
      </w:r>
      <w:r>
        <w:rPr>
          <w:rFonts w:ascii="Arial" w:cs="Arial" w:eastAsia="Arial" w:hAnsi="Arial"/>
          <w:sz w:val="18"/>
          <w:szCs w:val="18"/>
          <w:color w:val="auto"/>
        </w:rPr>
        <w:t>. The Company’s defined benefit pension obligations are funded by a portfolio made up of a relatively small number of stocks and</w:t>
      </w:r>
      <w:r>
        <w:rPr>
          <w:rFonts w:ascii="Arial" w:cs="Arial" w:eastAsia="Arial" w:hAnsi="Arial"/>
          <w:sz w:val="18"/>
          <w:szCs w:val="18"/>
          <w:b w:val="1"/>
          <w:bCs w:val="1"/>
          <w:color w:val="auto"/>
        </w:rPr>
        <w:t xml:space="preserve"> </w:t>
      </w:r>
      <w:r>
        <w:rPr>
          <w:rFonts w:ascii="Arial" w:cs="Arial" w:eastAsia="Arial" w:hAnsi="Arial"/>
          <w:sz w:val="18"/>
          <w:szCs w:val="18"/>
          <w:color w:val="auto"/>
        </w:rPr>
        <w:t>high-quality fixed-income securities that are held by a third-party trustee. As of June 30, 2011 and December 31, 2010, the assets of the Company’s pension plans were allocated as follows:</w:t>
      </w:r>
    </w:p>
    <w:p>
      <w:pPr>
        <w:spacing w:after="0" w:line="17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7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Pension Plan Asset Allocations</w:t>
            </w: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1580" w:type="dxa"/>
            <w:vAlign w:val="bottom"/>
            <w:tcBorders>
              <w:top w:val="single" w:sz="8" w:color="auto"/>
            </w:tcBorders>
            <w:gridSpan w:val="2"/>
          </w:tcPr>
          <w:p>
            <w:pPr>
              <w:jc w:val="center"/>
              <w:ind w:right="1020"/>
              <w:spacing w:after="0" w:line="129" w:lineRule="exact"/>
              <w:rPr>
                <w:sz w:val="20"/>
                <w:szCs w:val="20"/>
                <w:color w:val="auto"/>
              </w:rPr>
            </w:pPr>
            <w:r>
              <w:rPr>
                <w:rFonts w:ascii="Arial" w:cs="Arial" w:eastAsia="Arial" w:hAnsi="Arial"/>
                <w:sz w:val="14"/>
                <w:szCs w:val="14"/>
                <w:b w:val="1"/>
                <w:bCs w:val="1"/>
                <w:color w:val="auto"/>
                <w:w w:val="85"/>
              </w:rPr>
              <w:t>June 30,</w:t>
            </w:r>
          </w:p>
        </w:tc>
        <w:tc>
          <w:tcPr>
            <w:tcW w:w="96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2011</w:t>
            </w:r>
          </w:p>
        </w:tc>
        <w:tc>
          <w:tcPr>
            <w:tcW w:w="10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equities</w:t>
            </w: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U.S. fixed income</w:t>
            </w: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12%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equities</w:t>
            </w: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23%</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In June 2011, the Company increased the limit on international stocks to no more than 24% of the assets at the time of the investment. None of the assets is managed internally by the Company.</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Company evaluated its defined benefit pension plan asset portfolio for the existence of significant concentrations (defined as greater than 10% of plan assets) of credit risk as of June 30, 2011. Types of concentrations that were evaluated include, but are not limited to, investment concentrations in a single entity, type of industry, foreign country and individual fund. At June 30, 2011 the Company held common stock in one investment which exceeded 10% of total plan assets.</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This investment was valued at $247.5 million and $134.8 million at June 30, 2011 and December 31, 2010, respectively, or approximately 14% and 8%, respectively, of total plan assets. Assets also included $155.8 million and $161.6 million of Berkshire Hathaway Class A and Class B common stock at June 30, 2011 and December 31, 2010, respectively. At June 30, 2011 the Company held investments in one foreign country which exceeded 10% of total plan assets. These investments were valued at $270.7 million and $155.0 million at June 30, 2011 and December 31, 2010, respectively, or approximately 15% and 9%, respectively, of total plan assets.</w:t>
      </w:r>
    </w:p>
    <w:p>
      <w:pPr>
        <w:spacing w:after="0" w:line="139"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b w:val="1"/>
          <w:bCs w:val="1"/>
          <w:color w:val="auto"/>
        </w:rPr>
        <w:t>Other Postretirement Plans</w:t>
      </w:r>
      <w:r>
        <w:rPr>
          <w:rFonts w:ascii="Arial" w:cs="Arial" w:eastAsia="Arial" w:hAnsi="Arial"/>
          <w:sz w:val="16"/>
          <w:szCs w:val="16"/>
          <w:color w:val="auto"/>
        </w:rPr>
        <w:t>. The total (benefit) cost arising from the Company’s other postretirement plans for the second quarter and six months ended July 3,</w:t>
      </w:r>
      <w:r>
        <w:rPr>
          <w:rFonts w:ascii="Arial" w:cs="Arial" w:eastAsia="Arial" w:hAnsi="Arial"/>
          <w:sz w:val="16"/>
          <w:szCs w:val="16"/>
          <w:b w:val="1"/>
          <w:bCs w:val="1"/>
          <w:color w:val="auto"/>
        </w:rPr>
        <w:t xml:space="preserve"> </w:t>
      </w:r>
      <w:r>
        <w:rPr>
          <w:rFonts w:ascii="Arial" w:cs="Arial" w:eastAsia="Arial" w:hAnsi="Arial"/>
          <w:sz w:val="16"/>
          <w:szCs w:val="16"/>
          <w:color w:val="auto"/>
        </w:rPr>
        <w:t>2011 and July 4, 2010, including a portion included in income from discontinued operations, consists of the following components (in thousands):</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4"/>
              </w:rPr>
              <w:t>Postretirement Plans</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5"/>
          </w:tcPr>
          <w:p>
            <w:pPr>
              <w:jc w:val="right"/>
              <w:ind w:right="760"/>
              <w:spacing w:after="0" w:line="142" w:lineRule="exact"/>
              <w:rPr>
                <w:sz w:val="20"/>
                <w:szCs w:val="20"/>
                <w:color w:val="auto"/>
              </w:rPr>
            </w:pPr>
            <w:r>
              <w:rPr>
                <w:rFonts w:ascii="Arial" w:cs="Arial" w:eastAsia="Arial" w:hAnsi="Arial"/>
                <w:sz w:val="14"/>
                <w:szCs w:val="14"/>
                <w:b w:val="1"/>
                <w:bCs w:val="1"/>
                <w:color w:val="auto"/>
                <w:w w:val="94"/>
              </w:rPr>
              <w:t>Thirteen Weeks Ended</w:t>
            </w:r>
          </w:p>
        </w:tc>
        <w:tc>
          <w:tcPr>
            <w:tcW w:w="80" w:type="dxa"/>
            <w:vAlign w:val="bottom"/>
          </w:tcPr>
          <w:p>
            <w:pPr>
              <w:spacing w:after="0"/>
              <w:rPr>
                <w:sz w:val="12"/>
                <w:szCs w:val="12"/>
                <w:color w:val="auto"/>
              </w:rPr>
            </w:pPr>
          </w:p>
        </w:tc>
        <w:tc>
          <w:tcPr>
            <w:tcW w:w="1580" w:type="dxa"/>
            <w:vAlign w:val="bottom"/>
            <w:gridSpan w:val="5"/>
          </w:tcPr>
          <w:p>
            <w:pPr>
              <w:jc w:val="right"/>
              <w:ind w:right="16"/>
              <w:spacing w:after="0" w:line="142" w:lineRule="exact"/>
              <w:rPr>
                <w:sz w:val="20"/>
                <w:szCs w:val="20"/>
                <w:color w:val="auto"/>
              </w:rPr>
            </w:pPr>
            <w:r>
              <w:rPr>
                <w:rFonts w:ascii="Arial" w:cs="Arial" w:eastAsia="Arial" w:hAnsi="Arial"/>
                <w:sz w:val="14"/>
                <w:szCs w:val="14"/>
                <w:b w:val="1"/>
                <w:bCs w:val="1"/>
                <w:color w:val="auto"/>
                <w:w w:val="86"/>
              </w:rPr>
              <w:t>Twenty-Six Weeks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82"/>
              </w:rPr>
              <w:t>July 3,</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w w:val="82"/>
              </w:rPr>
              <w:t>July 4,</w:t>
            </w:r>
          </w:p>
        </w:tc>
        <w:tc>
          <w:tcPr>
            <w:tcW w:w="560" w:type="dxa"/>
            <w:vAlign w:val="bottom"/>
          </w:tcPr>
          <w:p>
            <w:pPr>
              <w:spacing w:after="0"/>
              <w:rPr>
                <w:sz w:val="11"/>
                <w:szCs w:val="11"/>
                <w:color w:val="auto"/>
              </w:rPr>
            </w:pPr>
          </w:p>
        </w:tc>
        <w:tc>
          <w:tcPr>
            <w:tcW w:w="860" w:type="dxa"/>
            <w:vAlign w:val="bottom"/>
            <w:tcBorders>
              <w:top w:val="single" w:sz="8" w:color="auto"/>
            </w:tcBorders>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rPr>
              <w:t>July 3,</w:t>
            </w: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rPr>
              <w:t>July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6"/>
              </w:rPr>
              <w:t>2011</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2010</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Interest cost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1,531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(1,412)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(1,288)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(2,825)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periodic (benefit) cost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440"/>
        <w:spacing w:after="0" w:line="262" w:lineRule="auto"/>
        <w:rPr>
          <w:sz w:val="20"/>
          <w:szCs w:val="20"/>
          <w:color w:val="auto"/>
        </w:rPr>
      </w:pPr>
      <w:r>
        <w:rPr>
          <w:rFonts w:ascii="Arial" w:cs="Arial" w:eastAsia="Arial" w:hAnsi="Arial"/>
          <w:sz w:val="18"/>
          <w:szCs w:val="18"/>
          <w:b w:val="1"/>
          <w:bCs w:val="1"/>
          <w:color w:val="auto"/>
        </w:rPr>
        <w:t>Multiemployer Pension Plans</w:t>
      </w:r>
      <w:r>
        <w:rPr>
          <w:rFonts w:ascii="Arial" w:cs="Arial" w:eastAsia="Arial" w:hAnsi="Arial"/>
          <w:sz w:val="18"/>
          <w:szCs w:val="18"/>
          <w:color w:val="auto"/>
        </w:rPr>
        <w:t>. In July 2010, the Washington Post notified the union and the CWA-ITU Negotiated Pension Plan (the Plan) of its unilateral</w:t>
      </w:r>
      <w:r>
        <w:rPr>
          <w:rFonts w:ascii="Arial" w:cs="Arial" w:eastAsia="Arial" w:hAnsi="Arial"/>
          <w:sz w:val="18"/>
          <w:szCs w:val="18"/>
          <w:b w:val="1"/>
          <w:bCs w:val="1"/>
          <w:color w:val="auto"/>
        </w:rPr>
        <w:t xml:space="preserve"> </w:t>
      </w:r>
      <w:r>
        <w:rPr>
          <w:rFonts w:ascii="Arial" w:cs="Arial" w:eastAsia="Arial" w:hAnsi="Arial"/>
          <w:sz w:val="18"/>
          <w:szCs w:val="18"/>
          <w:color w:val="auto"/>
        </w:rPr>
        <w:t>withdrawal from the Plan effective November 30, 2010. In connection with this action, The Washington Post recorded a $17.7 million charge in the second quarter of 2010 based on an estimate of the withdrawal liability.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Non-Operating (Expense) Income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(expense) income for the thirteen and twenty-six weeks ended July 3, 2011 and July 4, 2010, is as follows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87"/>
              </w:rPr>
              <w:t>Thirteen Weeks Ended</w:t>
            </w:r>
          </w:p>
        </w:tc>
        <w:tc>
          <w:tcPr>
            <w:tcW w:w="160" w:type="dxa"/>
            <w:vAlign w:val="bottom"/>
          </w:tcPr>
          <w:p>
            <w:pPr>
              <w:spacing w:after="0"/>
              <w:rPr>
                <w:sz w:val="14"/>
                <w:szCs w:val="14"/>
                <w:color w:val="auto"/>
              </w:rPr>
            </w:pPr>
          </w:p>
        </w:tc>
        <w:tc>
          <w:tcPr>
            <w:tcW w:w="17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0"/>
              </w:rPr>
              <w:t>Twenty-Six Weeks Ended</w:t>
            </w:r>
          </w:p>
        </w:tc>
        <w:tc>
          <w:tcPr>
            <w:tcW w:w="0" w:type="dxa"/>
            <w:vAlign w:val="bottom"/>
          </w:tcPr>
          <w:p>
            <w:pPr>
              <w:spacing w:after="0"/>
              <w:rPr>
                <w:sz w:val="1"/>
                <w:szCs w:val="1"/>
                <w:color w:val="auto"/>
              </w:rPr>
            </w:pPr>
          </w:p>
        </w:tc>
      </w:tr>
      <w:tr>
        <w:trPr>
          <w:trHeight w:val="129"/>
        </w:trPr>
        <w:tc>
          <w:tcPr>
            <w:tcW w:w="6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w w:val="82"/>
              </w:rPr>
              <w:t>July 3,</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w w:val="82"/>
              </w:rPr>
              <w:t>July 4,</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July 3,</w:t>
            </w: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rPr>
              <w:t>July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2011</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820" w:type="dxa"/>
            <w:vAlign w:val="bottom"/>
            <w:gridSpan w:val="2"/>
          </w:tcPr>
          <w:p>
            <w:pPr>
              <w:jc w:val="right"/>
              <w:ind w:right="126"/>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Impairment write-down on a marketable equity security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(30,696)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Foreign currency gains (losses), net</w:t>
            </w:r>
          </w:p>
        </w:tc>
        <w:tc>
          <w:tcPr>
            <w:tcW w:w="10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(3,751)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(7,099)</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cost method investments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Impairment write-down on a cost method investment</w:t>
            </w:r>
          </w:p>
        </w:tc>
        <w:tc>
          <w:tcPr>
            <w:tcW w:w="10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w w:val="87"/>
              </w:rPr>
              <w:t>(3,148)</w:t>
            </w:r>
          </w:p>
        </w:tc>
        <w:tc>
          <w:tcPr>
            <w:tcW w:w="10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(3,148)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w w:val="87"/>
              </w:rPr>
              <w:t>(2,591)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(3,807)</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(26,623)</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(7,128)</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Legal Matters.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is involved in various legal proceedings that arise in the ordinary course of its business. Although the outcome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w:t>
      </w:r>
    </w:p>
    <w:p>
      <w:pPr>
        <w:spacing w:after="0" w:line="10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Also, based on currently available information, management is of the opinion that the exposure to future material losses from existing legal proceedings is not reasonably possible, or that future material losses in excess of the amounts accrued are not reasonably possible.</w:t>
      </w:r>
    </w:p>
    <w:p>
      <w:pPr>
        <w:spacing w:after="0" w:line="13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On July 22, 2011, Kaplan Higher Education finalized a comprehensive agreement to terminate the pending inquiries and related matters involving the Surgical Technology program previously offered at its CHI-Broomall campus in Broomall, Pennsylvania. The Surgical Technology program at CHI-Broomall ceased enrolling students in 2008. The agreement: (a) concludes the inquiry by the Assistant U.S. Attorney in the Civil Division of the U.S. Attorney’s Office for the Eastern District of Pennsylvania into the Surgical Technology program previously offered at the CHI-Broomall campus; (b)</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concludes, but for the issuance of a final determination, the program review by the U.S. Department of Education into that Surgical Technology program and the CHI-Broomall campus; and (c) fully resolves and dismisses with prejudice a previously-sealed federal False Claims Act complaint relating to that Surgical Technology program, which had been filed by a former employee. The agreement terminates each of these matters without any admission of wrongdoing. The total amount of all required payments by CHI-Broomall under the agreement is $1.6 million. On July 22, 2011, the U.S. Attorney’s Office for the Eastern District of Pennsylvania filed a motion in the U.S. District Court for the Eastern District of Pennsylvania, in the previously-sealed case captioned </w:t>
      </w:r>
      <w:r>
        <w:rPr>
          <w:rFonts w:ascii="Arial" w:cs="Arial" w:eastAsia="Arial" w:hAnsi="Arial"/>
          <w:sz w:val="16"/>
          <w:szCs w:val="16"/>
          <w:i w:val="1"/>
          <w:iCs w:val="1"/>
          <w:color w:val="auto"/>
        </w:rPr>
        <w:t>United States ex rel.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Goodstein v. Kaplan, Inc. et al. </w:t>
      </w:r>
      <w:r>
        <w:rPr>
          <w:rFonts w:ascii="Arial" w:cs="Arial" w:eastAsia="Arial" w:hAnsi="Arial"/>
          <w:sz w:val="16"/>
          <w:szCs w:val="16"/>
          <w:color w:val="auto"/>
        </w:rPr>
        <w:t>(No. 07-1491), seeking to unseal the case docket, along with a notice of intervention in the case solely for the purpose of resolving</w:t>
      </w:r>
      <w:r>
        <w:rPr>
          <w:rFonts w:ascii="Arial" w:cs="Arial" w:eastAsia="Arial" w:hAnsi="Arial"/>
          <w:sz w:val="16"/>
          <w:szCs w:val="16"/>
          <w:i w:val="1"/>
          <w:iCs w:val="1"/>
          <w:color w:val="auto"/>
        </w:rPr>
        <w:t xml:space="preserve"> </w:t>
      </w:r>
      <w:r>
        <w:rPr>
          <w:rFonts w:ascii="Arial" w:cs="Arial" w:eastAsia="Arial" w:hAnsi="Arial"/>
          <w:sz w:val="16"/>
          <w:szCs w:val="16"/>
          <w:color w:val="auto"/>
        </w:rPr>
        <w:t>and dismissing the case pursuant to the agreement described above.</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July 20, 2011, the Company received a subpoena from the office of the Delaware Attorney General, seeking information about Delaware residents who attended Kaplan Higher Education schools from 2006 to 2010. Kaplan intends to cooperate with the Delaware Attorney General in connection with the subpoena and any further actions that may occur.</w:t>
      </w:r>
    </w:p>
    <w:p>
      <w:pPr>
        <w:spacing w:after="0" w:line="134"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auto"/>
        </w:rPr>
        <w:t xml:space="preserve">DOE Program Reviews. </w:t>
      </w:r>
      <w:r>
        <w:rPr>
          <w:rFonts w:ascii="Arial" w:cs="Arial" w:eastAsia="Arial" w:hAnsi="Arial"/>
          <w:sz w:val="16"/>
          <w:szCs w:val="16"/>
          <w:color w:val="auto"/>
        </w:rPr>
        <w:t>The U.S. Department of Education (DOE) has undertaken Program Reviews at various Kaplan Higher Education (KHE) campus</w:t>
      </w:r>
      <w:r>
        <w:rPr>
          <w:rFonts w:ascii="Arial" w:cs="Arial" w:eastAsia="Arial" w:hAnsi="Arial"/>
          <w:sz w:val="16"/>
          <w:szCs w:val="16"/>
          <w:b w:val="1"/>
          <w:bCs w:val="1"/>
          <w:color w:val="auto"/>
        </w:rPr>
        <w:t xml:space="preserve"> </w:t>
      </w:r>
      <w:r>
        <w:rPr>
          <w:rFonts w:ascii="Arial" w:cs="Arial" w:eastAsia="Arial" w:hAnsi="Arial"/>
          <w:sz w:val="16"/>
          <w:szCs w:val="16"/>
          <w:color w:val="auto"/>
        </w:rPr>
        <w:t>locations and at Kaplan University. Currently, there are six pending Program Reviews, including two that are scheduled to take place before the end of the third quarter of 2011. Therefore, the results of these open reviews and their impact on Kaplan’s operations are uncertain.</w:t>
      </w:r>
    </w:p>
    <w:p>
      <w:pPr>
        <w:spacing w:after="0" w:line="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Texas Workforce Commission Notification</w:t>
      </w:r>
      <w:r>
        <w:rPr>
          <w:rFonts w:ascii="Arial" w:cs="Arial" w:eastAsia="Arial" w:hAnsi="Arial"/>
          <w:sz w:val="18"/>
          <w:szCs w:val="18"/>
          <w:color w:val="auto"/>
        </w:rPr>
        <w:t>. On July 18, 2011, the Texas Workforce Commission (TWC) notified KHE that 10 programs at 9 Texas campuses</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placed on “conditional approval” status due to unsatisfactory placement rates. These campuses will be required to report placement rates from September 1, 2010 through August 31, 2011 for these programs to the TWC on December 1, 2011; programs for which the placement rate falls below 60% may be subject to a hold on accepting new enrollments, which most likely would take effect in the first quarter of 2012. There are approximately 550 students enrolled in these programs.</w:t>
      </w:r>
    </w:p>
    <w:p>
      <w:pPr>
        <w:spacing w:after="0" w:line="13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The UK Border Agency issued revised immigration rules which became operational on April 21, 2011. Students from outside the European Economic</w:t>
      </w:r>
      <w:r>
        <w:rPr>
          <w:rFonts w:ascii="Arial" w:cs="Arial" w:eastAsia="Arial" w:hAnsi="Arial"/>
          <w:sz w:val="16"/>
          <w:szCs w:val="16"/>
          <w:b w:val="1"/>
          <w:bCs w:val="1"/>
          <w:color w:val="auto"/>
        </w:rPr>
        <w:t xml:space="preserve"> </w:t>
      </w:r>
      <w:r>
        <w:rPr>
          <w:rFonts w:ascii="Arial" w:cs="Arial" w:eastAsia="Arial" w:hAnsi="Arial"/>
          <w:sz w:val="16"/>
          <w:szCs w:val="16"/>
          <w:color w:val="auto"/>
        </w:rPr>
        <w:t>Area (EEA) and Switzerland who were issued a Confirmation of Acceptance for Studies (CAS) after July 4, 2011 will be given permission to work part-time during their studies only if they attend an institution which qualifies as a “Higher Education Institution” (HEI). Many of the Kaplan UK international students currently work part-time. Kaplan UK is not in receipt of public funding for the courses upon which international students study and, therefore, does not qualify as an HEI. Also, certain Kaplan UK schools have gained, applied for or are in the process of applying for Highly Trusted Sponsor status (HTS). Without HTS, these schools cannot issue CASs to potential incoming international students starting in April 2012. These rules have the potential to adversely impact the number of international students studying at Kaplan UK.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96" w:lineRule="exact"/>
        <w:rPr>
          <w:sz w:val="20"/>
          <w:szCs w:val="20"/>
          <w:color w:val="auto"/>
        </w:rPr>
      </w:pPr>
    </w:p>
    <w:p>
      <w:pPr>
        <w:jc w:val="both"/>
        <w:ind w:right="460"/>
        <w:spacing w:after="0" w:line="305" w:lineRule="auto"/>
        <w:rPr>
          <w:sz w:val="20"/>
          <w:szCs w:val="20"/>
          <w:color w:val="auto"/>
        </w:rPr>
      </w:pPr>
      <w:r>
        <w:rPr>
          <w:rFonts w:ascii="Arial" w:cs="Arial" w:eastAsia="Arial" w:hAnsi="Arial"/>
          <w:sz w:val="15"/>
          <w:szCs w:val="15"/>
          <w:color w:val="auto"/>
        </w:rPr>
        <w:t>Fair value measurements are determined based on the assumptions that a market participant would use in pricing an asset or liability based on a three-tiered hierarchy that draws a distinction between market participant assumptions based on (i) observable inputs, such as quoted prices in active markets (Level 1);</w:t>
      </w:r>
    </w:p>
    <w:p>
      <w:pPr>
        <w:ind w:right="180" w:firstLine="8"/>
        <w:spacing w:after="0" w:line="253"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At July 3, 2011:</w:t>
            </w:r>
          </w:p>
        </w:tc>
        <w:tc>
          <w:tcPr>
            <w:tcW w:w="3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Assets:</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investments</w:t>
            </w:r>
            <w:r>
              <w:rPr>
                <w:rFonts w:ascii="Arial" w:cs="Arial" w:eastAsia="Arial" w:hAnsi="Arial"/>
                <w:sz w:val="11"/>
                <w:szCs w:val="11"/>
                <w:color w:val="auto"/>
              </w:rPr>
              <w:t>(1)</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100,324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Marketable equity securities</w:t>
            </w:r>
            <w:r>
              <w:rPr>
                <w:rFonts w:ascii="Arial" w:cs="Arial" w:eastAsia="Arial" w:hAnsi="Arial"/>
                <w:sz w:val="11"/>
                <w:szCs w:val="11"/>
                <w:color w:val="auto"/>
              </w:rPr>
              <w:t>(3)</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325,805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325,805</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investments</w:t>
            </w:r>
            <w:r>
              <w:rPr>
                <w:rFonts w:ascii="Arial" w:cs="Arial" w:eastAsia="Arial" w:hAnsi="Arial"/>
                <w:sz w:val="11"/>
                <w:szCs w:val="11"/>
                <w:color w:val="auto"/>
              </w:rPr>
              <w:t>(4)</w:t>
            </w:r>
          </w:p>
        </w:tc>
        <w:tc>
          <w:tcPr>
            <w:tcW w:w="3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40,335</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14,529</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tcPr>
          <w:p>
            <w:pPr>
              <w:ind w:left="440"/>
              <w:spacing w:after="0"/>
              <w:rPr>
                <w:sz w:val="20"/>
                <w:szCs w:val="20"/>
                <w:color w:val="auto"/>
              </w:rPr>
            </w:pPr>
            <w:r>
              <w:rPr>
                <w:rFonts w:ascii="Arial" w:cs="Arial" w:eastAsia="Arial" w:hAnsi="Arial"/>
                <w:sz w:val="18"/>
                <w:szCs w:val="18"/>
                <w:color w:val="auto"/>
              </w:rPr>
              <w:t>Total financial assets</w:t>
            </w:r>
          </w:p>
        </w:tc>
        <w:tc>
          <w:tcPr>
            <w:tcW w:w="3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466,464</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340,334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11"/>
                <w:szCs w:val="11"/>
                <w:color w:val="auto"/>
              </w:rPr>
              <w:t>(5)</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65,941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7.25% unsecured notes</w:t>
            </w:r>
            <w:r>
              <w:rPr>
                <w:rFonts w:ascii="Arial" w:cs="Arial" w:eastAsia="Arial" w:hAnsi="Arial"/>
                <w:sz w:val="11"/>
                <w:szCs w:val="11"/>
                <w:color w:val="auto"/>
              </w:rPr>
              <w:t>(6)</w:t>
            </w:r>
          </w:p>
        </w:tc>
        <w:tc>
          <w:tcPr>
            <w:tcW w:w="3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463,080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463,080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20" w:type="dxa"/>
            <w:vAlign w:val="bottom"/>
          </w:tcPr>
          <w:p>
            <w:pPr>
              <w:ind w:left="440"/>
              <w:spacing w:after="0"/>
              <w:rPr>
                <w:sz w:val="20"/>
                <w:szCs w:val="20"/>
                <w:color w:val="auto"/>
              </w:rPr>
            </w:pPr>
            <w:r>
              <w:rPr>
                <w:rFonts w:ascii="Arial" w:cs="Arial" w:eastAsia="Arial" w:hAnsi="Arial"/>
                <w:sz w:val="18"/>
                <w:szCs w:val="18"/>
                <w:color w:val="auto"/>
              </w:rPr>
              <w:t>Total financial liabilities</w:t>
            </w:r>
          </w:p>
        </w:tc>
        <w:tc>
          <w:tcPr>
            <w:tcW w:w="3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529,021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529,021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580" w:type="dxa"/>
            <w:vAlign w:val="bottom"/>
            <w:vMerge w:val="restart"/>
          </w:tcPr>
          <w:p>
            <w:pPr>
              <w:jc w:val="right"/>
              <w:ind w:right="2172"/>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r>
      <w:tr>
        <w:trPr>
          <w:trHeight w:val="196"/>
        </w:trPr>
        <w:tc>
          <w:tcPr>
            <w:tcW w:w="460" w:type="dxa"/>
            <w:vAlign w:val="bottom"/>
          </w:tcPr>
          <w:p>
            <w:pPr>
              <w:spacing w:after="0"/>
              <w:rPr>
                <w:sz w:val="17"/>
                <w:szCs w:val="17"/>
                <w:color w:val="auto"/>
              </w:rPr>
            </w:pPr>
          </w:p>
        </w:tc>
        <w:tc>
          <w:tcPr>
            <w:tcW w:w="76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At January 2, 2011:</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Money market investments </w:t>
            </w:r>
            <w:r>
              <w:rPr>
                <w:rFonts w:ascii="Arial" w:cs="Arial" w:eastAsia="Arial" w:hAnsi="Arial"/>
                <w:sz w:val="11"/>
                <w:szCs w:val="11"/>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308,927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308,927</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Marketable equity securities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340,910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340,910</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investments</w:t>
            </w:r>
            <w:r>
              <w:rPr>
                <w:rFonts w:ascii="Arial" w:cs="Arial" w:eastAsia="Arial" w:hAnsi="Arial"/>
                <w:sz w:val="11"/>
                <w:szCs w:val="11"/>
                <w:color w:val="auto"/>
              </w:rPr>
              <w:t>(4)</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11,835</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21,005</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7600" w:type="dxa"/>
            <w:vAlign w:val="bottom"/>
            <w:gridSpan w:val="2"/>
          </w:tcPr>
          <w:p>
            <w:pPr>
              <w:ind w:left="440"/>
              <w:spacing w:after="0"/>
              <w:rPr>
                <w:sz w:val="20"/>
                <w:szCs w:val="20"/>
                <w:color w:val="auto"/>
              </w:rPr>
            </w:pPr>
            <w:r>
              <w:rPr>
                <w:rFonts w:ascii="Arial" w:cs="Arial" w:eastAsia="Arial" w:hAnsi="Arial"/>
                <w:sz w:val="18"/>
                <w:szCs w:val="18"/>
                <w:color w:val="auto"/>
              </w:rPr>
              <w:t>Total financial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682,677</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352,745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329,932</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11"/>
                <w:szCs w:val="11"/>
                <w:color w:val="auto"/>
              </w:rPr>
              <w:t>(5)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69,226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69,226</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7.25% unsecured notes</w:t>
            </w:r>
            <w:r>
              <w:rPr>
                <w:rFonts w:ascii="Arial" w:cs="Arial" w:eastAsia="Arial" w:hAnsi="Arial"/>
                <w:sz w:val="11"/>
                <w:szCs w:val="11"/>
                <w:color w:val="auto"/>
              </w:rPr>
              <w:t>(6)</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457,200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457,200</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7600" w:type="dxa"/>
            <w:vAlign w:val="bottom"/>
            <w:gridSpan w:val="2"/>
          </w:tcPr>
          <w:p>
            <w:pPr>
              <w:ind w:left="440"/>
              <w:spacing w:after="0"/>
              <w:rPr>
                <w:sz w:val="20"/>
                <w:szCs w:val="20"/>
                <w:color w:val="auto"/>
              </w:rPr>
            </w:pPr>
            <w:r>
              <w:rPr>
                <w:rFonts w:ascii="Arial" w:cs="Arial" w:eastAsia="Arial" w:hAnsi="Arial"/>
                <w:sz w:val="18"/>
                <w:szCs w:val="18"/>
                <w:color w:val="auto"/>
              </w:rPr>
              <w:t>Total financial liabilities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526,426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526,426</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money market investments at July 3, 2011 are included in cash and cash equivalents.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money market investments at January 2, 2011 are included in cash, cash equivalents and restricted cash.</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investments in marketable equity securities are classified as available-for-sale.</w:t>
      </w:r>
    </w:p>
    <w:p>
      <w:pPr>
        <w:spacing w:after="0" w:line="9"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U.S. Government Securities, corporate bonds, mutual funds and time deposits (with original maturities greater than 90 days, but less than one year).</w:t>
      </w:r>
    </w:p>
    <w:p>
      <w:pPr>
        <w:ind w:left="460" w:right="52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The Washington Post Company Deferred Compensation Plan and supplemental savings plan benefits under The Washington Post Company Supplemental Executive Retirement Plan, which are included in accrued compensation and related benefits.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Note 6 for the carrying amount of these notes.</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Segments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Through its subsidiary Kaplan, Inc., the Company provides educational services for individuals, schools and businesses. The Company also operates principally in three areas of the media business: cable television, newspaper publishing and television broadcasting.</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first quarter of 2011, Kaplan made several changes to its operating and reporting structure. Kaplan’s domestic professional training business was moved from Test Preparation to Kaplan Higher Education and Kaplan Continuing Education moved from Kaplan Ventures to Kaplan Higher Education. These businesses were integrated with Kaplan University to become part of the Kaplan University School of Continuing and Professional Education. Also, Kaplan sold Kaplan Virtual Education in July 2011 and Education Connection in April 2010; therefore, the education division’s operating results exclude these businesses. Segment operating results of the education division have been restated to reflect these changes.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Cable television operations consist of cable systems offering video, Internet, phone and other services to subscribers in midwestern, western and southern states.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source of revenue is monthly subscription fees charged for services.</w:t>
      </w:r>
    </w:p>
    <w:p>
      <w:pPr>
        <w:spacing w:after="0" w:line="16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 newsprint warehousing; and the Company’s electronic media publishing business (primarily washingtonpost.com and Slate). Revenues from newspaper publishing operations are derived from advertising and, to a lesser extent, from circulation.</w:t>
      </w:r>
    </w:p>
    <w:p>
      <w:pPr>
        <w:spacing w:after="0" w:line="14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include the operating results of Avenue100 Media Solutions and other small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Corporate office includes the expenses of the Company’s corporate office and the pension credit previously reported in the magazine publishing division.</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Due to the sale of Newsweek, the magazine publishing division is no longer included as a separate segment as its results have been reclassified to discontinued operations. Newsweek employees were participants in The Washington Post Company Retirement Plan, and the Company had historically allocated a net pension credit for segment reporting purposes. Since the associated pension assets and liabilities were retained by the Company, the associated credit has been excluded from the reclassification of Newsweek results to discontinued operations. Pension cost arising from early retirement programs at Newsweek, however, is included in discontinued operations.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computing income from operations by segment, the effects of equity in losses of affiliates, interest income, interest expense, other non-operating income and expense items and income taxes are not included.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quarterly financial information related to each of the Company’s business segments for 2011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1340" w:type="dxa"/>
            <w:vAlign w:val="bottom"/>
            <w:gridSpan w:val="4"/>
          </w:tcPr>
          <w:p>
            <w:pPr>
              <w:ind w:left="300"/>
              <w:spacing w:after="0"/>
              <w:rPr>
                <w:sz w:val="20"/>
                <w:szCs w:val="20"/>
                <w:color w:val="auto"/>
              </w:rPr>
            </w:pPr>
            <w:r>
              <w:rPr>
                <w:rFonts w:ascii="Arial" w:cs="Arial" w:eastAsia="Arial" w:hAnsi="Arial"/>
                <w:sz w:val="14"/>
                <w:szCs w:val="14"/>
                <w:b w:val="1"/>
                <w:bCs w:val="1"/>
                <w:color w:val="auto"/>
                <w:w w:val="97"/>
              </w:rPr>
              <w:t>Second Quarter</w:t>
            </w:r>
          </w:p>
        </w:tc>
      </w:tr>
      <w:tr>
        <w:trPr>
          <w:trHeight w:val="176"/>
        </w:trPr>
        <w:tc>
          <w:tcPr>
            <w:tcW w:w="6200" w:type="dxa"/>
            <w:vAlign w:val="bottom"/>
            <w:tcBorders>
              <w:top w:val="single" w:sz="8" w:color="CCEEFF"/>
              <w:right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2011 Quarterly Operating Results</w:t>
            </w: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16"/>
        </w:trPr>
        <w:tc>
          <w:tcPr>
            <w:tcW w:w="236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Operating revenues</w:t>
            </w:r>
          </w:p>
        </w:tc>
        <w:tc>
          <w:tcPr>
            <w:tcW w:w="3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620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630,027</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628,701</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860"/>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190,280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191,231</w:t>
            </w:r>
          </w:p>
        </w:tc>
        <w:tc>
          <w:tcPr>
            <w:tcW w:w="120" w:type="dxa"/>
            <w:vAlign w:val="bottom"/>
          </w:tcPr>
          <w:p>
            <w:pPr>
              <w:spacing w:after="0"/>
              <w:rPr>
                <w:sz w:val="18"/>
                <w:szCs w:val="18"/>
                <w:color w:val="auto"/>
              </w:rPr>
            </w:pPr>
          </w:p>
        </w:tc>
      </w:tr>
      <w:tr>
        <w:trPr>
          <w:trHeight w:val="216"/>
        </w:trPr>
        <w:tc>
          <w:tcPr>
            <w:tcW w:w="620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154,997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162,772</w:t>
            </w:r>
          </w:p>
        </w:tc>
        <w:tc>
          <w:tcPr>
            <w:tcW w:w="120" w:type="dxa"/>
            <w:vAlign w:val="bottom"/>
            <w:shd w:val="clear" w:color="auto" w:fill="CCEEFF"/>
          </w:tcPr>
          <w:p>
            <w:pPr>
              <w:spacing w:after="0"/>
              <w:rPr>
                <w:sz w:val="18"/>
                <w:szCs w:val="18"/>
                <w:color w:val="auto"/>
              </w:rPr>
            </w:pPr>
          </w:p>
        </w:tc>
      </w:tr>
      <w:tr>
        <w:trPr>
          <w:trHeight w:val="222"/>
        </w:trPr>
        <w:tc>
          <w:tcPr>
            <w:tcW w:w="6200" w:type="dxa"/>
            <w:vAlign w:val="bottom"/>
            <w:gridSpan w:val="2"/>
          </w:tcPr>
          <w:p>
            <w:pPr>
              <w:ind w:left="860"/>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72,183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84,940</w:t>
            </w:r>
          </w:p>
        </w:tc>
        <w:tc>
          <w:tcPr>
            <w:tcW w:w="120" w:type="dxa"/>
            <w:vAlign w:val="bottom"/>
          </w:tcPr>
          <w:p>
            <w:pPr>
              <w:spacing w:after="0"/>
              <w:rPr>
                <w:sz w:val="19"/>
                <w:szCs w:val="19"/>
                <w:color w:val="auto"/>
              </w:rPr>
            </w:pPr>
          </w:p>
        </w:tc>
      </w:tr>
      <w:tr>
        <w:trPr>
          <w:trHeight w:val="102"/>
        </w:trPr>
        <w:tc>
          <w:tcPr>
            <w:tcW w:w="23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20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Other businesses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20" w:type="dxa"/>
            <w:vAlign w:val="bottom"/>
            <w:shd w:val="clear" w:color="auto" w:fill="CCEEFF"/>
          </w:tcPr>
          <w:p>
            <w:pPr>
              <w:spacing w:after="0"/>
              <w:rPr>
                <w:sz w:val="18"/>
                <w:szCs w:val="18"/>
                <w:color w:val="auto"/>
              </w:rPr>
            </w:pPr>
          </w:p>
        </w:tc>
      </w:tr>
      <w:tr>
        <w:trPr>
          <w:trHeight w:val="222"/>
        </w:trPr>
        <w:tc>
          <w:tcPr>
            <w:tcW w:w="6200" w:type="dxa"/>
            <w:vAlign w:val="bottom"/>
            <w:gridSpan w:val="2"/>
          </w:tcPr>
          <w:p>
            <w:pPr>
              <w:ind w:left="860"/>
              <w:spacing w:after="0"/>
              <w:rPr>
                <w:sz w:val="20"/>
                <w:szCs w:val="20"/>
                <w:color w:val="auto"/>
              </w:rPr>
            </w:pPr>
            <w:r>
              <w:rPr>
                <w:rFonts w:ascii="Arial" w:cs="Arial" w:eastAsia="Arial" w:hAnsi="Arial"/>
                <w:sz w:val="18"/>
                <w:szCs w:val="18"/>
                <w:color w:val="auto"/>
              </w:rPr>
              <w:t>Corporate office</w:t>
            </w:r>
          </w:p>
        </w:tc>
        <w:tc>
          <w:tcPr>
            <w:tcW w:w="8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102"/>
        </w:trPr>
        <w:tc>
          <w:tcPr>
            <w:tcW w:w="23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20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Intersegment elimination</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w:t>
            </w:r>
          </w:p>
        </w:tc>
      </w:tr>
      <w:tr>
        <w:trPr>
          <w:trHeight w:val="20"/>
        </w:trPr>
        <w:tc>
          <w:tcPr>
            <w:tcW w:w="23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23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1,053,010</w:t>
            </w:r>
          </w:p>
        </w:tc>
        <w:tc>
          <w:tcPr>
            <w:tcW w:w="360" w:type="dxa"/>
            <w:vAlign w:val="bottom"/>
          </w:tcPr>
          <w:p>
            <w:pPr>
              <w:spacing w:after="0"/>
              <w:rPr>
                <w:sz w:val="19"/>
                <w:szCs w:val="19"/>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1,072,997</w:t>
            </w:r>
          </w:p>
        </w:tc>
        <w:tc>
          <w:tcPr>
            <w:tcW w:w="120" w:type="dxa"/>
            <w:vAlign w:val="bottom"/>
          </w:tcPr>
          <w:p>
            <w:pPr>
              <w:spacing w:after="0"/>
              <w:rPr>
                <w:sz w:val="19"/>
                <w:szCs w:val="19"/>
                <w:color w:val="auto"/>
              </w:rPr>
            </w:pPr>
          </w:p>
        </w:tc>
      </w:tr>
      <w:tr>
        <w:trPr>
          <w:trHeight w:val="116"/>
        </w:trPr>
        <w:tc>
          <w:tcPr>
            <w:tcW w:w="23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620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860"/>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18,512</w:t>
            </w:r>
          </w:p>
        </w:tc>
        <w:tc>
          <w:tcPr>
            <w:tcW w:w="36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20,462</w:t>
            </w:r>
          </w:p>
        </w:tc>
        <w:tc>
          <w:tcPr>
            <w:tcW w:w="120" w:type="dxa"/>
            <w:vAlign w:val="bottom"/>
          </w:tcPr>
          <w:p>
            <w:pPr>
              <w:spacing w:after="0"/>
              <w:rPr>
                <w:sz w:val="18"/>
                <w:szCs w:val="18"/>
                <w:color w:val="auto"/>
              </w:rPr>
            </w:pPr>
          </w:p>
        </w:tc>
      </w:tr>
      <w:tr>
        <w:trPr>
          <w:trHeight w:val="216"/>
        </w:trPr>
        <w:tc>
          <w:tcPr>
            <w:tcW w:w="620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40,425</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86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(12,827)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(2,918)</w:t>
            </w:r>
          </w:p>
        </w:tc>
      </w:tr>
      <w:tr>
        <w:trPr>
          <w:trHeight w:val="216"/>
        </w:trPr>
        <w:tc>
          <w:tcPr>
            <w:tcW w:w="620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32,571</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860"/>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(5,039)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(5,014)</w:t>
            </w:r>
          </w:p>
        </w:tc>
      </w:tr>
      <w:tr>
        <w:trPr>
          <w:trHeight w:val="216"/>
        </w:trPr>
        <w:tc>
          <w:tcPr>
            <w:tcW w:w="620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Corporate office</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(4,433)</w:t>
            </w:r>
          </w:p>
        </w:tc>
      </w:tr>
      <w:tr>
        <w:trPr>
          <w:trHeight w:val="20"/>
        </w:trPr>
        <w:tc>
          <w:tcPr>
            <w:tcW w:w="23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0"/>
        </w:trPr>
        <w:tc>
          <w:tcPr>
            <w:tcW w:w="23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55,016</w:t>
            </w:r>
          </w:p>
        </w:tc>
        <w:tc>
          <w:tcPr>
            <w:tcW w:w="360" w:type="dxa"/>
            <w:vAlign w:val="bottom"/>
          </w:tcPr>
          <w:p>
            <w:pPr>
              <w:spacing w:after="0"/>
              <w:rPr>
                <w:sz w:val="24"/>
                <w:szCs w:val="24"/>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81,093</w:t>
            </w:r>
          </w:p>
        </w:tc>
        <w:tc>
          <w:tcPr>
            <w:tcW w:w="120" w:type="dxa"/>
            <w:vAlign w:val="bottom"/>
          </w:tcPr>
          <w:p>
            <w:pPr>
              <w:spacing w:after="0"/>
              <w:rPr>
                <w:sz w:val="24"/>
                <w:szCs w:val="24"/>
                <w:color w:val="auto"/>
              </w:rPr>
            </w:pPr>
          </w:p>
        </w:tc>
      </w:tr>
      <w:tr>
        <w:trPr>
          <w:trHeight w:val="116"/>
        </w:trPr>
        <w:tc>
          <w:tcPr>
            <w:tcW w:w="23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620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Equity in earnings of affiliates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(6,979)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(6,963)</w:t>
            </w:r>
          </w:p>
        </w:tc>
      </w:tr>
      <w:tr>
        <w:trPr>
          <w:trHeight w:val="216"/>
        </w:trPr>
        <w:tc>
          <w:tcPr>
            <w:tcW w:w="620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(24,032)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(2,591)</w:t>
            </w:r>
          </w:p>
        </w:tc>
      </w:tr>
      <w:tr>
        <w:trPr>
          <w:trHeight w:val="20"/>
        </w:trPr>
        <w:tc>
          <w:tcPr>
            <w:tcW w:w="23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0"/>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27,742</w:t>
            </w:r>
          </w:p>
        </w:tc>
        <w:tc>
          <w:tcPr>
            <w:tcW w:w="360" w:type="dxa"/>
            <w:vAlign w:val="bottom"/>
          </w:tcPr>
          <w:p>
            <w:pPr>
              <w:spacing w:after="0"/>
              <w:rPr>
                <w:sz w:val="24"/>
                <w:szCs w:val="24"/>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74,677</w:t>
            </w:r>
          </w:p>
        </w:tc>
        <w:tc>
          <w:tcPr>
            <w:tcW w:w="120" w:type="dxa"/>
            <w:vAlign w:val="bottom"/>
          </w:tcPr>
          <w:p>
            <w:pPr>
              <w:spacing w:after="0"/>
              <w:rPr>
                <w:sz w:val="24"/>
                <w:szCs w:val="24"/>
                <w:color w:val="auto"/>
              </w:rPr>
            </w:pPr>
          </w:p>
        </w:tc>
      </w:tr>
      <w:tr>
        <w:trPr>
          <w:trHeight w:val="20"/>
        </w:trPr>
        <w:tc>
          <w:tcPr>
            <w:tcW w:w="23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23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20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860"/>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21,209</w:t>
            </w:r>
          </w:p>
        </w:tc>
        <w:tc>
          <w:tcPr>
            <w:tcW w:w="36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22,517</w:t>
            </w:r>
          </w:p>
        </w:tc>
        <w:tc>
          <w:tcPr>
            <w:tcW w:w="120" w:type="dxa"/>
            <w:vAlign w:val="bottom"/>
          </w:tcPr>
          <w:p>
            <w:pPr>
              <w:spacing w:after="0"/>
              <w:rPr>
                <w:sz w:val="18"/>
                <w:szCs w:val="18"/>
                <w:color w:val="auto"/>
              </w:rPr>
            </w:pPr>
          </w:p>
        </w:tc>
      </w:tr>
      <w:tr>
        <w:trPr>
          <w:trHeight w:val="216"/>
        </w:trPr>
        <w:tc>
          <w:tcPr>
            <w:tcW w:w="620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31,533</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86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6,540</w:t>
            </w:r>
          </w:p>
        </w:tc>
        <w:tc>
          <w:tcPr>
            <w:tcW w:w="120" w:type="dxa"/>
            <w:vAlign w:val="bottom"/>
          </w:tcPr>
          <w:p>
            <w:pPr>
              <w:spacing w:after="0"/>
              <w:rPr>
                <w:sz w:val="18"/>
                <w:szCs w:val="18"/>
                <w:color w:val="auto"/>
              </w:rPr>
            </w:pPr>
          </w:p>
        </w:tc>
      </w:tr>
      <w:tr>
        <w:trPr>
          <w:trHeight w:val="216"/>
        </w:trPr>
        <w:tc>
          <w:tcPr>
            <w:tcW w:w="620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860"/>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r>
      <w:tr>
        <w:trPr>
          <w:trHeight w:val="216"/>
        </w:trPr>
        <w:tc>
          <w:tcPr>
            <w:tcW w:w="620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Corporate office</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r>
      <w:tr>
        <w:trPr>
          <w:trHeight w:val="330"/>
        </w:trPr>
        <w:tc>
          <w:tcPr>
            <w:tcW w:w="23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63,230</w:t>
            </w:r>
          </w:p>
        </w:tc>
        <w:tc>
          <w:tcPr>
            <w:tcW w:w="360" w:type="dxa"/>
            <w:vAlign w:val="bottom"/>
          </w:tcPr>
          <w:p>
            <w:pPr>
              <w:spacing w:after="0"/>
              <w:rPr>
                <w:sz w:val="24"/>
                <w:szCs w:val="24"/>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63,908</w:t>
            </w:r>
          </w:p>
        </w:tc>
        <w:tc>
          <w:tcPr>
            <w:tcW w:w="120" w:type="dxa"/>
            <w:vAlign w:val="bottom"/>
          </w:tcPr>
          <w:p>
            <w:pPr>
              <w:spacing w:after="0"/>
              <w:rPr>
                <w:sz w:val="24"/>
                <w:szCs w:val="24"/>
                <w:color w:val="auto"/>
              </w:rPr>
            </w:pPr>
          </w:p>
        </w:tc>
      </w:tr>
      <w:tr>
        <w:trPr>
          <w:trHeight w:val="116"/>
        </w:trPr>
        <w:tc>
          <w:tcPr>
            <w:tcW w:w="23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620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860"/>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4,925</w:t>
            </w:r>
          </w:p>
        </w:tc>
        <w:tc>
          <w:tcPr>
            <w:tcW w:w="36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5,547</w:t>
            </w:r>
          </w:p>
        </w:tc>
        <w:tc>
          <w:tcPr>
            <w:tcW w:w="120" w:type="dxa"/>
            <w:vAlign w:val="bottom"/>
          </w:tcPr>
          <w:p>
            <w:pPr>
              <w:spacing w:after="0"/>
              <w:rPr>
                <w:sz w:val="18"/>
                <w:szCs w:val="18"/>
                <w:color w:val="auto"/>
              </w:rPr>
            </w:pPr>
          </w:p>
        </w:tc>
      </w:tr>
      <w:tr>
        <w:trPr>
          <w:trHeight w:val="216"/>
        </w:trPr>
        <w:tc>
          <w:tcPr>
            <w:tcW w:w="620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86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r>
      <w:tr>
        <w:trPr>
          <w:trHeight w:val="216"/>
        </w:trPr>
        <w:tc>
          <w:tcPr>
            <w:tcW w:w="620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gridSpan w:val="2"/>
          </w:tcPr>
          <w:p>
            <w:pPr>
              <w:ind w:left="860"/>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8"/>
                <w:szCs w:val="18"/>
                <w:color w:val="auto"/>
              </w:rPr>
            </w:pPr>
          </w:p>
        </w:tc>
      </w:tr>
      <w:tr>
        <w:trPr>
          <w:trHeight w:val="216"/>
        </w:trPr>
        <w:tc>
          <w:tcPr>
            <w:tcW w:w="620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Corporate office</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330"/>
        </w:trPr>
        <w:tc>
          <w:tcPr>
            <w:tcW w:w="23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6,221</w:t>
            </w:r>
          </w:p>
        </w:tc>
        <w:tc>
          <w:tcPr>
            <w:tcW w:w="360" w:type="dxa"/>
            <w:vAlign w:val="bottom"/>
          </w:tcPr>
          <w:p>
            <w:pPr>
              <w:spacing w:after="0"/>
              <w:rPr>
                <w:sz w:val="24"/>
                <w:szCs w:val="24"/>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6,836</w:t>
            </w:r>
          </w:p>
        </w:tc>
        <w:tc>
          <w:tcPr>
            <w:tcW w:w="120" w:type="dxa"/>
            <w:vAlign w:val="bottom"/>
          </w:tcPr>
          <w:p>
            <w:pPr>
              <w:spacing w:after="0"/>
              <w:rPr>
                <w:sz w:val="24"/>
                <w:szCs w:val="24"/>
                <w:color w:val="auto"/>
              </w:rPr>
            </w:pPr>
          </w:p>
        </w:tc>
      </w:tr>
      <w:tr>
        <w:trPr>
          <w:trHeight w:val="116"/>
        </w:trPr>
        <w:tc>
          <w:tcPr>
            <w:tcW w:w="23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620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Net pension (expense) credit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860"/>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(1,552)</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(1,652)</w:t>
            </w:r>
          </w:p>
        </w:tc>
      </w:tr>
      <w:tr>
        <w:trPr>
          <w:trHeight w:val="216"/>
        </w:trPr>
        <w:tc>
          <w:tcPr>
            <w:tcW w:w="620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w:t>
            </w:r>
          </w:p>
        </w:tc>
      </w:tr>
      <w:tr>
        <w:trPr>
          <w:trHeight w:val="216"/>
        </w:trPr>
        <w:tc>
          <w:tcPr>
            <w:tcW w:w="6200" w:type="dxa"/>
            <w:vAlign w:val="bottom"/>
            <w:gridSpan w:val="2"/>
          </w:tcPr>
          <w:p>
            <w:pPr>
              <w:ind w:left="86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(6,705)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(5,288)</w:t>
            </w:r>
          </w:p>
        </w:tc>
      </w:tr>
      <w:tr>
        <w:trPr>
          <w:trHeight w:val="216"/>
        </w:trPr>
        <w:tc>
          <w:tcPr>
            <w:tcW w:w="620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w:t>
            </w:r>
          </w:p>
        </w:tc>
      </w:tr>
      <w:tr>
        <w:trPr>
          <w:trHeight w:val="216"/>
        </w:trPr>
        <w:tc>
          <w:tcPr>
            <w:tcW w:w="6200" w:type="dxa"/>
            <w:vAlign w:val="bottom"/>
            <w:gridSpan w:val="2"/>
          </w:tcPr>
          <w:p>
            <w:pPr>
              <w:ind w:left="860"/>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620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Corporate office</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9,247</w:t>
            </w:r>
          </w:p>
        </w:tc>
        <w:tc>
          <w:tcPr>
            <w:tcW w:w="120" w:type="dxa"/>
            <w:vAlign w:val="bottom"/>
            <w:shd w:val="clear" w:color="auto" w:fill="CCEEFF"/>
          </w:tcPr>
          <w:p>
            <w:pPr>
              <w:spacing w:after="0"/>
              <w:rPr>
                <w:sz w:val="18"/>
                <w:szCs w:val="18"/>
                <w:color w:val="auto"/>
              </w:rPr>
            </w:pPr>
          </w:p>
        </w:tc>
      </w:tr>
      <w:tr>
        <w:trPr>
          <w:trHeight w:val="330"/>
        </w:trPr>
        <w:tc>
          <w:tcPr>
            <w:tcW w:w="23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(141)</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24"/>
                <w:szCs w:val="24"/>
                <w:color w:val="auto"/>
              </w:rPr>
            </w:pPr>
          </w:p>
        </w:tc>
      </w:tr>
      <w:tr>
        <w:trPr>
          <w:trHeight w:val="20"/>
        </w:trPr>
        <w:tc>
          <w:tcPr>
            <w:tcW w:w="2360" w:type="dxa"/>
            <w:vAlign w:val="bottom"/>
          </w:tcPr>
          <w:p>
            <w:pPr>
              <w:spacing w:after="0" w:line="20" w:lineRule="exact"/>
              <w:rPr>
                <w:sz w:val="1"/>
                <w:szCs w:val="1"/>
                <w:color w:val="auto"/>
              </w:rPr>
            </w:pPr>
          </w:p>
        </w:tc>
        <w:tc>
          <w:tcPr>
            <w:tcW w:w="38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200"/>
          </w:cols>
          <w:pgMar w:left="240" w:top="459" w:right="459" w:bottom="1440" w:gutter="0" w:footer="0" w:header="0"/>
        </w:sectPr>
      </w:pPr>
    </w:p>
    <w:p>
      <w:pPr>
        <w:jc w:val="center"/>
        <w:ind w:right="-2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00"/>
          </w:cols>
          <w:pgMar w:left="240" w:top="459" w:right="4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quarterly financial information related to each of the Company’s business segments for 2010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r>
      <w:tr>
        <w:trPr>
          <w:trHeight w:val="176"/>
        </w:trPr>
        <w:tc>
          <w:tcPr>
            <w:tcW w:w="656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2010 Quarterly Operating Results</w:t>
            </w: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238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Operating revenues</w:t>
            </w:r>
          </w:p>
        </w:tc>
        <w:tc>
          <w:tcPr>
            <w:tcW w:w="4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698,336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742,921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741,156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695,619</w:t>
            </w: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189,358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190,558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188,694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191,274</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155,771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163,447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188,425</w:t>
            </w: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73,482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82,592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83,178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102,912</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 businesses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8,470</w:t>
            </w: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Corporate office</w:t>
            </w:r>
          </w:p>
        </w:tc>
        <w:tc>
          <w:tcPr>
            <w:tcW w:w="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Intersegment elimination</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w:t>
            </w:r>
          </w:p>
        </w:tc>
      </w:tr>
      <w:tr>
        <w:trPr>
          <w:trHeight w:val="338"/>
        </w:trPr>
        <w:tc>
          <w:tcPr>
            <w:tcW w:w="23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1,128,985</w:t>
            </w:r>
          </w:p>
        </w:tc>
        <w:tc>
          <w:tcPr>
            <w:tcW w:w="4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1,197,410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1,187,560</w:t>
            </w:r>
          </w:p>
        </w:tc>
        <w:tc>
          <w:tcPr>
            <w:tcW w:w="4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1,185,839</w:t>
            </w:r>
          </w:p>
        </w:tc>
        <w:tc>
          <w:tcPr>
            <w:tcW w:w="100" w:type="dxa"/>
            <w:vAlign w:val="bottom"/>
          </w:tcPr>
          <w:p>
            <w:pPr>
              <w:spacing w:after="0"/>
              <w:rPr>
                <w:sz w:val="24"/>
                <w:szCs w:val="24"/>
                <w:color w:val="auto"/>
              </w:rPr>
            </w:pPr>
          </w:p>
        </w:tc>
      </w:tr>
      <w:tr>
        <w:trPr>
          <w:trHeight w:val="216"/>
        </w:trPr>
        <w:tc>
          <w:tcPr>
            <w:tcW w:w="6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61,444</w:t>
            </w:r>
          </w:p>
        </w:tc>
        <w:tc>
          <w:tcPr>
            <w:tcW w:w="4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112,391</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106,439</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66,077</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37,355</w:t>
            </w: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(13,752)</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(14,300)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(1,715)</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19,941</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20,911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45,348</w:t>
            </w: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(833)</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(28,459)</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(2,789)</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(3,707)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(3,898)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(15,063)</w:t>
            </w:r>
          </w:p>
        </w:tc>
      </w:tr>
      <w:tr>
        <w:trPr>
          <w:trHeight w:val="330"/>
        </w:trPr>
        <w:tc>
          <w:tcPr>
            <w:tcW w:w="23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106,599</w:t>
            </w:r>
          </w:p>
        </w:tc>
        <w:tc>
          <w:tcPr>
            <w:tcW w:w="4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166,898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137,914</w:t>
            </w:r>
          </w:p>
        </w:tc>
        <w:tc>
          <w:tcPr>
            <w:tcW w:w="4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150,869</w:t>
            </w:r>
          </w:p>
        </w:tc>
        <w:tc>
          <w:tcPr>
            <w:tcW w:w="100" w:type="dxa"/>
            <w:vAlign w:val="bottom"/>
          </w:tcPr>
          <w:p>
            <w:pPr>
              <w:spacing w:after="0"/>
              <w:rPr>
                <w:sz w:val="24"/>
                <w:szCs w:val="24"/>
                <w:color w:val="auto"/>
              </w:rPr>
            </w:pPr>
          </w:p>
        </w:tc>
      </w:tr>
      <w:tr>
        <w:trPr>
          <w:trHeight w:val="116"/>
        </w:trPr>
        <w:tc>
          <w:tcPr>
            <w:tcW w:w="238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6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Equity in losses of affiliates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(8,109)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r>
      <w:tr>
        <w:trPr>
          <w:trHeight w:val="216"/>
        </w:trPr>
        <w:tc>
          <w:tcPr>
            <w:tcW w:w="6560" w:type="dxa"/>
            <w:vAlign w:val="bottom"/>
            <w:gridSpan w:val="2"/>
          </w:tcPr>
          <w:p>
            <w:pPr>
              <w:ind w:left="440"/>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(7,253)</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(6,999)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(7,033)</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(6,642)</w:t>
            </w:r>
          </w:p>
        </w:tc>
      </w:tr>
      <w:tr>
        <w:trPr>
          <w:trHeight w:val="216"/>
        </w:trPr>
        <w:tc>
          <w:tcPr>
            <w:tcW w:w="6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(3,321)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w:t>
            </w:r>
          </w:p>
        </w:tc>
      </w:tr>
      <w:tr>
        <w:trPr>
          <w:trHeight w:val="330"/>
        </w:trPr>
        <w:tc>
          <w:tcPr>
            <w:tcW w:w="6560" w:type="dxa"/>
            <w:vAlign w:val="bottom"/>
            <w:gridSpan w:val="2"/>
          </w:tcPr>
          <w:p>
            <w:pPr>
              <w:ind w:left="440"/>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87,916</w:t>
            </w:r>
          </w:p>
        </w:tc>
        <w:tc>
          <w:tcPr>
            <w:tcW w:w="4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158,119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145,507</w:t>
            </w:r>
          </w:p>
        </w:tc>
        <w:tc>
          <w:tcPr>
            <w:tcW w:w="4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146,193</w:t>
            </w:r>
          </w:p>
        </w:tc>
        <w:tc>
          <w:tcPr>
            <w:tcW w:w="100" w:type="dxa"/>
            <w:vAlign w:val="bottom"/>
          </w:tcPr>
          <w:p>
            <w:pPr>
              <w:spacing w:after="0"/>
              <w:rPr>
                <w:sz w:val="24"/>
                <w:szCs w:val="24"/>
                <w:color w:val="auto"/>
              </w:rPr>
            </w:pPr>
          </w:p>
        </w:tc>
      </w:tr>
      <w:tr>
        <w:trPr>
          <w:trHeight w:val="20"/>
        </w:trPr>
        <w:tc>
          <w:tcPr>
            <w:tcW w:w="23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380" w:type="dxa"/>
            <w:vAlign w:val="bottom"/>
          </w:tcPr>
          <w:p>
            <w:pPr>
              <w:spacing w:after="0"/>
              <w:rPr>
                <w:sz w:val="8"/>
                <w:szCs w:val="8"/>
                <w:color w:val="auto"/>
              </w:rPr>
            </w:pPr>
          </w:p>
        </w:tc>
        <w:tc>
          <w:tcPr>
            <w:tcW w:w="4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18,608</w:t>
            </w:r>
          </w:p>
        </w:tc>
        <w:tc>
          <w:tcPr>
            <w:tcW w:w="4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19,020</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18,950</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21,420</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31,312</w:t>
            </w: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7,884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7,416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7,223</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3,141</w:t>
            </w: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Corporate office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8"/>
                <w:szCs w:val="18"/>
                <w:color w:val="auto"/>
              </w:rPr>
            </w:pPr>
          </w:p>
        </w:tc>
      </w:tr>
      <w:tr>
        <w:trPr>
          <w:trHeight w:val="330"/>
        </w:trPr>
        <w:tc>
          <w:tcPr>
            <w:tcW w:w="23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61,458</w:t>
            </w:r>
          </w:p>
        </w:tc>
        <w:tc>
          <w:tcPr>
            <w:tcW w:w="4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61,024</w:t>
            </w:r>
          </w:p>
        </w:tc>
        <w:tc>
          <w:tcPr>
            <w:tcW w:w="240" w:type="dxa"/>
            <w:vAlign w:val="bottom"/>
          </w:tcPr>
          <w:p>
            <w:pPr>
              <w:spacing w:after="0"/>
              <w:rPr>
                <w:sz w:val="24"/>
                <w:szCs w:val="24"/>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60,939</w:t>
            </w:r>
          </w:p>
        </w:tc>
        <w:tc>
          <w:tcPr>
            <w:tcW w:w="4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63, 901</w:t>
            </w:r>
          </w:p>
        </w:tc>
      </w:tr>
      <w:tr>
        <w:trPr>
          <w:trHeight w:val="116"/>
        </w:trPr>
        <w:tc>
          <w:tcPr>
            <w:tcW w:w="238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6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5,220</w:t>
            </w:r>
          </w:p>
        </w:tc>
        <w:tc>
          <w:tcPr>
            <w:tcW w:w="4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6,300</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4,943</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5,171</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Corporate office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30"/>
        </w:trPr>
        <w:tc>
          <w:tcPr>
            <w:tcW w:w="23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6,460</w:t>
            </w:r>
          </w:p>
        </w:tc>
        <w:tc>
          <w:tcPr>
            <w:tcW w:w="4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7,549</w:t>
            </w:r>
          </w:p>
        </w:tc>
        <w:tc>
          <w:tcPr>
            <w:tcW w:w="240" w:type="dxa"/>
            <w:vAlign w:val="bottom"/>
          </w:tcPr>
          <w:p>
            <w:pPr>
              <w:spacing w:after="0"/>
              <w:rPr>
                <w:sz w:val="24"/>
                <w:szCs w:val="24"/>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6,466</w:t>
            </w:r>
          </w:p>
        </w:tc>
        <w:tc>
          <w:tcPr>
            <w:tcW w:w="4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6,495</w:t>
            </w:r>
          </w:p>
        </w:tc>
      </w:tr>
      <w:tr>
        <w:trPr>
          <w:trHeight w:val="116"/>
        </w:trPr>
        <w:tc>
          <w:tcPr>
            <w:tcW w:w="238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6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Impairment of goodwill and other long-lived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27,477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Corporate office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30"/>
        </w:trPr>
        <w:tc>
          <w:tcPr>
            <w:tcW w:w="23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27,477</w:t>
            </w:r>
          </w:p>
        </w:tc>
        <w:tc>
          <w:tcPr>
            <w:tcW w:w="4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116"/>
        </w:trPr>
        <w:tc>
          <w:tcPr>
            <w:tcW w:w="238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6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pension credit (expense)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(1,349)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(1,526)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(1,434)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(1,398)</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(5,560)</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(23,192)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(8,088)</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(5,447)</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r>
      <w:tr>
        <w:trPr>
          <w:trHeight w:val="216"/>
        </w:trPr>
        <w:tc>
          <w:tcPr>
            <w:tcW w:w="6560" w:type="dxa"/>
            <w:vAlign w:val="bottom"/>
            <w:gridSpan w:val="2"/>
          </w:tcPr>
          <w:p>
            <w:pPr>
              <w:ind w:left="880"/>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Corporate office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9,369</w:t>
            </w:r>
          </w:p>
        </w:tc>
        <w:tc>
          <w:tcPr>
            <w:tcW w:w="100" w:type="dxa"/>
            <w:vAlign w:val="bottom"/>
            <w:shd w:val="clear" w:color="auto" w:fill="CCEEFF"/>
          </w:tcPr>
          <w:p>
            <w:pPr>
              <w:spacing w:after="0"/>
              <w:rPr>
                <w:sz w:val="18"/>
                <w:szCs w:val="18"/>
                <w:color w:val="auto"/>
              </w:rPr>
            </w:pPr>
          </w:p>
        </w:tc>
      </w:tr>
      <w:tr>
        <w:trPr>
          <w:trHeight w:val="330"/>
        </w:trPr>
        <w:tc>
          <w:tcPr>
            <w:tcW w:w="23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435</w:t>
            </w:r>
          </w:p>
        </w:tc>
        <w:tc>
          <w:tcPr>
            <w:tcW w:w="4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(16,936)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(1,732)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r>
      <w:tr>
        <w:trPr>
          <w:trHeight w:val="20"/>
        </w:trPr>
        <w:tc>
          <w:tcPr>
            <w:tcW w:w="23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021" w:gutter="0" w:footer="0" w:header="0"/>
        </w:sect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021"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for the six months ended 2011 and 2010, as well as for the fiscal years 2010 and 2009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 Period</w:t>
            </w:r>
          </w:p>
        </w:tc>
        <w:tc>
          <w:tcPr>
            <w:tcW w:w="100" w:type="dxa"/>
            <w:vAlign w:val="bottom"/>
          </w:tcPr>
          <w:p>
            <w:pPr>
              <w:spacing w:after="0"/>
              <w:rPr>
                <w:sz w:val="14"/>
                <w:szCs w:val="14"/>
                <w:color w:val="auto"/>
              </w:rPr>
            </w:pPr>
          </w:p>
        </w:tc>
        <w:tc>
          <w:tcPr>
            <w:tcW w:w="19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1,258,728</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1,441,257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2,878,032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2,595,802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381,511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759,884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317,769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328,501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680,373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342,164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46,395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Intersegment elimination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(7,054)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2,126,007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2,326,395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4,699,794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4,345,680</w:t>
            </w:r>
          </w:p>
        </w:tc>
        <w:tc>
          <w:tcPr>
            <w:tcW w:w="0" w:type="dxa"/>
            <w:vAlign w:val="bottom"/>
          </w:tcPr>
          <w:p>
            <w:pPr>
              <w:spacing w:after="0"/>
              <w:rPr>
                <w:sz w:val="1"/>
                <w:szCs w:val="1"/>
                <w:color w:val="auto"/>
              </w:rPr>
            </w:pPr>
          </w:p>
        </w:tc>
      </w:tr>
      <w:tr>
        <w:trPr>
          <w:trHeight w:val="330"/>
        </w:trPr>
        <w:tc>
          <w:tcPr>
            <w:tcW w:w="55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346,351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78,132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86,326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163,945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(28,052)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121,348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(7,361)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(5,611)</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(24,572)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(12,829)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136,109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562,280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272,302</w:t>
            </w:r>
          </w:p>
        </w:tc>
        <w:tc>
          <w:tcPr>
            <w:tcW w:w="0" w:type="dxa"/>
            <w:vAlign w:val="bottom"/>
          </w:tcPr>
          <w:p>
            <w:pPr>
              <w:spacing w:after="0"/>
              <w:rPr>
                <w:sz w:val="1"/>
                <w:szCs w:val="1"/>
                <w:color w:val="auto"/>
              </w:rPr>
            </w:pPr>
          </w:p>
        </w:tc>
      </w:tr>
      <w:tr>
        <w:trPr>
          <w:trHeight w:val="20"/>
        </w:trPr>
        <w:tc>
          <w:tcPr>
            <w:tcW w:w="55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520" w:type="dxa"/>
            <w:vAlign w:val="bottom"/>
            <w:gridSpan w:val="2"/>
          </w:tcPr>
          <w:p>
            <w:pPr>
              <w:spacing w:after="0"/>
              <w:rPr>
                <w:sz w:val="20"/>
                <w:szCs w:val="20"/>
                <w:color w:val="auto"/>
              </w:rPr>
            </w:pPr>
            <w:r>
              <w:rPr>
                <w:rFonts w:ascii="Arial" w:cs="Arial" w:eastAsia="Arial" w:hAnsi="Arial"/>
                <w:sz w:val="18"/>
                <w:szCs w:val="18"/>
                <w:color w:val="auto"/>
              </w:rPr>
              <w:t>Equity in earnings (losses) of affiliates</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6,875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(6,082)</w:t>
            </w:r>
          </w:p>
        </w:tc>
        <w:tc>
          <w:tcPr>
            <w:tcW w:w="10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(4,133)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(29,421)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(14,252)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net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(26,623)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(7,128)</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7,515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13,197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537,735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227,110</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Depreciation of property, plant and equipment</w:t>
            </w: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52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77,998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63,319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124,834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124,207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12,720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127,138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247,322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291,221</w:t>
            </w: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21,634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26,970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26,294</w:t>
            </w: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color w:val="auto"/>
              </w:rPr>
              <w:t>Impairment of goodwill and other long-lived assets</w:t>
            </w:r>
          </w:p>
        </w:tc>
        <w:tc>
          <w:tcPr>
            <w:tcW w:w="1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27,477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25,387</w:t>
            </w: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color w:val="auto"/>
              </w:rPr>
              <w:t>Net pension credit (expense)</w:t>
            </w:r>
          </w:p>
        </w:tc>
        <w:tc>
          <w:tcPr>
            <w:tcW w:w="1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(28,752)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(16,492)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are as follows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As of</w:t>
            </w: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180" w:type="dxa"/>
            <w:vAlign w:val="bottom"/>
          </w:tcPr>
          <w:p>
            <w:pPr>
              <w:spacing w:after="0"/>
              <w:rPr>
                <w:sz w:val="11"/>
                <w:szCs w:val="11"/>
                <w:color w:val="auto"/>
              </w:rPr>
            </w:pPr>
          </w:p>
        </w:tc>
        <w:tc>
          <w:tcPr>
            <w:tcW w:w="800" w:type="dxa"/>
            <w:vAlign w:val="bottom"/>
          </w:tcPr>
          <w:p>
            <w:pPr>
              <w:jc w:val="right"/>
              <w:ind w:right="135"/>
              <w:spacing w:after="0" w:line="129" w:lineRule="exact"/>
              <w:rPr>
                <w:sz w:val="20"/>
                <w:szCs w:val="20"/>
                <w:color w:val="auto"/>
              </w:rPr>
            </w:pPr>
            <w:r>
              <w:rPr>
                <w:rFonts w:ascii="Arial" w:cs="Arial" w:eastAsia="Arial" w:hAnsi="Arial"/>
                <w:sz w:val="14"/>
                <w:szCs w:val="14"/>
                <w:b w:val="1"/>
                <w:bCs w:val="1"/>
                <w:color w:val="auto"/>
              </w:rPr>
              <w:t>July 3,</w:t>
            </w:r>
          </w:p>
        </w:tc>
        <w:tc>
          <w:tcPr>
            <w:tcW w:w="4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January 2,</w:t>
            </w:r>
          </w:p>
        </w:tc>
        <w:tc>
          <w:tcPr>
            <w:tcW w:w="4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8"/>
              </w:rPr>
              <w:t>January 3,</w:t>
            </w:r>
          </w:p>
        </w:tc>
        <w:tc>
          <w:tcPr>
            <w:tcW w:w="100" w:type="dxa"/>
            <w:vAlign w:val="bottom"/>
          </w:tcPr>
          <w:p>
            <w:pPr>
              <w:spacing w:after="0"/>
              <w:rPr>
                <w:sz w:val="11"/>
                <w:szCs w:val="11"/>
                <w:color w:val="auto"/>
              </w:rPr>
            </w:pPr>
          </w:p>
        </w:tc>
      </w:tr>
      <w:tr>
        <w:trPr>
          <w:trHeight w:val="161"/>
        </w:trPr>
        <w:tc>
          <w:tcPr>
            <w:tcW w:w="6180" w:type="dxa"/>
            <w:vAlign w:val="bottom"/>
          </w:tcPr>
          <w:p>
            <w:pPr>
              <w:spacing w:after="0"/>
              <w:rPr>
                <w:sz w:val="14"/>
                <w:szCs w:val="14"/>
                <w:color w:val="auto"/>
              </w:rPr>
            </w:pPr>
          </w:p>
        </w:tc>
        <w:tc>
          <w:tcPr>
            <w:tcW w:w="800" w:type="dxa"/>
            <w:vAlign w:val="bottom"/>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260" w:type="dxa"/>
            <w:vAlign w:val="bottom"/>
            <w:gridSpan w:val="2"/>
          </w:tcPr>
          <w:p>
            <w:pPr>
              <w:jc w:val="center"/>
              <w:ind w:left="354"/>
              <w:spacing w:after="0"/>
              <w:rPr>
                <w:sz w:val="20"/>
                <w:szCs w:val="20"/>
                <w:color w:val="auto"/>
              </w:rPr>
            </w:pPr>
            <w:r>
              <w:rPr>
                <w:rFonts w:ascii="Arial" w:cs="Arial" w:eastAsia="Arial" w:hAnsi="Arial"/>
                <w:sz w:val="14"/>
                <w:szCs w:val="14"/>
                <w:b w:val="1"/>
                <w:bCs w:val="1"/>
                <w:color w:val="auto"/>
                <w:w w:val="83"/>
              </w:rPr>
              <w:t>2011</w:t>
            </w:r>
          </w:p>
        </w:tc>
        <w:tc>
          <w:tcPr>
            <w:tcW w:w="124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Identifiable assets</w:t>
            </w:r>
          </w:p>
        </w:tc>
        <w:tc>
          <w:tcPr>
            <w:tcW w:w="8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$2,061,646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$2,197,277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$2,188,328</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Cable television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1,139,612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1,141,427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1,164,209</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Newspaper publishing</w:t>
            </w:r>
          </w:p>
        </w:tc>
        <w:tc>
          <w:tcPr>
            <w:tcW w:w="800" w:type="dxa"/>
            <w:vAlign w:val="bottom"/>
          </w:tcPr>
          <w:p>
            <w:pPr>
              <w:jc w:val="right"/>
              <w:spacing w:after="0"/>
              <w:rPr>
                <w:sz w:val="20"/>
                <w:szCs w:val="20"/>
                <w:color w:val="auto"/>
              </w:rPr>
            </w:pPr>
            <w:r>
              <w:rPr>
                <w:rFonts w:ascii="Arial" w:cs="Arial" w:eastAsia="Arial" w:hAnsi="Arial"/>
                <w:sz w:val="18"/>
                <w:szCs w:val="18"/>
                <w:color w:val="auto"/>
              </w:rPr>
              <w:t>174,621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206,305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207,234</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Television broadcasting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431,627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436,289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433,705</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Other businesses</w:t>
            </w:r>
          </w:p>
        </w:tc>
        <w:tc>
          <w:tcPr>
            <w:tcW w:w="800" w:type="dxa"/>
            <w:vAlign w:val="bottom"/>
          </w:tcPr>
          <w:p>
            <w:pPr>
              <w:jc w:val="right"/>
              <w:spacing w:after="0"/>
              <w:rPr>
                <w:sz w:val="20"/>
                <w:szCs w:val="20"/>
                <w:color w:val="auto"/>
              </w:rPr>
            </w:pPr>
            <w:r>
              <w:rPr>
                <w:rFonts w:ascii="Arial" w:cs="Arial" w:eastAsia="Arial" w:hAnsi="Arial"/>
                <w:sz w:val="18"/>
                <w:szCs w:val="18"/>
                <w:color w:val="auto"/>
              </w:rPr>
              <w:t>27,009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30,038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54,418</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office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886,772</w:t>
            </w:r>
          </w:p>
        </w:tc>
        <w:tc>
          <w:tcPr>
            <w:tcW w:w="4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774,484</w:t>
            </w:r>
          </w:p>
        </w:tc>
        <w:tc>
          <w:tcPr>
            <w:tcW w:w="4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729,706</w:t>
            </w:r>
          </w:p>
        </w:tc>
        <w:tc>
          <w:tcPr>
            <w:tcW w:w="100" w:type="dxa"/>
            <w:vAlign w:val="bottom"/>
            <w:shd w:val="clear" w:color="auto" w:fill="CCEEFF"/>
          </w:tcPr>
          <w:p>
            <w:pPr>
              <w:spacing w:after="0"/>
              <w:rPr>
                <w:sz w:val="18"/>
                <w:szCs w:val="18"/>
                <w:color w:val="auto"/>
              </w:rPr>
            </w:pPr>
          </w:p>
        </w:tc>
      </w:tr>
      <w:tr>
        <w:trPr>
          <w:trHeight w:val="222"/>
        </w:trPr>
        <w:tc>
          <w:tcPr>
            <w:tcW w:w="6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4,721,287</w:t>
            </w: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4,785,820</w:t>
            </w:r>
          </w:p>
        </w:tc>
        <w:tc>
          <w:tcPr>
            <w:tcW w:w="1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4,777,600</w:t>
            </w:r>
          </w:p>
        </w:tc>
        <w:tc>
          <w:tcPr>
            <w:tcW w:w="100" w:type="dxa"/>
            <w:vAlign w:val="bottom"/>
          </w:tcPr>
          <w:p>
            <w:pPr>
              <w:spacing w:after="0"/>
              <w:rPr>
                <w:sz w:val="19"/>
                <w:szCs w:val="19"/>
                <w:color w:val="auto"/>
              </w:rPr>
            </w:pPr>
          </w:p>
        </w:tc>
      </w:tr>
      <w:tr>
        <w:trPr>
          <w:trHeight w:val="116"/>
        </w:trPr>
        <w:tc>
          <w:tcPr>
            <w:tcW w:w="61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325,805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340,910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353,884</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800" w:type="dxa"/>
            <w:vAlign w:val="bottom"/>
          </w:tcPr>
          <w:p>
            <w:pPr>
              <w:jc w:val="right"/>
              <w:spacing w:after="0"/>
              <w:rPr>
                <w:sz w:val="20"/>
                <w:szCs w:val="20"/>
                <w:color w:val="auto"/>
              </w:rPr>
            </w:pPr>
            <w:r>
              <w:rPr>
                <w:rFonts w:ascii="Arial" w:cs="Arial" w:eastAsia="Arial" w:hAnsi="Arial"/>
                <w:sz w:val="18"/>
                <w:szCs w:val="18"/>
                <w:color w:val="auto"/>
              </w:rPr>
              <w:t>32,687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31,637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54,722</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Assets of discontinued operations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12,715</w:t>
            </w:r>
          </w:p>
        </w:tc>
        <w:tc>
          <w:tcPr>
            <w:tcW w:w="4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30"/>
        </w:trPr>
        <w:tc>
          <w:tcPr>
            <w:tcW w:w="6180" w:type="dxa"/>
            <w:vAlign w:val="bottom"/>
          </w:tcPr>
          <w:p>
            <w:pPr>
              <w:spacing w:after="0"/>
              <w:rPr>
                <w:sz w:val="20"/>
                <w:szCs w:val="20"/>
                <w:color w:val="auto"/>
              </w:rPr>
            </w:pPr>
            <w:r>
              <w:rPr>
                <w:rFonts w:ascii="Arial" w:cs="Arial" w:eastAsia="Arial" w:hAnsi="Arial"/>
                <w:sz w:val="18"/>
                <w:szCs w:val="18"/>
                <w:color w:val="auto"/>
              </w:rPr>
              <w:t>Total assets</w:t>
            </w: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5,092,494</w:t>
            </w: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5,158,367</w:t>
            </w:r>
          </w:p>
        </w:tc>
        <w:tc>
          <w:tcPr>
            <w:tcW w:w="1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5,186,206</w:t>
            </w:r>
          </w:p>
        </w:tc>
        <w:tc>
          <w:tcPr>
            <w:tcW w:w="100" w:type="dxa"/>
            <w:vAlign w:val="bottom"/>
          </w:tcPr>
          <w:p>
            <w:pPr>
              <w:spacing w:after="0"/>
              <w:rPr>
                <w:sz w:val="24"/>
                <w:szCs w:val="24"/>
                <w:color w:val="auto"/>
              </w:rPr>
            </w:pPr>
          </w:p>
        </w:tc>
      </w:tr>
      <w:tr>
        <w:trPr>
          <w:trHeight w:val="20"/>
        </w:trPr>
        <w:tc>
          <w:tcPr>
            <w:tcW w:w="6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2011 quarterly financial information related to the operating segments of the Company’s education division (in thousands):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900" w:type="dxa"/>
            <w:vAlign w:val="bottom"/>
            <w:gridSpan w:val="4"/>
          </w:tcPr>
          <w:p>
            <w:pPr>
              <w:ind w:left="720"/>
              <w:spacing w:after="0"/>
              <w:rPr>
                <w:sz w:val="20"/>
                <w:szCs w:val="20"/>
                <w:color w:val="auto"/>
              </w:rPr>
            </w:pPr>
            <w:r>
              <w:rPr>
                <w:rFonts w:ascii="Arial" w:cs="Arial" w:eastAsia="Arial" w:hAnsi="Arial"/>
                <w:sz w:val="14"/>
                <w:szCs w:val="14"/>
                <w:b w:val="1"/>
                <w:bCs w:val="1"/>
                <w:color w:val="auto"/>
              </w:rPr>
              <w:t>First Quarter</w:t>
            </w:r>
          </w:p>
        </w:tc>
        <w:tc>
          <w:tcPr>
            <w:tcW w:w="1380" w:type="dxa"/>
            <w:vAlign w:val="bottom"/>
            <w:gridSpan w:val="4"/>
          </w:tcPr>
          <w:p>
            <w:pPr>
              <w:ind w:left="340"/>
              <w:spacing w:after="0"/>
              <w:rPr>
                <w:sz w:val="20"/>
                <w:szCs w:val="20"/>
                <w:color w:val="auto"/>
              </w:rPr>
            </w:pPr>
            <w:r>
              <w:rPr>
                <w:rFonts w:ascii="Arial" w:cs="Arial" w:eastAsia="Arial" w:hAnsi="Arial"/>
                <w:sz w:val="14"/>
                <w:szCs w:val="14"/>
                <w:b w:val="1"/>
                <w:bCs w:val="1"/>
                <w:color w:val="auto"/>
                <w:w w:val="97"/>
              </w:rPr>
              <w:t>Second Quarter</w:t>
            </w:r>
          </w:p>
        </w:tc>
      </w:tr>
      <w:tr>
        <w:trPr>
          <w:trHeight w:val="176"/>
        </w:trPr>
        <w:tc>
          <w:tcPr>
            <w:tcW w:w="54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2011 Quarterly Operating Results</w:t>
            </w:r>
          </w:p>
        </w:tc>
        <w:tc>
          <w:tcPr>
            <w:tcW w:w="7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16"/>
        </w:trPr>
        <w:tc>
          <w:tcPr>
            <w:tcW w:w="236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Operating revenues</w:t>
            </w:r>
          </w:p>
        </w:tc>
        <w:tc>
          <w:tcPr>
            <w:tcW w:w="30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Higher education</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390,279</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362,169</w:t>
            </w:r>
          </w:p>
        </w:tc>
        <w:tc>
          <w:tcPr>
            <w:tcW w:w="12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860"/>
              <w:spacing w:after="0"/>
              <w:rPr>
                <w:sz w:val="20"/>
                <w:szCs w:val="20"/>
                <w:color w:val="auto"/>
              </w:rPr>
            </w:pPr>
            <w:r>
              <w:rPr>
                <w:rFonts w:ascii="Arial" w:cs="Arial" w:eastAsia="Arial" w:hAnsi="Arial"/>
                <w:sz w:val="18"/>
                <w:szCs w:val="18"/>
                <w:color w:val="auto"/>
              </w:rPr>
              <w:t>Test preparation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73,365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83,197</w:t>
            </w:r>
          </w:p>
        </w:tc>
        <w:tc>
          <w:tcPr>
            <w:tcW w:w="12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Kaplan international</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148,687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166,071</w:t>
            </w:r>
          </w:p>
        </w:tc>
        <w:tc>
          <w:tcPr>
            <w:tcW w:w="12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860"/>
              <w:spacing w:after="0"/>
              <w:rPr>
                <w:sz w:val="20"/>
                <w:szCs w:val="20"/>
                <w:color w:val="auto"/>
              </w:rPr>
            </w:pPr>
            <w:r>
              <w:rPr>
                <w:rFonts w:ascii="Arial" w:cs="Arial" w:eastAsia="Arial" w:hAnsi="Arial"/>
                <w:sz w:val="18"/>
                <w:szCs w:val="18"/>
                <w:color w:val="auto"/>
              </w:rPr>
              <w:t>Kaplan ventures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18,365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17,418</w:t>
            </w:r>
          </w:p>
        </w:tc>
        <w:tc>
          <w:tcPr>
            <w:tcW w:w="12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Kaplan corporate and other</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860"/>
              <w:spacing w:after="0"/>
              <w:rPr>
                <w:sz w:val="20"/>
                <w:szCs w:val="20"/>
                <w:color w:val="auto"/>
              </w:rPr>
            </w:pPr>
            <w:r>
              <w:rPr>
                <w:rFonts w:ascii="Arial" w:cs="Arial" w:eastAsia="Arial" w:hAnsi="Arial"/>
                <w:sz w:val="18"/>
                <w:szCs w:val="18"/>
                <w:color w:val="auto"/>
              </w:rPr>
              <w:t>Intersegment elimination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(1,786)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(1,219)</w:t>
            </w:r>
          </w:p>
        </w:tc>
      </w:tr>
      <w:tr>
        <w:trPr>
          <w:trHeight w:val="115"/>
        </w:trPr>
        <w:tc>
          <w:tcPr>
            <w:tcW w:w="23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2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630,027</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628,701</w:t>
            </w:r>
          </w:p>
        </w:tc>
        <w:tc>
          <w:tcPr>
            <w:tcW w:w="120" w:type="dxa"/>
            <w:vAlign w:val="bottom"/>
            <w:shd w:val="clear" w:color="auto" w:fill="CCEEFF"/>
          </w:tcPr>
          <w:p>
            <w:pPr>
              <w:spacing w:after="0"/>
              <w:rPr>
                <w:sz w:val="18"/>
                <w:szCs w:val="18"/>
                <w:color w:val="auto"/>
              </w:rPr>
            </w:pPr>
          </w:p>
        </w:tc>
      </w:tr>
      <w:tr>
        <w:trPr>
          <w:trHeight w:val="330"/>
        </w:trPr>
        <w:tc>
          <w:tcPr>
            <w:tcW w:w="5400" w:type="dxa"/>
            <w:vAlign w:val="bottom"/>
            <w:gridSpan w:val="2"/>
          </w:tcPr>
          <w:p>
            <w:pPr>
              <w:ind w:left="440"/>
              <w:spacing w:after="0"/>
              <w:rPr>
                <w:sz w:val="20"/>
                <w:szCs w:val="20"/>
                <w:color w:val="auto"/>
              </w:rPr>
            </w:pPr>
            <w:r>
              <w:rPr>
                <w:rFonts w:ascii="Arial" w:cs="Arial" w:eastAsia="Arial" w:hAnsi="Arial"/>
                <w:sz w:val="18"/>
                <w:szCs w:val="18"/>
                <w:color w:val="auto"/>
              </w:rPr>
              <w:t>Income (loss) from operations</w:t>
            </w:r>
          </w:p>
        </w:tc>
        <w:tc>
          <w:tcPr>
            <w:tcW w:w="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Higher education</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50,483</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45,295</w:t>
            </w:r>
          </w:p>
        </w:tc>
        <w:tc>
          <w:tcPr>
            <w:tcW w:w="12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860"/>
              <w:spacing w:after="0"/>
              <w:rPr>
                <w:sz w:val="20"/>
                <w:szCs w:val="20"/>
                <w:color w:val="auto"/>
              </w:rPr>
            </w:pPr>
            <w:r>
              <w:rPr>
                <w:rFonts w:ascii="Arial" w:cs="Arial" w:eastAsia="Arial" w:hAnsi="Arial"/>
                <w:sz w:val="18"/>
                <w:szCs w:val="18"/>
                <w:color w:val="auto"/>
              </w:rPr>
              <w:t>Test preparation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(12,676)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(11,597)</w:t>
            </w:r>
          </w:p>
        </w:tc>
      </w:tr>
      <w:tr>
        <w:trPr>
          <w:trHeight w:val="216"/>
        </w:trPr>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Kaplan international</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w:t>
            </w:r>
          </w:p>
        </w:tc>
        <w:tc>
          <w:tcPr>
            <w:tcW w:w="120" w:type="dxa"/>
            <w:vAlign w:val="bottom"/>
            <w:shd w:val="clear" w:color="auto" w:fill="CCEEFF"/>
          </w:tcPr>
          <w:p>
            <w:pPr>
              <w:spacing w:after="0"/>
              <w:rPr>
                <w:sz w:val="18"/>
                <w:szCs w:val="18"/>
                <w:color w:val="auto"/>
              </w:rPr>
            </w:pPr>
          </w:p>
        </w:tc>
      </w:tr>
      <w:tr>
        <w:trPr>
          <w:trHeight w:val="222"/>
        </w:trPr>
        <w:tc>
          <w:tcPr>
            <w:tcW w:w="5400" w:type="dxa"/>
            <w:vAlign w:val="bottom"/>
            <w:gridSpan w:val="2"/>
          </w:tcPr>
          <w:p>
            <w:pPr>
              <w:ind w:left="860"/>
              <w:spacing w:after="0"/>
              <w:rPr>
                <w:sz w:val="20"/>
                <w:szCs w:val="20"/>
                <w:color w:val="auto"/>
              </w:rPr>
            </w:pPr>
            <w:r>
              <w:rPr>
                <w:rFonts w:ascii="Arial" w:cs="Arial" w:eastAsia="Arial" w:hAnsi="Arial"/>
                <w:sz w:val="18"/>
                <w:szCs w:val="18"/>
                <w:color w:val="auto"/>
              </w:rPr>
              <w:t>Kaplan ventures</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(3,068)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(4,290)</w:t>
            </w:r>
          </w:p>
        </w:tc>
      </w:tr>
      <w:tr>
        <w:trPr>
          <w:trHeight w:val="102"/>
        </w:trPr>
        <w:tc>
          <w:tcPr>
            <w:tcW w:w="23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Kaplan corporate and other</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(16,543)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(19,171)</w:t>
            </w:r>
          </w:p>
        </w:tc>
      </w:tr>
      <w:tr>
        <w:trPr>
          <w:trHeight w:val="216"/>
        </w:trPr>
        <w:tc>
          <w:tcPr>
            <w:tcW w:w="5400" w:type="dxa"/>
            <w:vAlign w:val="bottom"/>
            <w:gridSpan w:val="2"/>
          </w:tcPr>
          <w:p>
            <w:pPr>
              <w:ind w:left="860"/>
              <w:spacing w:after="0"/>
              <w:rPr>
                <w:sz w:val="20"/>
                <w:szCs w:val="20"/>
                <w:color w:val="auto"/>
              </w:rPr>
            </w:pPr>
            <w:r>
              <w:rPr>
                <w:rFonts w:ascii="Arial" w:cs="Arial" w:eastAsia="Arial" w:hAnsi="Arial"/>
                <w:sz w:val="18"/>
                <w:szCs w:val="18"/>
                <w:color w:val="auto"/>
              </w:rPr>
              <w:t>Intersegment elimination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r>
      <w:tr>
        <w:trPr>
          <w:trHeight w:val="115"/>
        </w:trPr>
        <w:tc>
          <w:tcPr>
            <w:tcW w:w="23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2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18,512</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20,462</w:t>
            </w:r>
          </w:p>
        </w:tc>
        <w:tc>
          <w:tcPr>
            <w:tcW w:w="120" w:type="dxa"/>
            <w:vAlign w:val="bottom"/>
            <w:shd w:val="clear" w:color="auto" w:fill="CCEEFF"/>
          </w:tcPr>
          <w:p>
            <w:pPr>
              <w:spacing w:after="0"/>
              <w:rPr>
                <w:sz w:val="18"/>
                <w:szCs w:val="18"/>
                <w:color w:val="auto"/>
              </w:rPr>
            </w:pPr>
          </w:p>
        </w:tc>
      </w:tr>
      <w:tr>
        <w:trPr>
          <w:trHeight w:val="330"/>
        </w:trPr>
        <w:tc>
          <w:tcPr>
            <w:tcW w:w="5400" w:type="dxa"/>
            <w:vAlign w:val="bottom"/>
            <w:gridSpan w:val="2"/>
          </w:tcPr>
          <w:p>
            <w:pPr>
              <w:ind w:left="440"/>
              <w:spacing w:after="0"/>
              <w:rPr>
                <w:sz w:val="20"/>
                <w:szCs w:val="20"/>
                <w:color w:val="auto"/>
              </w:rPr>
            </w:pPr>
            <w:r>
              <w:rPr>
                <w:rFonts w:ascii="Arial" w:cs="Arial" w:eastAsia="Arial" w:hAnsi="Arial"/>
                <w:sz w:val="18"/>
                <w:szCs w:val="18"/>
                <w:color w:val="auto"/>
              </w:rPr>
              <w:t>Depreciation of property, plant and equipment</w:t>
            </w:r>
          </w:p>
        </w:tc>
        <w:tc>
          <w:tcPr>
            <w:tcW w:w="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Higher education</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12,115</w:t>
            </w:r>
          </w:p>
        </w:tc>
        <w:tc>
          <w:tcPr>
            <w:tcW w:w="12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860"/>
              <w:spacing w:after="0"/>
              <w:rPr>
                <w:sz w:val="20"/>
                <w:szCs w:val="20"/>
                <w:color w:val="auto"/>
              </w:rPr>
            </w:pPr>
            <w:r>
              <w:rPr>
                <w:rFonts w:ascii="Arial" w:cs="Arial" w:eastAsia="Arial" w:hAnsi="Arial"/>
                <w:sz w:val="18"/>
                <w:szCs w:val="18"/>
                <w:color w:val="auto"/>
              </w:rPr>
              <w:t>Test preparation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4,449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3,796</w:t>
            </w:r>
          </w:p>
        </w:tc>
        <w:tc>
          <w:tcPr>
            <w:tcW w:w="12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Kaplan international</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2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860"/>
              <w:spacing w:after="0"/>
              <w:rPr>
                <w:sz w:val="20"/>
                <w:szCs w:val="20"/>
                <w:color w:val="auto"/>
              </w:rPr>
            </w:pPr>
            <w:r>
              <w:rPr>
                <w:rFonts w:ascii="Arial" w:cs="Arial" w:eastAsia="Arial" w:hAnsi="Arial"/>
                <w:sz w:val="18"/>
                <w:szCs w:val="18"/>
                <w:color w:val="auto"/>
              </w:rPr>
              <w:t>Kaplan ventures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Kaplan corporate and other</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18"/>
                <w:szCs w:val="18"/>
                <w:color w:val="auto"/>
              </w:rPr>
            </w:pPr>
          </w:p>
        </w:tc>
      </w:tr>
      <w:tr>
        <w:trPr>
          <w:trHeight w:val="330"/>
        </w:trPr>
        <w:tc>
          <w:tcPr>
            <w:tcW w:w="2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21,209</w:t>
            </w:r>
          </w:p>
        </w:tc>
        <w:tc>
          <w:tcPr>
            <w:tcW w:w="380" w:type="dxa"/>
            <w:vAlign w:val="bottom"/>
          </w:tcPr>
          <w:p>
            <w:pPr>
              <w:spacing w:after="0"/>
              <w:rPr>
                <w:sz w:val="24"/>
                <w:szCs w:val="24"/>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22,517</w:t>
            </w:r>
          </w:p>
        </w:tc>
        <w:tc>
          <w:tcPr>
            <w:tcW w:w="120" w:type="dxa"/>
            <w:vAlign w:val="bottom"/>
          </w:tcPr>
          <w:p>
            <w:pPr>
              <w:spacing w:after="0"/>
              <w:rPr>
                <w:sz w:val="24"/>
                <w:szCs w:val="24"/>
                <w:color w:val="auto"/>
              </w:rPr>
            </w:pPr>
          </w:p>
        </w:tc>
      </w:tr>
      <w:tr>
        <w:trPr>
          <w:trHeight w:val="116"/>
        </w:trPr>
        <w:tc>
          <w:tcPr>
            <w:tcW w:w="23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5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20" w:type="dxa"/>
            <w:vAlign w:val="bottom"/>
            <w:shd w:val="clear" w:color="auto" w:fill="CCEEFF"/>
          </w:tcPr>
          <w:p>
            <w:pPr>
              <w:spacing w:after="0"/>
              <w:rPr>
                <w:sz w:val="18"/>
                <w:szCs w:val="18"/>
                <w:color w:val="auto"/>
              </w:rPr>
            </w:pPr>
          </w:p>
        </w:tc>
      </w:tr>
      <w:tr>
        <w:trPr>
          <w:trHeight w:val="222"/>
        </w:trPr>
        <w:tc>
          <w:tcPr>
            <w:tcW w:w="5400" w:type="dxa"/>
            <w:vAlign w:val="bottom"/>
            <w:gridSpan w:val="2"/>
          </w:tcPr>
          <w:p>
            <w:pPr>
              <w:ind w:left="440"/>
              <w:spacing w:after="0"/>
              <w:rPr>
                <w:sz w:val="20"/>
                <w:szCs w:val="20"/>
                <w:color w:val="auto"/>
              </w:rPr>
            </w:pPr>
            <w:r>
              <w:rPr>
                <w:rFonts w:ascii="Arial" w:cs="Arial" w:eastAsia="Arial" w:hAnsi="Arial"/>
                <w:sz w:val="18"/>
                <w:szCs w:val="18"/>
                <w:color w:val="auto"/>
              </w:rPr>
              <w:t>Kaplan stock-based incentive compensation (credit) expense</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(825)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r>
      <w:tr>
        <w:trPr>
          <w:trHeight w:val="356"/>
        </w:trPr>
        <w:tc>
          <w:tcPr>
            <w:tcW w:w="5400" w:type="dxa"/>
            <w:vAlign w:val="bottom"/>
            <w:gridSpan w:val="2"/>
          </w:tcPr>
          <w:p>
            <w:pPr>
              <w:ind w:left="4240"/>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The following table summarizes quarterly financial information related to the operating segments within the Company’s education division for 2010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2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r>
      <w:tr>
        <w:trPr>
          <w:trHeight w:val="176"/>
        </w:trPr>
        <w:tc>
          <w:tcPr>
            <w:tcW w:w="516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2010 Quarterly Operating Results</w:t>
            </w:r>
          </w:p>
        </w:tc>
        <w:tc>
          <w:tcPr>
            <w:tcW w:w="1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238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Operating revenues</w:t>
            </w:r>
          </w:p>
        </w:tc>
        <w:tc>
          <w:tcPr>
            <w:tcW w:w="27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Higher education</w:t>
            </w:r>
          </w:p>
        </w:tc>
        <w:tc>
          <w:tcPr>
            <w:tcW w:w="13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478,751</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507,448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495,595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438,997</w:t>
            </w:r>
          </w:p>
        </w:tc>
      </w:tr>
      <w:tr>
        <w:trPr>
          <w:trHeight w:val="216"/>
        </w:trPr>
        <w:tc>
          <w:tcPr>
            <w:tcW w:w="5160" w:type="dxa"/>
            <w:vAlign w:val="bottom"/>
            <w:gridSpan w:val="2"/>
          </w:tcPr>
          <w:p>
            <w:pPr>
              <w:ind w:left="880"/>
              <w:spacing w:after="0"/>
              <w:rPr>
                <w:sz w:val="20"/>
                <w:szCs w:val="20"/>
                <w:color w:val="auto"/>
              </w:rPr>
            </w:pPr>
            <w:r>
              <w:rPr>
                <w:rFonts w:ascii="Arial" w:cs="Arial" w:eastAsia="Arial" w:hAnsi="Arial"/>
                <w:sz w:val="18"/>
                <w:szCs w:val="18"/>
                <w:color w:val="auto"/>
              </w:rPr>
              <w:t>Test preparation</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73,815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85,238</w:t>
            </w: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80,236</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75,590</w:t>
            </w:r>
          </w:p>
        </w:tc>
      </w:tr>
      <w:tr>
        <w:trPr>
          <w:trHeight w:val="216"/>
        </w:trPr>
        <w:tc>
          <w:tcPr>
            <w:tcW w:w="5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international</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133,985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137,389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151,208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163,342</w:t>
            </w:r>
          </w:p>
        </w:tc>
      </w:tr>
      <w:tr>
        <w:trPr>
          <w:trHeight w:val="216"/>
        </w:trPr>
        <w:tc>
          <w:tcPr>
            <w:tcW w:w="5160" w:type="dxa"/>
            <w:vAlign w:val="bottom"/>
            <w:gridSpan w:val="2"/>
          </w:tcPr>
          <w:p>
            <w:pPr>
              <w:ind w:left="880"/>
              <w:spacing w:after="0"/>
              <w:rPr>
                <w:sz w:val="20"/>
                <w:szCs w:val="20"/>
                <w:color w:val="auto"/>
              </w:rPr>
            </w:pPr>
            <w:r>
              <w:rPr>
                <w:rFonts w:ascii="Arial" w:cs="Arial" w:eastAsia="Arial" w:hAnsi="Arial"/>
                <w:sz w:val="18"/>
                <w:szCs w:val="18"/>
                <w:color w:val="auto"/>
              </w:rPr>
              <w:t>Kaplan ventures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14,123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13,423</w:t>
            </w: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14,065</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17,685</w:t>
            </w:r>
          </w:p>
        </w:tc>
      </w:tr>
      <w:tr>
        <w:trPr>
          <w:trHeight w:val="216"/>
        </w:trPr>
        <w:tc>
          <w:tcPr>
            <w:tcW w:w="5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corporate and other</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1,283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r>
      <w:tr>
        <w:trPr>
          <w:trHeight w:val="216"/>
        </w:trPr>
        <w:tc>
          <w:tcPr>
            <w:tcW w:w="5160" w:type="dxa"/>
            <w:vAlign w:val="bottom"/>
            <w:gridSpan w:val="2"/>
          </w:tcPr>
          <w:p>
            <w:pPr>
              <w:ind w:left="880"/>
              <w:spacing w:after="0"/>
              <w:rPr>
                <w:sz w:val="20"/>
                <w:szCs w:val="20"/>
                <w:color w:val="auto"/>
              </w:rPr>
            </w:pPr>
            <w:r>
              <w:rPr>
                <w:rFonts w:ascii="Arial" w:cs="Arial" w:eastAsia="Arial" w:hAnsi="Arial"/>
                <w:sz w:val="18"/>
                <w:szCs w:val="18"/>
                <w:color w:val="auto"/>
              </w:rPr>
              <w:t>Intersegment elimination</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(1,860)</w:t>
            </w: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(1,323)</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(1,583)</w:t>
            </w:r>
          </w:p>
        </w:tc>
      </w:tr>
      <w:tr>
        <w:trPr>
          <w:trHeight w:val="115"/>
        </w:trPr>
        <w:tc>
          <w:tcPr>
            <w:tcW w:w="23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23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698,336</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742,921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741,156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695,619</w:t>
            </w:r>
          </w:p>
        </w:tc>
      </w:tr>
      <w:tr>
        <w:trPr>
          <w:trHeight w:val="330"/>
        </w:trPr>
        <w:tc>
          <w:tcPr>
            <w:tcW w:w="5160" w:type="dxa"/>
            <w:vAlign w:val="bottom"/>
            <w:gridSpan w:val="2"/>
          </w:tcPr>
          <w:p>
            <w:pPr>
              <w:ind w:left="440"/>
              <w:spacing w:after="0"/>
              <w:rPr>
                <w:sz w:val="20"/>
                <w:szCs w:val="20"/>
                <w:color w:val="auto"/>
              </w:rPr>
            </w:pPr>
            <w:r>
              <w:rPr>
                <w:rFonts w:ascii="Arial" w:cs="Arial" w:eastAsia="Arial" w:hAnsi="Arial"/>
                <w:sz w:val="18"/>
                <w:szCs w:val="18"/>
                <w:color w:val="auto"/>
              </w:rPr>
              <w:t>Income (loss) from operations</w:t>
            </w:r>
          </w:p>
        </w:tc>
        <w:tc>
          <w:tcPr>
            <w:tcW w:w="1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Higher education</w:t>
            </w:r>
          </w:p>
        </w:tc>
        <w:tc>
          <w:tcPr>
            <w:tcW w:w="13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91,604</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127,067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117,508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70,547</w:t>
            </w:r>
          </w:p>
        </w:tc>
      </w:tr>
      <w:tr>
        <w:trPr>
          <w:trHeight w:val="216"/>
        </w:trPr>
        <w:tc>
          <w:tcPr>
            <w:tcW w:w="5160" w:type="dxa"/>
            <w:vAlign w:val="bottom"/>
            <w:gridSpan w:val="2"/>
          </w:tcPr>
          <w:p>
            <w:pPr>
              <w:ind w:left="880"/>
              <w:spacing w:after="0"/>
              <w:rPr>
                <w:sz w:val="20"/>
                <w:szCs w:val="20"/>
                <w:color w:val="auto"/>
              </w:rPr>
            </w:pPr>
            <w:r>
              <w:rPr>
                <w:rFonts w:ascii="Arial" w:cs="Arial" w:eastAsia="Arial" w:hAnsi="Arial"/>
                <w:sz w:val="18"/>
                <w:szCs w:val="18"/>
                <w:color w:val="auto"/>
              </w:rPr>
              <w:t>Test preparation</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(11,770)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(1,625)</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(18,861)</w:t>
            </w:r>
          </w:p>
        </w:tc>
      </w:tr>
      <w:tr>
        <w:trPr>
          <w:trHeight w:val="216"/>
        </w:trPr>
        <w:tc>
          <w:tcPr>
            <w:tcW w:w="5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international</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12,945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14,904</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23,776</w:t>
            </w:r>
          </w:p>
        </w:tc>
      </w:tr>
      <w:tr>
        <w:trPr>
          <w:trHeight w:val="216"/>
        </w:trPr>
        <w:tc>
          <w:tcPr>
            <w:tcW w:w="5160" w:type="dxa"/>
            <w:vAlign w:val="bottom"/>
            <w:gridSpan w:val="2"/>
          </w:tcPr>
          <w:p>
            <w:pPr>
              <w:ind w:left="880"/>
              <w:spacing w:after="0"/>
              <w:rPr>
                <w:sz w:val="20"/>
                <w:szCs w:val="20"/>
                <w:color w:val="auto"/>
              </w:rPr>
            </w:pPr>
            <w:r>
              <w:rPr>
                <w:rFonts w:ascii="Arial" w:cs="Arial" w:eastAsia="Arial" w:hAnsi="Arial"/>
                <w:sz w:val="18"/>
                <w:szCs w:val="18"/>
                <w:color w:val="auto"/>
              </w:rPr>
              <w:t>Kaplan ventures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(3,981)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(4,949)</w:t>
            </w: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(5,076)</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(3,484)</w:t>
            </w:r>
          </w:p>
        </w:tc>
      </w:tr>
      <w:tr>
        <w:trPr>
          <w:trHeight w:val="216"/>
        </w:trPr>
        <w:tc>
          <w:tcPr>
            <w:tcW w:w="5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corporate and other</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(18,945)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(22,054)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(19,302)</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(5,919)</w:t>
            </w:r>
          </w:p>
        </w:tc>
      </w:tr>
      <w:tr>
        <w:trPr>
          <w:trHeight w:val="216"/>
        </w:trPr>
        <w:tc>
          <w:tcPr>
            <w:tcW w:w="5160" w:type="dxa"/>
            <w:vAlign w:val="bottom"/>
            <w:gridSpan w:val="2"/>
          </w:tcPr>
          <w:p>
            <w:pPr>
              <w:ind w:left="880"/>
              <w:spacing w:after="0"/>
              <w:rPr>
                <w:sz w:val="20"/>
                <w:szCs w:val="20"/>
                <w:color w:val="auto"/>
              </w:rPr>
            </w:pPr>
            <w:r>
              <w:rPr>
                <w:rFonts w:ascii="Arial" w:cs="Arial" w:eastAsia="Arial" w:hAnsi="Arial"/>
                <w:sz w:val="18"/>
                <w:szCs w:val="18"/>
                <w:color w:val="auto"/>
              </w:rPr>
              <w:t>Intersegment elimination</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115"/>
        </w:trPr>
        <w:tc>
          <w:tcPr>
            <w:tcW w:w="23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23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61,444</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112,391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106,439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66,077</w:t>
            </w:r>
          </w:p>
        </w:tc>
      </w:tr>
      <w:tr>
        <w:trPr>
          <w:trHeight w:val="330"/>
        </w:trPr>
        <w:tc>
          <w:tcPr>
            <w:tcW w:w="5160" w:type="dxa"/>
            <w:vAlign w:val="bottom"/>
            <w:gridSpan w:val="2"/>
          </w:tcPr>
          <w:p>
            <w:pPr>
              <w:ind w:left="440"/>
              <w:spacing w:after="0"/>
              <w:rPr>
                <w:sz w:val="20"/>
                <w:szCs w:val="20"/>
                <w:color w:val="auto"/>
              </w:rPr>
            </w:pPr>
            <w:r>
              <w:rPr>
                <w:rFonts w:ascii="Arial" w:cs="Arial" w:eastAsia="Arial" w:hAnsi="Arial"/>
                <w:sz w:val="18"/>
                <w:szCs w:val="18"/>
                <w:color w:val="auto"/>
              </w:rPr>
              <w:t>Depreciation of property, plant and equipment</w:t>
            </w:r>
          </w:p>
        </w:tc>
        <w:tc>
          <w:tcPr>
            <w:tcW w:w="1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Higher education</w:t>
            </w:r>
          </w:p>
        </w:tc>
        <w:tc>
          <w:tcPr>
            <w:tcW w:w="13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10,499</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10,834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11,160</w:t>
            </w:r>
          </w:p>
        </w:tc>
      </w:tr>
      <w:tr>
        <w:trPr>
          <w:trHeight w:val="216"/>
        </w:trPr>
        <w:tc>
          <w:tcPr>
            <w:tcW w:w="5160" w:type="dxa"/>
            <w:vAlign w:val="bottom"/>
            <w:gridSpan w:val="2"/>
          </w:tcPr>
          <w:p>
            <w:pPr>
              <w:ind w:left="880"/>
              <w:spacing w:after="0"/>
              <w:rPr>
                <w:sz w:val="20"/>
                <w:szCs w:val="20"/>
                <w:color w:val="auto"/>
              </w:rPr>
            </w:pPr>
            <w:r>
              <w:rPr>
                <w:rFonts w:ascii="Arial" w:cs="Arial" w:eastAsia="Arial" w:hAnsi="Arial"/>
                <w:sz w:val="18"/>
                <w:szCs w:val="18"/>
                <w:color w:val="auto"/>
              </w:rPr>
              <w:t>Test preparation</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3,129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3,360</w:t>
            </w: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3,025</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4,581</w:t>
            </w:r>
          </w:p>
        </w:tc>
      </w:tr>
      <w:tr>
        <w:trPr>
          <w:trHeight w:val="216"/>
        </w:trPr>
        <w:tc>
          <w:tcPr>
            <w:tcW w:w="5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international</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3,054</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3,830</w:t>
            </w:r>
          </w:p>
        </w:tc>
      </w:tr>
      <w:tr>
        <w:trPr>
          <w:trHeight w:val="216"/>
        </w:trPr>
        <w:tc>
          <w:tcPr>
            <w:tcW w:w="5160" w:type="dxa"/>
            <w:vAlign w:val="bottom"/>
            <w:gridSpan w:val="2"/>
          </w:tcPr>
          <w:p>
            <w:pPr>
              <w:ind w:left="880"/>
              <w:spacing w:after="0"/>
              <w:rPr>
                <w:sz w:val="20"/>
                <w:szCs w:val="20"/>
                <w:color w:val="auto"/>
              </w:rPr>
            </w:pPr>
            <w:r>
              <w:rPr>
                <w:rFonts w:ascii="Arial" w:cs="Arial" w:eastAsia="Arial" w:hAnsi="Arial"/>
                <w:sz w:val="18"/>
                <w:szCs w:val="18"/>
                <w:color w:val="auto"/>
              </w:rPr>
              <w:t>Kaplan ventures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1,009</w:t>
            </w: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985</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1,083</w:t>
            </w:r>
          </w:p>
        </w:tc>
      </w:tr>
      <w:tr>
        <w:trPr>
          <w:trHeight w:val="216"/>
        </w:trPr>
        <w:tc>
          <w:tcPr>
            <w:tcW w:w="5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corporate and other</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1,052</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r>
      <w:tr>
        <w:trPr>
          <w:trHeight w:val="20"/>
        </w:trPr>
        <w:tc>
          <w:tcPr>
            <w:tcW w:w="2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3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18,608</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19,020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18,950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21,420</w:t>
            </w:r>
          </w:p>
        </w:tc>
      </w:tr>
      <w:tr>
        <w:trPr>
          <w:trHeight w:val="116"/>
        </w:trPr>
        <w:tc>
          <w:tcPr>
            <w:tcW w:w="23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5,220</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4,943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5,171</w:t>
            </w:r>
          </w:p>
        </w:tc>
      </w:tr>
      <w:tr>
        <w:trPr>
          <w:trHeight w:val="222"/>
        </w:trPr>
        <w:tc>
          <w:tcPr>
            <w:tcW w:w="5160" w:type="dxa"/>
            <w:vAlign w:val="bottom"/>
            <w:gridSpan w:val="2"/>
          </w:tcPr>
          <w:p>
            <w:pPr>
              <w:ind w:left="440"/>
              <w:spacing w:after="0"/>
              <w:rPr>
                <w:sz w:val="20"/>
                <w:szCs w:val="20"/>
                <w:color w:val="auto"/>
              </w:rPr>
            </w:pPr>
            <w:r>
              <w:rPr>
                <w:rFonts w:ascii="Arial" w:cs="Arial" w:eastAsia="Arial" w:hAnsi="Arial"/>
                <w:sz w:val="18"/>
                <w:szCs w:val="18"/>
                <w:color w:val="auto"/>
                <w:w w:val="96"/>
              </w:rPr>
              <w:t>Kaplan stock-based incentive compensation expense (credit)</w:t>
            </w:r>
          </w:p>
        </w:tc>
        <w:tc>
          <w:tcPr>
            <w:tcW w:w="13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535</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552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(2,397)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r>
      <w:tr>
        <w:trPr>
          <w:trHeight w:val="356"/>
        </w:trPr>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0" w:type="dxa"/>
            <w:vAlign w:val="bottom"/>
          </w:tcPr>
          <w:p>
            <w:pPr>
              <w:ind w:left="46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summarizes financial information related to the operating segments of the Company’s education division segments for the six months ended 2011 and 2010, as well as for the fiscal years 2010 and 2009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 Period</w:t>
            </w:r>
          </w:p>
        </w:tc>
        <w:tc>
          <w:tcPr>
            <w:tcW w:w="80" w:type="dxa"/>
            <w:vAlign w:val="bottom"/>
          </w:tcPr>
          <w:p>
            <w:pPr>
              <w:spacing w:after="0"/>
              <w:rPr>
                <w:sz w:val="14"/>
                <w:szCs w:val="14"/>
                <w:color w:val="auto"/>
              </w:rPr>
            </w:pPr>
          </w:p>
        </w:tc>
        <w:tc>
          <w:tcPr>
            <w:tcW w:w="19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752,448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986,199</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1,920,791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1,672,916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Test preparation</w:t>
            </w:r>
            <w:r>
              <w:rPr>
                <w:rFonts w:ascii="Arial" w:cs="Arial" w:eastAsia="Arial" w:hAnsi="Arial"/>
                <w:sz w:val="11"/>
                <w:szCs w:val="11"/>
                <w:i w:val="1"/>
                <w:iCs w:val="1"/>
                <w:color w:val="auto"/>
              </w:rPr>
              <w:t>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156,562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159,053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314,879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Kaplan international</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314,758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271,374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585,924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537,238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59,296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Kaplan corporate and other</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5,537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1,258,728</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1,441,257</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2,878,032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2,595,802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95,778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218,671</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406,726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Test preparation</w:t>
            </w:r>
            <w:r>
              <w:rPr>
                <w:rFonts w:ascii="Arial" w:cs="Arial" w:eastAsia="Arial" w:hAnsi="Arial"/>
                <w:sz w:val="11"/>
                <w:szCs w:val="11"/>
                <w:i w:val="1"/>
                <w:iCs w:val="1"/>
                <w:color w:val="auto"/>
              </w:rPr>
              <w:t>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(12,097)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(32,583)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Kaplan international</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10,754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17,472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56,152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(8,930)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(17,490)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Kaplan corporate and other</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(35,714)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(40,999)</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(66,220)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38,974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173,835</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346,351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209,184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23,565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21,110</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43,104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Test preparation</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14,095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Kaplan international</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8,143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5,955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12,839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4,109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Kaplan corporate and other</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3,851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77,998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81,015</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16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10,472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11,520</w:t>
            </w:r>
          </w:p>
        </w:tc>
        <w:tc>
          <w:tcPr>
            <w:tcW w:w="3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21,634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21,875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 and other long-lived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Kaplan stock-based incentive compensation (credit) expense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1,087</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Test Preparation amounts include revenues and operating losses from Score as follows (in thousands):</w:t>
      </w:r>
    </w:p>
    <w:p>
      <w:pPr>
        <w:spacing w:after="0" w:line="207"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0</wp:posOffset>
            </wp:positionV>
            <wp:extent cx="9690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ind w:left="8460"/>
        <w:spacing w:after="0"/>
        <w:tabs>
          <w:tab w:leader="none" w:pos="946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8,557</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Operating losses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4"/>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w w:val="92"/>
              </w:rPr>
              <w:t>$ (36,787)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1"/>
        </w:trPr>
        <w:tc>
          <w:tcPr>
            <w:tcW w:w="6920" w:type="dxa"/>
            <w:vAlign w:val="bottom"/>
            <w:gridSpan w:val="3"/>
          </w:tcPr>
          <w:p>
            <w:pPr>
              <w:jc w:val="right"/>
              <w:ind w:right="72"/>
              <w:spacing w:after="0"/>
              <w:rPr>
                <w:sz w:val="20"/>
                <w:szCs w:val="20"/>
                <w:color w:val="auto"/>
              </w:rPr>
            </w:pPr>
            <w:r>
              <w:rPr>
                <w:rFonts w:ascii="Arial" w:cs="Arial" w:eastAsia="Arial" w:hAnsi="Arial"/>
                <w:sz w:val="18"/>
                <w:szCs w:val="18"/>
                <w:color w:val="auto"/>
                <w:w w:val="89"/>
              </w:rPr>
              <w:t>Identifiable assets for the Company’s education division consist of the following (in thousands):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1"/>
                <w:szCs w:val="11"/>
                <w:color w:val="auto"/>
              </w:rPr>
            </w:pPr>
          </w:p>
        </w:tc>
        <w:tc>
          <w:tcPr>
            <w:tcW w:w="860" w:type="dxa"/>
            <w:vAlign w:val="bottom"/>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1040" w:type="dxa"/>
            <w:vAlign w:val="bottom"/>
            <w:gridSpan w:val="4"/>
          </w:tcPr>
          <w:p>
            <w:pPr>
              <w:jc w:val="center"/>
              <w:ind w:left="135"/>
              <w:spacing w:after="0"/>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4"/>
                <w:szCs w:val="14"/>
                <w:color w:val="auto"/>
              </w:rPr>
            </w:pPr>
          </w:p>
        </w:tc>
        <w:tc>
          <w:tcPr>
            <w:tcW w:w="11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60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Identifiable assets</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6000" w:type="dxa"/>
            <w:vAlign w:val="bottom"/>
            <w:gridSpan w:val="2"/>
          </w:tcPr>
          <w:p>
            <w:pPr>
              <w:ind w:left="440"/>
              <w:spacing w:after="0"/>
              <w:rPr>
                <w:sz w:val="20"/>
                <w:szCs w:val="20"/>
                <w:color w:val="auto"/>
              </w:rPr>
            </w:pPr>
            <w:r>
              <w:rPr>
                <w:rFonts w:ascii="Arial" w:cs="Arial" w:eastAsia="Arial" w:hAnsi="Arial"/>
                <w:sz w:val="18"/>
                <w:szCs w:val="18"/>
                <w:color w:val="auto"/>
              </w:rPr>
              <w:t>Higher education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731,825</w:t>
            </w:r>
          </w:p>
        </w:tc>
        <w:tc>
          <w:tcPr>
            <w:tcW w:w="22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$1,093,614</w:t>
            </w:r>
          </w:p>
        </w:tc>
        <w:tc>
          <w:tcPr>
            <w:tcW w:w="6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$1,069,965</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330,464</w:t>
            </w: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290,367</w:t>
            </w:r>
          </w:p>
        </w:tc>
        <w:tc>
          <w:tcPr>
            <w:tcW w:w="6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285,673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000" w:type="dxa"/>
            <w:vAlign w:val="bottom"/>
            <w:gridSpan w:val="2"/>
          </w:tcPr>
          <w:p>
            <w:pPr>
              <w:ind w:left="440"/>
              <w:spacing w:after="0"/>
              <w:rPr>
                <w:sz w:val="20"/>
                <w:szCs w:val="20"/>
                <w:color w:val="auto"/>
              </w:rPr>
            </w:pPr>
            <w:r>
              <w:rPr>
                <w:rFonts w:ascii="Arial" w:cs="Arial" w:eastAsia="Arial" w:hAnsi="Arial"/>
                <w:sz w:val="18"/>
                <w:szCs w:val="18"/>
                <w:color w:val="auto"/>
              </w:rPr>
              <w:t>Kaplan international</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861,489</w:t>
            </w:r>
          </w:p>
        </w:tc>
        <w:tc>
          <w:tcPr>
            <w:tcW w:w="22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675,122</w:t>
            </w:r>
          </w:p>
        </w:tc>
        <w:tc>
          <w:tcPr>
            <w:tcW w:w="6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671,249</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117,542</w:t>
            </w:r>
          </w:p>
        </w:tc>
        <w:tc>
          <w:tcPr>
            <w:tcW w:w="11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118,461</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88,291</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000" w:type="dxa"/>
            <w:vAlign w:val="bottom"/>
            <w:gridSpan w:val="2"/>
          </w:tcPr>
          <w:p>
            <w:pPr>
              <w:ind w:left="440"/>
              <w:spacing w:after="0"/>
              <w:rPr>
                <w:sz w:val="20"/>
                <w:szCs w:val="20"/>
                <w:color w:val="auto"/>
              </w:rPr>
            </w:pPr>
            <w:r>
              <w:rPr>
                <w:rFonts w:ascii="Arial" w:cs="Arial" w:eastAsia="Arial" w:hAnsi="Arial"/>
                <w:sz w:val="18"/>
                <w:szCs w:val="18"/>
                <w:color w:val="auto"/>
              </w:rPr>
              <w:t>Kaplan corporate and other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20,326</w:t>
            </w:r>
          </w:p>
        </w:tc>
        <w:tc>
          <w:tcPr>
            <w:tcW w:w="22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19,713</w:t>
            </w:r>
          </w:p>
        </w:tc>
        <w:tc>
          <w:tcPr>
            <w:tcW w:w="6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73,150</w:t>
            </w:r>
          </w:p>
        </w:tc>
        <w:tc>
          <w:tcPr>
            <w:tcW w:w="100" w:type="dxa"/>
            <w:vAlign w:val="bottom"/>
          </w:tcPr>
          <w:p>
            <w:pPr>
              <w:spacing w:after="0"/>
              <w:rPr>
                <w:sz w:val="18"/>
                <w:szCs w:val="18"/>
                <w:color w:val="auto"/>
              </w:rPr>
            </w:pPr>
          </w:p>
        </w:tc>
      </w:tr>
      <w:tr>
        <w:trPr>
          <w:trHeight w:val="115"/>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2,061,646</w:t>
            </w: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2,197,277</w:t>
            </w:r>
          </w:p>
        </w:tc>
        <w:tc>
          <w:tcPr>
            <w:tcW w:w="6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2,188,328</w:t>
            </w:r>
          </w:p>
        </w:tc>
        <w:tc>
          <w:tcPr>
            <w:tcW w:w="100" w:type="dxa"/>
            <w:vAlign w:val="bottom"/>
            <w:shd w:val="clear" w:color="auto" w:fill="CCEEFF"/>
          </w:tcPr>
          <w:p>
            <w:pPr>
              <w:spacing w:after="0"/>
              <w:rPr>
                <w:sz w:val="18"/>
                <w:szCs w:val="18"/>
                <w:color w:val="auto"/>
              </w:rPr>
            </w:pPr>
          </w:p>
        </w:tc>
      </w:tr>
      <w:tr>
        <w:trPr>
          <w:trHeight w:val="370"/>
        </w:trPr>
        <w:tc>
          <w:tcPr>
            <w:tcW w:w="6920" w:type="dxa"/>
            <w:vAlign w:val="bottom"/>
            <w:gridSpan w:val="3"/>
          </w:tcPr>
          <w:p>
            <w:pPr>
              <w:jc w:val="right"/>
              <w:ind w:right="1032"/>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reported net income available for common shares of $45.6 million ($5.74 per share) for the second quarter ended July 3, 2011, compared to $91.9 million ($10.00 per share) in the second quarter of last year. Net income includes $1.4 million ($0.18 per share) and $9.6 million ($1.04 per share) in losses from discontinued operations for the second quarter of 2011 and 2010, respectively. Income from continuing operations available for common shares was $47.0 million ($5.92 per share) for the second quarter of 2011, compared to $101.5 million ($11.04 per share) for the second quarter of 2010.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second quarter of 2010:</w:t>
      </w:r>
    </w:p>
    <w:p>
      <w:pPr>
        <w:spacing w:after="0" w:line="90" w:lineRule="exact"/>
        <w:rPr>
          <w:sz w:val="20"/>
          <w:szCs w:val="20"/>
          <w:color w:val="auto"/>
        </w:rPr>
      </w:pPr>
    </w:p>
    <w:p>
      <w:pPr>
        <w:ind w:left="900" w:right="1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$17.7 million charge recorded at The Washington Post in connection with the withdrawal from a multiemployer pension plan (after-tax impact of $11.0 million, or $1.19 per share);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$3.8 million in non-operating unrealized foreign currency losses (after-tax impact of $2.3 million, or $0.25 per share).</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Revenue for the second quarter of 2011 was $1,073.0 million, down 10% from $1,197.4 million in 2010. The Company reported operating income of $81.1 million in the second quarter of 2011, compared to operating income of $166.9 million in 2010. Revenues were down at the education and newspaper publishing divisions, while revenues were up at the television broadcasting and cable television divisions. Operating results declined at the education and cable television divisions and improved at the television broadcasting division. Excluding the multiemployer pension plan charge noted above, operating results also declined at the newspaper publishing division.</w:t>
      </w:r>
    </w:p>
    <w:p>
      <w:pPr>
        <w:spacing w:after="0" w:line="14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For the first six months of 2011, the Company reported net income available for common shares of $60.7 million ($7.57 per share), compared to $137.3 million ($14.91 per share) for the same period of 2010. Net income includes $3.2 million ($0.40 per share) and $18.0 million ($1.95 per share) in losses from discontinued operations for the first six months of 2011 and 2010, respectively. Income from continuing operations available for common shares was $64.0 million ($7.97 per share) for the first six months of 2011, compared to $155.3 million ($16.86 per share) for the first six months of 2010. As a result of the Company’s share repurchases, there were 13% fewer diluted average shares outstanding in the first half of 2011.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2011:</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$30.7 million write-down of a marketable equity security (after-tax impact of $19.8 million, or $2.44 per share);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$3.0 million in non-operating unrealized foreign currency gains (after-tax impact of $1.9 million, or $0.24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2010:</w:t>
      </w:r>
    </w:p>
    <w:p>
      <w:pPr>
        <w:spacing w:after="0" w:line="90" w:lineRule="exact"/>
        <w:rPr>
          <w:sz w:val="20"/>
          <w:szCs w:val="20"/>
          <w:color w:val="auto"/>
        </w:rPr>
      </w:pPr>
    </w:p>
    <w:p>
      <w:pPr>
        <w:ind w:left="900" w:right="1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$17.7 million charge recorded at The Washington Post in connection with the withdrawal from a multiemployer pension plan (after-tax impact of $11.0 million, or $1.19 per share);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$7.1 million in non-operating unrealized foreign currency losses (after-tax impact of $4.4 million, or $0.48 per share).</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 for the first half of 2011 was $2,126.0 million, down 9% from $2,326.4 million in the first half of 2010. Revenues were down at the education and newspaper publishing divisions, while revenues were up at the television broadcasting and cable television divisions. The Company reported operating income of $136.1 million for the first half of 2011, compared to $273.5 million for the first half of 2010. Operating results declined at the education and cable television divisions and improved at the television broadcasting division. Excluding the multiemployer pension plan charge noted above, operating results also declined at the newspaper publishing division.</w:t>
      </w:r>
    </w:p>
    <w:p>
      <w:pPr>
        <w:spacing w:after="0" w:line="137" w:lineRule="exact"/>
        <w:rPr>
          <w:sz w:val="20"/>
          <w:szCs w:val="20"/>
          <w:color w:val="auto"/>
        </w:rPr>
      </w:pPr>
    </w:p>
    <w:p>
      <w:pPr>
        <w:ind w:right="360"/>
        <w:spacing w:after="0" w:line="339" w:lineRule="auto"/>
        <w:rPr>
          <w:sz w:val="20"/>
          <w:szCs w:val="20"/>
          <w:color w:val="auto"/>
        </w:rPr>
      </w:pPr>
      <w:r>
        <w:rPr>
          <w:rFonts w:ascii="Arial" w:cs="Arial" w:eastAsia="Arial" w:hAnsi="Arial"/>
          <w:sz w:val="16"/>
          <w:szCs w:val="16"/>
          <w:b w:val="1"/>
          <w:bCs w:val="1"/>
          <w:color w:val="auto"/>
        </w:rPr>
        <w:t xml:space="preserve">Education Division. </w:t>
      </w:r>
      <w:r>
        <w:rPr>
          <w:rFonts w:ascii="Arial" w:cs="Arial" w:eastAsia="Arial" w:hAnsi="Arial"/>
          <w:sz w:val="16"/>
          <w:szCs w:val="16"/>
          <w:color w:val="auto"/>
        </w:rPr>
        <w:t>Education division revenue totaled $628.7 million for the second quarter of 2011, a 15% decline from revenue of $742.9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quarter of 2010. Kaplan reported second quarter 2011 operating income of $20.5 million, down from $112.4 million in the second quarter of 2010.</w:t>
      </w:r>
    </w:p>
    <w:p>
      <w:pPr>
        <w:spacing w:after="0" w:line="8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For the first six months of 2011, education division revenue totaled $1,258.7 million, a 13% decline from revenue of $1,441.3 million for the same period of 2010. Kaplan reported operating income of $39.0 million for the first six months of 2011, down from $173.8 million for the first six months of 2010.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second quarter and the first six months of 2011 compared to 2010 is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85"/>
              </w:rPr>
              <w:t>Second Quarter</w:t>
            </w:r>
          </w:p>
        </w:tc>
        <w:tc>
          <w:tcPr>
            <w:tcW w:w="4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YTD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56"/>
        </w:trPr>
        <w:tc>
          <w:tcPr>
            <w:tcW w:w="60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Revenue</w:t>
            </w: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gridSpan w:val="3"/>
          </w:tcPr>
          <w:p>
            <w:pPr>
              <w:ind w:left="44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362,169</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$507,448</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752,448</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986,199</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83,197</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85,238</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156,562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159,053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000" w:type="dxa"/>
            <w:vAlign w:val="bottom"/>
            <w:gridSpan w:val="3"/>
          </w:tcPr>
          <w:p>
            <w:pPr>
              <w:ind w:left="440"/>
              <w:spacing w:after="0"/>
              <w:rPr>
                <w:sz w:val="20"/>
                <w:szCs w:val="20"/>
                <w:color w:val="auto"/>
              </w:rPr>
            </w:pPr>
            <w:r>
              <w:rPr>
                <w:rFonts w:ascii="Arial" w:cs="Arial" w:eastAsia="Arial" w:hAnsi="Arial"/>
                <w:sz w:val="18"/>
                <w:szCs w:val="18"/>
                <w:color w:val="auto"/>
              </w:rPr>
              <w:t>Kaplan international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166,071</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137,389</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314,758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271,374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17,418</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13,423</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27,546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000" w:type="dxa"/>
            <w:vAlign w:val="bottom"/>
            <w:gridSpan w:val="3"/>
          </w:tcPr>
          <w:p>
            <w:pPr>
              <w:ind w:left="440"/>
              <w:spacing w:after="0"/>
              <w:rPr>
                <w:sz w:val="20"/>
                <w:szCs w:val="20"/>
                <w:color w:val="auto"/>
              </w:rPr>
            </w:pPr>
            <w:r>
              <w:rPr>
                <w:rFonts w:ascii="Arial" w:cs="Arial" w:eastAsia="Arial" w:hAnsi="Arial"/>
                <w:sz w:val="18"/>
                <w:szCs w:val="18"/>
                <w:color w:val="auto"/>
              </w:rPr>
              <w:t>Kaplan corporate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1,065</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1,283</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2,574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(1,860)</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(5,489)</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628,701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742,921</w:t>
            </w:r>
          </w:p>
        </w:tc>
        <w:tc>
          <w:tcPr>
            <w:tcW w:w="3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1,258,728</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1,441,257</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72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88"/>
              </w:rPr>
              <w:t>Operating Income (loss)</w:t>
            </w:r>
          </w:p>
        </w:tc>
        <w:tc>
          <w:tcPr>
            <w:tcW w:w="4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0" w:type="dxa"/>
            <w:vAlign w:val="bottom"/>
            <w:gridSpan w:val="3"/>
          </w:tcPr>
          <w:p>
            <w:pPr>
              <w:ind w:left="44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45,295</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$127,067</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95,778</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218,671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(11,597)</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(327)</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(24,273)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(12,097)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3"/>
          </w:tcPr>
          <w:p>
            <w:pPr>
              <w:ind w:left="440"/>
              <w:spacing w:after="0"/>
              <w:rPr>
                <w:sz w:val="20"/>
                <w:szCs w:val="20"/>
                <w:color w:val="auto"/>
              </w:rPr>
            </w:pPr>
            <w:r>
              <w:rPr>
                <w:rFonts w:ascii="Arial" w:cs="Arial" w:eastAsia="Arial" w:hAnsi="Arial"/>
                <w:sz w:val="18"/>
                <w:szCs w:val="18"/>
                <w:color w:val="auto"/>
              </w:rPr>
              <w:t>Kaplan international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10,207</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12,945</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10,754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17,472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(4,949)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(7,358)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(8,930)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000" w:type="dxa"/>
            <w:vAlign w:val="bottom"/>
            <w:gridSpan w:val="3"/>
          </w:tcPr>
          <w:p>
            <w:pPr>
              <w:ind w:left="440"/>
              <w:spacing w:after="0"/>
              <w:rPr>
                <w:sz w:val="20"/>
                <w:szCs w:val="20"/>
                <w:color w:val="auto"/>
              </w:rPr>
            </w:pPr>
            <w:r>
              <w:rPr>
                <w:rFonts w:ascii="Arial" w:cs="Arial" w:eastAsia="Arial" w:hAnsi="Arial"/>
                <w:sz w:val="18"/>
                <w:szCs w:val="18"/>
                <w:color w:val="auto"/>
              </w:rPr>
              <w:t>Kaplan corporate</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(13,141)</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(15,202)</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(25,584)</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(28,392)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stock compensation</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3"/>
          </w:tcPr>
          <w:p>
            <w:pPr>
              <w:ind w:left="4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(5,547)</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(6,300)</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(10,472)</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(11,520)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(82)</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20,462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$ 112,391</w:t>
            </w:r>
          </w:p>
        </w:tc>
        <w:tc>
          <w:tcPr>
            <w:tcW w:w="3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38,974</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173,835</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first quarter of 2011, Kaplan made several changes to its operating and reporting structure. Kaplan’s domestic professional training business moved from Test Preparation to Kaplan Higher Education (KHE), and Kaplan Continuing Education moved from Kaplan Ventures to KHE. These businesses were integrated with Kaplan University to become part of the Kaplan University School of Continuing and Professional Education. The comparative division results presented above reflect these changes. Kaplan sold Kaplan Virtual Education in July 2011 and Education Connection in April 2010. Consequently, the education division’s operating results exclude these businesses.</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Kaplan Higher Education includes Kaplan’s domestic postsecondary education businesses, made up of fixed-facility colleges and online postsecondary and career programs. KHE also includes the domestic professional training and other continuing education businesses. In the second quarter and first six months of 2011, higher education revenue declined 29% and 24%, respectively, due to declines in average enrollments. Operating income decreased 64% and 56% for the second quarter and first six months of 2011, respectively. These declines were due to lower revenue, increased regulatory compliance costs and $5.5 million in second quarter 2011 severance costs associated with workforce reductions, offset by lower advertising costs and other expense reductions associated with lower enrollments.</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KHE has implemented a number of marketing and admissions changes to increase student selectivity and help KHE comply with recent regulations. KHE also implemented the Kaplan Commitment program, which provides first-time students with a risk-free trial period. Under the Kaplan Commitment program, KHE also monitors academic progress and conducts academic assessments to help determine whether students are likely to be successful in their chosen course of study. Students who withdraw or are subject to academic dismissal during the risk-free trial period do not incur any significant financial obligation. These changes, along with generally lower demand, have resulted in a 47% decline in new enrollments versus the prior year. Management estimates that without the Kaplan Commitment, this decline would have been approximately 36%. Management also estimates that revenue for the first half of 2011 would have been approximately $27 million higher if the Kaplan Commitment had not been implemented. KHE does not recognize tuition revenue for students during the risk-free period.</w:t>
      </w:r>
    </w:p>
    <w:p>
      <w:pPr>
        <w:spacing w:after="0" w:line="1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expects KHE’s operating income to continue to decline for the remainder of 2011 versus prior year performance due to lower student enrollment levels. In addition, Kaplan is formulating plans that are expected to result in additional restructuring and other costs that may be material in 2011, but that should establish lower cost levels in future periods.</w:t>
      </w:r>
    </w:p>
    <w:p>
      <w:pPr>
        <w:spacing w:after="0" w:line="14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For those first-time students enrolled to date under the Kaplan Commitment, the attrition rate during the risk-free period has been approximately 26%, of which about 60% is due to Kaplan’s dismissal of students from the program because of the student’s lack of academic progress during the period and the remainder due to students who have elected not to continue their studies. Given that the Kaplan Commitment program has only been in place for a short period of time, management is unable to estimate with confidence to what degree the program will cause student retention patterns to differ from historical levels. However, based on limited preliminary data, it appears that most of the historical early term attrition has been accelerated into the commitment period, having the desired effect of providing these students with a risk-free trial period and ultimately improving student outcome results for the institution. Management believes the Kaplan Commitment program is unique and reflects Kaplan’s commitment to student success.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summary of KHE student enrollments, excluding the Kaplan University School of Continuing and Professional Education, at June 30, 2011, and June 30, 2010, is as follows: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80" w:type="dxa"/>
            <w:vAlign w:val="bottom"/>
            <w:gridSpan w:val="4"/>
          </w:tcPr>
          <w:p>
            <w:pPr>
              <w:jc w:val="center"/>
              <w:ind w:right="460"/>
              <w:spacing w:after="0"/>
              <w:rPr>
                <w:sz w:val="20"/>
                <w:szCs w:val="20"/>
                <w:color w:val="auto"/>
              </w:rPr>
            </w:pPr>
            <w:r>
              <w:rPr>
                <w:rFonts w:ascii="Arial" w:cs="Arial" w:eastAsia="Arial" w:hAnsi="Arial"/>
                <w:sz w:val="14"/>
                <w:szCs w:val="14"/>
                <w:color w:val="auto"/>
                <w:w w:val="87"/>
              </w:rPr>
              <w:t>Student Enrollments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6980" w:type="dxa"/>
            <w:vAlign w:val="bottom"/>
          </w:tcPr>
          <w:p>
            <w:pPr>
              <w:spacing w:after="0"/>
              <w:rPr>
                <w:sz w:val="13"/>
                <w:szCs w:val="13"/>
                <w:color w:val="auto"/>
              </w:rPr>
            </w:pPr>
          </w:p>
        </w:tc>
        <w:tc>
          <w:tcPr>
            <w:tcW w:w="2080" w:type="dxa"/>
            <w:vAlign w:val="bottom"/>
            <w:gridSpan w:val="4"/>
          </w:tcPr>
          <w:p>
            <w:pPr>
              <w:jc w:val="center"/>
              <w:ind w:right="460"/>
              <w:spacing w:after="0" w:line="159" w:lineRule="exact"/>
              <w:rPr>
                <w:sz w:val="20"/>
                <w:szCs w:val="20"/>
                <w:color w:val="auto"/>
              </w:rPr>
            </w:pPr>
            <w:r>
              <w:rPr>
                <w:rFonts w:ascii="Arial" w:cs="Arial" w:eastAsia="Arial" w:hAnsi="Arial"/>
                <w:sz w:val="14"/>
                <w:szCs w:val="14"/>
                <w:color w:val="auto"/>
                <w:w w:val="87"/>
              </w:rPr>
              <w:t>As of June 30,</w:t>
            </w:r>
          </w:p>
        </w:tc>
        <w:tc>
          <w:tcPr>
            <w:tcW w:w="420" w:type="dxa"/>
            <w:vAlign w:val="bottom"/>
          </w:tcPr>
          <w:p>
            <w:pPr>
              <w:jc w:val="right"/>
              <w:ind w:right="81"/>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142"/>
        </w:trPr>
        <w:tc>
          <w:tcPr>
            <w:tcW w:w="698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rPr>
              <w:t>2011</w:t>
            </w:r>
          </w:p>
        </w:tc>
        <w:tc>
          <w:tcPr>
            <w:tcW w:w="4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2010</w:t>
            </w:r>
          </w:p>
        </w:tc>
        <w:tc>
          <w:tcPr>
            <w:tcW w:w="460" w:type="dxa"/>
            <w:vAlign w:val="bottom"/>
          </w:tcPr>
          <w:p>
            <w:pPr>
              <w:spacing w:after="0"/>
              <w:rPr>
                <w:sz w:val="12"/>
                <w:szCs w:val="12"/>
                <w:color w:val="auto"/>
              </w:rPr>
            </w:pPr>
          </w:p>
        </w:tc>
        <w:tc>
          <w:tcPr>
            <w:tcW w:w="52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85"/>
              </w:rPr>
              <w:t>Change</w:t>
            </w:r>
          </w:p>
        </w:tc>
      </w:tr>
      <w:tr>
        <w:trPr>
          <w:trHeight w:val="210"/>
        </w:trPr>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Kaplan University</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53,309</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75,520</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77"/>
              </w:rPr>
              <w:t>(29)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Kaplan Higher Education Campuses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25,225</w:t>
            </w:r>
          </w:p>
        </w:tc>
        <w:tc>
          <w:tcPr>
            <w:tcW w:w="4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36,701</w:t>
            </w:r>
          </w:p>
        </w:tc>
        <w:tc>
          <w:tcPr>
            <w:tcW w:w="46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w w:val="99"/>
              </w:rPr>
              <w:t>(31)</w:t>
            </w:r>
          </w:p>
        </w:tc>
      </w:tr>
      <w:tr>
        <w:trPr>
          <w:trHeight w:val="216"/>
        </w:trPr>
        <w:tc>
          <w:tcPr>
            <w:tcW w:w="69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78,534</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112,221</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(30)</w:t>
            </w:r>
          </w:p>
        </w:tc>
      </w:tr>
      <w:tr>
        <w:trPr>
          <w:trHeight w:val="20"/>
        </w:trPr>
        <w:tc>
          <w:tcPr>
            <w:tcW w:w="6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enrollments included 5,837 and 8,111 campus-based students as of June 30, 2011, and June 30, 2010,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Kaplan University and Kaplan Higher Education Campuses enrollments at June 30, 2011, and June 30, 2010, by degree and certificate programs,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540" w:type="dxa"/>
            <w:vAlign w:val="bottom"/>
            <w:gridSpan w:val="4"/>
          </w:tcPr>
          <w:p>
            <w:pPr>
              <w:jc w:val="right"/>
              <w:ind w:right="480"/>
              <w:spacing w:after="0"/>
              <w:rPr>
                <w:sz w:val="20"/>
                <w:szCs w:val="20"/>
                <w:color w:val="auto"/>
              </w:rPr>
            </w:pPr>
            <w:r>
              <w:rPr>
                <w:rFonts w:ascii="Arial" w:cs="Arial" w:eastAsia="Arial" w:hAnsi="Arial"/>
                <w:sz w:val="14"/>
                <w:szCs w:val="14"/>
                <w:color w:val="auto"/>
              </w:rPr>
              <w:t>As of June 30,</w:t>
            </w:r>
          </w:p>
        </w:tc>
      </w:tr>
      <w:tr>
        <w:trPr>
          <w:trHeight w:val="142"/>
        </w:trPr>
        <w:tc>
          <w:tcPr>
            <w:tcW w:w="71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2011</w:t>
            </w:r>
          </w:p>
        </w:tc>
        <w:tc>
          <w:tcPr>
            <w:tcW w:w="5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Certificate</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22.8%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Associate’s</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31.7%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33.9%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Bachelor’s</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35.2%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33.8%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Master’s</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10.3%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r>
        <w:trPr>
          <w:trHeight w:val="27"/>
        </w:trPr>
        <w:tc>
          <w:tcPr>
            <w:tcW w:w="7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Refer to KHE Regulatory Matters below for additional information.</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Test preparation includes Kaplan’s standardized test preparation and tutoring offerings and other businesses. In the first quarter of 2010, the Company discontinued certain offerings of the K12 business; $3.2 million and $7.8 million in severance and other closure costs were recorded in the second quarter and first half of 2010, respectively, in connection with this plan. In the fourth quarter of 2010, Kaplan Test Preparation began implementing a plan to reorganize its business consistent with the migration of students to Kaplan’s online and hybrid test preparation offerings, reducing the number of leased test preparation centers. In the first half of 2011, implementation of the plan continued and $6.2 million and $8.5 million in additional costs were incurred in the second quarter and first six months of 2011, respectively. This plan is expected to be largely completed by the end of 2011, and the Company estimates that approximately $4.0 million in additional costs will be incurred.</w:t>
      </w:r>
    </w:p>
    <w:p>
      <w:pPr>
        <w:spacing w:after="0" w:line="1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Test preparation revenue declined 2% in the second quarter and first six months of 2011. Strong enrollment increases, particularly in the Pre-College and Nursing programs, were offset by reduced prices for many programs related to increased competition and a shift in demand to lower priced online test preparation offerings. Test preparation operating results were down in the first half of 2011 due to reduced prices at the traditional test preparation programs and higher spending to expand online offerings and innovate various programs.</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Kaplan International includes professional training and postsecondary education businesses outside the United States, as well as English-language programs. In May 2011, Kaplan Australia acquired Franklyn Scholar and Carrick Education Group, leading national providers of vocational training and higher education in Australia. In June 2011, Kaplan acquired Structuralia, a provider of e-learning for the engineering and infrastructure sector in Spain. Kaplan International revenue increased 21% and 16% in the second quarter and first six months of 2011, respectively. Excluding revenue from acquired businesses, Kaplan International revenue increased 14% and 12% in the second quarter and first six months of 2011, respectively, due to favorable exchange rates and enrollment growth in the pathways and English-language programs. Kaplan International operating income declined in the first half of 2011 due to enrollment declines at its UK professional training schools arising from new pending student visa restrictions. In addition, Kaplan International operating income declined due to up-front spending for admission and occupancy at its Asian and United Kingdom businesses to support expanding operations.</w:t>
      </w:r>
    </w:p>
    <w:p>
      <w:pPr>
        <w:spacing w:after="0" w:line="118"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Kaplan Ventures is made up of several businesses in various stages of development that are managed separately from the other education businesses. Revenue at Kaplan Ventures increased 30% for first six months of 2011. Kaplan Ventures reported an operating loss of $4.3 million and $7.4 million in the second quarter and first six months of 2011, compared to an operating loss of $4.9 million and $8.9 million in the second quarter and first six months of 2010, respectively.</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Corporate represents unallocated expenses of Kaplan, Inc.’s corporate office and other minor shared activities.</w:t>
      </w:r>
    </w:p>
    <w:p>
      <w:pPr>
        <w:spacing w:after="0" w:line="165" w:lineRule="exact"/>
        <w:rPr>
          <w:sz w:val="20"/>
          <w:szCs w:val="20"/>
          <w:color w:val="auto"/>
        </w:rPr>
      </w:pPr>
    </w:p>
    <w:p>
      <w:pPr>
        <w:jc w:val="both"/>
        <w:ind w:right="380"/>
        <w:spacing w:after="0" w:line="310" w:lineRule="auto"/>
        <w:rPr>
          <w:sz w:val="20"/>
          <w:szCs w:val="20"/>
          <w:color w:val="auto"/>
        </w:rPr>
      </w:pPr>
      <w:r>
        <w:rPr>
          <w:rFonts w:ascii="Arial" w:cs="Arial" w:eastAsia="Arial" w:hAnsi="Arial"/>
          <w:sz w:val="16"/>
          <w:szCs w:val="16"/>
          <w:b w:val="1"/>
          <w:bCs w:val="1"/>
          <w:color w:val="auto"/>
        </w:rPr>
        <w:t xml:space="preserve">Cable Television Division. </w:t>
      </w:r>
      <w:r>
        <w:rPr>
          <w:rFonts w:ascii="Arial" w:cs="Arial" w:eastAsia="Arial" w:hAnsi="Arial"/>
          <w:sz w:val="16"/>
          <w:szCs w:val="16"/>
          <w:color w:val="auto"/>
        </w:rPr>
        <w:t>Cable television division revenue increased slightly in the second quarter of 2011 to $191.2 million, from $190.6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quarter of 2010; for the first six months of 2011, revenue increased to $381.5 million, from $379.9 million in the same period of 2010. The revenue increase in 2011 is due to continued growth of the division’s Internet and telephone service revenues, offset by an increase in promotional discounts.</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Cable television division operating income decreased 8% to $40.4 million, from $43.8 million in the second quarter of 2010; cable division operating income for the first half of 2011 decreased 9% to $78.1 million, from $86.3 million for the first half of 2010. The division’s operating income declined primarily due to increased programming, technical and sales costs.</w:t>
      </w:r>
    </w:p>
    <w:p>
      <w:pPr>
        <w:spacing w:after="0" w:line="14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 May 2011, Joplin, Missouri was struck by a tornado, resulting in a reduction of subscribers at the Company’s cable system, at least on a temporary basis. The Company estimates that it will cost approximately $3.0 million to replace property, plant and equipment that was destroyed.</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2011, Primary Service Units (PSUs) were up 6% from the prior year due to growth in high-speed data and telephony subscribers, offset by a decrease in basic subscribers. PSUs include about 6,200 subscribers who receive free basic cable service, primarily local governments, schools and other organizations as required by various franchise agreements. A summary of PSUs is as follows:</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760" w:type="dxa"/>
            <w:vAlign w:val="bottom"/>
          </w:tcPr>
          <w:p>
            <w:pPr>
              <w:jc w:val="right"/>
              <w:ind w:right="99"/>
              <w:spacing w:after="0"/>
              <w:rPr>
                <w:sz w:val="20"/>
                <w:szCs w:val="20"/>
                <w:color w:val="auto"/>
              </w:rPr>
            </w:pPr>
            <w:r>
              <w:rPr>
                <w:rFonts w:ascii="Arial" w:cs="Arial" w:eastAsia="Arial" w:hAnsi="Arial"/>
                <w:sz w:val="14"/>
                <w:szCs w:val="14"/>
                <w:color w:val="auto"/>
              </w:rPr>
              <w:t>June 30,</w:t>
            </w:r>
          </w:p>
        </w:tc>
        <w:tc>
          <w:tcPr>
            <w:tcW w:w="34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June 30,</w:t>
            </w:r>
          </w:p>
        </w:tc>
      </w:tr>
      <w:tr>
        <w:trPr>
          <w:trHeight w:val="159"/>
        </w:trPr>
        <w:tc>
          <w:tcPr>
            <w:tcW w:w="6720" w:type="dxa"/>
            <w:vAlign w:val="bottom"/>
          </w:tcPr>
          <w:p>
            <w:pPr>
              <w:spacing w:after="0"/>
              <w:rPr>
                <w:sz w:val="13"/>
                <w:szCs w:val="13"/>
                <w:color w:val="auto"/>
              </w:rPr>
            </w:pPr>
          </w:p>
        </w:tc>
        <w:tc>
          <w:tcPr>
            <w:tcW w:w="760" w:type="dxa"/>
            <w:vAlign w:val="bottom"/>
          </w:tcPr>
          <w:p>
            <w:pPr>
              <w:jc w:val="right"/>
              <w:ind w:right="179"/>
              <w:spacing w:after="0" w:line="159" w:lineRule="exact"/>
              <w:rPr>
                <w:sz w:val="20"/>
                <w:szCs w:val="20"/>
                <w:color w:val="auto"/>
              </w:rPr>
            </w:pPr>
            <w:r>
              <w:rPr>
                <w:rFonts w:ascii="Arial" w:cs="Arial" w:eastAsia="Arial" w:hAnsi="Arial"/>
                <w:sz w:val="14"/>
                <w:szCs w:val="14"/>
                <w:color w:val="auto"/>
              </w:rPr>
              <w:t>2011</w:t>
            </w:r>
          </w:p>
        </w:tc>
        <w:tc>
          <w:tcPr>
            <w:tcW w:w="1100" w:type="dxa"/>
            <w:vAlign w:val="bottom"/>
            <w:gridSpan w:val="2"/>
          </w:tcPr>
          <w:p>
            <w:pPr>
              <w:jc w:val="right"/>
              <w:ind w:right="159"/>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r>
      <w:tr>
        <w:trPr>
          <w:trHeight w:val="210"/>
        </w:trPr>
        <w:tc>
          <w:tcPr>
            <w:tcW w:w="6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Basic video</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637,068</w:t>
            </w: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High-speed data</w:t>
            </w:r>
          </w:p>
        </w:tc>
        <w:tc>
          <w:tcPr>
            <w:tcW w:w="760" w:type="dxa"/>
            <w:vAlign w:val="bottom"/>
          </w:tcPr>
          <w:p>
            <w:pPr>
              <w:jc w:val="right"/>
              <w:spacing w:after="0"/>
              <w:rPr>
                <w:sz w:val="20"/>
                <w:szCs w:val="20"/>
                <w:color w:val="auto"/>
              </w:rPr>
            </w:pPr>
            <w:r>
              <w:rPr>
                <w:rFonts w:ascii="Arial" w:cs="Arial" w:eastAsia="Arial" w:hAnsi="Arial"/>
                <w:sz w:val="18"/>
                <w:szCs w:val="18"/>
                <w:color w:val="auto"/>
              </w:rPr>
              <w:t>444,357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406,900</w:t>
            </w: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Telephony</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173,977</w:t>
            </w:r>
          </w:p>
        </w:tc>
        <w:tc>
          <w:tcPr>
            <w:tcW w:w="3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120,588</w:t>
            </w:r>
          </w:p>
        </w:tc>
        <w:tc>
          <w:tcPr>
            <w:tcW w:w="100" w:type="dxa"/>
            <w:vAlign w:val="bottom"/>
            <w:shd w:val="clear" w:color="auto" w:fill="CCEEFF"/>
          </w:tcPr>
          <w:p>
            <w:pPr>
              <w:spacing w:after="0"/>
              <w:rPr>
                <w:sz w:val="18"/>
                <w:szCs w:val="18"/>
                <w:color w:val="auto"/>
              </w:rPr>
            </w:pPr>
          </w:p>
        </w:tc>
      </w:tr>
      <w:tr>
        <w:trPr>
          <w:trHeight w:val="222"/>
        </w:trPr>
        <w:tc>
          <w:tcPr>
            <w:tcW w:w="6720" w:type="dxa"/>
            <w:vAlign w:val="bottom"/>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1,255,402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1,181,716</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Below are details of Cable division capital expenditures for the first six months of 2011 and 2010, as defined by the NCTA Standard Reporting Categories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4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Premise Equipment</w:t>
            </w:r>
          </w:p>
        </w:tc>
        <w:tc>
          <w:tcPr>
            <w:tcW w:w="2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$19.3</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Commercial</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15.5</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Line Extensions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Support Capital</w:t>
            </w:r>
          </w:p>
        </w:tc>
        <w:tc>
          <w:tcPr>
            <w:tcW w:w="25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40.1</w:t>
            </w:r>
          </w:p>
        </w:tc>
        <w:tc>
          <w:tcPr>
            <w:tcW w:w="100" w:type="dxa"/>
            <w:vAlign w:val="bottom"/>
            <w:shd w:val="clear" w:color="auto" w:fill="CCEEFF"/>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totaled $162.8 million for the second quarter of 2011, down 6% from revenue of</w:t>
      </w:r>
    </w:p>
    <w:p>
      <w:pPr>
        <w:spacing w:after="0" w:line="4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$172.7 million for the second quarter of 2010; division revenue declined 3% to $317.8 million for the first six months of 2011, from $328.5 million for the first six months of 2010. Print advertising revenue at The Washington Post in the second quarter of 2011 declined 12% to $66.6 million, from $75.2 million in the second quarter of 2010, and declined 10% to $129.8 million for the first six months of 2011, from $143.9 million for the first six months of 2010. The decline is largely due to reductions in classified, zoned and general advertising. Revenue generated by the Company’s newspaper online publishing activities, primarily washingtonpost.com and Slate, decreased 13% to $23.4 million for the second quarter of 2011, versus $26.9 million for the second quarter of 2010; newspaper online revenues declined 3% to $49.1 million for the first six months of 2011, versus $50.6 million for the first six months of 2010. Display online advertising revenue declined 16% and 4% for the second quarter and first six months of 2011, respectively. Online classified advertising revenue on washingtonpost.com decreased 2% for the second quarter of 2011, but increased 2% for the first six months of 2011.</w:t>
      </w:r>
    </w:p>
    <w:p>
      <w:pPr>
        <w:spacing w:after="0" w:line="12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For the first six months of 2011, Post daily and Sunday circulation declined 4.5% and 4.1%, respectively, compared to the same periods of the prior year. For the six months ended July 3, 2011, average daily circulation at The Washington Post totaled 531,400, and average Sunday circulation totaled 745,300.</w:t>
      </w:r>
    </w:p>
    <w:p>
      <w:pPr>
        <w:spacing w:after="0" w:line="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newspaper division reported an operating loss of $2.9 million in the second quarter of 2011, compared to an operating loss of $14.3 million in the second quarter of 2010. For the first six months of 2011, the newspaper division reported an operating loss of $15.7 million, compared to an operating loss of $28.1 million for the first six months of 2010. As previously disclosed, The Washington Post recorded a $17.7 million charge in the second quarter of 2010 in connection with its withdrawal from the CWA-ITU Negotiated Pension Plan. Excluding this charge and a $3.1 million loss recorded on an office lease in the first quarter of 2010, operating results declined in the first half of 2011 due to the revenue reductions discussed above, offset by a small decrease in overall costs. Newsprint expense was down 4% and 2% for the second quarter and first six months of 2011, respectively, due to a decline in newsprint consumption.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58"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television broadcasting division increased 3% in the second quarter of 2011 to $84.9 million, from $82.6</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2010; operating income for the second quarter of 2011 increased 9% to $32.6 million, from $29.8 million in 2010. For the first six months of 2011, revenue increased 1% to $157.1 million, from $156.1 million in 2010; operating income for the first six months of 2011 increased 3% to $52.2 million, from $50.7 million in 2010.</w:t>
      </w:r>
    </w:p>
    <w:p>
      <w:pPr>
        <w:spacing w:after="0" w:line="14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increase in revenue and operating income in the first half of 2011 is due to overall improved advertising demand across many product categories, offset by the absence of $4.7 million in incremental winter Olympics-related advertising in the first quarter of 2010, and a $2.5 million and $4.3 million decrease in political advertising revenue for the second quarter and first six months of 2011, respectively.</w:t>
      </w:r>
    </w:p>
    <w:p>
      <w:pPr>
        <w:spacing w:after="0" w:line="134"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b w:val="1"/>
          <w:bCs w:val="1"/>
          <w:color w:val="auto"/>
        </w:rPr>
        <w:t xml:space="preserve">Other Businesses. </w:t>
      </w:r>
      <w:r>
        <w:rPr>
          <w:rFonts w:ascii="Arial" w:cs="Arial" w:eastAsia="Arial" w:hAnsi="Arial"/>
          <w:sz w:val="16"/>
          <w:szCs w:val="16"/>
          <w:color w:val="auto"/>
        </w:rPr>
        <w:t>Other businesses includes the operating results of Avenue100 Media Solutions and other small businesses. In the first half of 2011, revenues</w:t>
      </w:r>
      <w:r>
        <w:rPr>
          <w:rFonts w:ascii="Arial" w:cs="Arial" w:eastAsia="Arial" w:hAnsi="Arial"/>
          <w:sz w:val="16"/>
          <w:szCs w:val="16"/>
          <w:b w:val="1"/>
          <w:bCs w:val="1"/>
          <w:color w:val="auto"/>
        </w:rPr>
        <w:t xml:space="preserve"> </w:t>
      </w:r>
      <w:r>
        <w:rPr>
          <w:rFonts w:ascii="Arial" w:cs="Arial" w:eastAsia="Arial" w:hAnsi="Arial"/>
          <w:sz w:val="16"/>
          <w:szCs w:val="16"/>
          <w:color w:val="auto"/>
        </w:rPr>
        <w:t>declined substantially due to volume declines as a result of changes implemented at Avenue100 Media Solutions to improve lead quality. Operating results decreased due to these revenue declines, along with increased costs at the Company’s digital businesses managed at the corporate office.</w:t>
      </w:r>
    </w:p>
    <w:p>
      <w:pPr>
        <w:spacing w:after="0" w:line="9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Equity in Earnings (Losses) of Affiliates. </w:t>
      </w:r>
      <w:r>
        <w:rPr>
          <w:rFonts w:ascii="Arial" w:cs="Arial" w:eastAsia="Arial" w:hAnsi="Arial"/>
          <w:sz w:val="18"/>
          <w:szCs w:val="18"/>
          <w:color w:val="auto"/>
        </w:rPr>
        <w:t>The Company’s equity in earnings of affiliates for the second quarter of 2011 was $3.1 million, compared to earnings</w:t>
      </w:r>
      <w:r>
        <w:rPr>
          <w:rFonts w:ascii="Arial" w:cs="Arial" w:eastAsia="Arial" w:hAnsi="Arial"/>
          <w:sz w:val="18"/>
          <w:szCs w:val="18"/>
          <w:b w:val="1"/>
          <w:bCs w:val="1"/>
          <w:color w:val="auto"/>
        </w:rPr>
        <w:t xml:space="preserve"> </w:t>
      </w:r>
      <w:r>
        <w:rPr>
          <w:rFonts w:ascii="Arial" w:cs="Arial" w:eastAsia="Arial" w:hAnsi="Arial"/>
          <w:sz w:val="18"/>
          <w:szCs w:val="18"/>
          <w:color w:val="auto"/>
        </w:rPr>
        <w:t>of $2.0 million for the second quarter of 2010. For the first six months of 2011, the Company’s equity in earnings of affiliates totaled $6.9 million, compared with losses of $6.1 million for the same period of 2010. The change is due to improved results at the Company’s Bowater Mersey Paper Company and Classified Ventures affiliates.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Company holds a 49% interest in Bowater Mersey Paper Company, a 16.5% interest in Classified Ventures, LLC and interests in several other affiliates.</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Other Non-Operating Income (Expense). </w:t>
      </w:r>
      <w:r>
        <w:rPr>
          <w:rFonts w:ascii="Arial" w:cs="Arial" w:eastAsia="Arial" w:hAnsi="Arial"/>
          <w:sz w:val="16"/>
          <w:szCs w:val="16"/>
          <w:color w:val="auto"/>
        </w:rPr>
        <w:t>The Company recorded other non-operating expense, net, of $2.6 million for the second quarter of 2011,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other non-operating expense, net, of $3.8 million for the second quarter of 2010. The second quarter 2011 non-operating expense, net, included $3.1 million for an impairment write-down on a cost method investment, offset by $0.3 million in unrealized foreign currency gains and other items. The second quarter 2010 non-operating expense, net, included $3.8 million in unrealized foreign currency losses.</w:t>
      </w:r>
    </w:p>
    <w:p>
      <w:pPr>
        <w:spacing w:after="0" w:line="109"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 Company recorded non-operating expense, net, of $26.6 million for the first six months of 2011, compared to other non-operating expense, net, of $7.1 million for the same period of the prior year. The 2011 non-operating expense, net, included a $30.7 million write-down of a marketable equity security (Corinthian Colleges, Inc.), offset by $3.0 million in unrealized foreign currency gains and other items. The 2010 non-operating expense, net, included $7.1 million in unrealized foreign currency losses.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income for the twenty-six weeks ended July 3, 2011 and July 4, 2010, is as follows (in millions):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7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Impairment write-down on a marketable equity security</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0"/>
              </w:rPr>
              <w:t>$ (30.7)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Foreign currency gains (losses), net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(7.1)</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cost method investments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Impairment write-downs on cost method investments</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2"/>
        </w:trPr>
        <w:tc>
          <w:tcPr>
            <w:tcW w:w="7180" w:type="dxa"/>
            <w:vAlign w:val="bottom"/>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(26.6)</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w:t>
            </w:r>
          </w:p>
        </w:tc>
      </w:tr>
      <w:tr>
        <w:trPr>
          <w:trHeight w:val="20"/>
        </w:trPr>
        <w:tc>
          <w:tcPr>
            <w:tcW w:w="7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660"/>
        <w:spacing w:after="0" w:line="262" w:lineRule="auto"/>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$7.0 million and $13.9 million for the second quarter and first six months of 2011,</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compared to $7.0 million and $14.3 million for the same periods of 2010. At July 3, 2011, the Company had $405.5 million in borrowings outstanding, at an average interest rate of 7.2%.</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Provision for Income Taxes. </w:t>
      </w:r>
      <w:r>
        <w:rPr>
          <w:rFonts w:ascii="Arial" w:cs="Arial" w:eastAsia="Arial" w:hAnsi="Arial"/>
          <w:sz w:val="16"/>
          <w:szCs w:val="16"/>
          <w:color w:val="auto"/>
        </w:rPr>
        <w:t>The effective tax rate for the first six months of 2011 was 36.9%, compared with 36.6% for the first six months of 2010.</w:t>
      </w:r>
    </w:p>
    <w:p>
      <w:pPr>
        <w:spacing w:after="0" w:line="194"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On September 30, 2010, the Company completed the sale of Newsweek. In addition, Kaplan sold Kaplan Virtual Education in July</w:t>
      </w:r>
      <w:r>
        <w:rPr>
          <w:rFonts w:ascii="Arial" w:cs="Arial" w:eastAsia="Arial" w:hAnsi="Arial"/>
          <w:sz w:val="18"/>
          <w:szCs w:val="18"/>
          <w:b w:val="1"/>
          <w:bCs w:val="1"/>
          <w:color w:val="auto"/>
        </w:rPr>
        <w:t xml:space="preserve"> </w:t>
      </w:r>
      <w:r>
        <w:rPr>
          <w:rFonts w:ascii="Arial" w:cs="Arial" w:eastAsia="Arial" w:hAnsi="Arial"/>
          <w:sz w:val="18"/>
          <w:szCs w:val="18"/>
          <w:color w:val="auto"/>
        </w:rPr>
        <w:t>2011 and Education Connection in April 2010. Consequently, the Company’s income from continuing operations excludes these businesses, which have been reclassified to discontinued operations, net of tax.</w:t>
      </w:r>
    </w:p>
    <w:p>
      <w:pPr>
        <w:spacing w:after="0" w:line="13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calculation of diluted earnings per share for the second quarter and first six months of 2011 was based on 7,933,459 and 8,026,424</w:t>
      </w:r>
      <w:r>
        <w:rPr>
          <w:rFonts w:ascii="Arial" w:cs="Arial" w:eastAsia="Arial" w:hAnsi="Arial"/>
          <w:sz w:val="18"/>
          <w:szCs w:val="18"/>
          <w:b w:val="1"/>
          <w:bCs w:val="1"/>
          <w:color w:val="auto"/>
        </w:rPr>
        <w:t xml:space="preserve"> </w:t>
      </w:r>
      <w:r>
        <w:rPr>
          <w:rFonts w:ascii="Arial" w:cs="Arial" w:eastAsia="Arial" w:hAnsi="Arial"/>
          <w:sz w:val="18"/>
          <w:szCs w:val="18"/>
          <w:color w:val="auto"/>
        </w:rPr>
        <w:t>weighted average shares outstanding, respectively, compared to 9,192,690 and 9,216,626, respectively, for the second quarter and first six months of 2010. In the first half of 2011, the Company repurchased 304,791 shares of its Class B common stock at a cost of $131.5 million. At July 3, 2011, there were 7,931,420 shares outstanding.</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KHE Regulatory Matters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October 2010, the U.S. Department of Education released rules that address program integrity issues for postsecondary education institutions that participate in Title IV programs. The rules include, among other items, state approval processes, Department of Education program approval processes, revised standards governing the payment of incentive compensation to admissions and financial aid advisors, standards around misrepresentation and the definition of “credit hour.” In March 2011, the Department of Education issued “Dear Colleague Letters” to provide guidance on these regulations, including incentive compensation related to admissions. The Company has taken steps to fully comply with these rules. Among the actions taken, the Company has revised its compensation plans for admissions personnel and completely eliminated enrollment results as a component in the determination of compensation. The Company believes this change in our approach to recruiting adversely impacts our enrollment rates and operating costs, particularly during the transition period.</w:t>
      </w:r>
    </w:p>
    <w:p>
      <w:pPr>
        <w:spacing w:after="0" w:line="11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July 2010, the Department of Education released a notice of proposed rulemaking addressing substantive measurements for whether an educational program leads to gainful employment in a recognized occupation for purposes of that program’s eligibility for Title IV funds. The proposed rulemaking addressing the definition of gainful employment included provisions whereby students at a program level must demonstrate certain levels of student loan repayment and/or a program’s graduates must achieve certain debt-to-income ratios for the institution’s program to remain eligible for participation in the Title IV program. In June 2011, the Department of Education issued a final rule that can be found at http://ifap.ed.gov/GainfulEmploymentInfo/index.html. The final rule has a similar framework to the proposed rule that programs must meet to remain eligible to participate in the Title IV program; however, the final rule includes substantial changes to the metrics in the proposed rule including increasing the loan repayment period for some programs and changing the debt-to-income criteria. The final rule also made changes to the treatment of certain types of consolidated loans.</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a program fails all three of the gainful employment metrics in a given year, the Department requires the institution to disclose the amount by which the program under-performed the metrics and the institution’s plan for program improvement. Also, the institution must establish a three-day waiting period before students can enroll. Should a program fail to achieve the metrics twice within three years, the institution must disclose to students that they may find their debts unaffordable; that the program is at risk of losing eligibility to receive federal financial aid; and that transfer options exist. Should a program fail three times within a four year period, the U.S. Department of Education would terminate the program’s eligibility for federal student aid, and the institution would not be able to reestablish the program’s eligibility for at least three years, though the program could continue to operate without student aid. The final rule is scheduled to go into effect on July 1, 2012, however, the first final debt measures will not be released until 2013 and a program cannot lose eligibility until 2015.</w:t>
      </w:r>
    </w:p>
    <w:p>
      <w:pPr>
        <w:spacing w:after="0" w:line="11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Based on currently available information, the Company does not expect that the final regulation will adversely impact most of Kaplan’s current program offerings. However, some of the data needed to compute program eligibility under this regulation, including graduate incomes, are not readily accessible to the institutions, but are compiled by the Department of Education. In addition, the continuing eligibility of our educational programs for Title IV funding may be affected by factors beyond our control, such as changes in the actual or deemed income level of our graduates, changes in student borrowing levels, increases in interest rates, changes in the federal poverty income level relevant for calculating the discretionary income test, changes in the percentage of our former students who are current in repayment of their student loans, and other factors.</w:t>
      </w:r>
    </w:p>
    <w:p>
      <w:pPr>
        <w:spacing w:after="0" w:line="12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Under regulations referred to as the 90/10 rule, a Kaplan Higher Education OPEID unit would lose its eligibility to participate in the Title IV programs for a period of at least two fiscal years if it derives more than 90% of its receipts from the Title IV programs for two consecutive fiscal years, commencing with the unit’s first fiscal year that ends after August 14, 2008. Any OPEID reporting unit with receipts from the Title IV programs exceeding 90% for a single fiscal year ending after August 14, 2008, would be placed on provisional certification and may be subject to other enforcement measures. In 2011, if current trends continue, management estimates that one OPEID unit of Kaplan Higher Education Campuses (KHEC), representing less than 1% of KHE revenue, may have a 90/10 ratio over 90.0%. However, for 2012, absent changes and if current trends continue, management estimates that 18 OPEID units of KHEC, representing approximately 19% of KHE revenue, may have a 90/10 ratio over 90.0%. Kaplan Higher Education is taking and considering various measures to reduce the percentage of its receipts attributable to Title IV funds, including emphasizing direct-pay and employer-paid education programs; encouraging students to carefully evaluate the amount of Title IV borrowing; and other measures. Although Kaplan is taking steps to address compliance with the 90/10 rule, there can be no guarantee that these measures will be adequate to prevent the 90/10 rule calculations from exceeding 90% in the future, which could ultimately materially affect KHE operating results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84"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 xml:space="preserve">Acquisitions and Dispositions. </w:t>
      </w:r>
      <w:r>
        <w:rPr>
          <w:rFonts w:ascii="Arial" w:cs="Arial" w:eastAsia="Arial" w:hAnsi="Arial"/>
          <w:sz w:val="18"/>
          <w:szCs w:val="18"/>
          <w:color w:val="auto"/>
        </w:rPr>
        <w:t>In the first six months of 2011, the Company acquired four businesses totaling $127.2 million, including assumed debt of $5.5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other assumed liabilities. The assets and liabilities of the companies acquired have been recorded at their estimated fair values at the date of acquisition; most of the purchase price for these acquisitions has been allocated to goodwill, other intangible assets, and property, plant and equipment on a preliminary basis.</w:t>
      </w:r>
    </w:p>
    <w:p>
      <w:pPr>
        <w:spacing w:after="0" w:line="14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the second quarter of 2011, Kaplan acquired three businesses in its Kaplan International division. These acquisitions included Kaplan’s May 2011 acquisitions of Franklyn Scholar and Carrick Education Group, leading national providers of vocational training and higher education in Australia. In June 2011, Kaplan acquired Structuralia, a provider of e-learning for the engineering and infrastructure sector in Spain.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 July 2011, Kaplan sold Kaplan Virtual Education, which was part of Kaplan Ventures.</w:t>
      </w:r>
    </w:p>
    <w:p>
      <w:pPr>
        <w:spacing w:after="0" w:line="17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 the second quarter of 2010, the Company made two small acquisitions in its Other Businesses and Cable divisions. In the first quarter of 2010, Kaplan made one small acquisition in its Kaplan Ventures division. In April 2010, Kaplan sold Education Connection, which was part of Kaplan Ventures.</w:t>
      </w:r>
    </w:p>
    <w:p>
      <w:pPr>
        <w:spacing w:after="0" w:line="79"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six months of 2011, the Company’s capital expenditures totaled $92.8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$210 million to $235 million in 2011.</w:t>
      </w:r>
    </w:p>
    <w:p>
      <w:pPr>
        <w:spacing w:after="0" w:line="120"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The Company’s borrowings have increased by $5.9 million, to $405.5 million at July 3, 2011, as compared to borrowings of $399.7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 2011</w:t>
      </w:r>
      <w:r>
        <w:rPr>
          <w:rFonts w:ascii="Arial" w:cs="Arial" w:eastAsia="Arial" w:hAnsi="Arial"/>
          <w:sz w:val="18"/>
          <w:szCs w:val="18"/>
          <w:i w:val="1"/>
          <w:iCs w:val="1"/>
          <w:color w:val="auto"/>
        </w:rPr>
        <w:t>.</w:t>
      </w:r>
      <w:r>
        <w:rPr>
          <w:rFonts w:ascii="Arial" w:cs="Arial" w:eastAsia="Arial" w:hAnsi="Arial"/>
          <w:sz w:val="18"/>
          <w:szCs w:val="18"/>
          <w:color w:val="auto"/>
        </w:rPr>
        <w:t xml:space="preserve"> At July 3, 2011 the Company had $299.4 million in cash and cash equivalents, compared to $437.7 million at January 2, 2011. The Company had money market investments of $100.3 million and $308.9 million that are classified as cash, cash equivalents and restricted cash in the Company’s consolidated Balance Sheet as of July 3, 2011 and January 2, 2011, respectively.</w:t>
      </w:r>
    </w:p>
    <w:p>
      <w:pPr>
        <w:spacing w:after="0" w:line="14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Company’s total debt outstanding of $405.5 million at July 3, 2011 included $396.9 million of 7.25% unsecured notes due February 1, 2019 and $8.7 million in other debt.</w:t>
      </w:r>
    </w:p>
    <w:p>
      <w:pPr>
        <w:spacing w:after="0" w:line="1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June 17, 2011, The Washington Post Company (the “Company”) terminated its U.S. $500,000,000 five year revolving credit agreement, dated as of August 8, 2006, among the Company, the lenders party thereto and Citibank, N.A. (the “2006 Credit Agreement”), in connection with the entrance into a new revolving credit facility. No borrowings were outstanding under the 2006 Credit Agreement at the time of termination. On June 17, 2011, the Company entered into a credit agreement (the “Credit Agreement”) providing for a new U.S. $450 million, AUS $50 million four year revolving credit facility (the “Facility”), with each of the lenders party thereto, JPMorgan Chase Bank, N.A., as Administrative Agent (“JP Morgan”), and J.P. Morgan Australia Limited, as Australian Sub-Agent. The Facility consists of two tranches: (a) U.S. $450 million and (b) AUS $50 million (subject, at the Company’s option, to conversion of the unused Australian dollar commitments into U.S. dollar commitments at a specified exchange rate). The Credit Agreement provides for an option to increase the total U.S. dollar commitments up to an aggregate amount of U.S. $700 million. The Facility replaced the Company’s 2006 Credit Agreement. The Company is required to pay a facility fee on a quarterly basis, based on the Company’s long-term debt ratings, of between 0.08% and 0.20% of the amount of the Facility. Any borrowings are made on an unsecured basis and bear interest at (a) for U.S. dollar borrowings, at the Company’s option, either (i) a fluctuating interest rate equal to the highest of JPMorgan’s prime rate, 0.50 percent above the Federal funds rate or the one-month eurodollar rate plus 1%, or (ii) the eurodollar rate for the applicable interest period, or (b) for Australian dollar borrowings, the bank bill rate, in each case plus an applicable margin that depends on the Company’s long-term debt ratings. The Facility supports the issuance of the Company’s commercial paper, but the Company may also draw on the facility for other general corporate purposes. The Facility will expire on June 17, 2015, unless the Company and the banks agree to extend the term. Any outstanding borrowings must be repaid on or prior to the final termination date. The Credit Agreement contains terms and conditions, including remedies in the event of a default by the Company, typical of facilities of this type and, among other things, requires the Company to maintain at least $1.5 billion of consolidated shareholders’ equity. The Company did not borrow funds under its commercial paper program or its revolving credit facility in the half of 2011.</w:t>
      </w:r>
    </w:p>
    <w:p>
      <w:pPr>
        <w:spacing w:after="0" w:line="12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August 2010, Standard &amp; Poor’s revised the Company’s long-term outlook to negative from stable. On May 19, 2011, Standard and Poor’s placed the Company long-term corporate credit and senior unsecured ratings and short-term commercial paper rating on CreditWatch with negative implications. On August 1, 2011, Standard and Poor’s lowered the Company’s long-term rating to “A-” from “A”, lowered the commercial paper rating to “A-2” from “A-1” and kept the ratings outlook at negative. Moody’s lowered the Company’s long-term rating in October 2010 to “A2” from “A1”, confirmed the “Prime-1” commercial paper rating and changed the ratings outlook to negative. The Company’s current credit ratings are as follows:</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Standard</w:t>
            </w:r>
          </w:p>
        </w:tc>
      </w:tr>
      <w:tr>
        <w:trPr>
          <w:trHeight w:val="161"/>
        </w:trPr>
        <w:tc>
          <w:tcPr>
            <w:tcW w:w="6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1"/>
              </w:rPr>
              <w:t>Moody’s</w:t>
            </w:r>
          </w:p>
        </w:tc>
        <w:tc>
          <w:tcPr>
            <w:tcW w:w="5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&amp; Poor’s</w:t>
            </w:r>
          </w:p>
        </w:tc>
      </w:tr>
      <w:tr>
        <w:trPr>
          <w:trHeight w:val="210"/>
        </w:trPr>
        <w:tc>
          <w:tcPr>
            <w:tcW w:w="6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Long-term</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A2</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Short-term</w:t>
            </w:r>
          </w:p>
        </w:tc>
        <w:tc>
          <w:tcPr>
            <w:tcW w:w="620" w:type="dxa"/>
            <w:vAlign w:val="bottom"/>
          </w:tcPr>
          <w:p>
            <w:pPr>
              <w:jc w:val="right"/>
              <w:spacing w:after="0"/>
              <w:rPr>
                <w:sz w:val="20"/>
                <w:szCs w:val="20"/>
                <w:color w:val="auto"/>
              </w:rPr>
            </w:pPr>
            <w:r>
              <w:rPr>
                <w:rFonts w:ascii="Arial" w:cs="Arial" w:eastAsia="Arial" w:hAnsi="Arial"/>
                <w:sz w:val="18"/>
                <w:szCs w:val="18"/>
                <w:color w:val="auto"/>
                <w:w w:val="91"/>
              </w:rPr>
              <w:t>Prime-1</w:t>
            </w:r>
          </w:p>
        </w:tc>
        <w:tc>
          <w:tcPr>
            <w:tcW w:w="5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A-2</w:t>
            </w:r>
          </w:p>
        </w:tc>
      </w:tr>
    </w:tbl>
    <w:p>
      <w:pPr>
        <w:spacing w:after="0" w:line="14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During the second quarter of 2011 and 2010, the Company had average borrowings outstanding of approximately $401.2 million and $399.4 million, respectively, at average annual interest rates of approximately 7.2%. During the second quarter of 2011 and 2010, the Company incurred net interest expense of $7.0 million.</w:t>
      </w:r>
    </w:p>
    <w:p>
      <w:pPr>
        <w:spacing w:after="0" w:line="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six months of 2011 and 2010, the Company had average borrowings outstanding of approximately $400.6 million and $399.4 million, respectively, at average annual interest rates of approximately 7.2%. During the first six months of 2011 and 2010, the Company incurred net interest expense of $13.9 million and $14.3 million,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At July 3, 2011 and January 2, 2011, the Company had working capital of $160.7 million and $353.6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and to a lesser extent commercial paper. In management’s opinion, the Company will have ample liquidity to meet its various cash needs throughout 2011.</w:t>
      </w:r>
    </w:p>
    <w:p>
      <w:pPr>
        <w:spacing w:after="0" w:line="1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January 2,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9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January 2, 2011.</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2010 Annual Report filed on Form 10-K have not otherwise changed significantly.</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July 3, 2011.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July 3, 2011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July 3, 2011, the Company purchased shares of its Class B Common Stock as set forth in the following table: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Total Number</w:t>
            </w: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5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5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Shares That</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w:t>
            </w:r>
          </w:p>
        </w:tc>
        <w:tc>
          <w:tcPr>
            <w:tcW w:w="5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3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5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5440" w:type="dxa"/>
            <w:vAlign w:val="bottom"/>
            <w:vMerge w:val="restart"/>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of Shares</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Paid per</w:t>
            </w:r>
          </w:p>
        </w:tc>
        <w:tc>
          <w:tcPr>
            <w:tcW w:w="5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5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5440" w:type="dxa"/>
            <w:vAlign w:val="bottom"/>
            <w:vMerge w:val="continue"/>
          </w:tcPr>
          <w:p>
            <w:pPr>
              <w:spacing w:after="0"/>
              <w:rPr>
                <w:sz w:val="14"/>
                <w:szCs w:val="14"/>
                <w:color w:val="auto"/>
              </w:rPr>
            </w:pPr>
          </w:p>
        </w:tc>
        <w:tc>
          <w:tcPr>
            <w:tcW w:w="136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3"/>
              </w:rPr>
              <w:t>Purchased</w:t>
            </w: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Share</w:t>
            </w:r>
          </w:p>
        </w:tc>
        <w:tc>
          <w:tcPr>
            <w:tcW w:w="56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6"/>
              </w:rPr>
              <w:t>Plan*</w:t>
            </w:r>
          </w:p>
        </w:tc>
        <w:tc>
          <w:tcPr>
            <w:tcW w:w="540" w:type="dxa"/>
            <w:vAlign w:val="bottom"/>
          </w:tcPr>
          <w:p>
            <w:pPr>
              <w:spacing w:after="0"/>
              <w:rPr>
                <w:sz w:val="14"/>
                <w:szCs w:val="14"/>
                <w:color w:val="auto"/>
              </w:rPr>
            </w:pPr>
          </w:p>
        </w:tc>
        <w:tc>
          <w:tcPr>
            <w:tcW w:w="80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1"/>
              </w:rPr>
              <w:t>Plan*</w:t>
            </w: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Apr. 4 - May 8, 2011</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23,037</w:t>
            </w: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$439.51</w:t>
            </w:r>
          </w:p>
        </w:tc>
        <w:tc>
          <w:tcPr>
            <w:tcW w:w="5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23,037</w:t>
            </w: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127,204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May 9 - Jun. 5, 2011</w:t>
            </w:r>
          </w:p>
        </w:tc>
        <w:tc>
          <w:tcPr>
            <w:tcW w:w="13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2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127,204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 6 - Jul. 3, 2011</w:t>
            </w:r>
          </w:p>
        </w:tc>
        <w:tc>
          <w:tcPr>
            <w:tcW w:w="8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5440" w:type="dxa"/>
            <w:vAlign w:val="bottom"/>
          </w:tcPr>
          <w:p>
            <w:pPr>
              <w:ind w:left="40"/>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23,037</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$439.51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23,037</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hanging="212"/>
        <w:spacing w:after="0" w:line="259"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September 23, 2010, the Company’s Board of Directors authorized the Company to purchase, on the open market or otherwise, up to 750,000 shares of its Class B Common Stock. There is no expiration date for that authorization. All purchases made during the quarter ended July 3, 2011 were open market transactions.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Item 6.</w:t>
            </w:r>
          </w:p>
        </w:tc>
        <w:tc>
          <w:tcPr>
            <w:tcW w:w="10820" w:type="dxa"/>
            <w:vAlign w:val="bottom"/>
            <w:gridSpan w:val="3"/>
          </w:tcPr>
          <w:p>
            <w:pPr>
              <w:ind w:left="50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161"/>
        </w:trPr>
        <w:tc>
          <w:tcPr>
            <w:tcW w:w="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28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820" w:type="dxa"/>
            <w:vAlign w:val="bottom"/>
          </w:tcPr>
          <w:p>
            <w:pPr>
              <w:spacing w:after="0"/>
              <w:rPr>
                <w:sz w:val="14"/>
                <w:szCs w:val="14"/>
                <w:color w:val="auto"/>
              </w:rPr>
            </w:pPr>
          </w:p>
        </w:tc>
      </w:tr>
      <w:tr>
        <w:trPr>
          <w:trHeight w:val="309"/>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3.1</w:t>
            </w:r>
          </w:p>
        </w:tc>
        <w:tc>
          <w:tcPr>
            <w:tcW w:w="10820" w:type="dxa"/>
            <w:vAlign w:val="bottom"/>
            <w:gridSpan w:val="3"/>
          </w:tcPr>
          <w:p>
            <w:pPr>
              <w:ind w:left="380"/>
              <w:spacing w:after="0"/>
              <w:rPr>
                <w:sz w:val="20"/>
                <w:szCs w:val="20"/>
                <w:color w:val="auto"/>
              </w:rPr>
            </w:pPr>
            <w:r>
              <w:rPr>
                <w:rFonts w:ascii="Arial" w:cs="Arial" w:eastAsia="Arial" w:hAnsi="Arial"/>
                <w:sz w:val="18"/>
                <w:szCs w:val="18"/>
                <w:color w:val="auto"/>
                <w:w w:val="89"/>
              </w:rPr>
              <w:t>Restated Certificate of Incorporation of the Company dated November 13, 2003 (incorporated by reference to Exhibit 3.1 to the Company’s Annual</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20" w:type="dxa"/>
            <w:vAlign w:val="bottom"/>
            <w:gridSpan w:val="3"/>
          </w:tcPr>
          <w:p>
            <w:pPr>
              <w:ind w:left="380"/>
              <w:spacing w:after="0"/>
              <w:rPr>
                <w:sz w:val="20"/>
                <w:szCs w:val="20"/>
                <w:color w:val="auto"/>
              </w:rPr>
            </w:pPr>
            <w:r>
              <w:rPr>
                <w:rFonts w:ascii="Arial" w:cs="Arial" w:eastAsia="Arial" w:hAnsi="Arial"/>
                <w:sz w:val="18"/>
                <w:szCs w:val="18"/>
                <w:color w:val="auto"/>
              </w:rPr>
              <w:t>Report on Form 10-K for the fiscal year ended December 28, 2003).</w:t>
            </w:r>
          </w:p>
        </w:tc>
      </w:tr>
      <w:tr>
        <w:trPr>
          <w:trHeight w:val="318"/>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3.2</w:t>
            </w:r>
          </w:p>
        </w:tc>
        <w:tc>
          <w:tcPr>
            <w:tcW w:w="10820" w:type="dxa"/>
            <w:vAlign w:val="bottom"/>
            <w:gridSpan w:val="3"/>
          </w:tcPr>
          <w:p>
            <w:pPr>
              <w:ind w:left="380"/>
              <w:spacing w:after="0"/>
              <w:rPr>
                <w:sz w:val="20"/>
                <w:szCs w:val="20"/>
                <w:color w:val="auto"/>
              </w:rPr>
            </w:pPr>
            <w:r>
              <w:rPr>
                <w:rFonts w:ascii="Arial" w:cs="Arial" w:eastAsia="Arial" w:hAnsi="Arial"/>
                <w:sz w:val="18"/>
                <w:szCs w:val="18"/>
                <w:color w:val="auto"/>
                <w:w w:val="93"/>
              </w:rPr>
              <w:t>Certificate of Designation for the Company’s Series A Preferred Stock dated September 22, 2003 (incorporated by reference to Exhibit 3.2 to</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20" w:type="dxa"/>
            <w:vAlign w:val="bottom"/>
            <w:gridSpan w:val="3"/>
          </w:tcPr>
          <w:p>
            <w:pPr>
              <w:ind w:left="380"/>
              <w:spacing w:after="0"/>
              <w:rPr>
                <w:sz w:val="20"/>
                <w:szCs w:val="20"/>
                <w:color w:val="auto"/>
              </w:rPr>
            </w:pPr>
            <w:r>
              <w:rPr>
                <w:rFonts w:ascii="Arial" w:cs="Arial" w:eastAsia="Arial" w:hAnsi="Arial"/>
                <w:sz w:val="18"/>
                <w:szCs w:val="18"/>
                <w:color w:val="auto"/>
              </w:rPr>
              <w:t>Amendment No. 1 to the Company’s Current Report on Form 8-K dated September 22, 2003).</w:t>
            </w:r>
          </w:p>
        </w:tc>
      </w:tr>
      <w:tr>
        <w:trPr>
          <w:trHeight w:val="318"/>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3.3</w:t>
            </w:r>
          </w:p>
        </w:tc>
        <w:tc>
          <w:tcPr>
            <w:tcW w:w="10820" w:type="dxa"/>
            <w:vAlign w:val="bottom"/>
            <w:gridSpan w:val="3"/>
          </w:tcPr>
          <w:p>
            <w:pPr>
              <w:ind w:left="380"/>
              <w:spacing w:after="0"/>
              <w:rPr>
                <w:sz w:val="20"/>
                <w:szCs w:val="20"/>
                <w:color w:val="auto"/>
              </w:rPr>
            </w:pPr>
            <w:r>
              <w:rPr>
                <w:rFonts w:ascii="Arial" w:cs="Arial" w:eastAsia="Arial" w:hAnsi="Arial"/>
                <w:sz w:val="18"/>
                <w:szCs w:val="18"/>
                <w:color w:val="auto"/>
                <w:w w:val="89"/>
              </w:rPr>
              <w:t>By-Laws of the Company as amended and restated through November 8, 2007 (incorporated by reference to Exhibit 3.1 to the Company’s Current</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20" w:type="dxa"/>
            <w:vAlign w:val="bottom"/>
            <w:gridSpan w:val="3"/>
          </w:tcPr>
          <w:p>
            <w:pPr>
              <w:ind w:left="380"/>
              <w:spacing w:after="0"/>
              <w:rPr>
                <w:sz w:val="20"/>
                <w:szCs w:val="20"/>
                <w:color w:val="auto"/>
              </w:rPr>
            </w:pPr>
            <w:r>
              <w:rPr>
                <w:rFonts w:ascii="Arial" w:cs="Arial" w:eastAsia="Arial" w:hAnsi="Arial"/>
                <w:sz w:val="18"/>
                <w:szCs w:val="18"/>
                <w:color w:val="auto"/>
              </w:rPr>
              <w:t>Report on Form 8-K dated November 14, 2007).</w:t>
            </w:r>
          </w:p>
        </w:tc>
      </w:tr>
      <w:tr>
        <w:trPr>
          <w:trHeight w:val="318"/>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4.1</w:t>
            </w:r>
          </w:p>
        </w:tc>
        <w:tc>
          <w:tcPr>
            <w:tcW w:w="10820" w:type="dxa"/>
            <w:vAlign w:val="bottom"/>
            <w:gridSpan w:val="3"/>
          </w:tcPr>
          <w:p>
            <w:pPr>
              <w:ind w:left="380"/>
              <w:spacing w:after="0"/>
              <w:rPr>
                <w:sz w:val="20"/>
                <w:szCs w:val="20"/>
                <w:color w:val="auto"/>
              </w:rPr>
            </w:pPr>
            <w:r>
              <w:rPr>
                <w:rFonts w:ascii="Arial" w:cs="Arial" w:eastAsia="Arial" w:hAnsi="Arial"/>
                <w:sz w:val="18"/>
                <w:szCs w:val="18"/>
                <w:color w:val="auto"/>
                <w:w w:val="92"/>
              </w:rPr>
              <w:t>Second Supplemental Indenture dated January 30, 2009, between the Company and The Bank of New York Mellon Trust Company, N.A., as</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20" w:type="dxa"/>
            <w:vAlign w:val="bottom"/>
            <w:gridSpan w:val="3"/>
          </w:tcPr>
          <w:p>
            <w:pPr>
              <w:ind w:left="380"/>
              <w:spacing w:after="0"/>
              <w:rPr>
                <w:sz w:val="20"/>
                <w:szCs w:val="20"/>
                <w:color w:val="auto"/>
              </w:rPr>
            </w:pPr>
            <w:r>
              <w:rPr>
                <w:rFonts w:ascii="Arial" w:cs="Arial" w:eastAsia="Arial" w:hAnsi="Arial"/>
                <w:sz w:val="18"/>
                <w:szCs w:val="18"/>
                <w:color w:val="auto"/>
                <w:w w:val="88"/>
              </w:rPr>
              <w:t>successor to The First National Bank of Chicago, as Trustee (incorporated by reference to Exhibit 10.2 to the Company’s Current Report on Form 8-</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20" w:type="dxa"/>
            <w:vAlign w:val="bottom"/>
            <w:gridSpan w:val="3"/>
          </w:tcPr>
          <w:p>
            <w:pPr>
              <w:ind w:left="380"/>
              <w:spacing w:after="0"/>
              <w:rPr>
                <w:sz w:val="20"/>
                <w:szCs w:val="20"/>
                <w:color w:val="auto"/>
              </w:rPr>
            </w:pPr>
            <w:r>
              <w:rPr>
                <w:rFonts w:ascii="Arial" w:cs="Arial" w:eastAsia="Arial" w:hAnsi="Arial"/>
                <w:sz w:val="18"/>
                <w:szCs w:val="18"/>
                <w:color w:val="auto"/>
              </w:rPr>
              <w:t>K dated January 30, 2009).</w:t>
            </w:r>
          </w:p>
        </w:tc>
      </w:tr>
      <w:tr>
        <w:trPr>
          <w:trHeight w:val="318"/>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4.2</w:t>
            </w:r>
          </w:p>
        </w:tc>
        <w:tc>
          <w:tcPr>
            <w:tcW w:w="10820" w:type="dxa"/>
            <w:vAlign w:val="bottom"/>
            <w:gridSpan w:val="3"/>
          </w:tcPr>
          <w:p>
            <w:pPr>
              <w:ind w:left="380"/>
              <w:spacing w:after="0"/>
              <w:rPr>
                <w:sz w:val="20"/>
                <w:szCs w:val="20"/>
                <w:color w:val="auto"/>
              </w:rPr>
            </w:pPr>
            <w:r>
              <w:rPr>
                <w:rFonts w:ascii="Arial" w:cs="Arial" w:eastAsia="Arial" w:hAnsi="Arial"/>
                <w:sz w:val="18"/>
                <w:szCs w:val="18"/>
                <w:color w:val="auto"/>
                <w:w w:val="89"/>
              </w:rPr>
              <w:t>Four Year Credit Agreement, dated as of June 17, 2011, among the Company, JPMorgan Chase Bank, N.A., J.P. Morgan Australia Limited, Wells</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20" w:type="dxa"/>
            <w:vAlign w:val="bottom"/>
            <w:gridSpan w:val="3"/>
          </w:tcPr>
          <w:p>
            <w:pPr>
              <w:ind w:left="380"/>
              <w:spacing w:after="0"/>
              <w:rPr>
                <w:sz w:val="20"/>
                <w:szCs w:val="20"/>
                <w:color w:val="auto"/>
              </w:rPr>
            </w:pPr>
            <w:r>
              <w:rPr>
                <w:rFonts w:ascii="Arial" w:cs="Arial" w:eastAsia="Arial" w:hAnsi="Arial"/>
                <w:sz w:val="18"/>
                <w:szCs w:val="18"/>
                <w:color w:val="auto"/>
                <w:w w:val="90"/>
              </w:rPr>
              <w:t>Fargo Bank, N.A., The Royal Bank of Scotland PLC, HSBC Bank USA, National Association, The Bank of New York Mellon, PNC Bank, National</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20" w:type="dxa"/>
            <w:vAlign w:val="bottom"/>
            <w:gridSpan w:val="3"/>
          </w:tcPr>
          <w:p>
            <w:pPr>
              <w:ind w:left="380"/>
              <w:spacing w:after="0"/>
              <w:rPr>
                <w:sz w:val="20"/>
                <w:szCs w:val="20"/>
                <w:color w:val="auto"/>
              </w:rPr>
            </w:pPr>
            <w:r>
              <w:rPr>
                <w:rFonts w:ascii="Arial" w:cs="Arial" w:eastAsia="Arial" w:hAnsi="Arial"/>
                <w:sz w:val="18"/>
                <w:szCs w:val="18"/>
                <w:color w:val="auto"/>
                <w:w w:val="90"/>
              </w:rPr>
              <w:t>Association, Bank of America, N.A., Citibank, N.A. and The Northern Trust Company (incorporated by reference to Exhibit 10.1 to the Company’s</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20" w:type="dxa"/>
            <w:vAlign w:val="bottom"/>
            <w:gridSpan w:val="3"/>
          </w:tcPr>
          <w:p>
            <w:pPr>
              <w:ind w:left="380"/>
              <w:spacing w:after="0"/>
              <w:rPr>
                <w:sz w:val="20"/>
                <w:szCs w:val="20"/>
                <w:color w:val="auto"/>
              </w:rPr>
            </w:pPr>
            <w:r>
              <w:rPr>
                <w:rFonts w:ascii="Arial" w:cs="Arial" w:eastAsia="Arial" w:hAnsi="Arial"/>
                <w:sz w:val="18"/>
                <w:szCs w:val="18"/>
                <w:color w:val="auto"/>
              </w:rPr>
              <w:t>Current Report on Form 8-K dated June 17, 2011).</w:t>
            </w:r>
          </w:p>
        </w:tc>
      </w:tr>
      <w:tr>
        <w:trPr>
          <w:trHeight w:val="324"/>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31.1</w:t>
            </w:r>
          </w:p>
        </w:tc>
        <w:tc>
          <w:tcPr>
            <w:tcW w:w="10820" w:type="dxa"/>
            <w:vAlign w:val="bottom"/>
            <w:gridSpan w:val="3"/>
          </w:tcPr>
          <w:p>
            <w:pPr>
              <w:ind w:left="38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24"/>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31.2</w:t>
            </w:r>
          </w:p>
        </w:tc>
        <w:tc>
          <w:tcPr>
            <w:tcW w:w="10820" w:type="dxa"/>
            <w:vAlign w:val="bottom"/>
            <w:gridSpan w:val="3"/>
          </w:tcPr>
          <w:p>
            <w:pPr>
              <w:ind w:left="38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24"/>
        </w:trPr>
        <w:tc>
          <w:tcPr>
            <w:tcW w:w="540" w:type="dxa"/>
            <w:vAlign w:val="bottom"/>
            <w:gridSpan w:val="2"/>
          </w:tcPr>
          <w:p>
            <w:pPr>
              <w:jc w:val="right"/>
              <w:ind w:right="192"/>
              <w:spacing w:after="0"/>
              <w:rPr>
                <w:sz w:val="20"/>
                <w:szCs w:val="20"/>
                <w:color w:val="auto"/>
              </w:rPr>
            </w:pPr>
            <w:r>
              <w:rPr>
                <w:rFonts w:ascii="Arial" w:cs="Arial" w:eastAsia="Arial" w:hAnsi="Arial"/>
                <w:sz w:val="18"/>
                <w:szCs w:val="18"/>
                <w:color w:val="auto"/>
              </w:rPr>
              <w:t>32</w:t>
            </w:r>
          </w:p>
        </w:tc>
        <w:tc>
          <w:tcPr>
            <w:tcW w:w="10820" w:type="dxa"/>
            <w:vAlign w:val="bottom"/>
            <w:gridSpan w:val="3"/>
          </w:tcPr>
          <w:p>
            <w:pPr>
              <w:ind w:left="380"/>
              <w:spacing w:after="0"/>
              <w:rPr>
                <w:sz w:val="20"/>
                <w:szCs w:val="20"/>
                <w:color w:val="auto"/>
              </w:rPr>
            </w:pPr>
            <w:r>
              <w:rPr>
                <w:rFonts w:ascii="Arial" w:cs="Arial" w:eastAsia="Arial" w:hAnsi="Arial"/>
                <w:sz w:val="18"/>
                <w:szCs w:val="18"/>
                <w:color w:val="auto"/>
              </w:rPr>
              <w:t>Section 1350 Certification of the Chief Executive Officer and the Chief Financial Officer.</w:t>
            </w:r>
          </w:p>
        </w:tc>
      </w:tr>
    </w:tbl>
    <w:p>
      <w:pPr>
        <w:spacing w:after="0" w:line="102" w:lineRule="exact"/>
        <w:rPr>
          <w:sz w:val="20"/>
          <w:szCs w:val="20"/>
          <w:color w:val="auto"/>
        </w:rPr>
      </w:pPr>
    </w:p>
    <w:p>
      <w:pPr>
        <w:ind w:left="920" w:right="140" w:hanging="912"/>
        <w:spacing w:after="0" w:line="298"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financial statements from The Washington Post Company Quarterly Report on Form 10-Q for the quarter ended July 3, 2011, filed with the Securities and Exchange Commission on August 10, 2011, formatted in XBRL (eXtensible Business Reporting Language): (i) Condensed Consolidated Statements of Operations, (ii) Condensed Consolidated Statements of Comprehensive Income (Loss), (iii) Condensed Consolidated Balance Sheets, (iv) Condensed Consolidated Statements of Cash Flows, and (v) Notes to Condensed Consolidated Financial Statements.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8560" w:val="left"/>
          <w:tab w:leader="none" w:pos="8920" w:val="left"/>
        </w:tabs>
        <w:rPr>
          <w:sz w:val="20"/>
          <w:szCs w:val="20"/>
          <w:color w:val="auto"/>
        </w:rPr>
      </w:pPr>
      <w:r>
        <w:rPr>
          <w:rFonts w:ascii="Arial" w:cs="Arial" w:eastAsia="Arial" w:hAnsi="Arial"/>
          <w:sz w:val="18"/>
          <w:szCs w:val="18"/>
          <w:color w:val="auto"/>
        </w:rPr>
        <w:t>Date: August 10, 2011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2"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Donald E. Graham,</w:t>
      </w:r>
    </w:p>
    <w:p>
      <w:pPr>
        <w:jc w:val="center"/>
        <w:ind w:left="7780"/>
        <w:spacing w:after="0" w:line="223" w:lineRule="auto"/>
        <w:rPr>
          <w:sz w:val="20"/>
          <w:szCs w:val="20"/>
          <w:color w:val="auto"/>
        </w:rPr>
      </w:pPr>
      <w:r>
        <w:rPr>
          <w:rFonts w:ascii="Arial" w:cs="Arial" w:eastAsia="Arial" w:hAnsi="Arial"/>
          <w:sz w:val="14"/>
          <w:szCs w:val="14"/>
          <w:b w:val="1"/>
          <w:bCs w:val="1"/>
          <w:color w:val="auto"/>
        </w:rPr>
        <w:t>Chairman &amp; Chief Executive Officer</w:t>
      </w:r>
    </w:p>
    <w:p>
      <w:pPr>
        <w:jc w:val="center"/>
        <w:ind w:left="7780"/>
        <w:spacing w:after="0"/>
        <w:rPr>
          <w:sz w:val="20"/>
          <w:szCs w:val="20"/>
          <w:color w:val="auto"/>
        </w:rPr>
      </w:pPr>
      <w:r>
        <w:rPr>
          <w:rFonts w:ascii="Arial" w:cs="Arial" w:eastAsia="Arial" w:hAnsi="Arial"/>
          <w:sz w:val="14"/>
          <w:szCs w:val="14"/>
          <w:b w:val="1"/>
          <w:bCs w:val="1"/>
          <w:color w:val="auto"/>
        </w:rPr>
        <w:t>(Principal Executive Officer)</w:t>
      </w:r>
    </w:p>
    <w:p>
      <w:pPr>
        <w:spacing w:after="0" w:line="208" w:lineRule="exact"/>
        <w:rPr>
          <w:sz w:val="20"/>
          <w:szCs w:val="20"/>
          <w:color w:val="auto"/>
        </w:rPr>
      </w:pPr>
    </w:p>
    <w:p>
      <w:pPr>
        <w:spacing w:after="0"/>
        <w:tabs>
          <w:tab w:leader="none" w:pos="8800" w:val="left"/>
          <w:tab w:leader="none" w:pos="9140" w:val="left"/>
        </w:tabs>
        <w:rPr>
          <w:sz w:val="20"/>
          <w:szCs w:val="20"/>
          <w:color w:val="auto"/>
        </w:rPr>
      </w:pPr>
      <w:r>
        <w:rPr>
          <w:rFonts w:ascii="Arial" w:cs="Arial" w:eastAsia="Arial" w:hAnsi="Arial"/>
          <w:sz w:val="18"/>
          <w:szCs w:val="18"/>
          <w:color w:val="auto"/>
        </w:rPr>
        <w:t>Date: August 10, 2011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2"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Hal S. Jones,</w:t>
      </w:r>
    </w:p>
    <w:p>
      <w:pPr>
        <w:jc w:val="center"/>
        <w:ind w:left="7780"/>
        <w:spacing w:after="0" w:line="223" w:lineRule="auto"/>
        <w:rPr>
          <w:sz w:val="20"/>
          <w:szCs w:val="20"/>
          <w:color w:val="auto"/>
        </w:rPr>
      </w:pPr>
      <w:r>
        <w:rPr>
          <w:rFonts w:ascii="Arial" w:cs="Arial" w:eastAsia="Arial" w:hAnsi="Arial"/>
          <w:sz w:val="14"/>
          <w:szCs w:val="14"/>
          <w:b w:val="1"/>
          <w:bCs w:val="1"/>
          <w:color w:val="auto"/>
        </w:rPr>
        <w:t>Senior Vice President-Finance</w:t>
      </w:r>
    </w:p>
    <w:p>
      <w:pPr>
        <w:jc w:val="center"/>
        <w:ind w:left="7780"/>
        <w:spacing w:after="0"/>
        <w:rPr>
          <w:sz w:val="20"/>
          <w:szCs w:val="20"/>
          <w:color w:val="auto"/>
        </w:rPr>
      </w:pPr>
      <w:r>
        <w:rPr>
          <w:rFonts w:ascii="Arial" w:cs="Arial" w:eastAsia="Arial" w:hAnsi="Arial"/>
          <w:sz w:val="14"/>
          <w:szCs w:val="14"/>
          <w:b w:val="1"/>
          <w:bCs w:val="1"/>
          <w:color w:val="auto"/>
        </w:rPr>
        <w:t>(Principal Financial Officer)</w:t>
      </w:r>
    </w:p>
    <w:p>
      <w:pPr>
        <w:spacing w:after="0" w:line="14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240" w:top="459" w:right="7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17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10, 2011</w:t>
      </w:r>
    </w:p>
    <w:p>
      <w:pPr>
        <w:sectPr>
          <w:pgSz w:w="11900" w:h="16838" w:orient="portrait"/>
          <w:cols w:equalWidth="0" w:num="1">
            <w:col w:w="11420"/>
          </w:cols>
          <w:pgMar w:left="240" w:top="13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The Washington Post Company (the “Registrant”), certify that:</w:t>
      </w:r>
    </w:p>
    <w:p>
      <w:pPr>
        <w:spacing w:after="0" w:line="17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10, 2011</w:t>
      </w:r>
    </w:p>
    <w:p>
      <w:pPr>
        <w:sectPr>
          <w:pgSz w:w="11900" w:h="16838" w:orient="portrait"/>
          <w:cols w:equalWidth="0" w:num="1">
            <w:col w:w="11420"/>
          </w:cols>
          <w:pgMar w:left="240" w:top="13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July 3, 2011 (the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140"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10, 2011</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10, 2011</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2"/>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0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2019-12-10T04:11:15Z</dcterms:created>
  <dcterms:modified xsi:type="dcterms:W3CDTF">2019-12-10T04:11:15Z</dcterms:modified>
</cp:coreProperties>
</file>