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4, 2010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6360" w:type="dxa"/>
            <w:vAlign w:val="bottom"/>
          </w:tcPr>
          <w:p>
            <w:pPr>
              <w:jc w:val="center"/>
              <w:ind w:right="322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360" w:type="dxa"/>
            <w:vAlign w:val="bottom"/>
          </w:tcPr>
          <w:p>
            <w:pPr>
              <w:jc w:val="center"/>
              <w:ind w:right="324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8"/>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360" w:type="dxa"/>
            <w:vAlign w:val="bottom"/>
          </w:tcPr>
          <w:p>
            <w:pPr>
              <w:jc w:val="center"/>
              <w:ind w:right="3244"/>
              <w:spacing w:after="0"/>
              <w:rPr>
                <w:sz w:val="20"/>
                <w:szCs w:val="20"/>
                <w:color w:val="auto"/>
              </w:rPr>
            </w:pPr>
            <w:r>
              <w:rPr>
                <w:rFonts w:ascii="Arial" w:cs="Arial" w:eastAsia="Arial" w:hAnsi="Arial"/>
                <w:sz w:val="18"/>
                <w:szCs w:val="18"/>
                <w:b w:val="1"/>
                <w:bCs w:val="1"/>
                <w:color w:val="auto"/>
                <w:w w:val="88"/>
              </w:rPr>
              <w:t>1150 15th Street, N.W. Washington, D.C.</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20071</w:t>
            </w:r>
          </w:p>
        </w:tc>
      </w:tr>
      <w:tr>
        <w:trPr>
          <w:trHeight w:val="174"/>
        </w:trPr>
        <w:tc>
          <w:tcPr>
            <w:tcW w:w="6360" w:type="dxa"/>
            <w:vAlign w:val="bottom"/>
          </w:tcPr>
          <w:p>
            <w:pPr>
              <w:jc w:val="center"/>
              <w:ind w:right="324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60" w:type="dxa"/>
            <w:vAlign w:val="bottom"/>
          </w:tcPr>
          <w:p>
            <w:pPr>
              <w:jc w:val="right"/>
              <w:ind w:right="1364"/>
              <w:spacing w:after="0"/>
              <w:rPr>
                <w:sz w:val="20"/>
                <w:szCs w:val="20"/>
                <w:color w:val="auto"/>
              </w:rPr>
            </w:pPr>
            <w:r>
              <w:rPr>
                <w:rFonts w:ascii="Arial" w:cs="Arial" w:eastAsia="Arial" w:hAnsi="Arial"/>
                <w:sz w:val="18"/>
                <w:szCs w:val="18"/>
                <w:b w:val="1"/>
                <w:bCs w:val="1"/>
                <w:color w:val="auto"/>
              </w:rPr>
              <w:t>(202) 334-6000</w:t>
            </w:r>
          </w:p>
        </w:tc>
        <w:tc>
          <w:tcPr>
            <w:tcW w:w="1520" w:type="dxa"/>
            <w:vAlign w:val="bottom"/>
          </w:tcPr>
          <w:p>
            <w:pPr>
              <w:spacing w:after="0"/>
              <w:rPr>
                <w:sz w:val="24"/>
                <w:szCs w:val="24"/>
                <w:color w:val="auto"/>
              </w:rPr>
            </w:pPr>
          </w:p>
        </w:tc>
      </w:tr>
      <w:tr>
        <w:trPr>
          <w:trHeight w:val="174"/>
        </w:trPr>
        <w:tc>
          <w:tcPr>
            <w:tcW w:w="6360" w:type="dxa"/>
            <w:vAlign w:val="bottom"/>
          </w:tcPr>
          <w:p>
            <w:pPr>
              <w:jc w:val="center"/>
              <w:ind w:left="23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38" w:lineRule="exact"/>
        <w:rPr>
          <w:sz w:val="24"/>
          <w:szCs w:val="24"/>
          <w:color w:val="auto"/>
        </w:rPr>
      </w:pPr>
    </w:p>
    <w:p>
      <w:pPr>
        <w:ind w:right="7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0"/>
                <w:szCs w:val="20"/>
                <w:color w:val="auto"/>
              </w:rPr>
            </w:pPr>
            <w:r>
              <w:rPr>
                <w:rFonts w:ascii="Arial" w:cs="Arial" w:eastAsia="Arial" w:hAnsi="Arial"/>
                <w:sz w:val="18"/>
                <w:szCs w:val="18"/>
                <w:color w:val="auto"/>
                <w:w w:val="95"/>
              </w:rPr>
              <w:t>Large accelerated filer</w:t>
            </w:r>
          </w:p>
        </w:tc>
        <w:tc>
          <w:tcPr>
            <w:tcW w:w="120" w:type="dxa"/>
            <w:vAlign w:val="bottom"/>
          </w:tcPr>
          <w:p>
            <w:pPr>
              <w:spacing w:after="0"/>
              <w:rPr>
                <w:sz w:val="23"/>
                <w:szCs w:val="23"/>
                <w:color w:val="auto"/>
              </w:rPr>
            </w:pPr>
          </w:p>
        </w:tc>
        <w:tc>
          <w:tcPr>
            <w:tcW w:w="62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20" w:type="dxa"/>
            <w:vAlign w:val="bottom"/>
          </w:tcPr>
          <w:p>
            <w:pPr>
              <w:spacing w:after="0"/>
              <w:rPr>
                <w:sz w:val="20"/>
                <w:szCs w:val="20"/>
                <w:color w:val="auto"/>
              </w:rPr>
            </w:pPr>
            <w:r>
              <w:rPr>
                <w:rFonts w:ascii="Arial" w:cs="Arial" w:eastAsia="Arial" w:hAnsi="Arial"/>
                <w:sz w:val="18"/>
                <w:szCs w:val="18"/>
                <w:color w:val="auto"/>
              </w:rPr>
              <w:t>Non-accelerated filer</w:t>
            </w:r>
          </w:p>
        </w:tc>
        <w:tc>
          <w:tcPr>
            <w:tcW w:w="120" w:type="dxa"/>
            <w:vAlign w:val="bottom"/>
          </w:tcPr>
          <w:p>
            <w:pPr>
              <w:spacing w:after="0"/>
              <w:rPr>
                <w:sz w:val="24"/>
                <w:szCs w:val="24"/>
                <w:color w:val="auto"/>
              </w:rPr>
            </w:pPr>
          </w:p>
        </w:tc>
        <w:tc>
          <w:tcPr>
            <w:tcW w:w="622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2960" w:type="dxa"/>
            <w:vAlign w:val="bottom"/>
            <w:gridSpan w:val="3"/>
          </w:tcPr>
          <w:p>
            <w:pPr>
              <w:ind w:left="80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78"/>
        </w:trPr>
        <w:tc>
          <w:tcPr>
            <w:tcW w:w="8060" w:type="dxa"/>
            <w:vAlign w:val="bottom"/>
            <w:gridSpan w:val="3"/>
          </w:tcPr>
          <w:p>
            <w:pPr>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104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No</w:t>
            </w:r>
          </w:p>
        </w:tc>
        <w:tc>
          <w:tcPr>
            <w:tcW w:w="192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60" w:type="dxa"/>
            <w:vAlign w:val="bottom"/>
            <w:gridSpan w:val="3"/>
          </w:tcPr>
          <w:p>
            <w:pPr>
              <w:spacing w:after="0"/>
              <w:rPr>
                <w:sz w:val="20"/>
                <w:szCs w:val="20"/>
                <w:color w:val="auto"/>
              </w:rPr>
            </w:pPr>
            <w:r>
              <w:rPr>
                <w:rFonts w:ascii="Arial" w:cs="Arial" w:eastAsia="Arial" w:hAnsi="Arial"/>
                <w:sz w:val="18"/>
                <w:szCs w:val="18"/>
                <w:color w:val="auto"/>
              </w:rPr>
              <w:t>Shares outstanding at May 3, 2010:</w:t>
            </w: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720" w:type="dxa"/>
            <w:vAlign w:val="bottom"/>
          </w:tcPr>
          <w:p>
            <w:pPr>
              <w:spacing w:after="0"/>
              <w:rPr>
                <w:sz w:val="17"/>
                <w:szCs w:val="17"/>
                <w:color w:val="auto"/>
              </w:rPr>
            </w:pPr>
          </w:p>
        </w:tc>
        <w:tc>
          <w:tcPr>
            <w:tcW w:w="120" w:type="dxa"/>
            <w:vAlign w:val="bottom"/>
            <w:vMerge w:val="restart"/>
          </w:tcPr>
          <w:p>
            <w:pPr>
              <w:spacing w:after="0"/>
              <w:rPr>
                <w:sz w:val="17"/>
                <w:szCs w:val="17"/>
                <w:color w:val="auto"/>
              </w:rPr>
            </w:pPr>
          </w:p>
        </w:tc>
        <w:tc>
          <w:tcPr>
            <w:tcW w:w="6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vMerge w:val="restart"/>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1,291,693</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0"/>
              </w:rPr>
              <w:t>Shares</w:t>
            </w:r>
          </w:p>
        </w:tc>
        <w:tc>
          <w:tcPr>
            <w:tcW w:w="14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Class B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rPr>
              <w:t>7,908,044</w:t>
            </w:r>
          </w:p>
        </w:tc>
        <w:tc>
          <w:tcPr>
            <w:tcW w:w="500" w:type="dxa"/>
            <w:vAlign w:val="bottom"/>
          </w:tcPr>
          <w:p>
            <w:pPr>
              <w:ind w:left="20"/>
              <w:spacing w:after="0"/>
              <w:rPr>
                <w:sz w:val="20"/>
                <w:szCs w:val="20"/>
                <w:color w:val="auto"/>
              </w:rPr>
            </w:pPr>
            <w:r>
              <w:rPr>
                <w:rFonts w:ascii="Arial" w:cs="Arial" w:eastAsia="Arial" w:hAnsi="Arial"/>
                <w:sz w:val="18"/>
                <w:szCs w:val="18"/>
                <w:color w:val="auto"/>
                <w:w w:val="80"/>
              </w:rPr>
              <w:t>Shares</w:t>
            </w: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1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PART I.</w:t>
      </w:r>
      <w:r>
        <w:rPr>
          <w:sz w:val="20"/>
          <w:szCs w:val="20"/>
          <w:color w:val="auto"/>
        </w:rPr>
        <w:tab/>
      </w:r>
      <w:r>
        <w:rPr>
          <w:rFonts w:ascii="Arial" w:cs="Arial" w:eastAsia="Arial" w:hAnsi="Arial"/>
          <w:sz w:val="16"/>
          <w:szCs w:val="16"/>
          <w:color w:val="auto"/>
        </w:rPr>
        <w:t>FINANCIAL INFORMATION</w:t>
      </w:r>
    </w:p>
    <w:p>
      <w:pPr>
        <w:spacing w:after="0" w:line="117" w:lineRule="exact"/>
        <w:rPr>
          <w:sz w:val="20"/>
          <w:szCs w:val="20"/>
          <w:color w:val="auto"/>
        </w:rPr>
      </w:pPr>
    </w:p>
    <w:p>
      <w:pPr>
        <w:spacing w:after="0"/>
        <w:tabs>
          <w:tab w:leader="none" w:pos="760" w:val="left"/>
        </w:tabs>
        <w:rPr>
          <w:rFonts w:ascii="Arial" w:cs="Arial" w:eastAsia="Arial" w:hAnsi="Arial"/>
          <w:sz w:val="15"/>
          <w:szCs w:val="15"/>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5"/>
            <w:szCs w:val="15"/>
            <w:u w:val="single" w:color="auto"/>
            <w:color w:val="0000EE"/>
          </w:rPr>
          <w:t>Financial Statements</w:t>
        </w:r>
      </w:hyperlink>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a.</w:t>
            </w:r>
          </w:p>
        </w:tc>
        <w:tc>
          <w:tcPr>
            <w:tcW w:w="220" w:type="dxa"/>
            <w:vAlign w:val="bottom"/>
          </w:tcPr>
          <w:p>
            <w:pPr>
              <w:spacing w:after="0"/>
              <w:rPr>
                <w:sz w:val="17"/>
                <w:szCs w:val="17"/>
                <w:color w:val="auto"/>
              </w:rPr>
            </w:pPr>
          </w:p>
        </w:tc>
        <w:tc>
          <w:tcPr>
            <w:tcW w:w="9860" w:type="dxa"/>
            <w:vAlign w:val="bottom"/>
            <w:gridSpan w:val="1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Statements of Operations (Unaudited) for the Thirteen Weeks Ended April 4, 2010 and March 29, 2009</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b.</w:t>
            </w:r>
          </w:p>
        </w:tc>
        <w:tc>
          <w:tcPr>
            <w:tcW w:w="22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 (Loss) (Unaudited) for the Thirteen Weeks Ended April 4, 2010 and March</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29, 2009</w:t>
              </w:r>
            </w:hyperlink>
          </w:p>
        </w:tc>
        <w:tc>
          <w:tcPr>
            <w:tcW w:w="6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c.</w:t>
            </w:r>
          </w:p>
        </w:tc>
        <w:tc>
          <w:tcPr>
            <w:tcW w:w="220" w:type="dxa"/>
            <w:vAlign w:val="bottom"/>
          </w:tcPr>
          <w:p>
            <w:pPr>
              <w:spacing w:after="0"/>
              <w:rPr>
                <w:sz w:val="17"/>
                <w:szCs w:val="17"/>
                <w:color w:val="auto"/>
              </w:rPr>
            </w:pPr>
          </w:p>
        </w:tc>
        <w:tc>
          <w:tcPr>
            <w:tcW w:w="63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Balance Sheets at April 4, 2010 (Unaudited) and January 3, 2010</w:t>
              </w:r>
            </w:hyperlink>
          </w:p>
        </w:tc>
        <w:tc>
          <w:tcPr>
            <w:tcW w:w="35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d.</w:t>
            </w:r>
          </w:p>
        </w:tc>
        <w:tc>
          <w:tcPr>
            <w:tcW w:w="22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Cash Flows (Unaudited) for the Thirteen Weeks Ended April 4, 2010 and March 29, 2009</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line="196" w:lineRule="exact"/>
              <w:rPr>
                <w:sz w:val="20"/>
                <w:szCs w:val="20"/>
                <w:color w:val="auto"/>
              </w:rPr>
            </w:pPr>
            <w:r>
              <w:rPr>
                <w:rFonts w:ascii="Arial" w:cs="Arial" w:eastAsia="Arial" w:hAnsi="Arial"/>
                <w:sz w:val="18"/>
                <w:szCs w:val="18"/>
                <w:color w:val="auto"/>
              </w:rPr>
              <w:t>e.</w:t>
            </w:r>
          </w:p>
        </w:tc>
        <w:tc>
          <w:tcPr>
            <w:tcW w:w="220" w:type="dxa"/>
            <w:vAlign w:val="bottom"/>
          </w:tcPr>
          <w:p>
            <w:pPr>
              <w:spacing w:after="0"/>
              <w:rPr>
                <w:sz w:val="17"/>
                <w:szCs w:val="17"/>
                <w:color w:val="auto"/>
              </w:rPr>
            </w:pPr>
          </w:p>
        </w:tc>
        <w:tc>
          <w:tcPr>
            <w:tcW w:w="476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 (Unaudited)</w:t>
              </w:r>
            </w:hyperlink>
          </w:p>
        </w:tc>
        <w:tc>
          <w:tcPr>
            <w:tcW w:w="510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Management’s Discussion and Analysis of Results of Operations and Financial Condition</w:t>
              </w:r>
            </w:hyperlink>
          </w:p>
        </w:tc>
        <w:tc>
          <w:tcPr>
            <w:tcW w:w="406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36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61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612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51"/>
        </w:trPr>
        <w:tc>
          <w:tcPr>
            <w:tcW w:w="7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0360" w:type="dxa"/>
            <w:vAlign w:val="bottom"/>
            <w:gridSpan w:val="14"/>
          </w:tcPr>
          <w:p>
            <w:pPr>
              <w:spacing w:after="0"/>
              <w:rPr>
                <w:sz w:val="20"/>
                <w:szCs w:val="20"/>
                <w:color w:val="auto"/>
              </w:rPr>
            </w:pPr>
            <w:r>
              <w:rPr>
                <w:rFonts w:ascii="Arial" w:cs="Arial" w:eastAsia="Arial" w:hAnsi="Arial"/>
                <w:sz w:val="18"/>
                <w:szCs w:val="18"/>
                <w:color w:val="auto"/>
              </w:rPr>
              <w:t>OTHER INFORMATION</w:t>
            </w:r>
          </w:p>
        </w:tc>
        <w:tc>
          <w:tcPr>
            <w:tcW w:w="280" w:type="dxa"/>
            <w:vAlign w:val="bottom"/>
          </w:tcPr>
          <w:p>
            <w:pPr>
              <w:spacing w:after="0"/>
              <w:rPr>
                <w:sz w:val="24"/>
                <w:szCs w:val="24"/>
                <w:color w:val="auto"/>
              </w:rPr>
            </w:pPr>
          </w:p>
        </w:tc>
      </w:tr>
      <w:tr>
        <w:trPr>
          <w:trHeight w:val="286"/>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26">
              <w:r>
                <w:rPr>
                  <w:rFonts w:ascii="Arial" w:cs="Arial" w:eastAsia="Arial" w:hAnsi="Arial"/>
                  <w:sz w:val="18"/>
                  <w:szCs w:val="18"/>
                  <w:color w:val="0000EE"/>
                  <w:w w:val="86"/>
                </w:rPr>
                <w:t>Unregistered Sales of Equity Securities and Use of Proceeds</w:t>
              </w:r>
            </w:hyperlink>
          </w:p>
        </w:tc>
        <w:tc>
          <w:tcPr>
            <w:tcW w:w="61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360" w:type="dxa"/>
            <w:vAlign w:val="bottom"/>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780" w:type="dxa"/>
            <w:vAlign w:val="bottom"/>
            <w:gridSpan w:val="2"/>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Signatures</w:t>
              </w:r>
            </w:hyperlink>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7"/>
          </w:tcPr>
          <w:p>
            <w:pPr>
              <w:jc w:val="right"/>
              <w:ind w:right="28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40" w:type="dxa"/>
            <w:vAlign w:val="bottom"/>
          </w:tcPr>
          <w:p>
            <w:pPr>
              <w:jc w:val="center"/>
              <w:ind w:left="1112"/>
              <w:spacing w:after="0"/>
              <w:rPr>
                <w:sz w:val="20"/>
                <w:szCs w:val="20"/>
                <w:color w:val="auto"/>
              </w:rPr>
            </w:pPr>
            <w:r>
              <w:rPr>
                <w:rFonts w:ascii="Arial" w:cs="Arial" w:eastAsia="Arial" w:hAnsi="Arial"/>
                <w:sz w:val="18"/>
                <w:szCs w:val="18"/>
                <w:b w:val="1"/>
                <w:bCs w:val="1"/>
                <w:color w:val="auto"/>
                <w:w w:val="99"/>
              </w:rPr>
              <w:t>PART I. FINANCIAL INFORMATION</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tcPr>
          <w:p>
            <w:pPr>
              <w:jc w:val="center"/>
              <w:ind w:left="1112"/>
              <w:spacing w:after="0"/>
              <w:rPr>
                <w:sz w:val="20"/>
                <w:szCs w:val="20"/>
                <w:color w:val="auto"/>
              </w:rPr>
            </w:pPr>
            <w:r>
              <w:rPr>
                <w:rFonts w:ascii="Arial" w:cs="Arial" w:eastAsia="Arial" w:hAnsi="Arial"/>
                <w:sz w:val="18"/>
                <w:szCs w:val="18"/>
                <w:b w:val="1"/>
                <w:bCs w:val="1"/>
                <w:color w:val="auto"/>
                <w:w w:val="87"/>
              </w:rPr>
              <w:t>The Washington Post Company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tcPr>
          <w:p>
            <w:pPr>
              <w:jc w:val="center"/>
              <w:ind w:left="113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40" w:type="dxa"/>
            <w:vAlign w:val="bottom"/>
          </w:tcPr>
          <w:p>
            <w:pPr>
              <w:jc w:val="center"/>
              <w:ind w:left="1112"/>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2"/>
              </w:rPr>
              <w:t>April 4,</w:t>
            </w: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w w:val="89"/>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2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711,382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195,088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Circulation and subscriber</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229,220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35,468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1,171,158</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1,054,120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Operating</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490,770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495,093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518,565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62,796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1,078,647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1,073,726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920" w:type="dxa"/>
            <w:vAlign w:val="bottom"/>
          </w:tcPr>
          <w:p>
            <w:pPr>
              <w:spacing w:after="0"/>
              <w:rPr>
                <w:sz w:val="10"/>
                <w:szCs w:val="10"/>
                <w:color w:val="auto"/>
              </w:rPr>
            </w:pPr>
          </w:p>
        </w:tc>
        <w:tc>
          <w:tcPr>
            <w:tcW w:w="8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92,511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(19,606)</w:t>
            </w:r>
          </w:p>
        </w:tc>
        <w:tc>
          <w:tcPr>
            <w:tcW w:w="0" w:type="dxa"/>
            <w:vAlign w:val="bottom"/>
          </w:tcPr>
          <w:p>
            <w:pPr>
              <w:spacing w:after="0"/>
              <w:rPr>
                <w:sz w:val="1"/>
                <w:szCs w:val="1"/>
                <w:color w:val="auto"/>
              </w:rPr>
            </w:pPr>
          </w:p>
        </w:tc>
      </w:tr>
      <w:tr>
        <w:trPr>
          <w:trHeight w:val="323"/>
        </w:trPr>
        <w:tc>
          <w:tcPr>
            <w:tcW w:w="9280" w:type="dxa"/>
            <w:vAlign w:val="bottom"/>
            <w:gridSpan w:val="3"/>
          </w:tcPr>
          <w:p>
            <w:pPr>
              <w:spacing w:after="0"/>
              <w:rPr>
                <w:sz w:val="20"/>
                <w:szCs w:val="20"/>
                <w:color w:val="auto"/>
              </w:rPr>
            </w:pPr>
            <w:r>
              <w:rPr>
                <w:rFonts w:ascii="Arial" w:cs="Arial" w:eastAsia="Arial" w:hAnsi="Arial"/>
                <w:sz w:val="18"/>
                <w:szCs w:val="18"/>
                <w:color w:val="auto"/>
              </w:rPr>
              <w:t>Other (expense) income</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 losses of affiliates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(8,109)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(7,579)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(3,321)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73,828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28,000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45,828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Net loss attributable to noncontrolling interests</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The Washington Post Company</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45,840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2"/>
          </w:tcPr>
          <w:p>
            <w:pPr>
              <w:spacing w:after="0"/>
              <w:rPr>
                <w:sz w:val="20"/>
                <w:szCs w:val="20"/>
                <w:color w:val="auto"/>
              </w:rPr>
            </w:pPr>
            <w:r>
              <w:rPr>
                <w:rFonts w:ascii="Arial" w:cs="Arial" w:eastAsia="Arial" w:hAnsi="Arial"/>
                <w:sz w:val="18"/>
                <w:szCs w:val="18"/>
                <w:color w:val="auto"/>
              </w:rPr>
              <w:t>Redeemable preferred stock dividends</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available for common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45,379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(19,168)</w:t>
            </w:r>
          </w:p>
        </w:tc>
        <w:tc>
          <w:tcPr>
            <w:tcW w:w="0" w:type="dxa"/>
            <w:vAlign w:val="bottom"/>
          </w:tcPr>
          <w:p>
            <w:pPr>
              <w:spacing w:after="0"/>
              <w:rPr>
                <w:sz w:val="1"/>
                <w:szCs w:val="1"/>
                <w:color w:val="auto"/>
              </w:rPr>
            </w:pPr>
          </w:p>
        </w:tc>
      </w:tr>
      <w:tr>
        <w:trPr>
          <w:trHeight w:val="20"/>
        </w:trPr>
        <w:tc>
          <w:tcPr>
            <w:tcW w:w="92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80" w:type="dxa"/>
            <w:vAlign w:val="bottom"/>
            <w:gridSpan w:val="3"/>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92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80" w:type="dxa"/>
            <w:vAlign w:val="bottom"/>
            <w:gridSpan w:val="3"/>
          </w:tcPr>
          <w:p>
            <w:pPr>
              <w:spacing w:after="0"/>
              <w:rPr>
                <w:sz w:val="20"/>
                <w:szCs w:val="20"/>
                <w:color w:val="auto"/>
              </w:rPr>
            </w:pPr>
            <w:r>
              <w:rPr>
                <w:rFonts w:ascii="Arial" w:cs="Arial" w:eastAsia="Arial" w:hAnsi="Arial"/>
                <w:sz w:val="18"/>
                <w:szCs w:val="18"/>
                <w:color w:val="auto"/>
              </w:rPr>
              <w:t>Dividends declared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4.50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8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average number of common shares outstanding</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9,175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9,339</w:t>
            </w:r>
          </w:p>
        </w:tc>
        <w:tc>
          <w:tcPr>
            <w:tcW w:w="0" w:type="dxa"/>
            <w:vAlign w:val="bottom"/>
          </w:tcPr>
          <w:p>
            <w:pPr>
              <w:spacing w:after="0"/>
              <w:rPr>
                <w:sz w:val="1"/>
                <w:szCs w:val="1"/>
                <w:color w:val="auto"/>
              </w:rPr>
            </w:pPr>
          </w:p>
        </w:tc>
      </w:tr>
      <w:tr>
        <w:trPr>
          <w:trHeight w:val="322"/>
        </w:trPr>
        <w:tc>
          <w:tcPr>
            <w:tcW w:w="9280" w:type="dxa"/>
            <w:vAlign w:val="bottom"/>
            <w:gridSpan w:val="3"/>
          </w:tcPr>
          <w:p>
            <w:pPr>
              <w:spacing w:after="0"/>
              <w:rPr>
                <w:sz w:val="20"/>
                <w:szCs w:val="20"/>
                <w:color w:val="auto"/>
              </w:rPr>
            </w:pPr>
            <w:r>
              <w:rPr>
                <w:rFonts w:ascii="Arial" w:cs="Arial" w:eastAsia="Arial" w:hAnsi="Arial"/>
                <w:sz w:val="18"/>
                <w:szCs w:val="18"/>
                <w:color w:val="auto"/>
              </w:rPr>
              <w:t>Diluted average number of common shares outstanding</w:t>
            </w:r>
          </w:p>
        </w:tc>
        <w:tc>
          <w:tcPr>
            <w:tcW w:w="10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9,241</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9,339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340" w:type="dxa"/>
            <w:vAlign w:val="bottom"/>
          </w:tcPr>
          <w:p>
            <w:pPr>
              <w:jc w:val="center"/>
              <w:ind w:left="1132"/>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April 4,</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7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980" w:type="dxa"/>
            <w:vAlign w:val="bottom"/>
          </w:tcPr>
          <w:p>
            <w:pPr>
              <w:spacing w:after="0"/>
              <w:rPr>
                <w:sz w:val="14"/>
                <w:szCs w:val="14"/>
                <w:color w:val="auto"/>
              </w:rPr>
            </w:pPr>
          </w:p>
        </w:tc>
        <w:tc>
          <w:tcPr>
            <w:tcW w:w="6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$ 45,828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(19,483)</w:t>
            </w:r>
          </w:p>
        </w:tc>
        <w:tc>
          <w:tcPr>
            <w:tcW w:w="0" w:type="dxa"/>
            <w:vAlign w:val="bottom"/>
          </w:tcPr>
          <w:p>
            <w:pPr>
              <w:spacing w:after="0"/>
              <w:rPr>
                <w:sz w:val="1"/>
                <w:szCs w:val="1"/>
                <w:color w:val="auto"/>
              </w:rPr>
            </w:pPr>
          </w:p>
        </w:tc>
      </w:tr>
      <w:tr>
        <w:trPr>
          <w:trHeight w:val="330"/>
        </w:trPr>
        <w:tc>
          <w:tcPr>
            <w:tcW w:w="77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9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2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(2,610)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Change in unrealized gain on available-for-sale securities</w:t>
            </w:r>
          </w:p>
        </w:tc>
        <w:tc>
          <w:tcPr>
            <w:tcW w:w="2820" w:type="dxa"/>
            <w:vAlign w:val="bottom"/>
            <w:gridSpan w:val="3"/>
          </w:tcPr>
          <w:p>
            <w:pPr>
              <w:jc w:val="right"/>
              <w:ind w:right="200"/>
              <w:spacing w:after="0"/>
              <w:rPr>
                <w:sz w:val="20"/>
                <w:szCs w:val="20"/>
                <w:color w:val="auto"/>
              </w:rPr>
            </w:pPr>
            <w:r>
              <w:rPr>
                <w:rFonts w:ascii="Arial" w:cs="Arial" w:eastAsia="Arial" w:hAnsi="Arial"/>
                <w:sz w:val="18"/>
                <w:szCs w:val="18"/>
                <w:color w:val="auto"/>
              </w:rPr>
              <w:t>86,114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29,415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Pension and other postretirement plan adjustments</w:t>
            </w:r>
          </w:p>
        </w:tc>
        <w:tc>
          <w:tcPr>
            <w:tcW w:w="1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(3,538)</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 related to other comprehensive income</w:t>
            </w:r>
          </w:p>
        </w:tc>
        <w:tc>
          <w:tcPr>
            <w:tcW w:w="19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(34,436)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45,530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7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9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(13,363)</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7700" w:type="dxa"/>
            <w:vAlign w:val="bottom"/>
          </w:tcPr>
          <w:p>
            <w:pPr>
              <w:ind w:left="420"/>
              <w:spacing w:after="0"/>
              <w:rPr>
                <w:sz w:val="20"/>
                <w:szCs w:val="20"/>
                <w:color w:val="auto"/>
              </w:rPr>
            </w:pPr>
            <w:r>
              <w:rPr>
                <w:rFonts w:ascii="Arial" w:cs="Arial" w:eastAsia="Arial" w:hAnsi="Arial"/>
                <w:sz w:val="18"/>
                <w:szCs w:val="18"/>
                <w:color w:val="auto"/>
              </w:rPr>
              <w:t>Comprehensive loss attributable to the noncontrolling interest</w:t>
            </w:r>
          </w:p>
        </w:tc>
        <w:tc>
          <w:tcPr>
            <w:tcW w:w="198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7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 attributable to The Washington Post Company</w:t>
            </w:r>
          </w:p>
        </w:tc>
        <w:tc>
          <w:tcPr>
            <w:tcW w:w="2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$ 91,370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(12,580)</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right"/>
              <w:ind w:right="1872"/>
              <w:spacing w:after="0"/>
              <w:rPr>
                <w:sz w:val="20"/>
                <w:szCs w:val="20"/>
                <w:color w:val="auto"/>
              </w:rPr>
            </w:pPr>
            <w:r>
              <w:rPr>
                <w:rFonts w:ascii="Arial" w:cs="Arial" w:eastAsia="Arial" w:hAnsi="Arial"/>
                <w:sz w:val="18"/>
                <w:szCs w:val="18"/>
                <w:color w:val="auto"/>
              </w:rPr>
              <w:t>4</w:t>
            </w:r>
          </w:p>
        </w:tc>
        <w:tc>
          <w:tcPr>
            <w:tcW w:w="1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72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April 4,</w:t>
            </w:r>
          </w:p>
        </w:tc>
        <w:tc>
          <w:tcPr>
            <w:tcW w:w="10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January 3,</w:t>
            </w:r>
          </w:p>
        </w:tc>
        <w:tc>
          <w:tcPr>
            <w:tcW w:w="0" w:type="dxa"/>
            <w:vAlign w:val="bottom"/>
          </w:tcPr>
          <w:p>
            <w:pPr>
              <w:spacing w:after="0"/>
              <w:rPr>
                <w:sz w:val="1"/>
                <w:szCs w:val="1"/>
                <w:color w:val="auto"/>
              </w:rPr>
            </w:pPr>
          </w:p>
        </w:tc>
      </w:tr>
      <w:tr>
        <w:trPr>
          <w:trHeight w:val="161"/>
        </w:trPr>
        <w:tc>
          <w:tcPr>
            <w:tcW w:w="76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Cash and cash equivalents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477,673</w:t>
            </w:r>
          </w:p>
        </w:tc>
        <w:tc>
          <w:tcPr>
            <w:tcW w:w="0" w:type="dxa"/>
            <w:vAlign w:val="bottom"/>
          </w:tcPr>
          <w:p>
            <w:pPr>
              <w:spacing w:after="0"/>
              <w:rPr>
                <w:sz w:val="1"/>
                <w:szCs w:val="1"/>
                <w:color w:val="auto"/>
              </w:rPr>
            </w:pPr>
          </w:p>
        </w:tc>
      </w:tr>
      <w:tr>
        <w:trPr>
          <w:trHeight w:val="216"/>
        </w:trPr>
        <w:tc>
          <w:tcPr>
            <w:tcW w:w="7600" w:type="dxa"/>
            <w:vAlign w:val="bottom"/>
          </w:tcPr>
          <w:p>
            <w:pPr>
              <w:ind w:left="880"/>
              <w:spacing w:after="0"/>
              <w:rPr>
                <w:sz w:val="20"/>
                <w:szCs w:val="20"/>
                <w:color w:val="auto"/>
              </w:rPr>
            </w:pPr>
            <w:r>
              <w:rPr>
                <w:rFonts w:ascii="Arial" w:cs="Arial" w:eastAsia="Arial" w:hAnsi="Arial"/>
                <w:sz w:val="18"/>
                <w:szCs w:val="18"/>
                <w:color w:val="auto"/>
              </w:rPr>
              <w:t>Investments in marketable equity securities and other investments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471,201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385,001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receivable, net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430,669</w:t>
            </w:r>
          </w:p>
        </w:tc>
        <w:tc>
          <w:tcPr>
            <w:tcW w:w="0" w:type="dxa"/>
            <w:vAlign w:val="bottom"/>
          </w:tcPr>
          <w:p>
            <w:pPr>
              <w:spacing w:after="0"/>
              <w:rPr>
                <w:sz w:val="1"/>
                <w:szCs w:val="1"/>
                <w:color w:val="auto"/>
              </w:rPr>
            </w:pPr>
          </w:p>
        </w:tc>
      </w:tr>
      <w:tr>
        <w:trPr>
          <w:trHeight w:val="216"/>
        </w:trPr>
        <w:tc>
          <w:tcPr>
            <w:tcW w:w="7600" w:type="dxa"/>
            <w:vAlign w:val="bottom"/>
          </w:tcPr>
          <w:p>
            <w:pPr>
              <w:ind w:left="880"/>
              <w:spacing w:after="0"/>
              <w:rPr>
                <w:sz w:val="20"/>
                <w:szCs w:val="20"/>
                <w:color w:val="auto"/>
              </w:rPr>
            </w:pPr>
            <w:r>
              <w:rPr>
                <w:rFonts w:ascii="Arial" w:cs="Arial" w:eastAsia="Arial" w:hAnsi="Arial"/>
                <w:sz w:val="18"/>
                <w:szCs w:val="18"/>
                <w:color w:val="auto"/>
              </w:rPr>
              <w:t>Deferred income taxes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14,633</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Inventories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16,019</w:t>
            </w:r>
          </w:p>
        </w:tc>
        <w:tc>
          <w:tcPr>
            <w:tcW w:w="0" w:type="dxa"/>
            <w:vAlign w:val="bottom"/>
          </w:tcPr>
          <w:p>
            <w:pPr>
              <w:spacing w:after="0"/>
              <w:rPr>
                <w:sz w:val="1"/>
                <w:szCs w:val="1"/>
                <w:color w:val="auto"/>
              </w:rPr>
            </w:pPr>
          </w:p>
        </w:tc>
      </w:tr>
      <w:tr>
        <w:trPr>
          <w:trHeight w:val="223"/>
        </w:trPr>
        <w:tc>
          <w:tcPr>
            <w:tcW w:w="7600" w:type="dxa"/>
            <w:vAlign w:val="bottom"/>
          </w:tcPr>
          <w:p>
            <w:pPr>
              <w:ind w:left="880"/>
              <w:spacing w:after="0"/>
              <w:rPr>
                <w:sz w:val="20"/>
                <w:szCs w:val="20"/>
                <w:color w:val="auto"/>
              </w:rPr>
            </w:pPr>
            <w:r>
              <w:rPr>
                <w:rFonts w:ascii="Arial" w:cs="Arial" w:eastAsia="Arial" w:hAnsi="Arial"/>
                <w:sz w:val="18"/>
                <w:szCs w:val="18"/>
                <w:color w:val="auto"/>
              </w:rPr>
              <w:t>Other current assets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71,367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current assets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1,531,997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1,388,064</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1,198,291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1,239,692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Goodwill, net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1,422,548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1,423,462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 net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531,390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540,012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Amortized intangible assets, net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73,606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71,314</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409,445</w:t>
            </w: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Deferred charges and other assets</w:t>
            </w:r>
          </w:p>
        </w:tc>
        <w:tc>
          <w:tcPr>
            <w:tcW w:w="1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59,579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assets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5,270,523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5,186,206</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6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ind w:left="880"/>
              <w:spacing w:after="0"/>
              <w:rPr>
                <w:sz w:val="20"/>
                <w:szCs w:val="20"/>
                <w:color w:val="auto"/>
              </w:rPr>
            </w:pPr>
            <w:r>
              <w:rPr>
                <w:rFonts w:ascii="Arial" w:cs="Arial" w:eastAsia="Arial" w:hAnsi="Arial"/>
                <w:sz w:val="18"/>
                <w:szCs w:val="18"/>
                <w:color w:val="auto"/>
              </w:rPr>
              <w:t>Accounts payable and accrued liabilities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488,720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555,478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 payable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216"/>
        </w:trPr>
        <w:tc>
          <w:tcPr>
            <w:tcW w:w="7600" w:type="dxa"/>
            <w:vAlign w:val="bottom"/>
          </w:tcPr>
          <w:p>
            <w:pPr>
              <w:ind w:left="880"/>
              <w:spacing w:after="0"/>
              <w:rPr>
                <w:sz w:val="20"/>
                <w:szCs w:val="20"/>
                <w:color w:val="auto"/>
              </w:rPr>
            </w:pPr>
            <w:r>
              <w:rPr>
                <w:rFonts w:ascii="Arial" w:cs="Arial" w:eastAsia="Arial" w:hAnsi="Arial"/>
                <w:sz w:val="18"/>
                <w:szCs w:val="18"/>
                <w:color w:val="auto"/>
              </w:rPr>
              <w:t>Deferred income taxes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revenue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422,998</w:t>
            </w:r>
          </w:p>
        </w:tc>
        <w:tc>
          <w:tcPr>
            <w:tcW w:w="0" w:type="dxa"/>
            <w:vAlign w:val="bottom"/>
          </w:tcPr>
          <w:p>
            <w:pPr>
              <w:spacing w:after="0"/>
              <w:rPr>
                <w:sz w:val="1"/>
                <w:szCs w:val="1"/>
                <w:color w:val="auto"/>
              </w:rPr>
            </w:pPr>
          </w:p>
        </w:tc>
      </w:tr>
      <w:tr>
        <w:trPr>
          <w:trHeight w:val="216"/>
        </w:trPr>
        <w:tc>
          <w:tcPr>
            <w:tcW w:w="7600" w:type="dxa"/>
            <w:vAlign w:val="bottom"/>
          </w:tcPr>
          <w:p>
            <w:pPr>
              <w:ind w:left="880"/>
              <w:spacing w:after="0"/>
              <w:rPr>
                <w:sz w:val="20"/>
                <w:szCs w:val="20"/>
                <w:color w:val="auto"/>
              </w:rPr>
            </w:pPr>
            <w:r>
              <w:rPr>
                <w:rFonts w:ascii="Arial" w:cs="Arial" w:eastAsia="Arial" w:hAnsi="Arial"/>
                <w:sz w:val="18"/>
                <w:szCs w:val="18"/>
                <w:color w:val="auto"/>
              </w:rPr>
              <w:t>Dividends declared</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21,067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Short-term borrowings</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00" w:type="dxa"/>
            <w:vAlign w:val="bottom"/>
          </w:tcPr>
          <w:p>
            <w:pPr>
              <w:ind w:left="1300"/>
              <w:spacing w:after="0"/>
              <w:rPr>
                <w:sz w:val="20"/>
                <w:szCs w:val="20"/>
                <w:color w:val="auto"/>
              </w:rPr>
            </w:pPr>
            <w:r>
              <w:rPr>
                <w:rFonts w:ascii="Arial" w:cs="Arial" w:eastAsia="Arial" w:hAnsi="Arial"/>
                <w:sz w:val="18"/>
                <w:szCs w:val="18"/>
                <w:color w:val="auto"/>
              </w:rPr>
              <w:t>Total current liabilities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1,048,717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989,583</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other than pensions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73,672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Accrued compensation and related benefits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216,326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210,640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138,277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134,783</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414,721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422,838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396,339</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00" w:type="dxa"/>
            <w:vAlign w:val="bottom"/>
          </w:tcPr>
          <w:p>
            <w:pPr>
              <w:ind w:left="1300"/>
              <w:spacing w:after="0"/>
              <w:rPr>
                <w:sz w:val="20"/>
                <w:szCs w:val="20"/>
                <w:color w:val="auto"/>
              </w:rPr>
            </w:pPr>
            <w:r>
              <w:rPr>
                <w:rFonts w:ascii="Arial" w:cs="Arial" w:eastAsia="Arial" w:hAnsi="Arial"/>
                <w:sz w:val="18"/>
                <w:szCs w:val="18"/>
                <w:color w:val="auto"/>
              </w:rPr>
              <w:t>Total liabilities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2,288,625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2,227,752</w:t>
            </w:r>
          </w:p>
        </w:tc>
        <w:tc>
          <w:tcPr>
            <w:tcW w:w="0" w:type="dxa"/>
            <w:vAlign w:val="bottom"/>
          </w:tcPr>
          <w:p>
            <w:pPr>
              <w:spacing w:after="0"/>
              <w:rPr>
                <w:sz w:val="1"/>
                <w:szCs w:val="1"/>
                <w:color w:val="auto"/>
              </w:rPr>
            </w:pPr>
          </w:p>
        </w:tc>
      </w:tr>
      <w:tr>
        <w:trPr>
          <w:trHeight w:val="218"/>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6,907</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Redeemable preferred stock</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11,526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11,526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Common shareholders’ equity</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Capital in excess of par value</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243,358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241,435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earnings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4,328,014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4,324,289</w:t>
            </w:r>
          </w:p>
        </w:tc>
        <w:tc>
          <w:tcPr>
            <w:tcW w:w="0" w:type="dxa"/>
            <w:vAlign w:val="bottom"/>
          </w:tcPr>
          <w:p>
            <w:pPr>
              <w:spacing w:after="0"/>
              <w:rPr>
                <w:sz w:val="1"/>
                <w:szCs w:val="1"/>
                <w:color w:val="auto"/>
              </w:rPr>
            </w:pPr>
          </w:p>
        </w:tc>
      </w:tr>
      <w:tr>
        <w:trPr>
          <w:trHeight w:val="216"/>
        </w:trPr>
        <w:tc>
          <w:tcPr>
            <w:tcW w:w="7600" w:type="dxa"/>
            <w:vAlign w:val="bottom"/>
          </w:tcPr>
          <w:p>
            <w:pPr>
              <w:ind w:left="440"/>
              <w:spacing w:after="0"/>
              <w:rPr>
                <w:sz w:val="20"/>
                <w:szCs w:val="20"/>
                <w:color w:val="auto"/>
              </w:rPr>
            </w:pPr>
            <w:r>
              <w:rPr>
                <w:rFonts w:ascii="Arial" w:cs="Arial" w:eastAsia="Arial" w:hAnsi="Arial"/>
                <w:sz w:val="18"/>
                <w:szCs w:val="18"/>
                <w:color w:val="auto"/>
              </w:rPr>
              <w:t>Accumulated other comprehensive income (loss)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Cumulative foreign currency translation adjustment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27,010</w:t>
            </w:r>
          </w:p>
        </w:tc>
        <w:tc>
          <w:tcPr>
            <w:tcW w:w="0" w:type="dxa"/>
            <w:vAlign w:val="bottom"/>
          </w:tcPr>
          <w:p>
            <w:pPr>
              <w:spacing w:after="0"/>
              <w:rPr>
                <w:sz w:val="1"/>
                <w:szCs w:val="1"/>
                <w:color w:val="auto"/>
              </w:rPr>
            </w:pPr>
          </w:p>
        </w:tc>
      </w:tr>
      <w:tr>
        <w:trPr>
          <w:trHeight w:val="216"/>
        </w:trPr>
        <w:tc>
          <w:tcPr>
            <w:tcW w:w="7600" w:type="dxa"/>
            <w:vAlign w:val="bottom"/>
          </w:tcPr>
          <w:p>
            <w:pPr>
              <w:ind w:left="880"/>
              <w:spacing w:after="0"/>
              <w:rPr>
                <w:sz w:val="20"/>
                <w:szCs w:val="20"/>
                <w:color w:val="auto"/>
              </w:rPr>
            </w:pPr>
            <w:r>
              <w:rPr>
                <w:rFonts w:ascii="Arial" w:cs="Arial" w:eastAsia="Arial" w:hAnsi="Arial"/>
                <w:sz w:val="18"/>
                <w:szCs w:val="18"/>
                <w:color w:val="auto"/>
              </w:rPr>
              <w:t>Unrealized gain on available-for-sale securities</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130,159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78,492</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Unrealized loss on pensions and other postretirement plans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7600" w:type="dxa"/>
            <w:vAlign w:val="bottom"/>
          </w:tcPr>
          <w:p>
            <w:pPr>
              <w:ind w:left="440"/>
              <w:spacing w:after="0"/>
              <w:rPr>
                <w:sz w:val="20"/>
                <w:szCs w:val="20"/>
                <w:color w:val="auto"/>
              </w:rPr>
            </w:pPr>
            <w:r>
              <w:rPr>
                <w:rFonts w:ascii="Arial" w:cs="Arial" w:eastAsia="Arial" w:hAnsi="Arial"/>
                <w:sz w:val="18"/>
                <w:szCs w:val="18"/>
                <w:color w:val="auto"/>
              </w:rPr>
              <w:t>Cost of Class B common stock held in treasury</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(1,778,409)</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(1,750,686)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The Washington Post Company common shareholders’ equity</w:t>
            </w:r>
          </w:p>
        </w:tc>
        <w:tc>
          <w:tcPr>
            <w:tcW w:w="15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2,963,005</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2,939,550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shareholders’ equity</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2,963,494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2,940,021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00" w:type="dxa"/>
            <w:vAlign w:val="bottom"/>
          </w:tcPr>
          <w:p>
            <w:pPr>
              <w:ind w:left="1300"/>
              <w:spacing w:after="0"/>
              <w:rPr>
                <w:sz w:val="20"/>
                <w:szCs w:val="20"/>
                <w:color w:val="auto"/>
              </w:rPr>
            </w:pPr>
            <w:r>
              <w:rPr>
                <w:rFonts w:ascii="Arial" w:cs="Arial" w:eastAsia="Arial" w:hAnsi="Arial"/>
                <w:sz w:val="18"/>
                <w:szCs w:val="18"/>
                <w:color w:val="auto"/>
              </w:rPr>
              <w:t>Total liabilities and shareholders’ equity</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5,270,523</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5,186,206</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5680"/>
              <w:spacing w:after="0"/>
              <w:rPr>
                <w:sz w:val="20"/>
                <w:szCs w:val="20"/>
                <w:color w:val="auto"/>
              </w:rPr>
            </w:pPr>
            <w:r>
              <w:rPr>
                <w:rFonts w:ascii="Arial" w:cs="Arial" w:eastAsia="Arial" w:hAnsi="Arial"/>
                <w:sz w:val="18"/>
                <w:szCs w:val="18"/>
                <w:color w:val="auto"/>
              </w:rPr>
              <w:t>5</w:t>
            </w: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2"/>
              </w:rPr>
              <w:t>April 4,</w:t>
            </w: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9"/>
              </w:rPr>
              <w:t>March 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45,828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Depreciation of property, plant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62,796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Net pension benefit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Early retirement program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Equity in losses of affiliates, net of distributions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8,109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Benefit for deferred income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Write-downs of property, plant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assets and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Decrease in accounts receivable,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26,401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 inventories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Decrease in accounts payable and accrued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(58,960)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(46,282)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Increase in deferred revenue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62,408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280"/>
              <w:spacing w:after="0"/>
              <w:rPr>
                <w:sz w:val="20"/>
                <w:szCs w:val="20"/>
                <w:color w:val="auto"/>
              </w:rPr>
            </w:pPr>
            <w:r>
              <w:rPr>
                <w:rFonts w:ascii="Arial" w:cs="Arial" w:eastAsia="Arial" w:hAnsi="Arial"/>
                <w:sz w:val="18"/>
                <w:szCs w:val="18"/>
                <w:color w:val="auto"/>
              </w:rPr>
              <w:t>Increase (decrease) in income taxes payable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26,427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Decrease (increase) in other assets and other liabilities, 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185,066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113,965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0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(35,028)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Proceeds from sale of property, plant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11,724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 in certain businesses, net of cash acquired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Purchases of marketable equity securities and other investments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Return of investment in affiliates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(27,408)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(67,017)</w:t>
            </w:r>
          </w:p>
        </w:tc>
        <w:tc>
          <w:tcPr>
            <w:tcW w:w="0" w:type="dxa"/>
            <w:vAlign w:val="bottom"/>
          </w:tcPr>
          <w:p>
            <w:pPr>
              <w:spacing w:after="0"/>
              <w:rPr>
                <w:sz w:val="1"/>
                <w:szCs w:val="1"/>
                <w:color w:val="auto"/>
              </w:rPr>
            </w:pPr>
          </w:p>
        </w:tc>
      </w:tr>
      <w:tr>
        <w:trPr>
          <w:trHeight w:val="330"/>
        </w:trPr>
        <w:tc>
          <w:tcPr>
            <w:tcW w:w="80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repurchased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(27,828)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Dividends paid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(21,067)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debt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(400,654)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Issuance of notes,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commercial paper, net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(149,983)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(7,216)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(56,111)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(174,702)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vMerge w:val="restart"/>
          </w:tcPr>
          <w:p>
            <w:pPr>
              <w:ind w:left="860"/>
              <w:spacing w:after="0"/>
              <w:rPr>
                <w:sz w:val="20"/>
                <w:szCs w:val="20"/>
                <w:color w:val="auto"/>
              </w:rPr>
            </w:pPr>
            <w:r>
              <w:rPr>
                <w:rFonts w:ascii="Arial" w:cs="Arial" w:eastAsia="Arial" w:hAnsi="Arial"/>
                <w:sz w:val="18"/>
                <w:szCs w:val="18"/>
                <w:color w:val="auto"/>
              </w:rPr>
              <w:t>Effect of currency exchange rate changes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(3,906)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0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97,641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(132,088)</w:t>
            </w:r>
          </w:p>
        </w:tc>
        <w:tc>
          <w:tcPr>
            <w:tcW w:w="0" w:type="dxa"/>
            <w:vAlign w:val="bottom"/>
          </w:tcPr>
          <w:p>
            <w:pPr>
              <w:spacing w:after="0"/>
              <w:rPr>
                <w:sz w:val="1"/>
                <w:szCs w:val="1"/>
                <w:color w:val="auto"/>
              </w:rPr>
            </w:pPr>
          </w:p>
        </w:tc>
      </w:tr>
      <w:tr>
        <w:trPr>
          <w:trHeight w:val="323"/>
        </w:trPr>
        <w:tc>
          <w:tcPr>
            <w:tcW w:w="8080" w:type="dxa"/>
            <w:vAlign w:val="bottom"/>
            <w:gridSpan w:val="2"/>
          </w:tcPr>
          <w:p>
            <w:pPr>
              <w:spacing w:after="0"/>
              <w:rPr>
                <w:sz w:val="20"/>
                <w:szCs w:val="20"/>
                <w:color w:val="auto"/>
              </w:rPr>
            </w:pPr>
            <w:r>
              <w:rPr>
                <w:rFonts w:ascii="Arial" w:cs="Arial" w:eastAsia="Arial" w:hAnsi="Arial"/>
                <w:sz w:val="18"/>
                <w:szCs w:val="18"/>
                <w:color w:val="auto"/>
              </w:rPr>
              <w:t>Beginning cash and cash equivalents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477,673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390,509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0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575,314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258,421</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5680"/>
              <w:spacing w:after="0"/>
              <w:rPr>
                <w:sz w:val="20"/>
                <w:szCs w:val="20"/>
                <w:color w:val="auto"/>
              </w:rPr>
            </w:pPr>
            <w:r>
              <w:rPr>
                <w:rFonts w:ascii="Arial" w:cs="Arial" w:eastAsia="Arial" w:hAnsi="Arial"/>
                <w:sz w:val="18"/>
                <w:szCs w:val="18"/>
                <w:color w:val="auto"/>
              </w:rPr>
              <w:t>6</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8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Basis of Presentation and Recent Accounting Pronouncements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television broadcasting (through the ownership and operation of six television broadcast stations), and magazine publishing.</w:t>
      </w:r>
    </w:p>
    <w:p>
      <w:pPr>
        <w:spacing w:after="0" w:line="137"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b w:val="1"/>
          <w:bCs w:val="1"/>
          <w:color w:val="auto"/>
        </w:rPr>
        <w:t xml:space="preserve">Financial Periods </w:t>
      </w:r>
      <w:r>
        <w:rPr>
          <w:rFonts w:ascii="Arial" w:cs="Arial" w:eastAsia="Arial" w:hAnsi="Arial"/>
          <w:sz w:val="18"/>
          <w:szCs w:val="18"/>
          <w:color w:val="auto"/>
        </w:rPr>
        <w:t>– The Company generally reports on a thirteen week fiscal quarter ending on the Sunday nearest the calendar quarter-end. The fiscal quarters</w:t>
      </w:r>
      <w:r>
        <w:rPr>
          <w:rFonts w:ascii="Arial" w:cs="Arial" w:eastAsia="Arial" w:hAnsi="Arial"/>
          <w:sz w:val="18"/>
          <w:szCs w:val="18"/>
          <w:b w:val="1"/>
          <w:bCs w:val="1"/>
          <w:color w:val="auto"/>
        </w:rPr>
        <w:t xml:space="preserve"> </w:t>
      </w:r>
      <w:r>
        <w:rPr>
          <w:rFonts w:ascii="Arial" w:cs="Arial" w:eastAsia="Arial" w:hAnsi="Arial"/>
          <w:sz w:val="18"/>
          <w:szCs w:val="18"/>
          <w:color w:val="auto"/>
        </w:rPr>
        <w:t>for 2010 and 2009 ended on April 4, 2010 and March 29, 2009, respectively. With the exception of the newspaper publishing operations and the corporate office, subsidiaries of the Company report on a calendar-quarter basis.</w:t>
      </w:r>
    </w:p>
    <w:p>
      <w:pPr>
        <w:spacing w:after="0" w:line="132" w:lineRule="exact"/>
        <w:rPr>
          <w:sz w:val="20"/>
          <w:szCs w:val="20"/>
          <w:color w:val="auto"/>
        </w:rPr>
      </w:pPr>
    </w:p>
    <w:p>
      <w:pPr>
        <w:ind w:right="100"/>
        <w:spacing w:after="0" w:line="309"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 The accompanying condensed consolidated financial statements have been prepared in accordance with: (i) generally accepted</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thirteen weeks ended April 4, 2010 and March 29, 2009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January 3, 2010.</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year-end condensed consolidated balance sheet data was derived from audited financial statements, but does not include all disclosures required by GAAP.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previously issued financial statements have been reclassified to conform with the current year presentation.</w:t>
      </w:r>
    </w:p>
    <w:p>
      <w:pPr>
        <w:spacing w:after="0" w:line="16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Recently Adopted and Issued Accounting Pronouncements </w:t>
      </w:r>
      <w:r>
        <w:rPr>
          <w:rFonts w:ascii="Arial" w:cs="Arial" w:eastAsia="Arial" w:hAnsi="Arial"/>
          <w:sz w:val="16"/>
          <w:szCs w:val="16"/>
          <w:color w:val="auto"/>
        </w:rPr>
        <w:t>– In October 2009, the Financial Accounting Standards Board (“FASB”) issued new guidance that</w:t>
      </w:r>
      <w:r>
        <w:rPr>
          <w:rFonts w:ascii="Arial" w:cs="Arial" w:eastAsia="Arial" w:hAnsi="Arial"/>
          <w:sz w:val="16"/>
          <w:szCs w:val="16"/>
          <w:b w:val="1"/>
          <w:bCs w:val="1"/>
          <w:color w:val="auto"/>
        </w:rPr>
        <w:t xml:space="preserve"> </w:t>
      </w:r>
      <w:r>
        <w:rPr>
          <w:rFonts w:ascii="Arial" w:cs="Arial" w:eastAsia="Arial" w:hAnsi="Arial"/>
          <w:sz w:val="16"/>
          <w:szCs w:val="16"/>
          <w:color w:val="auto"/>
        </w:rPr>
        <w:t>modifies the fair value requirement of multiple element revenue arrangements. The new guidance allows the use of the “best estimate of selling price” in addition to vendor-specific objective evidence (“VSOE”) and third-party evidence (“TPE”) for determining the selling price of a deliverable. A vendor is now required to use its best estimate of the selling price when VSOE or TPE of the selling price cannot be determined. In addition, the residual method of allocating arrangement consideration is no longer permitted. The guidance requires expanded qualitative and quantitative disclosures and is effective for revenue arrangements entered into or materially modified in fiscal years beginning on or after June 15, 2010. Early application is permitted. The Company is not planning to early adopt the guidance and will continue evaluating the impact of this new guidance on its condensed consolidated financial statements.</w:t>
      </w:r>
    </w:p>
    <w:p>
      <w:pPr>
        <w:spacing w:after="0" w:line="11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January 2010, the FASB issued additional disclosure requirements for fair value measurements. The guidance requires previous fair value hierarchy disclosures to be further disaggregated by class of assets and liabilities. A class is often a subset of assets or liabilities within a line item in the statement of financial position. In addition, significant transfers between Levels 1 and 2 of the fair value hierarchy are required to be disclosed. These additional requirements became effective for interim and annual periods beginning after December 15, 2009 and did not have an impact on the condensed consolidated financial statements of the Company. In addition, the fair value disclosure amendments also require more detailed disclosures of the changes in Level 3 instruments. These changes will not become effective until interim and annual periods beginning after December 15, 2010 and are not expected to have an impact on the condensed consolidated financial statements of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at April 4, 2010 and January 3, 2010 consist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Pr>
          <w:p>
            <w:pPr>
              <w:jc w:val="right"/>
              <w:ind w:right="46"/>
              <w:spacing w:after="0"/>
              <w:rPr>
                <w:sz w:val="20"/>
                <w:szCs w:val="20"/>
                <w:color w:val="auto"/>
              </w:rPr>
            </w:pPr>
            <w:r>
              <w:rPr>
                <w:rFonts w:ascii="Arial" w:cs="Arial" w:eastAsia="Arial" w:hAnsi="Arial"/>
                <w:sz w:val="14"/>
                <w:szCs w:val="14"/>
                <w:b w:val="1"/>
                <w:bCs w:val="1"/>
                <w:color w:val="auto"/>
              </w:rPr>
              <w:t>April 4,</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January 3,</w:t>
            </w: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8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68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b w:val="1"/>
                <w:bCs w:val="1"/>
                <w:color w:val="auto"/>
              </w:rPr>
              <w:t>2010</w:t>
            </w: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$223,064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$223,064</w:t>
            </w: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unrealized gains</w:t>
            </w:r>
          </w:p>
        </w:tc>
        <w:tc>
          <w:tcPr>
            <w:tcW w:w="27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216,933</w:t>
            </w:r>
          </w:p>
        </w:tc>
        <w:tc>
          <w:tcPr>
            <w:tcW w:w="3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130,820</w:t>
            </w: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439,997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353,884</w:t>
            </w: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There were no new investments or sales of marketable equity securities in the first quarter of 2010. In the first quarter of 2009, the Company invested $10.8 million in the Class B common stock of Berkshire Hathaway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Dispositions</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the first quarter of 2010, Kaplan made one small acquisition in its Kaplan Ventures division. The Company did not make any acquisitions during the first quarter of 2009.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April 2010, Kaplan sold Education Connection, which was part of the Kaplan Ventures division; the gain on sale was not significant.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Goodwill and Other Intangible Assets</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education division made several minor changes to its operating and reporting structure in the first quarter of 2010, changing the composition of the reporting units within Kaplan Test Preparation, Kaplan Ventures and Kaplan Higher Education (see Note 12). The changes resulted in the reassignment of the assets and liabilities to the reporting units affected. The goodwill was allocated to the reporting units affected using the relative fair value approach.</w:t>
      </w:r>
    </w:p>
    <w:p>
      <w:pPr>
        <w:spacing w:after="0" w:line="10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Company amortizes the recorded values of its amortized intangible assets over their estimated useful lives. Amortization of intangible assets for the thirteen weeks ended April 4, 2010 and March 29, 2009 was $6.5 million and $6.6 million, respectively. Amortization of intangible assets is estimated to be approximately $19 million for the remainder of 2010, $21 million in 2011, $9 million in 2012, $5 million in each of 2013 and 2014 and $16 million thereafter.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for the thirteen weeks ended April 4, 2010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7"/>
              </w:rPr>
              <w:t>Businesses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Cable</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Newspaper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1"/>
              </w:rPr>
              <w:t>Television</w:t>
            </w: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8"/>
              </w:rPr>
              <w:t>Magazine</w:t>
            </w:r>
          </w:p>
        </w:tc>
        <w:tc>
          <w:tcPr>
            <w:tcW w:w="2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and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Education</w:t>
            </w:r>
          </w:p>
        </w:tc>
        <w:tc>
          <w:tcPr>
            <w:tcW w:w="1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Television</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Publishing</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82"/>
              </w:rPr>
              <w:t>Broadcasting</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3"/>
              </w:rPr>
              <w:t>Publishing</w:t>
            </w:r>
          </w:p>
        </w:tc>
        <w:tc>
          <w:tcPr>
            <w:tcW w:w="2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Corporate</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3, 2010</w:t>
            </w:r>
          </w:p>
        </w:tc>
        <w:tc>
          <w:tcPr>
            <w:tcW w:w="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$1,073,852</w:t>
            </w:r>
          </w:p>
        </w:tc>
        <w:tc>
          <w:tcPr>
            <w:tcW w:w="2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$85,488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81,186</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203,165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$ 24,515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$ 97,342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$1,565,548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(15,529)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(65,772)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(60,785)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(142,086)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1,058,323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85,488</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15,414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203,165</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24,515</w:t>
            </w: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36,557</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1,423,462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Foreign currency exchange rate changes and other</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(4,910)</w:t>
            </w:r>
          </w:p>
        </w:tc>
        <w:tc>
          <w:tcPr>
            <w:tcW w:w="120" w:type="dxa"/>
            <w:vAlign w:val="bottom"/>
          </w:tcPr>
          <w:p>
            <w:pPr>
              <w:spacing w:after="0"/>
              <w:rPr>
                <w:sz w:val="19"/>
                <w:szCs w:val="19"/>
                <w:color w:val="auto"/>
              </w:rPr>
            </w:pPr>
          </w:p>
        </w:tc>
        <w:tc>
          <w:tcPr>
            <w:tcW w:w="7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April 4, 2010</w:t>
            </w:r>
          </w:p>
        </w:tc>
        <w:tc>
          <w:tcPr>
            <w:tcW w:w="7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1,072,941</w:t>
            </w:r>
          </w:p>
        </w:tc>
        <w:tc>
          <w:tcPr>
            <w:tcW w:w="2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85,488</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81,183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203,165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24,515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97,342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1,564,634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(15,529)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(65,772)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(60,785)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1,057,412</w:t>
            </w:r>
          </w:p>
        </w:tc>
        <w:tc>
          <w:tcPr>
            <w:tcW w:w="20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83"/>
              </w:rPr>
              <w:t>15,411</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203,165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$ 24,515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$ 36,557</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1,422,548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8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17"/>
              <w:spacing w:after="0"/>
              <w:rPr>
                <w:sz w:val="20"/>
                <w:szCs w:val="20"/>
                <w:color w:val="auto"/>
              </w:rPr>
            </w:pPr>
            <w:r>
              <w:rPr>
                <w:rFonts w:ascii="Arial" w:cs="Arial" w:eastAsia="Arial" w:hAnsi="Arial"/>
                <w:sz w:val="14"/>
                <w:szCs w:val="14"/>
                <w:b w:val="1"/>
                <w:bCs w:val="1"/>
                <w:color w:val="auto"/>
                <w:w w:val="85"/>
              </w:rPr>
              <w:t>Kaplan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Corporate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Higher</w:t>
            </w:r>
          </w:p>
        </w:tc>
        <w:tc>
          <w:tcPr>
            <w:tcW w:w="102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Test</w:t>
            </w:r>
          </w:p>
        </w:tc>
        <w:tc>
          <w:tcPr>
            <w:tcW w:w="140" w:type="dxa"/>
            <w:vAlign w:val="bottom"/>
          </w:tcPr>
          <w:p>
            <w:pPr>
              <w:spacing w:after="0"/>
              <w:rPr>
                <w:sz w:val="12"/>
                <w:szCs w:val="12"/>
                <w:color w:val="auto"/>
              </w:rPr>
            </w:pPr>
          </w:p>
        </w:tc>
        <w:tc>
          <w:tcPr>
            <w:tcW w:w="9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Kaplan</w:t>
            </w: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Kaplan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and</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Education</w:t>
            </w: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Preparation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International</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Ventures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3, 2010</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980" w:type="dxa"/>
            <w:vAlign w:val="bottom"/>
            <w:gridSpan w:val="3"/>
          </w:tcPr>
          <w:p>
            <w:pPr>
              <w:jc w:val="right"/>
              <w:ind w:right="220"/>
              <w:spacing w:after="0"/>
              <w:rPr>
                <w:sz w:val="20"/>
                <w:szCs w:val="20"/>
                <w:color w:val="auto"/>
              </w:rPr>
            </w:pPr>
            <w:r>
              <w:rPr>
                <w:rFonts w:ascii="Arial" w:cs="Arial" w:eastAsia="Arial" w:hAnsi="Arial"/>
                <w:sz w:val="18"/>
                <w:szCs w:val="18"/>
                <w:color w:val="auto"/>
              </w:rPr>
              <w:t>$335,226</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$ 236,779</w:t>
            </w:r>
          </w:p>
        </w:tc>
        <w:tc>
          <w:tcPr>
            <w:tcW w:w="3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432,973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$ 68,874</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$1,073,852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impairment losses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335,226</w:t>
            </w:r>
          </w:p>
        </w:tc>
        <w:tc>
          <w:tcPr>
            <w:tcW w:w="700" w:type="dxa"/>
            <w:vAlign w:val="bottom"/>
          </w:tcPr>
          <w:p>
            <w:pPr>
              <w:jc w:val="right"/>
              <w:spacing w:after="0"/>
              <w:rPr>
                <w:sz w:val="20"/>
                <w:szCs w:val="20"/>
                <w:color w:val="auto"/>
              </w:rPr>
            </w:pPr>
            <w:r>
              <w:rPr>
                <w:rFonts w:ascii="Arial" w:cs="Arial" w:eastAsia="Arial" w:hAnsi="Arial"/>
                <w:sz w:val="18"/>
                <w:szCs w:val="18"/>
                <w:color w:val="auto"/>
              </w:rPr>
              <w:t>236,779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432,973</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53,345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1,058,323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Reallocation, net (Note 12)</w:t>
            </w:r>
          </w:p>
        </w:tc>
        <w:tc>
          <w:tcPr>
            <w:tcW w:w="1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(14,534)</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Acquisitions</w:t>
            </w:r>
          </w:p>
        </w:tc>
        <w:tc>
          <w:tcPr>
            <w:tcW w:w="108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exchange rate changes and other</w:t>
            </w:r>
          </w:p>
        </w:tc>
        <w:tc>
          <w:tcPr>
            <w:tcW w:w="1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(5,987)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21"/>
        </w:trPr>
        <w:tc>
          <w:tcPr>
            <w:tcW w:w="4620" w:type="dxa"/>
            <w:vAlign w:val="bottom"/>
            <w:gridSpan w:val="3"/>
          </w:tcPr>
          <w:p>
            <w:pPr>
              <w:spacing w:after="0"/>
              <w:rPr>
                <w:sz w:val="20"/>
                <w:szCs w:val="20"/>
                <w:color w:val="auto"/>
              </w:rPr>
            </w:pPr>
            <w:r>
              <w:rPr>
                <w:rFonts w:ascii="Arial" w:cs="Arial" w:eastAsia="Arial" w:hAnsi="Arial"/>
                <w:sz w:val="18"/>
                <w:szCs w:val="18"/>
                <w:color w:val="auto"/>
              </w:rPr>
              <w:t>Balance as of April 4, 2010</w:t>
            </w:r>
          </w:p>
        </w:tc>
        <w:tc>
          <w:tcPr>
            <w:tcW w:w="10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335,226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426,986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Accumulated impairment losses</w:t>
            </w:r>
          </w:p>
        </w:tc>
        <w:tc>
          <w:tcPr>
            <w:tcW w:w="10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(7,037)</w:t>
            </w:r>
          </w:p>
        </w:tc>
        <w:tc>
          <w:tcPr>
            <w:tcW w:w="1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(8,492)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(15,529)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335,226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$ 222,370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426,986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$ 72,830</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1,057,412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April 4, 2010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w w:val="90"/>
              </w:rPr>
              <w:t>As of January 3, 2010</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78"/>
              </w:rPr>
              <w:t>Gross</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center"/>
              <w:ind w:right="24"/>
              <w:spacing w:after="0" w:line="129"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1"/>
                <w:szCs w:val="11"/>
                <w:color w:val="auto"/>
              </w:rPr>
            </w:pPr>
          </w:p>
        </w:tc>
        <w:tc>
          <w:tcPr>
            <w:tcW w:w="540" w:type="dxa"/>
            <w:vAlign w:val="bottom"/>
            <w:gridSpan w:val="2"/>
          </w:tcPr>
          <w:p>
            <w:pPr>
              <w:jc w:val="center"/>
              <w:ind w:left="77"/>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Carrying</w:t>
            </w:r>
          </w:p>
        </w:tc>
        <w:tc>
          <w:tcPr>
            <w:tcW w:w="7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2"/>
                <w:szCs w:val="12"/>
                <w:color w:val="auto"/>
              </w:rPr>
            </w:pPr>
          </w:p>
        </w:tc>
        <w:tc>
          <w:tcPr>
            <w:tcW w:w="9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6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626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Amortized intangible assets: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$ 42,844</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25,682</w:t>
            </w: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$17,162</w:t>
            </w:r>
          </w:p>
        </w:tc>
        <w:tc>
          <w:tcPr>
            <w:tcW w:w="20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w w:val="94"/>
              </w:rPr>
              <w:t>$ 43,886</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24,093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$19,793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Student and customer relationships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37,054</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30,074</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67,360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35,475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Databases and technology</w:t>
            </w:r>
          </w:p>
        </w:tc>
        <w:tc>
          <w:tcPr>
            <w:tcW w:w="680" w:type="dxa"/>
            <w:vAlign w:val="bottom"/>
          </w:tcPr>
          <w:p>
            <w:pPr>
              <w:jc w:val="right"/>
              <w:spacing w:after="0"/>
              <w:rPr>
                <w:sz w:val="20"/>
                <w:szCs w:val="20"/>
                <w:color w:val="auto"/>
              </w:rPr>
            </w:pPr>
            <w:r>
              <w:rPr>
                <w:rFonts w:ascii="Arial" w:cs="Arial" w:eastAsia="Arial" w:hAnsi="Arial"/>
                <w:sz w:val="18"/>
                <w:szCs w:val="18"/>
                <w:color w:val="auto"/>
              </w:rPr>
              <w:t>12,273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4,666</w:t>
            </w:r>
          </w:p>
        </w:tc>
        <w:tc>
          <w:tcPr>
            <w:tcW w:w="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7,607</w:t>
            </w:r>
          </w:p>
        </w:tc>
        <w:tc>
          <w:tcPr>
            <w:tcW w:w="20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12,195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3,889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8,306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11,617</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19,978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10,639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7,874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5,974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1,900</w:t>
            </w:r>
          </w:p>
        </w:tc>
        <w:tc>
          <w:tcPr>
            <w:tcW w:w="20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7,797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5,806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158,599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84,993</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73,606</w:t>
            </w: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151,216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79,902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71,314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260" w:type="dxa"/>
            <w:vAlign w:val="bottom"/>
            <w:gridSpan w:val="4"/>
          </w:tcPr>
          <w:p>
            <w:pPr>
              <w:spacing w:after="0"/>
              <w:rPr>
                <w:sz w:val="20"/>
                <w:szCs w:val="20"/>
                <w:color w:val="auto"/>
              </w:rPr>
            </w:pPr>
            <w:r>
              <w:rPr>
                <w:rFonts w:ascii="Arial" w:cs="Arial" w:eastAsia="Arial" w:hAnsi="Arial"/>
                <w:sz w:val="18"/>
                <w:szCs w:val="18"/>
                <w:color w:val="auto"/>
              </w:rPr>
              <w:t>Indefinite-lived intangible assets:</w:t>
            </w: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Franchise agreements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$496,047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$496,047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Wireless licenses</w:t>
            </w:r>
          </w:p>
        </w:tc>
        <w:tc>
          <w:tcPr>
            <w:tcW w:w="680" w:type="dxa"/>
            <w:vAlign w:val="bottom"/>
          </w:tcPr>
          <w:p>
            <w:pPr>
              <w:jc w:val="right"/>
              <w:spacing w:after="0"/>
              <w:rPr>
                <w:sz w:val="20"/>
                <w:szCs w:val="20"/>
                <w:color w:val="auto"/>
              </w:rPr>
            </w:pPr>
            <w:r>
              <w:rPr>
                <w:rFonts w:ascii="Arial" w:cs="Arial" w:eastAsia="Arial" w:hAnsi="Arial"/>
                <w:sz w:val="18"/>
                <w:szCs w:val="18"/>
                <w:color w:val="auto"/>
              </w:rPr>
              <w:t>22,150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22,150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Licensure and accreditation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3"/>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5,331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13,953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531,390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540,012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6260" w:type="dxa"/>
            <w:vAlign w:val="bottom"/>
            <w:gridSpan w:val="4"/>
          </w:tcPr>
          <w:p>
            <w:pPr>
              <w:spacing w:after="0"/>
              <w:rPr>
                <w:sz w:val="20"/>
                <w:szCs w:val="20"/>
                <w:color w:val="auto"/>
              </w:rPr>
            </w:pPr>
            <w:r>
              <w:rPr>
                <w:rFonts w:ascii="Arial" w:cs="Arial" w:eastAsia="Arial" w:hAnsi="Arial"/>
                <w:sz w:val="18"/>
                <w:szCs w:val="18"/>
                <w:b w:val="1"/>
                <w:bCs w:val="1"/>
                <w:color w:val="auto"/>
              </w:rPr>
              <w:t>Note 5: Borrowings</w:t>
            </w: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260" w:type="dxa"/>
            <w:vAlign w:val="bottom"/>
            <w:gridSpan w:val="4"/>
          </w:tcPr>
          <w:p>
            <w:pPr>
              <w:spacing w:after="0"/>
              <w:rPr>
                <w:sz w:val="20"/>
                <w:szCs w:val="20"/>
                <w:color w:val="auto"/>
              </w:rPr>
            </w:pPr>
            <w:r>
              <w:rPr>
                <w:rFonts w:ascii="Arial" w:cs="Arial" w:eastAsia="Arial" w:hAnsi="Arial"/>
                <w:sz w:val="18"/>
                <w:szCs w:val="18"/>
                <w:color w:val="auto"/>
              </w:rPr>
              <w:t>The Company’s borrowings consist of the following (in millions):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April 4,</w:t>
            </w:r>
          </w:p>
        </w:tc>
        <w:tc>
          <w:tcPr>
            <w:tcW w:w="1120" w:type="dxa"/>
            <w:vAlign w:val="bottom"/>
            <w:gridSpan w:val="7"/>
          </w:tcPr>
          <w:p>
            <w:pPr>
              <w:ind w:left="380"/>
              <w:spacing w:after="0"/>
              <w:rPr>
                <w:sz w:val="20"/>
                <w:szCs w:val="20"/>
                <w:color w:val="auto"/>
              </w:rPr>
            </w:pPr>
            <w:r>
              <w:rPr>
                <w:rFonts w:ascii="Arial" w:cs="Arial" w:eastAsia="Arial" w:hAnsi="Arial"/>
                <w:sz w:val="14"/>
                <w:szCs w:val="14"/>
                <w:b w:val="1"/>
                <w:bCs w:val="1"/>
                <w:color w:val="auto"/>
              </w:rPr>
              <w:t>January 3,</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7.25 percent unsecured notes due February 1, 2019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20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396.2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indebtedness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20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399.3</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Less current portion</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(3.1)</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396.3</w:t>
            </w:r>
          </w:p>
        </w:tc>
        <w:tc>
          <w:tcPr>
            <w:tcW w:w="200" w:type="dxa"/>
            <w:vAlign w:val="bottom"/>
            <w:tcBorders>
              <w:left w:val="single" w:sz="8" w:color="CCEEFF"/>
            </w:tcBorders>
            <w:shd w:val="clear" w:color="auto" w:fill="CCEEFF"/>
          </w:tcPr>
          <w:p>
            <w:pPr>
              <w:spacing w:after="0"/>
              <w:rPr>
                <w:sz w:val="18"/>
                <w:szCs w:val="18"/>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396.2</w:t>
            </w:r>
          </w:p>
        </w:tc>
        <w:tc>
          <w:tcPr>
            <w:tcW w:w="12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Company’s other indebtedness at April 4, 2010 and January 3, 2010 is at an interest rate of 6% and matures during 2010.</w:t>
      </w:r>
    </w:p>
    <w:p>
      <w:pPr>
        <w:spacing w:after="0" w:line="17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first quarter of 2010 and 2009, the Company had average borrowings outstanding of approximately $399.3 million and $488.5 million, respectively, at average annual interest rates of approximately 7.2% and 6.4%, respectively. During the first quarter of 2010 and 2009, the Company incurred net interest expense of $7.3 million and $7.1 million,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300"/>
        <w:spacing w:after="0" w:line="335" w:lineRule="auto"/>
        <w:rPr>
          <w:sz w:val="20"/>
          <w:szCs w:val="20"/>
          <w:color w:val="auto"/>
        </w:rPr>
      </w:pPr>
      <w:r>
        <w:rPr>
          <w:rFonts w:ascii="Arial" w:cs="Arial" w:eastAsia="Arial" w:hAnsi="Arial"/>
          <w:sz w:val="15"/>
          <w:szCs w:val="15"/>
          <w:color w:val="auto"/>
        </w:rPr>
        <w:t>At April 4, 2010, the fair value of the Company’s 7.25% unsecured notes, based on quoted market prices, totaled $452.9 million, compared with the carrying amount of $396.3 million. At January 3, 2010, the fair value of the Company’s 7.25% unsecured notes, based on quoted market prices, totaled $443.1 million, compared with the carrying amount of $396.2 million. The carrying value of the Company’s other unsecured debt at April 4, 2010 approximates fair value.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earnings (loss) per share (basic and diluted) for the first quarters of 2010 and 2009, are presented below:</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1"/>
              </w:rPr>
              <w:t>Thirteen 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April 4,</w:t>
            </w:r>
          </w:p>
        </w:tc>
        <w:tc>
          <w:tcPr>
            <w:tcW w:w="4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for common shares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45,379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(19,168)</w:t>
            </w:r>
          </w:p>
        </w:tc>
        <w:tc>
          <w:tcPr>
            <w:tcW w:w="0" w:type="dxa"/>
            <w:vAlign w:val="bottom"/>
          </w:tcPr>
          <w:p>
            <w:pPr>
              <w:spacing w:after="0"/>
              <w:rPr>
                <w:sz w:val="1"/>
                <w:szCs w:val="1"/>
                <w:color w:val="auto"/>
              </w:rPr>
            </w:pPr>
          </w:p>
        </w:tc>
      </w:tr>
      <w:tr>
        <w:trPr>
          <w:trHeight w:val="329"/>
        </w:trPr>
        <w:tc>
          <w:tcPr>
            <w:tcW w:w="688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basic</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9,175</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ind w:left="420"/>
              <w:spacing w:after="0"/>
              <w:rPr>
                <w:sz w:val="20"/>
                <w:szCs w:val="20"/>
                <w:color w:val="auto"/>
              </w:rPr>
            </w:pPr>
            <w:r>
              <w:rPr>
                <w:rFonts w:ascii="Arial" w:cs="Arial" w:eastAsia="Arial" w:hAnsi="Arial"/>
                <w:sz w:val="18"/>
                <w:szCs w:val="18"/>
                <w:color w:val="auto"/>
              </w:rPr>
              <w:t>Stock options and restricted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Less: Dilutive shares excluded from calculation due to 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9"/>
        </w:trPr>
        <w:tc>
          <w:tcPr>
            <w:tcW w:w="688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diluted</w:t>
            </w: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9,241</w:t>
            </w: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6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88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For the first quarter of 2010, there are 9,174,845 weighted average basic and 9,240,951 diluted shares outstanding. For the first quarter of 2009, there are 9,339,065 weighted average basic and diluted shares outstanding; these amounts are the same as the Company reported a net loss for the first quarter of 2009.</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of 2010 diluted earnings per share amount excludes the effects of 52,625 stock options outstanding, as their inclusion would be antidilutive.</w:t>
      </w:r>
    </w:p>
    <w:p>
      <w:pPr>
        <w:spacing w:after="0" w:line="1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treats unvested share-based payment awards that contain nonforfeitable rights to dividends as participating securities and includes these securities in the computation of earnings per share under the two-class method. The amount attributable to the unvested restricted stock awards of the Company for the thirteen weeks ended April 4, 2010 was $0.3 million, reducing the net income available for common shares in the basic earnings per common share computation to $45.1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Pension and Postretirement Plans</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Defined Benefit Plans</w:t>
      </w:r>
      <w:r>
        <w:rPr>
          <w:rFonts w:ascii="Arial" w:cs="Arial" w:eastAsia="Arial" w:hAnsi="Arial"/>
          <w:sz w:val="18"/>
          <w:szCs w:val="18"/>
          <w:color w:val="auto"/>
        </w:rPr>
        <w:t>. The total (income) cost arising from the Company’s defined benefit pension plans for the first quarters ended April 4, 2010 and March 29,</w:t>
      </w:r>
      <w:r>
        <w:rPr>
          <w:rFonts w:ascii="Arial" w:cs="Arial" w:eastAsia="Arial" w:hAnsi="Arial"/>
          <w:sz w:val="18"/>
          <w:szCs w:val="18"/>
          <w:b w:val="1"/>
          <w:bCs w:val="1"/>
          <w:color w:val="auto"/>
        </w:rPr>
        <w:t xml:space="preserve"> </w:t>
      </w:r>
      <w:r>
        <w:rPr>
          <w:rFonts w:ascii="Arial" w:cs="Arial" w:eastAsia="Arial" w:hAnsi="Arial"/>
          <w:sz w:val="18"/>
          <w:szCs w:val="18"/>
          <w:color w:val="auto"/>
        </w:rPr>
        <w:t>2009, consists of the following components (in thousands):</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Supplemental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center"/>
              <w:ind w:left="258"/>
              <w:spacing w:after="0" w:line="149" w:lineRule="exact"/>
              <w:rPr>
                <w:sz w:val="20"/>
                <w:szCs w:val="20"/>
                <w:color w:val="auto"/>
              </w:rPr>
            </w:pPr>
            <w:r>
              <w:rPr>
                <w:rFonts w:ascii="Arial" w:cs="Arial" w:eastAsia="Arial" w:hAnsi="Arial"/>
                <w:sz w:val="14"/>
                <w:szCs w:val="14"/>
                <w:b w:val="1"/>
                <w:bCs w:val="1"/>
                <w:color w:val="auto"/>
                <w:w w:val="85"/>
              </w:rPr>
              <w:t>Executive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4"/>
                <w:szCs w:val="14"/>
                <w:color w:val="auto"/>
              </w:rPr>
            </w:pPr>
          </w:p>
        </w:tc>
        <w:tc>
          <w:tcPr>
            <w:tcW w:w="14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Retirement Plan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88"/>
              </w:rPr>
              <w:t>April 4,</w:t>
            </w:r>
          </w:p>
        </w:tc>
        <w:tc>
          <w:tcPr>
            <w:tcW w:w="2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March 29,</w:t>
            </w:r>
          </w:p>
        </w:tc>
        <w:tc>
          <w:tcPr>
            <w:tcW w:w="480" w:type="dxa"/>
            <w:vAlign w:val="bottom"/>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April 4,</w:t>
            </w:r>
          </w:p>
        </w:tc>
        <w:tc>
          <w:tcPr>
            <w:tcW w:w="3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9"/>
              </w:rPr>
              <w:t>March 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7,969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Interest cost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15,194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14,646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1,072</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(24,023)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(24,659)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Recognized actuarial (gain) loss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Early retirement program expense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6,618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(benefit) cost</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5,288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1,756</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spacing w:after="0" w:line="370" w:lineRule="auto"/>
        <w:rPr>
          <w:sz w:val="20"/>
          <w:szCs w:val="20"/>
          <w:color w:val="auto"/>
        </w:rPr>
      </w:pPr>
      <w:r>
        <w:rPr>
          <w:rFonts w:ascii="Arial" w:cs="Arial" w:eastAsia="Arial" w:hAnsi="Arial"/>
          <w:sz w:val="15"/>
          <w:szCs w:val="15"/>
          <w:color w:val="auto"/>
        </w:rPr>
        <w:t>Newsweek offered a Voluntary Retirement Incentive Program to certain employees in November 2008 and 44 employees accepted the offer in the first quarter of 2009; early retirement program expense of $6.6 million was recorded in the first quarter of 2009, funded mostly from the assets of the Company’s pension plans.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Defined Benefit Plan Assets</w:t>
      </w:r>
      <w:r>
        <w:rPr>
          <w:rFonts w:ascii="Arial" w:cs="Arial" w:eastAsia="Arial" w:hAnsi="Arial"/>
          <w:sz w:val="18"/>
          <w:szCs w:val="18"/>
          <w:color w:val="auto"/>
        </w:rPr>
        <w:t>. The Company’s defined benefit pension obligations are funded by a portfolio made up of a relatively small number of stocks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high-quality fixed-income securities that are held by a third-party trustee. As of March 31, 2010 and December 31, 2009, the assets of the Company’s pension plans were allocated as follows:</w:t>
      </w:r>
    </w:p>
    <w:p>
      <w:pPr>
        <w:spacing w:after="0" w:line="17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7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Pension Plan Asset Allocations</w:t>
            </w:r>
          </w:p>
        </w:tc>
        <w:tc>
          <w:tcPr>
            <w:tcW w:w="0" w:type="dxa"/>
            <w:vAlign w:val="bottom"/>
          </w:tcPr>
          <w:p>
            <w:pPr>
              <w:spacing w:after="0"/>
              <w:rPr>
                <w:sz w:val="1"/>
                <w:szCs w:val="1"/>
                <w:color w:val="auto"/>
              </w:rPr>
            </w:pPr>
          </w:p>
        </w:tc>
      </w:tr>
      <w:tr>
        <w:trPr>
          <w:trHeight w:val="129"/>
        </w:trPr>
        <w:tc>
          <w:tcPr>
            <w:tcW w:w="5940" w:type="dxa"/>
            <w:vAlign w:val="bottom"/>
          </w:tcPr>
          <w:p>
            <w:pPr>
              <w:spacing w:after="0"/>
              <w:rPr>
                <w:sz w:val="11"/>
                <w:szCs w:val="11"/>
                <w:color w:val="auto"/>
              </w:rPr>
            </w:pPr>
          </w:p>
        </w:tc>
        <w:tc>
          <w:tcPr>
            <w:tcW w:w="1660" w:type="dxa"/>
            <w:vAlign w:val="bottom"/>
            <w:tcBorders>
              <w:top w:val="single" w:sz="8" w:color="auto"/>
            </w:tcBorders>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92"/>
              </w:rPr>
              <w:t>March 31,</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7"/>
              </w:rPr>
              <w:t>December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940" w:type="dxa"/>
            <w:vAlign w:val="bottom"/>
          </w:tcPr>
          <w:p>
            <w:pPr>
              <w:spacing w:after="0"/>
              <w:rPr>
                <w:sz w:val="14"/>
                <w:szCs w:val="14"/>
                <w:color w:val="auto"/>
              </w:rPr>
            </w:pPr>
          </w:p>
        </w:tc>
        <w:tc>
          <w:tcPr>
            <w:tcW w:w="6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2010</w:t>
            </w:r>
          </w:p>
        </w:tc>
        <w:tc>
          <w:tcPr>
            <w:tcW w:w="1020" w:type="dxa"/>
            <w:vAlign w:val="bottom"/>
          </w:tcPr>
          <w:p>
            <w:pPr>
              <w:spacing w:after="0"/>
              <w:rPr>
                <w:sz w:val="14"/>
                <w:szCs w:val="14"/>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U.S. equities</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66%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U.S. fixed income</w:t>
            </w: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International equities</w:t>
            </w: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March 31, 2010, up to 13% of the assets could be invested in international stocks, and no less than 9% of the assets could be invested in fixed-income securities. None of the assets is managed internally by the Company.</w:t>
      </w:r>
    </w:p>
    <w:p>
      <w:pPr>
        <w:spacing w:after="0" w:line="14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In determining the 6.5%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March 31, 2010. Types of concentrations that were evaluated include, but are not limited to, investment concentrations in a single entity, type of industry, foreign country and individual fund. Included in the assets are $198.1 million and $274.3 million of Berkshire Hathaway Class A and Class B common stock at March 31, 2010 and December 31, 2009, respectively. Approximately 41% of the Berkshire Hathaway common stock held at December 31, 2009 was sold in February 2010.</w:t>
      </w:r>
    </w:p>
    <w:p>
      <w:pPr>
        <w:spacing w:after="0" w:line="13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Other Postretirement Plans</w:t>
      </w:r>
      <w:r>
        <w:rPr>
          <w:rFonts w:ascii="Arial" w:cs="Arial" w:eastAsia="Arial" w:hAnsi="Arial"/>
          <w:sz w:val="18"/>
          <w:szCs w:val="18"/>
          <w:color w:val="auto"/>
        </w:rPr>
        <w:t>. The total cost (benefit) arising from the Company’s postretirement plan for the first quarters ended April 4, 2010 and March 29,</w:t>
      </w:r>
      <w:r>
        <w:rPr>
          <w:rFonts w:ascii="Arial" w:cs="Arial" w:eastAsia="Arial" w:hAnsi="Arial"/>
          <w:sz w:val="18"/>
          <w:szCs w:val="18"/>
          <w:b w:val="1"/>
          <w:bCs w:val="1"/>
          <w:color w:val="auto"/>
        </w:rPr>
        <w:t xml:space="preserve"> </w:t>
      </w:r>
      <w:r>
        <w:rPr>
          <w:rFonts w:ascii="Arial" w:cs="Arial" w:eastAsia="Arial" w:hAnsi="Arial"/>
          <w:sz w:val="18"/>
          <w:szCs w:val="18"/>
          <w:color w:val="auto"/>
        </w:rPr>
        <w:t>2009, consists of the following components (in thousands):</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Postretirement Plans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940" w:type="dxa"/>
            <w:vAlign w:val="bottom"/>
            <w:tcBorders>
              <w:top w:val="single" w:sz="8" w:color="auto"/>
            </w:tcBorders>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rPr>
              <w:t>April 4,</w:t>
            </w:r>
          </w:p>
        </w:tc>
        <w:tc>
          <w:tcPr>
            <w:tcW w:w="920" w:type="dxa"/>
            <w:vAlign w:val="bottom"/>
            <w:tcBorders>
              <w:top w:val="single" w:sz="8" w:color="auto"/>
            </w:tcBorders>
            <w:gridSpan w:val="3"/>
          </w:tcPr>
          <w:p>
            <w:pPr>
              <w:ind w:left="320"/>
              <w:spacing w:after="0" w:line="129" w:lineRule="exact"/>
              <w:rPr>
                <w:sz w:val="20"/>
                <w:szCs w:val="20"/>
                <w:color w:val="auto"/>
              </w:rPr>
            </w:pPr>
            <w:r>
              <w:rPr>
                <w:rFonts w:ascii="Arial" w:cs="Arial" w:eastAsia="Arial" w:hAnsi="Arial"/>
                <w:sz w:val="14"/>
                <w:szCs w:val="14"/>
                <w:b w:val="1"/>
                <w:bCs w:val="1"/>
                <w:color w:val="auto"/>
                <w:w w:val="89"/>
              </w:rPr>
              <w:t>March 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2010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cost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(1,287)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periodic cost (benefit)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Curtailment gain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cost (benefit)</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Company recorded a curtailment gain of $0.7 million in the first quarter of 2009, due to the elimination of life insurance benefits for new retirees on or after January 1, 2009.</w:t>
      </w:r>
    </w:p>
    <w:p>
      <w:pPr>
        <w:spacing w:after="0" w:line="12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Multiemployer Pension Plans</w:t>
      </w:r>
      <w:r>
        <w:rPr>
          <w:rFonts w:ascii="Arial" w:cs="Arial" w:eastAsia="Arial" w:hAnsi="Arial"/>
          <w:sz w:val="16"/>
          <w:szCs w:val="16"/>
          <w:color w:val="auto"/>
        </w:rPr>
        <w:t>. The Washington Post newspaper contributes to multiemployer pension plans on behalf of three union-represented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groups: the CWA-ITU National Pension Plan on behalf of Post mailers, helpers and utility mailers; the IAM National Pension Fund on behalf of Post machinists; and the Central Pension Fund of the International Union of Operating Engineers on behalf of Post engineers, carpenters and painters. Contributions are made in accordance with the relevant collective bargaining agreements and are generally based on straight-time hours.</w:t>
      </w:r>
    </w:p>
    <w:p>
      <w:pPr>
        <w:spacing w:after="0" w:line="10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previously disclosed, The Post has negotiated in collective bargaining the contractual right to withdraw from the IAM National Pension Fund and from the IUOE Central Pension Fund. The right to withdraw from the CWA-ITU National Pension Plan is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subject of contract negotiations. Of these multiemployer plans, The Post is a significant participant in only the CWA-ITU National Pension Plan. According to the most recent withdrawal liability estimate from the CWA-ITU National Pension Plan, The Post would have owed approximately $19 million in the event of a 2009 withdrawal. The Post expects to receive an updated withdrawal liability estimate from the CWA-ITU National Pension Plan by the end of the third quarter of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Non-Operating (Expense)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for the thirteen weeks ended April 4, 2010 and March 29, 2009, is as follows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April 4,</w:t>
            </w:r>
          </w:p>
        </w:tc>
        <w:tc>
          <w:tcPr>
            <w:tcW w:w="1000" w:type="dxa"/>
            <w:vAlign w:val="bottom"/>
            <w:gridSpan w:val="4"/>
          </w:tcPr>
          <w:p>
            <w:pPr>
              <w:ind w:left="280"/>
              <w:spacing w:after="0"/>
              <w:rPr>
                <w:sz w:val="20"/>
                <w:szCs w:val="20"/>
                <w:color w:val="auto"/>
              </w:rPr>
            </w:pPr>
            <w:r>
              <w:rPr>
                <w:rFonts w:ascii="Arial" w:cs="Arial" w:eastAsia="Arial" w:hAnsi="Arial"/>
                <w:sz w:val="14"/>
                <w:szCs w:val="14"/>
                <w:b w:val="1"/>
                <w:bCs w:val="1"/>
                <w:color w:val="auto"/>
              </w:rPr>
              <w:t>March 29,</w:t>
            </w:r>
          </w:p>
        </w:tc>
      </w:tr>
      <w:tr>
        <w:trPr>
          <w:trHeight w:val="161"/>
        </w:trPr>
        <w:tc>
          <w:tcPr>
            <w:tcW w:w="68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2009</w:t>
            </w:r>
          </w:p>
        </w:tc>
        <w:tc>
          <w:tcPr>
            <w:tcW w:w="120" w:type="dxa"/>
            <w:vAlign w:val="bottom"/>
          </w:tcPr>
          <w:p>
            <w:pPr>
              <w:spacing w:after="0"/>
              <w:rPr>
                <w:sz w:val="14"/>
                <w:szCs w:val="14"/>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 net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Impairment write-downs on cost method investments</w:t>
            </w:r>
          </w:p>
        </w:tc>
        <w:tc>
          <w:tcPr>
            <w:tcW w:w="80" w:type="dxa"/>
            <w:vAlign w:val="bottom"/>
          </w:tcPr>
          <w:p>
            <w:pPr>
              <w:spacing w:after="0"/>
              <w:rPr>
                <w:sz w:val="18"/>
                <w:szCs w:val="18"/>
                <w:color w:val="auto"/>
              </w:rPr>
            </w:pPr>
          </w:p>
        </w:tc>
        <w:tc>
          <w:tcPr>
            <w:tcW w:w="7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(3.3)</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0"/>
        </w:trPr>
        <w:tc>
          <w:tcPr>
            <w:tcW w:w="6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Contingencies</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 xml:space="preserve">Department of Education Rulemaking. </w:t>
      </w:r>
      <w:r>
        <w:rPr>
          <w:rFonts w:ascii="Arial" w:cs="Arial" w:eastAsia="Arial" w:hAnsi="Arial"/>
          <w:sz w:val="16"/>
          <w:szCs w:val="16"/>
          <w:color w:val="auto"/>
        </w:rPr>
        <w:t>The U.S. Department of Education is expected to issue proposed regulations in the second quarter of 2010 that could</w:t>
      </w:r>
      <w:r>
        <w:rPr>
          <w:rFonts w:ascii="Arial" w:cs="Arial" w:eastAsia="Arial" w:hAnsi="Arial"/>
          <w:sz w:val="16"/>
          <w:szCs w:val="16"/>
          <w:b w:val="1"/>
          <w:bCs w:val="1"/>
          <w:color w:val="auto"/>
        </w:rPr>
        <w:t xml:space="preserve"> </w:t>
      </w:r>
      <w:r>
        <w:rPr>
          <w:rFonts w:ascii="Arial" w:cs="Arial" w:eastAsia="Arial" w:hAnsi="Arial"/>
          <w:sz w:val="16"/>
          <w:szCs w:val="16"/>
          <w:color w:val="auto"/>
        </w:rPr>
        <w:t>amend or add to existing Title IV regulations. The proposed regulations may include revised standards governing the payment of incentive compensation to admissions and financial aid advisors; a new definition of “gainful employment” that is based on student tuition and debt levels and other factors; and other changes to Title IV eligibility requirements for institutions, programs and students. The changes ultimately made to the Title IV regulations could adversely affect, among other things, Kaplan’s ability to retain admissions and financial aid advisors and the ability of Kaplan Higher Education division’s programs and students to qualify for Title IV financial assistance, and could otherwise have a material adverse effect on Kaplan’s operating results. The Department of Education has stated its intent to publish any new final regulations by November 1, 2010, which is the deadline for the regulations to take effect by July 1, 2011.</w:t>
      </w:r>
    </w:p>
    <w:p>
      <w:pPr>
        <w:spacing w:after="0" w:line="113"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Department of Education Program Reviews. </w:t>
      </w:r>
      <w:r>
        <w:rPr>
          <w:rFonts w:ascii="Arial" w:cs="Arial" w:eastAsia="Arial" w:hAnsi="Arial"/>
          <w:sz w:val="18"/>
          <w:szCs w:val="18"/>
          <w:color w:val="auto"/>
        </w:rPr>
        <w:t>From 2007 through 2010, the Department of Education undertook program reviews at four of Kaplan Higher</w:t>
      </w:r>
      <w:r>
        <w:rPr>
          <w:rFonts w:ascii="Arial" w:cs="Arial" w:eastAsia="Arial" w:hAnsi="Arial"/>
          <w:sz w:val="18"/>
          <w:szCs w:val="18"/>
          <w:b w:val="1"/>
          <w:bCs w:val="1"/>
          <w:color w:val="auto"/>
        </w:rPr>
        <w:t xml:space="preserve"> </w:t>
      </w:r>
      <w:r>
        <w:rPr>
          <w:rFonts w:ascii="Arial" w:cs="Arial" w:eastAsia="Arial" w:hAnsi="Arial"/>
          <w:sz w:val="18"/>
          <w:szCs w:val="18"/>
          <w:color w:val="auto"/>
        </w:rPr>
        <w:t>Education’s campus locations and at Kaplan University. The Department of Education has issued a final report with respect to one of the campus locations with no action taken. No final reports with respect to the other reviews have been issued. Therefore, the results of these reviews and their impact on Kaplan’s operations is uncertain.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96" w:lineRule="exact"/>
        <w:rPr>
          <w:sz w:val="20"/>
          <w:szCs w:val="20"/>
          <w:color w:val="auto"/>
        </w:rPr>
      </w:pPr>
    </w:p>
    <w:p>
      <w:pPr>
        <w:jc w:val="both"/>
        <w:ind w:right="440"/>
        <w:spacing w:after="0" w:line="305" w:lineRule="auto"/>
        <w:rPr>
          <w:sz w:val="20"/>
          <w:szCs w:val="20"/>
          <w:color w:val="auto"/>
        </w:rPr>
      </w:pPr>
      <w:r>
        <w:rPr>
          <w:rFonts w:ascii="Arial" w:cs="Arial" w:eastAsia="Arial" w:hAnsi="Arial"/>
          <w:sz w:val="15"/>
          <w:szCs w:val="15"/>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w:t>
      </w:r>
    </w:p>
    <w:p>
      <w:pPr>
        <w:ind w:right="160" w:firstLine="8"/>
        <w:spacing w:after="0" w:line="253"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as of April 4, 2010 were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6"/>
              </w:rPr>
              <w:t>Fair Value Measurements 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left="700"/>
              <w:spacing w:after="0"/>
              <w:rPr>
                <w:sz w:val="20"/>
                <w:szCs w:val="20"/>
                <w:color w:val="auto"/>
              </w:rPr>
            </w:pPr>
            <w:r>
              <w:rPr>
                <w:rFonts w:ascii="Arial" w:cs="Arial" w:eastAsia="Arial" w:hAnsi="Arial"/>
                <w:sz w:val="14"/>
                <w:szCs w:val="14"/>
                <w:b w:val="1"/>
                <w:bCs w:val="1"/>
                <w:color w:val="auto"/>
                <w:w w:val="89"/>
              </w:rPr>
              <w:t>April 4, 2010</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660" w:type="dxa"/>
            <w:vAlign w:val="bottom"/>
          </w:tcPr>
          <w:p>
            <w:pPr>
              <w:spacing w:after="0"/>
              <w:rPr>
                <w:sz w:val="11"/>
                <w:szCs w:val="11"/>
                <w:color w:val="auto"/>
              </w:rPr>
            </w:pPr>
          </w:p>
        </w:tc>
        <w:tc>
          <w:tcPr>
            <w:tcW w:w="10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Significant Other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2"/>
                <w:szCs w:val="12"/>
                <w:color w:val="auto"/>
              </w:rPr>
            </w:pPr>
          </w:p>
        </w:tc>
        <w:tc>
          <w:tcPr>
            <w:tcW w:w="10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April 4,</w:t>
            </w: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8"/>
              </w:rPr>
              <w:t>for Identical Items</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20"/>
              <w:spacing w:after="0"/>
              <w:rPr>
                <w:sz w:val="20"/>
                <w:szCs w:val="20"/>
                <w:color w:val="auto"/>
              </w:rPr>
            </w:pPr>
            <w:r>
              <w:rPr>
                <w:rFonts w:ascii="Arial" w:cs="Arial" w:eastAsia="Arial" w:hAnsi="Arial"/>
                <w:sz w:val="14"/>
                <w:szCs w:val="14"/>
                <w:b w:val="1"/>
                <w:bCs w:val="1"/>
                <w:color w:val="auto"/>
                <w:w w:val="87"/>
              </w:rPr>
              <w:t>(Level 1)</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Money market investments</w:t>
            </w:r>
          </w:p>
        </w:tc>
        <w:tc>
          <w:tcPr>
            <w:tcW w:w="2300" w:type="dxa"/>
            <w:vAlign w:val="bottom"/>
            <w:gridSpan w:val="2"/>
          </w:tcPr>
          <w:p>
            <w:pPr>
              <w:ind w:left="218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419.4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Marketable equity securities</w:t>
            </w:r>
            <w:r>
              <w:rPr>
                <w:rFonts w:ascii="Arial" w:cs="Arial" w:eastAsia="Arial" w:hAnsi="Arial"/>
                <w:sz w:val="11"/>
                <w:szCs w:val="11"/>
                <w:color w:val="auto"/>
              </w:rPr>
              <w:t>(1)</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440.0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current investments</w:t>
            </w:r>
            <w:r>
              <w:rPr>
                <w:rFonts w:ascii="Arial" w:cs="Arial" w:eastAsia="Arial" w:hAnsi="Arial"/>
                <w:sz w:val="11"/>
                <w:szCs w:val="11"/>
                <w:color w:val="auto"/>
              </w:rPr>
              <w:t>(2)</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financial assets</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890.</w:t>
            </w:r>
            <w:r>
              <w:rPr>
                <w:rFonts w:ascii="Arial" w:cs="Arial" w:eastAsia="Arial" w:hAnsi="Arial"/>
                <w:sz w:val="18"/>
                <w:szCs w:val="18"/>
                <w:u w:val="single" w:color="auto"/>
                <w:color w:val="auto"/>
              </w:rPr>
              <w:t>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469.6</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40" w:type="dxa"/>
            <w:vAlign w:val="bottom"/>
            <w:gridSpan w:val="2"/>
            <w:vMerge w:val="continue"/>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Deferred compensation plan liabilities </w:t>
            </w:r>
            <w:r>
              <w:rPr>
                <w:rFonts w:ascii="Arial" w:cs="Arial" w:eastAsia="Arial" w:hAnsi="Arial"/>
                <w:sz w:val="11"/>
                <w:szCs w:val="11"/>
                <w:color w:val="auto"/>
              </w:rPr>
              <w:t>(3)</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7.25% unsecured notes</w:t>
            </w:r>
          </w:p>
        </w:tc>
        <w:tc>
          <w:tcPr>
            <w:tcW w:w="2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liabilities</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518.</w:t>
            </w:r>
            <w:r>
              <w:rPr>
                <w:rFonts w:ascii="Arial" w:cs="Arial" w:eastAsia="Arial" w:hAnsi="Arial"/>
                <w:sz w:val="18"/>
                <w:szCs w:val="18"/>
                <w:u w:val="single" w:color="auto"/>
                <w:color w:val="auto"/>
              </w:rPr>
              <w:t>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rPr>
          <w:sz w:val="20"/>
          <w:szCs w:val="20"/>
          <w:color w:val="auto"/>
        </w:rPr>
      </w:pPr>
      <w:r>
        <w:rPr>
          <w:rFonts w:ascii="Arial" w:cs="Arial" w:eastAsia="Arial" w:hAnsi="Arial"/>
          <w:sz w:val="11"/>
          <w:szCs w:val="11"/>
          <w:color w:val="auto"/>
        </w:rPr>
        <w:t>(1)</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73" w:lineRule="exact"/>
        <w:rPr>
          <w:sz w:val="20"/>
          <w:szCs w:val="20"/>
          <w:color w:val="auto"/>
        </w:rPr>
      </w:pPr>
    </w:p>
    <w:p>
      <w:pPr>
        <w:spacing w:after="0"/>
        <w:rPr>
          <w:sz w:val="20"/>
          <w:szCs w:val="20"/>
          <w:color w:val="auto"/>
        </w:rPr>
      </w:pPr>
      <w:r>
        <w:rPr>
          <w:rFonts w:ascii="Arial" w:cs="Arial" w:eastAsia="Arial" w:hAnsi="Arial"/>
          <w:sz w:val="11"/>
          <w:szCs w:val="11"/>
          <w:color w:val="auto"/>
        </w:rPr>
        <w:t>(3 )</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in marketable equity securities are classified as available-for-sale.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-151130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right="380"/>
        <w:spacing w:after="0" w:line="250" w:lineRule="auto"/>
        <w:rPr>
          <w:sz w:val="20"/>
          <w:szCs w:val="20"/>
          <w:color w:val="auto"/>
        </w:rPr>
      </w:pPr>
      <w:r>
        <w:rPr>
          <w:rFonts w:ascii="Arial" w:cs="Arial" w:eastAsia="Arial" w:hAnsi="Arial"/>
          <w:sz w:val="18"/>
          <w:szCs w:val="18"/>
          <w:color w:val="auto"/>
        </w:rPr>
        <w:t>Includes U.S. Government Securities, corporate bonds, mutual funds and time deposits (with original maturities greater than 90 days, but less than one year).</w:t>
      </w:r>
    </w:p>
    <w:p>
      <w:pPr>
        <w:spacing w:after="0" w:line="1" w:lineRule="exact"/>
        <w:rPr>
          <w:sz w:val="20"/>
          <w:szCs w:val="20"/>
          <w:color w:val="auto"/>
        </w:rPr>
      </w:pPr>
    </w:p>
    <w:p>
      <w:pPr>
        <w:ind w:right="520"/>
        <w:spacing w:after="0" w:line="323" w:lineRule="auto"/>
        <w:rPr>
          <w:sz w:val="20"/>
          <w:szCs w:val="20"/>
          <w:color w:val="auto"/>
        </w:rPr>
      </w:pPr>
      <w:r>
        <w:rPr>
          <w:rFonts w:ascii="Arial" w:cs="Arial" w:eastAsia="Arial" w:hAnsi="Arial"/>
          <w:sz w:val="16"/>
          <w:szCs w:val="16"/>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spacing w:after="0" w:line="93" w:lineRule="exact"/>
        <w:rPr>
          <w:sz w:val="20"/>
          <w:szCs w:val="20"/>
          <w:color w:val="auto"/>
        </w:rPr>
      </w:pPr>
    </w:p>
    <w:p>
      <w:pPr>
        <w:sectPr>
          <w:pgSz w:w="11900" w:h="16838" w:orient="portrait"/>
          <w:cols w:equalWidth="0" w:num="2">
            <w:col w:w="180" w:space="280"/>
            <w:col w:w="10960"/>
          </w:cols>
          <w:pgMar w:left="240" w:top="459" w:right="239" w:bottom="1440" w:gutter="0" w:footer="0" w:header="0"/>
          <w:type w:val="continuous"/>
        </w:sectPr>
      </w:pPr>
    </w:p>
    <w:p>
      <w:pPr>
        <w:spacing w:after="0" w:line="306" w:lineRule="auto"/>
        <w:rPr>
          <w:sz w:val="20"/>
          <w:szCs w:val="20"/>
          <w:color w:val="auto"/>
        </w:rPr>
      </w:pPr>
      <w:r>
        <w:rPr>
          <w:rFonts w:ascii="Arial" w:cs="Arial" w:eastAsia="Arial" w:hAnsi="Arial"/>
          <w:sz w:val="16"/>
          <w:szCs w:val="16"/>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May 2010, the Company announced that is has retained Allen &amp; Company to explore the possible sale of Newsweek magazine.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Business Segments</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Through its subsidiary Kaplan, Inc., the Company provides educational services for individuals, schools and businesses. The Company also operates principally in four areas of the media business: cable television, newspaper publishing, television broadcasting and magazine publishing.</w:t>
      </w:r>
    </w:p>
    <w:p>
      <w:pPr>
        <w:spacing w:after="0" w:line="85"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 the first quarter of 2010, Kaplan made several minor changes to its operating and reporting structure: Kaplan Compliance Solutions was moved from Kaplan Ventures to Test Preparation; Kaplan Continuing Education was moved from Test Preparation to Kaplan Ventures; and Colloquy (a business that provides online services to nonprofit higher education institutions) was moved from Kaplan Higher Education to Kaplan Ventures. The business segments disclosed are based on this organizational structure. Segment operating results of the education division for fiscal years ended 2009 and 2008 have been restated to reflect these changes.</w:t>
      </w:r>
    </w:p>
    <w:p>
      <w:pPr>
        <w:spacing w:after="0" w:line="9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the third quarter of 2009, Kaplan Higher Education (KHE) modified its method of recognizing revenue ratably over the period of instruction as services are delivered to students from a weekly convention to a daily convention, on a prospective basis. If KHE’s revenue recognition convention had been on a daily convention in prior periods, revenues and operating income in the first quarter of 2009 would have increased by $7.0 million and $6.5 million, respectively. The Company has concluded that the impact of this change was not material to the Company’s financial position or results of operations for 2009 and the related interim periods, based on its consideration of quantitative and qualitative factors.</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At the end of March 2009, the Company approved a plan to offer tutoring services, previously provided at Score, in Kaplan test preparation centers. The plan was substantially completed by the end of the second quarter of 2009. In conjunction with this plan, 14 existing Score centers were converted into Kaplan test preparation centers, and the remaining 64 Score centers were closed. The Company recorded $11.5 million in asset write-downs, severance and accelerated depreciation of fixed assets in the first quarter of 2009, including a $9.2 million write-down of Score’s software product to its fair value following an impairment.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In 2007, Kaplan announced restructuring plans at its professional domestic training businesses that involved product changes and decentralization of certain operations, in addition to employee terminations. These businesses are part of Kaplan’s Test Preparation division. Total restructuring-related expenses of $5.4 million were recorded in the first quarter of 2009 related to lease termination, accelerated depreciation of fixed assets and severance costs.</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Cable television operations consist of cable systems offering video, Internet, phone and other services to subscribers in midwestern, western and southern states.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source of revenue is monthly subscription fees charged for services.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Newspaper publishing includes the publication of newspapers in the Washington, DC, area and Everett, WA; newsprint ware- housing and recycling facilities; and the Company’s electronic media publishing business (primarily washingtonpost.com).</w:t>
      </w:r>
    </w:p>
    <w:p>
      <w:pPr>
        <w:spacing w:after="0" w:line="132" w:lineRule="exact"/>
        <w:rPr>
          <w:sz w:val="20"/>
          <w:szCs w:val="20"/>
          <w:color w:val="auto"/>
        </w:rPr>
      </w:pPr>
    </w:p>
    <w:p>
      <w:pPr>
        <w:ind w:right="620"/>
        <w:spacing w:after="0" w:line="335" w:lineRule="auto"/>
        <w:rPr>
          <w:sz w:val="20"/>
          <w:szCs w:val="20"/>
          <w:color w:val="auto"/>
        </w:rPr>
      </w:pPr>
      <w:r>
        <w:rPr>
          <w:rFonts w:ascii="Arial" w:cs="Arial" w:eastAsia="Arial" w:hAnsi="Arial"/>
          <w:sz w:val="15"/>
          <w:szCs w:val="15"/>
          <w:color w:val="auto"/>
        </w:rPr>
        <w:t>The magazine publishing division consists of the publication of a weekly newsmagazine, Newsweek, which has one domestic and three English-language international editions (and, in conjunction with others, publishes seven foreign-language editions around the world) and certain online media publishing businesses (newsweek.com). In December 2009, Newsweek sold its Newsweek Budget Travel magazine and realized a gain on the transaction.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Television broadcasting operations are conducted through six VHF television stations serving the Detroit, Houston, Miami, San Antonio, Orlando and Jacksonville television markets. All stations are network-affiliated (except for WJXT in Jacksonville), with revenues derived primarily from sales of advertising time.</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Other businesses and corporate office includes the expenses associated with the Company’s corporate office and the operating results of Avenue100 Media Solutions.</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computing income from operations by segment, the effects of equity in losses of affiliates, interest income, interest expense, other non-operating income and expense items and income taxes are not included.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2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First Quarter Period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711,382</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593,530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189,358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155,771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160,891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73,482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Magazine publishing</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29,377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Intersegment elimination</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(2,346)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1,171,158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1,054,120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40" w:type="dxa"/>
            <w:vAlign w:val="bottom"/>
            <w:gridSpan w:val="4"/>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57,948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42,536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20,911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Magazine publishing</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(12,829)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(19,606)</w:t>
            </w:r>
          </w:p>
        </w:tc>
        <w:tc>
          <w:tcPr>
            <w:tcW w:w="0" w:type="dxa"/>
            <w:vAlign w:val="bottom"/>
          </w:tcPr>
          <w:p>
            <w:pPr>
              <w:spacing w:after="0"/>
              <w:rPr>
                <w:sz w:val="1"/>
                <w:szCs w:val="1"/>
                <w:color w:val="auto"/>
              </w:rPr>
            </w:pPr>
          </w:p>
        </w:tc>
      </w:tr>
      <w:tr>
        <w:trPr>
          <w:trHeight w:val="20"/>
        </w:trPr>
        <w:tc>
          <w:tcPr>
            <w:tcW w:w="9140" w:type="dxa"/>
            <w:vAlign w:val="bottom"/>
            <w:gridSpan w:val="4"/>
            <w:vMerge w:val="restart"/>
          </w:tcPr>
          <w:p>
            <w:pPr>
              <w:spacing w:after="0"/>
              <w:rPr>
                <w:sz w:val="20"/>
                <w:szCs w:val="20"/>
                <w:color w:val="auto"/>
              </w:rPr>
            </w:pPr>
            <w:r>
              <w:rPr>
                <w:rFonts w:ascii="Arial" w:cs="Arial" w:eastAsia="Arial" w:hAnsi="Arial"/>
                <w:sz w:val="18"/>
                <w:szCs w:val="18"/>
                <w:color w:val="auto"/>
              </w:rPr>
              <w:t>Equity in losses of affiliates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14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(8,109)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(3,321)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(31,483)</w:t>
            </w:r>
          </w:p>
        </w:tc>
        <w:tc>
          <w:tcPr>
            <w:tcW w:w="0" w:type="dxa"/>
            <w:vAlign w:val="bottom"/>
          </w:tcPr>
          <w:p>
            <w:pPr>
              <w:spacing w:after="0"/>
              <w:rPr>
                <w:sz w:val="1"/>
                <w:szCs w:val="1"/>
                <w:color w:val="auto"/>
              </w:rPr>
            </w:pPr>
          </w:p>
        </w:tc>
      </w:tr>
      <w:tr>
        <w:trPr>
          <w:trHeight w:val="20"/>
        </w:trPr>
        <w:tc>
          <w:tcPr>
            <w:tcW w:w="9140" w:type="dxa"/>
            <w:vAlign w:val="bottom"/>
            <w:gridSpan w:val="4"/>
            <w:vMerge w:val="restart"/>
          </w:tcPr>
          <w:p>
            <w:pPr>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14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18,748</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31,626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3,137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62,796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77,980</w:t>
            </w:r>
          </w:p>
        </w:tc>
        <w:tc>
          <w:tcPr>
            <w:tcW w:w="0" w:type="dxa"/>
            <w:vAlign w:val="bottom"/>
          </w:tcPr>
          <w:p>
            <w:pPr>
              <w:spacing w:after="0"/>
              <w:rPr>
                <w:sz w:val="1"/>
                <w:szCs w:val="1"/>
                <w:color w:val="auto"/>
              </w:rPr>
            </w:pPr>
          </w:p>
        </w:tc>
      </w:tr>
      <w:tr>
        <w:trPr>
          <w:trHeight w:val="330"/>
        </w:trPr>
        <w:tc>
          <w:tcPr>
            <w:tcW w:w="9140" w:type="dxa"/>
            <w:vAlign w:val="bottom"/>
            <w:gridSpan w:val="4"/>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6,516</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6,648</w:t>
            </w:r>
          </w:p>
        </w:tc>
        <w:tc>
          <w:tcPr>
            <w:tcW w:w="0" w:type="dxa"/>
            <w:vAlign w:val="bottom"/>
          </w:tcPr>
          <w:p>
            <w:pPr>
              <w:spacing w:after="0"/>
              <w:rPr>
                <w:sz w:val="1"/>
                <w:szCs w:val="1"/>
                <w:color w:val="auto"/>
              </w:rPr>
            </w:pPr>
          </w:p>
        </w:tc>
      </w:tr>
      <w:tr>
        <w:trPr>
          <w:trHeight w:val="330"/>
        </w:trPr>
        <w:tc>
          <w:tcPr>
            <w:tcW w:w="9140" w:type="dxa"/>
            <w:vAlign w:val="bottom"/>
            <w:gridSpan w:val="4"/>
          </w:tcPr>
          <w:p>
            <w:pPr>
              <w:spacing w:after="0"/>
              <w:rPr>
                <w:sz w:val="20"/>
                <w:szCs w:val="20"/>
                <w:color w:val="auto"/>
              </w:rPr>
            </w:pPr>
            <w:r>
              <w:rPr>
                <w:rFonts w:ascii="Arial" w:cs="Arial" w:eastAsia="Arial" w:hAnsi="Arial"/>
                <w:sz w:val="18"/>
                <w:szCs w:val="18"/>
                <w:color w:val="auto"/>
              </w:rPr>
              <w:t>Net pension credit (expense)</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Education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Magazine publishing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79"/>
              </w:rPr>
              <w:t>As of</w:t>
            </w:r>
          </w:p>
        </w:tc>
        <w:tc>
          <w:tcPr>
            <w:tcW w:w="16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90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89"/>
              </w:rPr>
              <w:t>April 4, 2010</w:t>
            </w:r>
          </w:p>
        </w:tc>
        <w:tc>
          <w:tcPr>
            <w:tcW w:w="340" w:type="dxa"/>
            <w:vAlign w:val="bottom"/>
          </w:tcPr>
          <w:p>
            <w:pPr>
              <w:spacing w:after="0"/>
              <w:rPr>
                <w:sz w:val="12"/>
                <w:szCs w:val="12"/>
                <w:color w:val="auto"/>
              </w:rPr>
            </w:pPr>
          </w:p>
        </w:tc>
        <w:tc>
          <w:tcPr>
            <w:tcW w:w="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8"/>
              </w:rPr>
              <w:t>January 3,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Education</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$1,867,856</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2,188,328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Cable television</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1,143,423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1,164,209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Newspaper publishing</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188,905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Television broadcasting</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426,343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tcPr>
          <w:p>
            <w:pPr>
              <w:ind w:left="420"/>
              <w:spacing w:after="0"/>
              <w:rPr>
                <w:sz w:val="20"/>
                <w:szCs w:val="20"/>
                <w:color w:val="auto"/>
              </w:rPr>
            </w:pPr>
            <w:r>
              <w:rPr>
                <w:rFonts w:ascii="Arial" w:cs="Arial" w:eastAsia="Arial" w:hAnsi="Arial"/>
                <w:sz w:val="18"/>
                <w:szCs w:val="18"/>
                <w:color w:val="auto"/>
              </w:rPr>
              <w:t>Magazine publishing</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657,715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658,731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Other businesses and corporate office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504,148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$4,788,390</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4,777,600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 in marketable equity securities</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439,997</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Investments in affiliates</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5,270,523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5,186,206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9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Magazine publishing amounts include Budget Travel operating revenues and operating losses of $3.4 million and $3.0 million, respectively, for the first</w:t>
      </w:r>
    </w:p>
    <w:p>
      <w:pPr>
        <w:sectPr>
          <w:pgSz w:w="11900" w:h="16838" w:orient="portrait"/>
          <w:cols w:equalWidth="0" w:num="1">
            <w:col w:w="11420"/>
          </w:cols>
          <w:pgMar w:left="240" w:top="459" w:right="239" w:bottom="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quarter of 2009.</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759"/>
          </w:cols>
          <w:pgMar w:left="700" w:top="131"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 as reported under Kaplan’s new organizational structure: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First Quarter Period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Higher education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442,584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333,535</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1,539,196</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1,160,063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color w:val="auto"/>
              </w:rPr>
              <w:t>1</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102,419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113,584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442,136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Kaplan international</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133,985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117,916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537,238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34,732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126,418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Kaplan corporate and other</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2,436</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(10,786)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711,382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593,530</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2,636,638</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2,331,580</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Higher education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85,893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36,922</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279,765</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Test preparation</w:t>
            </w:r>
            <w:r>
              <w:rPr>
                <w:rFonts w:ascii="Arial" w:cs="Arial" w:eastAsia="Arial" w:hAnsi="Arial"/>
                <w:sz w:val="11"/>
                <w:szCs w:val="11"/>
                <w:color w:val="auto"/>
              </w:rPr>
              <w:t>1</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(12,713)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(20,895)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Kaplan international</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53,772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(6,679)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(16,421)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Kaplan corporate and other</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(19,001)</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(17,762)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(101,770)</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(56,527)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Intersegment elimination</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57,948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11,162</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194,761</w:t>
            </w:r>
          </w:p>
        </w:tc>
        <w:tc>
          <w:tcPr>
            <w:tcW w:w="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206,302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property, plant and equipment</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Higher education</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8,722</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37,843</w:t>
            </w:r>
          </w:p>
        </w:tc>
        <w:tc>
          <w:tcPr>
            <w:tcW w:w="4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Test preparation</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Kaplan international</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11,438</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1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Kaplan corporate and other</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18,748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19,681</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67,329</w:t>
            </w: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980" w:type="dxa"/>
            <w:vAlign w:val="bottom"/>
            <w:gridSpan w:val="3"/>
          </w:tcPr>
          <w:p>
            <w:pPr>
              <w:spacing w:after="0"/>
              <w:rPr>
                <w:sz w:val="20"/>
                <w:szCs w:val="20"/>
                <w:color w:val="auto"/>
              </w:rPr>
            </w:pPr>
            <w:r>
              <w:rPr>
                <w:rFonts w:ascii="Arial" w:cs="Arial" w:eastAsia="Arial" w:hAnsi="Arial"/>
                <w:sz w:val="18"/>
                <w:szCs w:val="18"/>
                <w:color w:val="auto"/>
              </w:rPr>
              <w:t>Amortization of intangible assets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5,276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5,541</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22,223</w:t>
            </w:r>
          </w:p>
        </w:tc>
        <w:tc>
          <w:tcPr>
            <w:tcW w:w="4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15,472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4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goodwill and other long-lived assets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980" w:type="dxa"/>
            <w:vAlign w:val="bottom"/>
            <w:gridSpan w:val="3"/>
          </w:tcPr>
          <w:p>
            <w:pPr>
              <w:spacing w:after="0"/>
              <w:rPr>
                <w:sz w:val="20"/>
                <w:szCs w:val="20"/>
                <w:color w:val="auto"/>
              </w:rPr>
            </w:pPr>
            <w:r>
              <w:rPr>
                <w:rFonts w:ascii="Arial" w:cs="Arial" w:eastAsia="Arial" w:hAnsi="Arial"/>
                <w:sz w:val="18"/>
                <w:szCs w:val="18"/>
                <w:color w:val="auto"/>
              </w:rPr>
              <w:t>Kaplan stock-based incentive compensation expense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1,761</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933</w:t>
            </w:r>
          </w:p>
        </w:tc>
        <w:tc>
          <w:tcPr>
            <w:tcW w:w="4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Test preparation amounts include revenues and operating losses from Score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First Quarter Period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ind w:left="320"/>
              <w:spacing w:after="0"/>
              <w:rPr>
                <w:sz w:val="20"/>
                <w:szCs w:val="20"/>
                <w:color w:val="auto"/>
              </w:rPr>
            </w:pPr>
            <w:r>
              <w:rPr>
                <w:rFonts w:ascii="Arial" w:cs="Arial" w:eastAsia="Arial" w:hAnsi="Arial"/>
                <w:sz w:val="14"/>
                <w:szCs w:val="14"/>
                <w:b w:val="1"/>
                <w:bCs w:val="1"/>
                <w:color w:val="auto"/>
              </w:rPr>
              <w:t>Fiscal Year Ended</w:t>
            </w:r>
          </w:p>
        </w:tc>
      </w:tr>
      <w:tr>
        <w:trPr>
          <w:trHeight w:val="142"/>
        </w:trPr>
        <w:tc>
          <w:tcPr>
            <w:tcW w:w="880" w:type="dxa"/>
            <w:vAlign w:val="bottom"/>
            <w:tcBorders>
              <w:top w:val="single" w:sz="8" w:color="auto"/>
            </w:tcBorders>
          </w:tcPr>
          <w:p>
            <w:pPr>
              <w:spacing w:after="0"/>
              <w:rPr>
                <w:sz w:val="12"/>
                <w:szCs w:val="12"/>
                <w:color w:val="auto"/>
              </w:rPr>
            </w:pPr>
          </w:p>
        </w:tc>
        <w:tc>
          <w:tcPr>
            <w:tcW w:w="26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58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8,557</w:t>
            </w:r>
          </w:p>
        </w:tc>
        <w:tc>
          <w:tcPr>
            <w:tcW w:w="5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$ 28,672</w:t>
            </w:r>
          </w:p>
        </w:tc>
      </w:tr>
      <w:tr>
        <w:trPr>
          <w:trHeight w:val="222"/>
        </w:trPr>
        <w:tc>
          <w:tcPr>
            <w:tcW w:w="3480" w:type="dxa"/>
            <w:vAlign w:val="bottom"/>
            <w:gridSpan w:val="2"/>
          </w:tcPr>
          <w:p>
            <w:pPr>
              <w:spacing w:after="0"/>
              <w:rPr>
                <w:sz w:val="20"/>
                <w:szCs w:val="20"/>
                <w:color w:val="auto"/>
              </w:rPr>
            </w:pPr>
            <w:r>
              <w:rPr>
                <w:rFonts w:ascii="Arial" w:cs="Arial" w:eastAsia="Arial" w:hAnsi="Arial"/>
                <w:sz w:val="18"/>
                <w:szCs w:val="18"/>
                <w:color w:val="auto"/>
              </w:rPr>
              <w:t>Operating losses</w:t>
            </w:r>
          </w:p>
        </w:tc>
        <w:tc>
          <w:tcPr>
            <w:tcW w:w="2580" w:type="dxa"/>
            <w:vAlign w:val="bottom"/>
            <w:gridSpan w:val="2"/>
          </w:tcPr>
          <w:p>
            <w:pPr>
              <w:ind w:left="2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(17,636)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(36,787)</w:t>
            </w:r>
          </w:p>
        </w:tc>
        <w:tc>
          <w:tcPr>
            <w:tcW w:w="760" w:type="dxa"/>
            <w:vAlign w:val="bottom"/>
            <w:gridSpan w:val="2"/>
          </w:tcPr>
          <w:p>
            <w:pPr>
              <w:spacing w:after="0"/>
              <w:rPr>
                <w:sz w:val="20"/>
                <w:szCs w:val="20"/>
                <w:color w:val="auto"/>
              </w:rPr>
            </w:pPr>
            <w:r>
              <w:rPr>
                <w:rFonts w:ascii="Arial" w:cs="Arial" w:eastAsia="Arial" w:hAnsi="Arial"/>
                <w:sz w:val="18"/>
                <w:szCs w:val="18"/>
                <w:color w:val="auto"/>
                <w:w w:val="90"/>
              </w:rPr>
              <w:t>$ (13,278)</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for the Company’s education division consist of the following:</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42"/>
        </w:trPr>
        <w:tc>
          <w:tcPr>
            <w:tcW w:w="880" w:type="dxa"/>
            <w:vAlign w:val="bottom"/>
            <w:tcBorders>
              <w:top w:val="single" w:sz="8" w:color="auto"/>
            </w:tcBorders>
          </w:tcPr>
          <w:p>
            <w:pPr>
              <w:spacing w:after="0"/>
              <w:rPr>
                <w:sz w:val="12"/>
                <w:szCs w:val="12"/>
                <w:color w:val="auto"/>
              </w:rPr>
            </w:pPr>
          </w:p>
        </w:tc>
        <w:tc>
          <w:tcPr>
            <w:tcW w:w="26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31, 2010</w:t>
            </w:r>
          </w:p>
        </w:tc>
        <w:tc>
          <w:tcPr>
            <w:tcW w:w="3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2009</w:t>
            </w: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December 31, 2008</w:t>
            </w:r>
          </w:p>
        </w:tc>
      </w:tr>
      <w:tr>
        <w:trPr>
          <w:trHeight w:val="102"/>
        </w:trPr>
        <w:tc>
          <w:tcPr>
            <w:tcW w:w="8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540" w:type="dxa"/>
            <w:vAlign w:val="bottom"/>
            <w:gridSpan w:val="2"/>
          </w:tcPr>
          <w:p>
            <w:pPr>
              <w:ind w:left="440"/>
              <w:spacing w:after="0"/>
              <w:rPr>
                <w:sz w:val="20"/>
                <w:szCs w:val="20"/>
                <w:color w:val="auto"/>
              </w:rPr>
            </w:pPr>
            <w:r>
              <w:rPr>
                <w:rFonts w:ascii="Arial" w:cs="Arial" w:eastAsia="Arial" w:hAnsi="Arial"/>
                <w:sz w:val="18"/>
                <w:szCs w:val="18"/>
                <w:color w:val="auto"/>
              </w:rPr>
              <w:t>Higher education</w:t>
            </w:r>
          </w:p>
        </w:tc>
        <w:tc>
          <w:tcPr>
            <w:tcW w:w="194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641,191</w:t>
            </w: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920,039</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675,783</w:t>
            </w:r>
          </w:p>
        </w:tc>
      </w:tr>
      <w:tr>
        <w:trPr>
          <w:trHeight w:val="216"/>
        </w:trPr>
        <w:tc>
          <w:tcPr>
            <w:tcW w:w="3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Test preparation</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404,853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393,399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420,020</w:t>
            </w:r>
          </w:p>
        </w:tc>
      </w:tr>
      <w:tr>
        <w:trPr>
          <w:trHeight w:val="216"/>
        </w:trPr>
        <w:tc>
          <w:tcPr>
            <w:tcW w:w="3540" w:type="dxa"/>
            <w:vAlign w:val="bottom"/>
            <w:gridSpan w:val="2"/>
          </w:tcPr>
          <w:p>
            <w:pPr>
              <w:ind w:left="440"/>
              <w:spacing w:after="0"/>
              <w:rPr>
                <w:sz w:val="20"/>
                <w:szCs w:val="20"/>
                <w:color w:val="auto"/>
              </w:rPr>
            </w:pPr>
            <w:r>
              <w:rPr>
                <w:rFonts w:ascii="Arial" w:cs="Arial" w:eastAsia="Arial" w:hAnsi="Arial"/>
                <w:sz w:val="18"/>
                <w:szCs w:val="18"/>
                <w:color w:val="auto"/>
              </w:rPr>
              <w:t>Kaplan international</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662,156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671,306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652,838</w:t>
            </w:r>
          </w:p>
        </w:tc>
      </w:tr>
      <w:tr>
        <w:trPr>
          <w:trHeight w:val="216"/>
        </w:trPr>
        <w:tc>
          <w:tcPr>
            <w:tcW w:w="3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146,183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143,399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255,917</w:t>
            </w:r>
          </w:p>
        </w:tc>
      </w:tr>
      <w:tr>
        <w:trPr>
          <w:trHeight w:val="216"/>
        </w:trPr>
        <w:tc>
          <w:tcPr>
            <w:tcW w:w="3540" w:type="dxa"/>
            <w:vAlign w:val="bottom"/>
            <w:gridSpan w:val="2"/>
          </w:tcPr>
          <w:p>
            <w:pPr>
              <w:ind w:left="440"/>
              <w:spacing w:after="0"/>
              <w:rPr>
                <w:sz w:val="20"/>
                <w:szCs w:val="20"/>
                <w:color w:val="auto"/>
              </w:rPr>
            </w:pPr>
            <w:r>
              <w:rPr>
                <w:rFonts w:ascii="Arial" w:cs="Arial" w:eastAsia="Arial" w:hAnsi="Arial"/>
                <w:sz w:val="18"/>
                <w:szCs w:val="18"/>
                <w:color w:val="auto"/>
              </w:rPr>
              <w:t>Kaplan corporate and other</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13,473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60,185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75,479</w:t>
            </w:r>
          </w:p>
        </w:tc>
      </w:tr>
      <w:tr>
        <w:trPr>
          <w:trHeight w:val="27"/>
        </w:trPr>
        <w:tc>
          <w:tcPr>
            <w:tcW w:w="8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r>
        <w:trPr>
          <w:trHeight w:val="216"/>
        </w:trPr>
        <w:tc>
          <w:tcPr>
            <w:tcW w:w="88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1,867,856</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2,188,328</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2,080,037</w:t>
            </w:r>
          </w:p>
        </w:tc>
      </w:tr>
      <w:tr>
        <w:trPr>
          <w:trHeight w:val="370"/>
        </w:trPr>
        <w:tc>
          <w:tcPr>
            <w:tcW w:w="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780" w:type="dxa"/>
            <w:vAlign w:val="bottom"/>
          </w:tcPr>
          <w:p>
            <w:pPr>
              <w:jc w:val="right"/>
              <w:ind w:right="352"/>
              <w:spacing w:after="0"/>
              <w:rPr>
                <w:sz w:val="20"/>
                <w:szCs w:val="20"/>
                <w:color w:val="auto"/>
              </w:rPr>
            </w:pPr>
            <w:r>
              <w:rPr>
                <w:rFonts w:ascii="Arial" w:cs="Arial" w:eastAsia="Arial" w:hAnsi="Arial"/>
                <w:sz w:val="18"/>
                <w:szCs w:val="18"/>
                <w:color w:val="auto"/>
              </w:rPr>
              <w:t>16</w:t>
            </w: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The Washington Post Company</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ended 2009 and 2008, the Company’s education division capital expenditures were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99"/>
              </w:rPr>
              <w:t>Fiscal 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4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9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37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420"/>
              <w:spacing w:after="0"/>
              <w:rPr>
                <w:sz w:val="20"/>
                <w:szCs w:val="20"/>
                <w:color w:val="auto"/>
              </w:rPr>
            </w:pPr>
            <w:r>
              <w:rPr>
                <w:rFonts w:ascii="Arial" w:cs="Arial" w:eastAsia="Arial" w:hAnsi="Arial"/>
                <w:sz w:val="18"/>
                <w:szCs w:val="18"/>
                <w:color w:val="auto"/>
              </w:rPr>
              <w:t>Higher education</w:t>
            </w:r>
          </w:p>
        </w:tc>
        <w:tc>
          <w:tcPr>
            <w:tcW w:w="3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66,808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Test preparation</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tcPr>
          <w:p>
            <w:pPr>
              <w:ind w:left="420"/>
              <w:spacing w:after="0"/>
              <w:rPr>
                <w:sz w:val="20"/>
                <w:szCs w:val="20"/>
                <w:color w:val="auto"/>
              </w:rPr>
            </w:pPr>
            <w:r>
              <w:rPr>
                <w:rFonts w:ascii="Arial" w:cs="Arial" w:eastAsia="Arial" w:hAnsi="Arial"/>
                <w:sz w:val="18"/>
                <w:szCs w:val="18"/>
                <w:color w:val="auto"/>
              </w:rPr>
              <w:t>Kaplan international</w:t>
            </w:r>
          </w:p>
        </w:tc>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Kaplan ventures</w:t>
            </w:r>
          </w:p>
        </w:tc>
        <w:tc>
          <w:tcPr>
            <w:tcW w:w="3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2"/>
          </w:tcPr>
          <w:p>
            <w:pPr>
              <w:ind w:left="420"/>
              <w:spacing w:after="0"/>
              <w:rPr>
                <w:sz w:val="20"/>
                <w:szCs w:val="20"/>
                <w:color w:val="auto"/>
              </w:rPr>
            </w:pPr>
            <w:r>
              <w:rPr>
                <w:rFonts w:ascii="Arial" w:cs="Arial" w:eastAsia="Arial" w:hAnsi="Arial"/>
                <w:sz w:val="18"/>
                <w:szCs w:val="18"/>
                <w:color w:val="auto"/>
              </w:rPr>
              <w:t>Kaplan corporate and other</w:t>
            </w:r>
          </w:p>
        </w:tc>
        <w:tc>
          <w:tcPr>
            <w:tcW w:w="3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106,337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99,291</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780" w:type="dxa"/>
            <w:vAlign w:val="bottom"/>
          </w:tcPr>
          <w:p>
            <w:pPr>
              <w:jc w:val="right"/>
              <w:ind w:right="2572"/>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Net income available for common stock for the first quarter of 2010 was $45.4 million ($4.91 per share), compared to a net loss available for common stock of $19.2 million ($2.04 loss per share) in the first quarter of last year.</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Results for the first quarter of 2009 included $13.4 million in accelerated depreciation at The Washington Post (after-tax impact of $8.3 million, or $0.89 per share); $16.9 million in restructuring charges related to Kaplan’s Score and Test Preparation operations (after-tax impact of $10.5 million, or $1.12 per share); and $6.6 million in early retirement program expense at Newsweek (after-tax impact of $4.1 million, or $0.44 per share).</w:t>
      </w:r>
    </w:p>
    <w:p>
      <w:pPr>
        <w:spacing w:after="0" w:line="10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for the first quarter of 2010 was $1,171.2 million, up 11% from $1,054.1 million in 2009. The increase is due to revenue growth at the education, television broadcasting and cable television divisions, offset by revenue declines at the magazine publishing and newspaper publishing divisions. The Company reported operating income of $92.5 million in the first quarter of 2010, compared to an operating loss of $19.6 million in 2009. Operating results improved at all of the Company’s divisions for the quarter.</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Company’s operating income for the first quarter of 2010 includes $0.4 million of net pension credits, compared to $1.3 million, excluding early retirement programs, in the first quarter of 2009.</w:t>
      </w:r>
    </w:p>
    <w:p>
      <w:pPr>
        <w:spacing w:after="0" w:line="126"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Education Division</w:t>
      </w:r>
      <w:r>
        <w:rPr>
          <w:rFonts w:ascii="Arial" w:cs="Arial" w:eastAsia="Arial" w:hAnsi="Arial"/>
          <w:sz w:val="16"/>
          <w:szCs w:val="16"/>
          <w:color w:val="auto"/>
        </w:rPr>
        <w:t>. Education division revenue totaled $711.4 million for the first quarter of 2010, a 20% increase over revenue of $593.5 million for the first</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of 2009. Kaplan reported first quarter 2010 operating income of $57.9 million, up from $11.2 million in the first quarter of 2009.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first quarter operating results compared to 2009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First Quarter</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4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442,584</w:t>
            </w:r>
          </w:p>
        </w:tc>
        <w:tc>
          <w:tcPr>
            <w:tcW w:w="2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333,535</w:t>
            </w: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Test preparation, excluding Score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102,419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108,811</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Score</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4,773</w:t>
            </w:r>
          </w:p>
        </w:tc>
        <w:tc>
          <w:tcPr>
            <w:tcW w:w="5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international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133,985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117,916</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Kaplan ventures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34,732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31,017</w:t>
            </w:r>
          </w:p>
        </w:tc>
        <w:tc>
          <w:tcPr>
            <w:tcW w:w="5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(3,629)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(3,132)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711,382</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593,530</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Higher education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85,893</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Test preparation, excluding Score</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(6,801)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4,923</w:t>
            </w:r>
          </w:p>
        </w:tc>
        <w:tc>
          <w:tcPr>
            <w:tcW w:w="5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Score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(17,636)</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Kaplan international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6,773</w:t>
            </w:r>
          </w:p>
        </w:tc>
        <w:tc>
          <w:tcPr>
            <w:tcW w:w="5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ventures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Kaplan corporate</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(13,190)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(10,460)</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Kaplan stock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(1,761)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440" w:type="dxa"/>
            <w:vAlign w:val="bottom"/>
            <w:gridSpan w:val="3"/>
          </w:tcPr>
          <w:p>
            <w:pPr>
              <w:ind w:left="4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(5,276)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(5,541)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4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Intersegment elimination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57,948</w:t>
            </w:r>
          </w:p>
        </w:tc>
        <w:tc>
          <w:tcPr>
            <w:tcW w:w="2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11,162</w:t>
            </w:r>
          </w:p>
        </w:tc>
        <w:tc>
          <w:tcPr>
            <w:tcW w:w="5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the first quarter of 2010, Kaplan made several minor changes to its operating and reporting structure: Kaplan Compliance Solutions was moved from Kaplan Ventures to Test Preparation; Kaplan Continuing Education was moved from Test Preparation to Kaplan Ventures; and Colloquy (a business that provides online services to nonprofit higher education institutions) was moved from Kaplan Higher Education to Kaplan Ventures. The division results presented above reflect these changes.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Kaplan Higher Education (KHE) includes Kaplan’s domestic post-secondary education businesses, made up of fixed-facility colleges and online post-secondary and career programs. Higher education revenue and operating income grew significantly in the first quarter of 2010 due to strong enrollment growth and improved margins. Student starts increased in the first quarter of 2010 compared to the prior year, particularly at Kaplan University; however, the percentage growth rate was lower than in the first quarter of 2009. A summary of KHE student enrollment for the first quarter of 2010 as compared to 2009 is as follows:</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0" w:type="dxa"/>
            <w:vAlign w:val="bottom"/>
            <w:gridSpan w:val="3"/>
          </w:tcPr>
          <w:p>
            <w:pPr>
              <w:jc w:val="center"/>
              <w:ind w:right="1540"/>
              <w:spacing w:after="0"/>
              <w:rPr>
                <w:sz w:val="20"/>
                <w:szCs w:val="20"/>
                <w:color w:val="auto"/>
              </w:rPr>
            </w:pPr>
            <w:r>
              <w:rPr>
                <w:rFonts w:ascii="Arial" w:cs="Arial" w:eastAsia="Arial" w:hAnsi="Arial"/>
                <w:sz w:val="14"/>
                <w:szCs w:val="14"/>
                <w:b w:val="1"/>
                <w:bCs w:val="1"/>
                <w:color w:val="auto"/>
                <w:w w:val="85"/>
              </w:rPr>
              <w:t>As of</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6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March 31, 2009</w:t>
            </w:r>
          </w:p>
        </w:tc>
        <w:tc>
          <w:tcPr>
            <w:tcW w:w="64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KHE Student Enrollment</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students</w:t>
            </w:r>
          </w:p>
        </w:tc>
        <w:tc>
          <w:tcPr>
            <w:tcW w:w="40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University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70,514</w:t>
            </w:r>
          </w:p>
        </w:tc>
        <w:tc>
          <w:tcPr>
            <w:tcW w:w="22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51,735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5860" w:type="dxa"/>
            <w:vAlign w:val="bottom"/>
            <w:gridSpan w:val="2"/>
          </w:tcPr>
          <w:p>
            <w:pPr>
              <w:ind w:left="440"/>
              <w:spacing w:after="0"/>
              <w:rPr>
                <w:sz w:val="20"/>
                <w:szCs w:val="20"/>
                <w:color w:val="auto"/>
              </w:rPr>
            </w:pPr>
            <w:r>
              <w:rPr>
                <w:rFonts w:ascii="Arial" w:cs="Arial" w:eastAsia="Arial" w:hAnsi="Arial"/>
                <w:sz w:val="18"/>
                <w:szCs w:val="18"/>
                <w:color w:val="auto"/>
              </w:rPr>
              <w:t>Kaplan Higher Education Campuses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48,779</w:t>
            </w:r>
          </w:p>
        </w:tc>
        <w:tc>
          <w:tcPr>
            <w:tcW w:w="6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43,854</w:t>
            </w:r>
          </w:p>
        </w:tc>
        <w:tc>
          <w:tcPr>
            <w:tcW w:w="6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119,293</w:t>
            </w:r>
          </w:p>
        </w:tc>
        <w:tc>
          <w:tcPr>
            <w:tcW w:w="6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95,589</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7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For the Quarter Ended</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March 31, 2010</w:t>
            </w:r>
          </w:p>
        </w:tc>
        <w:tc>
          <w:tcPr>
            <w:tcW w:w="6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March 31, 2009</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student starts</w:t>
            </w: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440"/>
              <w:spacing w:after="0"/>
              <w:rPr>
                <w:sz w:val="20"/>
                <w:szCs w:val="20"/>
                <w:color w:val="auto"/>
              </w:rPr>
            </w:pPr>
            <w:r>
              <w:rPr>
                <w:rFonts w:ascii="Arial" w:cs="Arial" w:eastAsia="Arial" w:hAnsi="Arial"/>
                <w:sz w:val="18"/>
                <w:szCs w:val="18"/>
                <w:color w:val="auto"/>
              </w:rPr>
              <w:t>Kaplan University</w:t>
            </w:r>
          </w:p>
        </w:tc>
        <w:tc>
          <w:tcPr>
            <w:tcW w:w="900" w:type="dxa"/>
            <w:vAlign w:val="bottom"/>
          </w:tcPr>
          <w:p>
            <w:pPr>
              <w:jc w:val="right"/>
              <w:spacing w:after="0"/>
              <w:rPr>
                <w:sz w:val="20"/>
                <w:szCs w:val="20"/>
                <w:color w:val="auto"/>
              </w:rPr>
            </w:pPr>
            <w:r>
              <w:rPr>
                <w:rFonts w:ascii="Arial" w:cs="Arial" w:eastAsia="Arial" w:hAnsi="Arial"/>
                <w:sz w:val="18"/>
                <w:szCs w:val="18"/>
                <w:color w:val="auto"/>
              </w:rPr>
              <w:t>25,169</w:t>
            </w:r>
          </w:p>
        </w:tc>
        <w:tc>
          <w:tcPr>
            <w:tcW w:w="2200" w:type="dxa"/>
            <w:vAlign w:val="bottom"/>
            <w:gridSpan w:val="3"/>
          </w:tcPr>
          <w:p>
            <w:pPr>
              <w:jc w:val="right"/>
              <w:ind w:right="640"/>
              <w:spacing w:after="0"/>
              <w:rPr>
                <w:sz w:val="20"/>
                <w:szCs w:val="20"/>
                <w:color w:val="auto"/>
              </w:rPr>
            </w:pPr>
            <w:r>
              <w:rPr>
                <w:rFonts w:ascii="Arial" w:cs="Arial" w:eastAsia="Arial" w:hAnsi="Arial"/>
                <w:sz w:val="18"/>
                <w:szCs w:val="18"/>
                <w:color w:val="auto"/>
              </w:rPr>
              <w:t>21,135</w:t>
            </w: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Kaplan Higher Education Campuses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15,346</w:t>
            </w:r>
          </w:p>
        </w:tc>
        <w:tc>
          <w:tcPr>
            <w:tcW w:w="6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14,607</w:t>
            </w: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40,515</w:t>
            </w:r>
          </w:p>
        </w:tc>
        <w:tc>
          <w:tcPr>
            <w:tcW w:w="2200" w:type="dxa"/>
            <w:vAlign w:val="bottom"/>
            <w:gridSpan w:val="3"/>
          </w:tcPr>
          <w:p>
            <w:pPr>
              <w:jc w:val="right"/>
              <w:ind w:right="640"/>
              <w:spacing w:after="0"/>
              <w:rPr>
                <w:sz w:val="20"/>
                <w:szCs w:val="20"/>
                <w:color w:val="auto"/>
              </w:rPr>
            </w:pPr>
            <w:r>
              <w:rPr>
                <w:rFonts w:ascii="Arial" w:cs="Arial" w:eastAsia="Arial" w:hAnsi="Arial"/>
                <w:sz w:val="18"/>
                <w:szCs w:val="18"/>
                <w:color w:val="auto"/>
              </w:rPr>
              <w:t>35,742</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Kaplan University and Kaplan Higher Education Campuses enrollment at March 31, 2010, and March 31, 2009, by degree and certificate programs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5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As of March 31,</w:t>
            </w:r>
          </w:p>
        </w:tc>
      </w:tr>
      <w:tr>
        <w:trPr>
          <w:trHeight w:val="142"/>
        </w:trPr>
        <w:tc>
          <w:tcPr>
            <w:tcW w:w="71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6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2"/>
                <w:szCs w:val="12"/>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Certificate</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26.2%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30.7%</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Associate’s</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34.1%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31.6%</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Bachelor’s</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33.5%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33.1%</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Master’s</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6.2%</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7"/>
        </w:trPr>
        <w:tc>
          <w:tcPr>
            <w:tcW w:w="7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100%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U.S. Department of Education is expected to issue proposed regulations in the second quarter of 2010 that could amend or add to existing Title IV regulations. The proposed regulations may include revised standards governing the payment of incentive compensation to admissions and financial aid advisors; a new definition of “gainful employment” that is based on student tuition and debt levels and other factors; and other changes to Title IV eligibility requirements for institutions, programs and students. The changes ultimately made to the Title IV regulations could adversely affect, among other things, Kaplan’s ability to retain admissions and financial aid advisors and the ability of Kaplan Higher Education division’s programs and students to qualify for Title IV financial assistance, and could otherwise have a material adverse effect on Kaplan’s operating results. The Department of Education has stated its intent to publish any new final regulations by November 1, 2010, which is the deadline for the regulations to take effect by July 1, 2011.</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Test preparation includes Kaplan’s standardized test preparation and tutoring offerings, as well as the professional domestic training business, K12 and other businesses. In the first quarter of 2010, the Company discontinued certain offerings of the K12 business; $4.6 million in severance and other closure costs were recorded in the first quarter of 2010 in connection with this plan. Test preparation revenue declined 6% in the first quarter of 2010 due mostly to the discontinuance of certain K12 offerings. Test preparation operating results were also down in the first quarter of 2010 due to K12, reduced prices at the traditional test preparation programs, and higher spending to expand online offerings and innovate various programs. The declines were offset by improved results at test preparation’s professional domestic training businesses due to expense reductions; total restructuring-related expenses of $5.4 million were recorded in the first quarter of 2009 related to lease termination, accelerated depreciation of fixed assets and severance costs.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the end of March 2009, the Company approved a plan to offer tutoring services, previously provided at Score, in Kaplan test preparation centers. The plan was substantially completed by the end of the second quarter of 2009; 14 existing Score centers were converted into Kaplan test preparation centers, and the remaining 64 Score centers were closed. In the first quarter of 2009, the Company recorded $11.5 million in asset write-downs, severance and accelerated depreciation of fixed assets, including a $9.2 million write-down on Score’s software product.</w:t>
      </w:r>
    </w:p>
    <w:p>
      <w:pPr>
        <w:spacing w:after="0" w:line="1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Kaplan International includes professional training and post-secondary education businesses outside the United States, as well as English-language programs. Kaplan International revenue increased 14% in 2010. The increase for 2010 is primarily the result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favorable exchange rates in the U.K., Europe, Australia and Asia, as well as strong enrollment growth in the University pathways business. Kaplan International operating income was down in 2010 largely due to higher expenditures for business development incurred at Kaplan Australia.</w:t>
      </w:r>
    </w:p>
    <w:p>
      <w:pPr>
        <w:spacing w:after="0" w:line="8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Kaplan Ventures is made up of a number of businesses in various stages of development that are managed separately from the other education businesses. Kaplan Ventures includes Kaplan EduNeering, Kaplan Continuing Education, Education Connection, Kaplan Virtual Education, Kidum, Kaplan IT Learning and other smaller businesses. Revenues at Kaplan Ventures increased 12% in the first quarter of 2010. Kaplan Ventures reported operating losses of $6.7 million in the first quarter of 2010, compared to operating losses of $2.1 million in 2009, due largely to increased losses at Kaplan Virtual Education, a developing group of online high school institutions. In April 2010, Kaplan sold Education Connection; the gain on sale was not significant.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and other minor shared activities.</w:t>
      </w:r>
    </w:p>
    <w:p>
      <w:pPr>
        <w:spacing w:after="0" w:line="17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Stock compensation charges relate to incentive compensation arising from equity awards under the Kaplan stock option plan, which was established for certain members of Kaplan’s management. Kaplan recorded stock compensation expense of $0.5 million in the first quarter of 2010, compared to stock compensation expense of $1.8 million in the first quarter of 2009.</w:t>
      </w:r>
    </w:p>
    <w:p>
      <w:pPr>
        <w:spacing w:after="0" w:line="134"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Cable Television Division. </w:t>
      </w:r>
      <w:r>
        <w:rPr>
          <w:rFonts w:ascii="Arial" w:cs="Arial" w:eastAsia="Arial" w:hAnsi="Arial"/>
          <w:sz w:val="16"/>
          <w:szCs w:val="16"/>
          <w:color w:val="auto"/>
        </w:rPr>
        <w:t>Cable television division revenue of $189.4 million for the first quarter of 2010 represents a 3% increase from $183.5 million in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quarter of 2009. The 2010 revenue increase is due to continued growth in the division’s cable modem and telephone revenues and a $4 monthly rate increase for most basic subscribers in June 2009. Cable television division operating income increased 1% to $42.5 million, from $42.0 million in the first quarter of 2009. The increase in operating income is due to the division’s revenue growth, offset by increased programming, technical and sales costs.</w:t>
      </w:r>
    </w:p>
    <w:p>
      <w:pPr>
        <w:spacing w:after="0" w:line="109"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At March 31, 2010, Revenue Generating Units (RGUs) were down 1% from the prior year due to a reduction in basic and digital subscribers, offset by growth in high-speed data and telephony subscribers. RGUs include about 6,300 subscribers who receive free basic cable service, primarily local governments, schools and other organizations as required by the various franchise agreements. A summary of RGUs is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w w:val="89"/>
              </w:rPr>
              <w:t>Cable Television Division Subscribers</w:t>
            </w:r>
          </w:p>
        </w:tc>
        <w:tc>
          <w:tcPr>
            <w:tcW w:w="498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2010</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2009</w:t>
            </w: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40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667,314</w:t>
            </w:r>
          </w:p>
        </w:tc>
        <w:tc>
          <w:tcPr>
            <w:tcW w:w="5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705,391</w:t>
            </w: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Digital</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219,699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230,381</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High-speed data</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405,311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386,101</w:t>
            </w: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Telephony</w:t>
            </w:r>
          </w:p>
        </w:tc>
        <w:tc>
          <w:tcPr>
            <w:tcW w:w="40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113,826</w:t>
            </w:r>
          </w:p>
        </w:tc>
        <w:tc>
          <w:tcPr>
            <w:tcW w:w="5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98,065</w:t>
            </w: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1,406,150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1,419,938</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Below are details of Cable division capital expenditures for the first quarter of 2010 and 2009, as defined by the NCTA Standard Reporting Categories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4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6"/>
              </w:rPr>
              <w:t>2009</w:t>
            </w: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Customer Premise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Scaleable Infrastructure</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Line Extensions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Upgrade/Rebuild</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Support Capital</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744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15.0</w:t>
            </w:r>
          </w:p>
        </w:tc>
        <w:tc>
          <w:tcPr>
            <w:tcW w:w="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23.4</w:t>
            </w:r>
          </w:p>
        </w:tc>
      </w:tr>
      <w:tr>
        <w:trPr>
          <w:trHeight w:val="20"/>
        </w:trPr>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totaled $155.8 million for the first quarter of 2010, a 3% decline from revenue of</w:t>
      </w:r>
      <w:r>
        <w:rPr>
          <w:rFonts w:ascii="Arial" w:cs="Arial" w:eastAsia="Arial" w:hAnsi="Arial"/>
          <w:sz w:val="16"/>
          <w:szCs w:val="16"/>
          <w:b w:val="1"/>
          <w:bCs w:val="1"/>
          <w:color w:val="auto"/>
        </w:rPr>
        <w:t xml:space="preserve"> </w:t>
      </w:r>
      <w:r>
        <w:rPr>
          <w:rFonts w:ascii="Arial" w:cs="Arial" w:eastAsia="Arial" w:hAnsi="Arial"/>
          <w:sz w:val="16"/>
          <w:szCs w:val="16"/>
          <w:color w:val="auto"/>
        </w:rPr>
        <w:t>$160.9 million for the first quarter of 2009. Print advertising revenue at The Washington Post decreased 8% to $68.7 million, from $74.3 million in 2009. The decline is largely due to reductions in general and retail advertising. Revenue generated by the Company’s newspaper online publishing activities, primarily washingtonpost.com and Slate, increased 8% to $23.7 million for the first quarter of 2010, versus $22.0 million for the first quarter of 2009. Display online advertising revenue grew 17%, and online classified advertising revenue on washingtonpost.com declined 13%.</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the first quarter of 2010, Post daily circulation decreased 12.5% and Post Sunday circulation decreased 10.4%, compared to the first quarter of 2009. A portion of this decline relates to increased circulation volumes in the first quarter of 2009 due to the Presidential Inauguration. Average daily circulation in the first quarter of 2010 totaled 562,000, and average Sunday circulation totaled 780,000.</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newspaper division reported an operating loss of $13.8 million in the first quarter of 2010, compared to an operating loss of $53.8 million in the first quarter of 2009. The Post closed its College Park, MD, printing plant in July 2009 and consolidated its printing operations in Springfield, VA. The Post also completed the consolidation of certain other operations in Washington, DC, in the first quarter of 2010. In connection with these activities, $13.4 million in accelerated depreciation was recorded by the Company in the first quarter of 2009, and a $3.1 million loss on an office lease was recorded by the Company in the first quarter of 2010. Excluding accelerated depreciation and lease losses, operating results improved in the first quarter of 2010 due to expense reductions in payroll, newsprint, bad debt and agency fees, and expense reductions at washingtonpost.com. Newsprint expense was down 33% in the first quarter of 2010 due to a decline in newsprint consumption and prices.</w:t>
      </w:r>
    </w:p>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Television Broadcasting Division. </w:t>
      </w:r>
      <w:r>
        <w:rPr>
          <w:rFonts w:ascii="Arial" w:cs="Arial" w:eastAsia="Arial" w:hAnsi="Arial"/>
          <w:sz w:val="18"/>
          <w:szCs w:val="18"/>
          <w:color w:val="auto"/>
        </w:rPr>
        <w:t>Revenue for the broadcast division increased 20% in the first quarter of 2010 to $73.5 million, from $61.2 million in 2009;</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for the first quarter of 2010 increased 72% to $20.9 million, from $12.1 million in 2009. The increase in revenue and operating income is due to improved advertising demand in all markets, including $5.1 million in incremental winter Olympics-related advertising at the Company’s NBC affiliates and a $1.3 million increase in political advertising revenue.</w:t>
      </w:r>
    </w:p>
    <w:p>
      <w:pPr>
        <w:spacing w:after="0" w:line="136"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$29.4 million for the first quarter of 2010, a 36% decrease from $46.1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for the first quarter of 2009. The decline is due primarily to a 38% reduction in advertising revenue at Newsweek from fewer ad pages at the domestic and international editions, one less issue of the domestic edition in the first quarter of 2010 versus 2009, and the December 2009 sale of Newsweek Budget Travel. In February 2009, Newsweek announced a circulation rate base reduction at its domestic edition, from 2.6 million to 1.5 million by January 2010. Subscription revenue also declined at the domestic edition in the first quarter of 2010 due to the rate base reduction.</w:t>
      </w:r>
    </w:p>
    <w:p>
      <w:pPr>
        <w:spacing w:after="0" w:line="11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December 2009, Newsweek sold Newsweek Budget Travel magazine. Budget Travel revenues and operating losses for the first quarter of 2009 were $3.4 million and $3.0 million, respectively. Early retirement program expense of $6.6 million was recorded in the first quarter of 2009 in connection with a Voluntary Retirement Incentive Program accepted by 44 employees, funded mostly from the assets of the Company’s pension plans.</w:t>
      </w:r>
    </w:p>
    <w:p>
      <w:pPr>
        <w:spacing w:after="0" w:line="10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division reported an operating loss of $2.3 million in the first quarter of 2010, compared to an operating loss of $20.3 million in the first quarter of 2009. These operating loss amounts include a net pension credit of $8.3 million and $1.6 million for the first quarter of 2010 and 2009, respectively. Excluding first quarter 2009 early retirement program expense and operating losses at Budget Travel, the division’s operating loss declined in the first quarter of 2010 due to a reduction in manufacturing, editorial, subscription, distribution and other expenses.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As previously announced, the Company has retained Allen &amp; Company to explore the possible sale of Newsweek.</w:t>
      </w:r>
    </w:p>
    <w:p>
      <w:pPr>
        <w:spacing w:after="0" w:line="165"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 xml:space="preserve">Other Businesses and Corporate Office. </w:t>
      </w:r>
      <w:r>
        <w:rPr>
          <w:rFonts w:ascii="Arial" w:cs="Arial" w:eastAsia="Arial" w:hAnsi="Arial"/>
          <w:sz w:val="18"/>
          <w:szCs w:val="18"/>
          <w:color w:val="auto"/>
        </w:rPr>
        <w:t>Other businesses and corporate office included the expenses of the Company’s corporate office and the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Avenue100 Media Solutions.</w:t>
      </w:r>
    </w:p>
    <w:p>
      <w:pPr>
        <w:spacing w:after="0" w:line="120"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Equity in Losses of Affiliates. </w:t>
      </w:r>
      <w:r>
        <w:rPr>
          <w:rFonts w:ascii="Arial" w:cs="Arial" w:eastAsia="Arial" w:hAnsi="Arial"/>
          <w:sz w:val="16"/>
          <w:szCs w:val="16"/>
          <w:color w:val="auto"/>
        </w:rPr>
        <w:t>The Company’s equity in losses of affiliates for the first quarter of 2010 was $8.1 million due to significant losses incurred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Bowater Mersey Paper Company affiliate. The Company’s equity in losses of affiliates for the first quarter of 2009 was $0.8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 holds a 49% interest in Bowater Mersey Paper Company and interests in several other affiliates.</w:t>
      </w:r>
    </w:p>
    <w:p>
      <w:pPr>
        <w:spacing w:after="0" w:line="165"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Other Non-Operating Income (Expense). </w:t>
      </w:r>
      <w:r>
        <w:rPr>
          <w:rFonts w:ascii="Arial" w:cs="Arial" w:eastAsia="Arial" w:hAnsi="Arial"/>
          <w:sz w:val="18"/>
          <w:szCs w:val="18"/>
          <w:color w:val="auto"/>
        </w:rPr>
        <w:t>The Company recorded other non-operating expense, net, of $3.3 million for the first quarter of 2010,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other non-operating expense, net, of $4.0 million for the first quarter of 2009. The 2010 non-operating expense, net, included $3.3 million in unrealized foreign currency losses; the 2009 non-operating expense, net, included $2.9 million in impairment write-downs on cost method investments and $1.4 million in unrealized foreign currency losses.</w:t>
      </w:r>
    </w:p>
    <w:p>
      <w:pPr>
        <w:spacing w:after="0" w:line="136"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Net Interest Expense. </w:t>
      </w:r>
      <w:r>
        <w:rPr>
          <w:rFonts w:ascii="Arial" w:cs="Arial" w:eastAsia="Arial" w:hAnsi="Arial"/>
          <w:sz w:val="18"/>
          <w:szCs w:val="18"/>
          <w:color w:val="auto"/>
        </w:rPr>
        <w:t>The Company incurred net interest expense of $7.3 million for the first quarter of 2010, compared to $7.1 million for the first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2009. At April 4, 2010, the Company had $399.4 million in borrowings outstanding, at an average interest rate of 7.2%.</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Provision for Income Taxes. </w:t>
      </w:r>
      <w:r>
        <w:rPr>
          <w:rFonts w:ascii="Arial" w:cs="Arial" w:eastAsia="Arial" w:hAnsi="Arial"/>
          <w:sz w:val="18"/>
          <w:szCs w:val="18"/>
          <w:color w:val="auto"/>
        </w:rPr>
        <w:t>The effective tax rate for the first quarter of 2010 was 37.9%, compared to 38.1% for the first quarter of 2009.</w:t>
      </w:r>
    </w:p>
    <w:p>
      <w:pPr>
        <w:spacing w:after="0" w:line="171"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b w:val="1"/>
          <w:bCs w:val="1"/>
          <w:color w:val="auto"/>
        </w:rPr>
        <w:t xml:space="preserve">Earnings (Loss) Per Share. </w:t>
      </w:r>
      <w:r>
        <w:rPr>
          <w:rFonts w:ascii="Arial" w:cs="Arial" w:eastAsia="Arial" w:hAnsi="Arial"/>
          <w:sz w:val="18"/>
          <w:szCs w:val="18"/>
          <w:color w:val="auto"/>
        </w:rPr>
        <w:t>The calculation of diluted earnings per share for the first quarter of 2010 was based on 9,240,951 weighted average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compared to 9,339,065 for the first quarter of 2009. In the first quarter of 2010, the Company repurchased 64,305 shares of its Class B common stock at a cost of $27.8 million.</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84"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Acquisitions and Dispositions. </w:t>
      </w:r>
      <w:r>
        <w:rPr>
          <w:rFonts w:ascii="Arial" w:cs="Arial" w:eastAsia="Arial" w:hAnsi="Arial"/>
          <w:sz w:val="18"/>
          <w:szCs w:val="18"/>
          <w:color w:val="auto"/>
        </w:rPr>
        <w:t>In the first quarter of 2010, Kaplan made one small acquisition in its Kaplan Ventures division. The Company did not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during the first quarter of 2009.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In April 2010, Kaplan sold Education Connection, which was part of the Kaplan Ventures division; the gain on sale was not significant.</w:t>
      </w:r>
    </w:p>
    <w:p>
      <w:pPr>
        <w:spacing w:after="0" w:line="16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 xml:space="preserve">Capital expenditures. </w:t>
      </w:r>
      <w:r>
        <w:rPr>
          <w:rFonts w:ascii="Arial" w:cs="Arial" w:eastAsia="Arial" w:hAnsi="Arial"/>
          <w:sz w:val="18"/>
          <w:szCs w:val="18"/>
          <w:color w:val="auto"/>
        </w:rPr>
        <w:t>During the first three months of 2010, the Company’s capital expenditures totaled $35.0 million. The Company estimates that its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expenditures will be in the range of $270 million to $300 million in 2010.</w:t>
      </w:r>
    </w:p>
    <w:p>
      <w:pPr>
        <w:spacing w:after="0" w:line="12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The Company’s borrowings have increased by $0.1 million, to $399.4 million at April 4, 2010, as compared to borrowings of $399.3 million at</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3, 2010</w:t>
      </w:r>
      <w:r>
        <w:rPr>
          <w:rFonts w:ascii="Arial" w:cs="Arial" w:eastAsia="Arial" w:hAnsi="Arial"/>
          <w:sz w:val="18"/>
          <w:szCs w:val="18"/>
          <w:i w:val="1"/>
          <w:iCs w:val="1"/>
          <w:color w:val="auto"/>
        </w:rPr>
        <w:t>.</w:t>
      </w:r>
      <w:r>
        <w:rPr>
          <w:rFonts w:ascii="Arial" w:cs="Arial" w:eastAsia="Arial" w:hAnsi="Arial"/>
          <w:sz w:val="18"/>
          <w:szCs w:val="18"/>
          <w:color w:val="auto"/>
        </w:rPr>
        <w:t xml:space="preserve"> At April 4, 2010, the Company has $575.3 million in cash and cash equivalents, compared to $477.7 million at January 3, 2010. The Company had money market investments of $419.4 million and $327.8 million that are classified as cash and cash equivalents in the Company’s consolidated Balance Sheet as of April 4, 2010 and January 3, 2010, respectively.</w:t>
      </w:r>
    </w:p>
    <w:p>
      <w:pPr>
        <w:spacing w:after="0" w:line="14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Company’s total debt outstanding of $399.4 million at April 4, 2010 included $396.3 million of 7.25% unsecured notes due February 1, 2019 and $3.1 million in other debt.</w:t>
      </w:r>
    </w:p>
    <w:p>
      <w:pPr>
        <w:spacing w:after="0" w:line="132"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Company has a $500 million revolving credit facility that expires in August 2011, which supports the issuance of the Company’s short-term commercial paper and provides for general corporate purposes. The Company did not issue any commercial paper in the first quarter of 2010.</w:t>
      </w:r>
    </w:p>
    <w:p>
      <w:pPr>
        <w:spacing w:after="0" w:line="8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During the first quarter of 2010 and 2009, the Company had average borrowings outstanding of approximately $399.3 million and $488.5 million, respectively, at average annual interest rates of approximately 7.2% and 6.4%, respectively. During the first quarter of 2010 and 2009, the Company incurred net interest expense of $7.3 million and $7.1 million, respectively.</w:t>
      </w:r>
    </w:p>
    <w:p>
      <w:pPr>
        <w:spacing w:after="0" w:line="14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At April 4, 2010 and January 3, 2010, the Company had working capital of $483.3 million and $398.5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In management’s opinion, the Company will have ample liquidity to meet its various cash needs throughout 2010.</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January 3, 2010.</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8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Goodwill and Other Intangible Assets. </w:t>
      </w:r>
      <w:r>
        <w:rPr>
          <w:rFonts w:ascii="Arial" w:cs="Arial" w:eastAsia="Arial" w:hAnsi="Arial"/>
          <w:sz w:val="16"/>
          <w:szCs w:val="16"/>
          <w:color w:val="auto"/>
        </w:rPr>
        <w:t>The Company reviews its indefinite-lived intangible assets annually, as of November 30, for possible impairment or</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annual tests if an event occurred or circumstances changed that would more likely than not reduce the fair value of the reporting unit below its carrying value. The Company uses a discounted cash flow model and in certain cases, a market value approach is also utilized to supplement the discounted cash flow model, to determine the estimated fair value of the indefinite-lived intangible assets. The Company makes estimates and assumptions regarding future cash flows, discount rates, long-term growth rates and other market values to determine the estimated fair value of the indefinite-lived intangible assets.</w:t>
      </w:r>
    </w:p>
    <w:p>
      <w:pPr>
        <w:spacing w:after="0" w:line="11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Company’s intangible assets with an indefinite life are principally from franchise agreements at its cable television division. These franchise agreements result from agreements the Company has with state and local governments that allow the Company to contract and operate a cable business within a specified geographic area. The Company expects its cable franchise agreements to provide the Company with substantial benefit for a period that extends beyond the foreseeable horizon, and the Company’s cable television division historically has obtained renewals and extensions of such agreements for nominal costs and without material modifications to the agreements. The franchise agreements represent 93% of the $531.4 million of indefinite-lived intangible assets of the Company as of April 4, 2010. The Company grouped the recorded values of its various cable franchise agreements into regional cable television systems or units of account.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key assumptions used by the Company to determine the fair value of its franchise agreements as of November 30, 2009, the date of its last annual impairment review, were as follows:</w:t>
      </w:r>
    </w:p>
    <w:p>
      <w:pPr>
        <w:spacing w:after="0" w:line="51" w:lineRule="exact"/>
        <w:rPr>
          <w:sz w:val="20"/>
          <w:szCs w:val="20"/>
          <w:color w:val="auto"/>
        </w:rPr>
      </w:pPr>
    </w:p>
    <w:p>
      <w:pPr>
        <w:ind w:left="900" w:right="2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Expected cash flows underlying the Company’s business plans for the periods 2010 through 2019, assuming the only assets the unbuilt start-up cable television systems possess are the various franchise agreements. The expected cash flows took into account the estimated initial capital investment in the system region’s physical plant and related start-up costs, revenues, operating margins and growth rates. These cash flows and growth rates were based on forecasts and long-term business plans and take into account numerous factors including historical experience, anticipated economic conditions, changes in the cable television systems’ cost structures, homes in each region’s service area, number of subscribers based on penetration of homes passed by the systems, and expected revenues per subscriber.</w:t>
      </w:r>
    </w:p>
    <w:p>
      <w:pPr>
        <w:spacing w:after="0" w:line="39"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flows beyond 2019 were projected to grow at a long-term growth rate, which the Company estimated by considering historical market growth trends, anticipated cable television system performance, and expected market conditions.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used a discount rate of 8.3% to risk adjust the cash flow projections in determining the estimated fair value.</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estimated fair value of the Company’s franchise agreements exceeded their respective carrying values by a margin in excess of 50%. There is always a possibility that impairment charges could occur in the future given changes in the cable television market and U.S. economic environment, as well as the inherent variability in projecting future operating performance.</w:t>
      </w:r>
    </w:p>
    <w:p>
      <w:pPr>
        <w:spacing w:after="0" w:line="134" w:lineRule="exact"/>
        <w:rPr>
          <w:sz w:val="20"/>
          <w:szCs w:val="20"/>
          <w:color w:val="auto"/>
        </w:rPr>
      </w:pPr>
    </w:p>
    <w:p>
      <w:pPr>
        <w:ind w:right="100"/>
        <w:spacing w:after="0" w:line="320" w:lineRule="auto"/>
        <w:rPr>
          <w:sz w:val="20"/>
          <w:szCs w:val="20"/>
          <w:color w:val="auto"/>
        </w:rPr>
      </w:pPr>
      <w:r>
        <w:rPr>
          <w:rFonts w:ascii="Arial" w:cs="Arial" w:eastAsia="Arial" w:hAnsi="Arial"/>
          <w:sz w:val="15"/>
          <w:szCs w:val="15"/>
          <w:b w:val="1"/>
          <w:bCs w:val="1"/>
          <w:color w:val="auto"/>
        </w:rPr>
        <w:t xml:space="preserve">Pension Costs. </w:t>
      </w:r>
      <w:r>
        <w:rPr>
          <w:rFonts w:ascii="Arial" w:cs="Arial" w:eastAsia="Arial" w:hAnsi="Arial"/>
          <w:sz w:val="15"/>
          <w:szCs w:val="15"/>
          <w:color w:val="auto"/>
        </w:rPr>
        <w:t>The Company’s net pension cost (credit) includes an expected return on plan assets component, calculated using the expected return on plan</w:t>
      </w:r>
      <w:r>
        <w:rPr>
          <w:rFonts w:ascii="Arial" w:cs="Arial" w:eastAsia="Arial" w:hAnsi="Arial"/>
          <w:sz w:val="15"/>
          <w:szCs w:val="15"/>
          <w:b w:val="1"/>
          <w:bCs w:val="1"/>
          <w:color w:val="auto"/>
        </w:rPr>
        <w:t xml:space="preserve"> </w:t>
      </w:r>
      <w:r>
        <w:rPr>
          <w:rFonts w:ascii="Arial" w:cs="Arial" w:eastAsia="Arial" w:hAnsi="Arial"/>
          <w:sz w:val="15"/>
          <w:szCs w:val="15"/>
          <w:color w:val="auto"/>
        </w:rPr>
        <w:t>assets assumption applied to a market-related value of plan assets. The market-related value of plan assets is determined using a 5-year average market value method, which recognizes realized and unrealized appreciation and depreciation in market values over a 5-year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cost for the year.</w:t>
      </w:r>
    </w:p>
    <w:p>
      <w:pPr>
        <w:spacing w:after="0" w:line="9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At the end of each year, differences between the actual return on plan assets and the expected return on plan assets are combined with other differences in actual versus expected experience to form a net unamortized actuarial gain or loss in accumulated other comprehensive income. Only those net actuarial gains or losses in excess of the deferred realized and unrealized appreciation and depreciation are potentially subject to amortization. The types of items that generate actuarial gains and losses that may be subject to amortization in net periodic pension cost (credit) include:</w:t>
      </w:r>
    </w:p>
    <w:p>
      <w:pPr>
        <w:spacing w:after="0" w:line="3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returns that are more or less than the expected return on plan assets for the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participant demographic experience different from assumed (retirements, terminations and deaths during the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salary increases different from assumed; and</w:t>
      </w:r>
    </w:p>
    <w:p>
      <w:pPr>
        <w:spacing w:after="0" w:line="90" w:lineRule="exact"/>
        <w:rPr>
          <w:rFonts w:ascii="Arial" w:cs="Arial" w:eastAsia="Arial" w:hAnsi="Arial"/>
          <w:sz w:val="18"/>
          <w:szCs w:val="18"/>
          <w:color w:val="auto"/>
        </w:rPr>
      </w:pPr>
    </w:p>
    <w:p>
      <w:pPr>
        <w:ind w:left="900" w:right="78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changes in assumptions that are made to better reflect anticipated experience of the plan or to reflect current market conditions on the measurement date (discount rate, longevity increases, changes in expected participant behavior and expected return on plan assets).</w:t>
      </w:r>
    </w:p>
    <w:p>
      <w:pPr>
        <w:spacing w:after="0" w:line="8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Amortization of the unrecognized actuarial gain or loss is included as a component of expense for a year if the magnitude of the net unamortized gain or loss in accumulated other comprehensive income exceeds 10% of the greater of the benefit obligation or the market-related value of assets (10% corridor). The amortization component is equal to that excess divided by the average remaining service period of active employees expected to receive benefits under the plan. At the end of 2007, the Company had net unamortized actuarial gains in accumulated other comprehensive income potentially subject to amortization that were outside the 10% corridor that resulted in amortized gains of $6,168,000 being included in 2008 pension cost. Primarily as a result of the significant pension asset losses during 2008, increased life expectations and a decrease in the discount rate, the Company had net unamortized actuarial losses in accumulated other comprehensive income potentially subject to amortization that were outside the corridor that resulted in amortized losses of $40,000 being included in 2009 pension cost. During 2009, there were pension asset gains that were offset by the impact of an increase in the discount rate. The Company currently estimates that there will be no net unamortized actuarial gains or losses in accumulated other comprehensive income potentially subject to amortization outside the corridor and therefore, no amortized gain or loss amounts included in pension cost (credit) in 2010.</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various risks and uncertainties that could cause actual results or events to differ materially from those anticipated in such statements. For more information about these forward-looking statements and related risks, please refer to the section titled “Forward-Looking Statements” in Part I of the Company’s Annual Report on Form 10-K for the fiscal year ended January 3, 2010.</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2009 Annual Report filed on Form 10-K have not otherwise changed significantly.</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April 4, 2010.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2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April 4, 2010 that has materially affected, or is reasonably likely to materially affect, the Company’s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April 4, 2010, the Company purchased shares of its Class B Common Stock as set forth in the following table: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Total Number</w:t>
            </w:r>
          </w:p>
        </w:tc>
        <w:tc>
          <w:tcPr>
            <w:tcW w:w="7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of Shares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Part of</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Price</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Publicly</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of Shares</w:t>
            </w: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Paid per</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Announced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the</w:t>
            </w:r>
          </w:p>
        </w:tc>
        <w:tc>
          <w:tcPr>
            <w:tcW w:w="0" w:type="dxa"/>
            <w:vAlign w:val="bottom"/>
          </w:tcPr>
          <w:p>
            <w:pPr>
              <w:spacing w:after="0"/>
              <w:rPr>
                <w:sz w:val="1"/>
                <w:szCs w:val="1"/>
                <w:color w:val="auto"/>
              </w:rPr>
            </w:pPr>
          </w:p>
        </w:tc>
      </w:tr>
      <w:tr>
        <w:trPr>
          <w:trHeight w:val="161"/>
        </w:trPr>
        <w:tc>
          <w:tcPr>
            <w:tcW w:w="61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Purchased</w:t>
            </w: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2"/>
              </w:rPr>
              <w:t>Share</w:t>
            </w: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Plan*</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Plan*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4 - Feb. 7, 2010</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14,052</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$439.10</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14,052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Feb. 8 - Mar. 7, 2010</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28,974</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426.08</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28,974</w:t>
            </w:r>
          </w:p>
        </w:tc>
        <w:tc>
          <w:tcPr>
            <w:tcW w:w="700" w:type="dxa"/>
            <w:vAlign w:val="bottom"/>
          </w:tcPr>
          <w:p>
            <w:pPr>
              <w:jc w:val="right"/>
              <w:spacing w:after="0"/>
              <w:rPr>
                <w:sz w:val="20"/>
                <w:szCs w:val="20"/>
                <w:color w:val="auto"/>
              </w:rPr>
            </w:pPr>
            <w:r>
              <w:rPr>
                <w:rFonts w:ascii="Arial" w:cs="Arial" w:eastAsia="Arial" w:hAnsi="Arial"/>
                <w:sz w:val="18"/>
                <w:szCs w:val="18"/>
                <w:color w:val="auto"/>
              </w:rPr>
              <w:t>713,221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 8 - Apr. 4, 2010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21,279</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437.63</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21,279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760" w:type="dxa"/>
            <w:vAlign w:val="bottom"/>
            <w:vMerge w:val="restart"/>
          </w:tcPr>
          <w:p>
            <w:pPr>
              <w:ind w:left="4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76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64,305</w:t>
            </w:r>
          </w:p>
        </w:tc>
        <w:tc>
          <w:tcPr>
            <w:tcW w:w="46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$432.75</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64,305</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220" w:hanging="212"/>
        <w:spacing w:after="0" w:line="298" w:lineRule="auto"/>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September 22, 2003, the Company’s Board of Directors authorized the Company to purchase, on the open market or otherwise, up to 542,800 shares of its Class B Common Stock, and the existence of that authorization was disclosed in the Company’s Annual Report on Form 10-K for the fiscal year ended December 28, 2003. On January 21, 2010, the Company’s Board of Directors increased the authorization to a total of 750,000 shares of its Class B Common Stock. There is no expiration date for that authorization. All purchases made during the quarter ended April 4, 2010, were open market transactions.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Item 6.</w:t>
            </w:r>
          </w:p>
        </w:tc>
        <w:tc>
          <w:tcPr>
            <w:tcW w:w="10860" w:type="dxa"/>
            <w:vAlign w:val="bottom"/>
            <w:gridSpan w:val="3"/>
          </w:tcPr>
          <w:p>
            <w:pPr>
              <w:ind w:left="5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168"/>
        </w:trPr>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4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920" w:type="dxa"/>
            <w:vAlign w:val="bottom"/>
          </w:tcPr>
          <w:p>
            <w:pPr>
              <w:spacing w:after="0"/>
              <w:rPr>
                <w:sz w:val="14"/>
                <w:szCs w:val="14"/>
                <w:color w:val="auto"/>
              </w:rPr>
            </w:pPr>
          </w:p>
        </w:tc>
      </w:tr>
      <w:tr>
        <w:trPr>
          <w:trHeight w:val="316"/>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3.1</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90"/>
              </w:rPr>
              <w:t>Restated Certificate of Incorporation of the Company dated November 13, 2003 (incorporated by reference to Exhibit 3.1 to the Company’s Annual</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Report on Form 10-K for the fiscal year ended December 28, 2003).</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3.2</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94"/>
              </w:rPr>
              <w:t>Certificate of Designation for the Company’s Series A Preferred Stock dated September 22, 2003 (incorporated by reference to Exhibit 3.2 to</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Amendment No. 1 to the Company’s Current Report on Form 8-K dated September 22, 2003).</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3.3</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90"/>
              </w:rPr>
              <w:t>By-Laws of the Company as amended and restated through November 8, 2007 (incorporated by reference to Exhibit 3.1 to the Company’s Current</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Report on Form 8-K dated November 14, 2007).</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94"/>
              </w:rPr>
              <w:t>Second Supplemental Indenture dated January 30, 2009, between the Company and The Bank of New York Mellon Trust Company, N.A., as</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88"/>
              </w:rPr>
              <w:t>successor to The First National Bank of Chicago, as Trustee (incorporated by reference to Exhibit 10.2 to the Company’s Current Report on Form 8-K</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dated January 30, 2009).</w:t>
            </w:r>
          </w:p>
        </w:tc>
      </w:tr>
      <w:tr>
        <w:trPr>
          <w:trHeight w:val="318"/>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rPr>
              <w:t>4.2</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88"/>
              </w:rPr>
              <w:t>Five Year Credit Agreement dated as of August 8, 2006, among the Company, Citibank, N.A., JPMorgan Chase Bank, N.A., Wachovia Bank, National</w:t>
            </w: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w w:val="96"/>
              </w:rPr>
              <w:t>Association, SunTrust Bank, The Bank of New York, PNC Bank, National Association, Bank of America, N.A. and Wells Fargo Bank, N.A.</w:t>
            </w:r>
          </w:p>
        </w:tc>
      </w:tr>
      <w:tr>
        <w:trPr>
          <w:trHeight w:val="222"/>
        </w:trPr>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(incorporated by reference to Exhibit 4.4 to the Company’s Quarterly Report on Form 10-Q for the quarter ended July 2, 2006).</w:t>
            </w:r>
          </w:p>
        </w:tc>
      </w:tr>
      <w:tr>
        <w:trPr>
          <w:trHeight w:val="324"/>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31.1</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24"/>
        </w:trPr>
        <w:tc>
          <w:tcPr>
            <w:tcW w:w="540" w:type="dxa"/>
            <w:vAlign w:val="bottom"/>
            <w:gridSpan w:val="2"/>
          </w:tcPr>
          <w:p>
            <w:pPr>
              <w:jc w:val="right"/>
              <w:ind w:right="152"/>
              <w:spacing w:after="0"/>
              <w:rPr>
                <w:sz w:val="20"/>
                <w:szCs w:val="20"/>
                <w:color w:val="auto"/>
              </w:rPr>
            </w:pPr>
            <w:r>
              <w:rPr>
                <w:rFonts w:ascii="Arial" w:cs="Arial" w:eastAsia="Arial" w:hAnsi="Arial"/>
                <w:sz w:val="18"/>
                <w:szCs w:val="18"/>
                <w:color w:val="auto"/>
                <w:w w:val="85"/>
              </w:rPr>
              <w:t>31.2</w:t>
            </w:r>
          </w:p>
        </w:tc>
        <w:tc>
          <w:tcPr>
            <w:tcW w:w="10860" w:type="dxa"/>
            <w:vAlign w:val="bottom"/>
            <w:gridSpan w:val="3"/>
          </w:tcPr>
          <w:p>
            <w:pPr>
              <w:ind w:left="280"/>
              <w:spacing w:after="0"/>
              <w:rPr>
                <w:sz w:val="20"/>
                <w:szCs w:val="20"/>
                <w:color w:val="auto"/>
              </w:rPr>
            </w:pPr>
            <w:r>
              <w:rPr>
                <w:rFonts w:ascii="Arial" w:cs="Arial" w:eastAsia="Arial" w:hAnsi="Arial"/>
                <w:sz w:val="18"/>
                <w:szCs w:val="18"/>
                <w:color w:val="auto"/>
              </w:rPr>
              <w:t>Rule 13a-14(a)/15d-14(a) Certification of the Chief Financial Officer.</w:t>
            </w:r>
          </w:p>
        </w:tc>
      </w:tr>
    </w:tbl>
    <w:p>
      <w:pPr>
        <w:spacing w:after="0" w:line="102" w:lineRule="exact"/>
        <w:rPr>
          <w:sz w:val="20"/>
          <w:szCs w:val="20"/>
          <w:color w:val="auto"/>
        </w:rPr>
      </w:pPr>
    </w:p>
    <w:p>
      <w:pPr>
        <w:ind w:left="5620" w:right="4280" w:hanging="5612"/>
        <w:spacing w:after="0" w:line="525" w:lineRule="auto"/>
        <w:tabs>
          <w:tab w:leader="none" w:pos="812" w:val="left"/>
        </w:tabs>
        <w:numPr>
          <w:ilvl w:val="0"/>
          <w:numId w:val="9"/>
        </w:numPr>
        <w:rPr>
          <w:rFonts w:ascii="Arial" w:cs="Arial" w:eastAsia="Arial" w:hAnsi="Arial"/>
          <w:sz w:val="16"/>
          <w:szCs w:val="16"/>
          <w:color w:val="auto"/>
        </w:rPr>
      </w:pPr>
      <w:r>
        <w:rPr>
          <w:rFonts w:ascii="Arial" w:cs="Arial" w:eastAsia="Arial" w:hAnsi="Arial"/>
          <w:sz w:val="16"/>
          <w:szCs w:val="16"/>
          <w:color w:val="auto"/>
        </w:rPr>
        <w:t>Section 1350 Certification of the Chief Executive Officer and the Chief Financial Officer. 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THE WASHINGTON POST COMPANY</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7500" w:val="left"/>
          <w:tab w:leader="none" w:pos="7860" w:val="left"/>
        </w:tabs>
        <w:rPr>
          <w:sz w:val="20"/>
          <w:szCs w:val="20"/>
          <w:color w:val="auto"/>
        </w:rPr>
      </w:pPr>
      <w:r>
        <w:rPr>
          <w:rFonts w:ascii="Arial" w:cs="Arial" w:eastAsia="Arial" w:hAnsi="Arial"/>
          <w:sz w:val="18"/>
          <w:szCs w:val="18"/>
          <w:color w:val="auto"/>
        </w:rPr>
        <w:t>Date: May 11, 2010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ONALD</w:t>
      </w:r>
      <w:r>
        <w:rPr>
          <w:rFonts w:ascii="Arial" w:cs="Arial" w:eastAsia="Arial" w:hAnsi="Arial"/>
          <w:sz w:val="18"/>
          <w:szCs w:val="18"/>
          <w:color w:val="auto"/>
        </w:rPr>
        <w:t xml:space="preserve"> E. G</w:t>
      </w:r>
      <w:r>
        <w:rPr>
          <w:rFonts w:ascii="Arial" w:cs="Arial" w:eastAsia="Arial" w:hAnsi="Arial"/>
          <w:sz w:val="14"/>
          <w:szCs w:val="14"/>
          <w:color w:val="auto"/>
        </w:rPr>
        <w:t>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Donald E. Graham,</w:t>
      </w:r>
    </w:p>
    <w:p>
      <w:pPr>
        <w:jc w:val="center"/>
        <w:ind w:left="5840"/>
        <w:spacing w:after="0" w:line="223" w:lineRule="auto"/>
        <w:rPr>
          <w:sz w:val="20"/>
          <w:szCs w:val="20"/>
          <w:color w:val="auto"/>
        </w:rPr>
      </w:pPr>
      <w:r>
        <w:rPr>
          <w:rFonts w:ascii="Arial" w:cs="Arial" w:eastAsia="Arial" w:hAnsi="Arial"/>
          <w:sz w:val="14"/>
          <w:szCs w:val="14"/>
          <w:b w:val="1"/>
          <w:bCs w:val="1"/>
          <w:color w:val="auto"/>
        </w:rPr>
        <w:t>Chairman &amp; Chief Executive Officer</w:t>
      </w:r>
    </w:p>
    <w:p>
      <w:pPr>
        <w:jc w:val="center"/>
        <w:ind w:left="584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spacing w:after="0"/>
        <w:tabs>
          <w:tab w:leader="none" w:pos="7780" w:val="left"/>
          <w:tab w:leader="none" w:pos="8140" w:val="left"/>
        </w:tabs>
        <w:rPr>
          <w:sz w:val="20"/>
          <w:szCs w:val="20"/>
          <w:color w:val="auto"/>
        </w:rPr>
      </w:pPr>
      <w:r>
        <w:rPr>
          <w:rFonts w:ascii="Arial" w:cs="Arial" w:eastAsia="Arial" w:hAnsi="Arial"/>
          <w:sz w:val="18"/>
          <w:szCs w:val="18"/>
          <w:color w:val="auto"/>
        </w:rPr>
        <w:t>Date: May 11, 2010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H</w:t>
      </w:r>
      <w:r>
        <w:rPr>
          <w:rFonts w:ascii="Arial" w:cs="Arial" w:eastAsia="Arial" w:hAnsi="Arial"/>
          <w:sz w:val="13"/>
          <w:szCs w:val="13"/>
          <w:color w:val="auto"/>
        </w:rPr>
        <w:t>AL</w:t>
      </w:r>
      <w:r>
        <w:rPr>
          <w:rFonts w:ascii="Arial" w:cs="Arial" w:eastAsia="Arial" w:hAnsi="Arial"/>
          <w:sz w:val="16"/>
          <w:szCs w:val="16"/>
          <w:color w:val="auto"/>
        </w:rPr>
        <w:t xml:space="preserve"> S. J</w:t>
      </w:r>
      <w:r>
        <w:rPr>
          <w:rFonts w:ascii="Arial" w:cs="Arial" w:eastAsia="Arial" w:hAnsi="Arial"/>
          <w:sz w:val="13"/>
          <w:szCs w:val="13"/>
          <w:color w:val="auto"/>
        </w:rPr>
        <w: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Arial" w:cs="Arial" w:eastAsia="Arial" w:hAnsi="Arial"/>
          <w:sz w:val="14"/>
          <w:szCs w:val="14"/>
          <w:b w:val="1"/>
          <w:bCs w:val="1"/>
          <w:color w:val="auto"/>
        </w:rPr>
        <w:t>Hal S. Jones,</w:t>
      </w:r>
    </w:p>
    <w:p>
      <w:pPr>
        <w:jc w:val="center"/>
        <w:ind w:left="5840"/>
        <w:spacing w:after="0" w:line="223" w:lineRule="auto"/>
        <w:rPr>
          <w:sz w:val="20"/>
          <w:szCs w:val="20"/>
          <w:color w:val="auto"/>
        </w:rPr>
      </w:pPr>
      <w:r>
        <w:rPr>
          <w:rFonts w:ascii="Arial" w:cs="Arial" w:eastAsia="Arial" w:hAnsi="Arial"/>
          <w:sz w:val="14"/>
          <w:szCs w:val="14"/>
          <w:b w:val="1"/>
          <w:bCs w:val="1"/>
          <w:color w:val="auto"/>
        </w:rPr>
        <w:t>Senior Vice President-Finance</w:t>
      </w:r>
    </w:p>
    <w:p>
      <w:pPr>
        <w:jc w:val="center"/>
        <w:ind w:left="58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240" w:top="459" w:right="7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2010</w:t>
      </w:r>
    </w:p>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The Washington Post Company (the “Registrant”), certify that:</w:t>
      </w:r>
    </w:p>
    <w:p>
      <w:pPr>
        <w:spacing w:after="0" w:line="171"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20" w:firstLine="8"/>
        <w:spacing w:after="0" w:line="259"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4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4" w:lineRule="exact"/>
        <w:rPr>
          <w:rFonts w:ascii="Arial" w:cs="Arial" w:eastAsia="Arial" w:hAnsi="Arial"/>
          <w:sz w:val="16"/>
          <w:szCs w:val="16"/>
          <w:color w:val="auto"/>
        </w:rPr>
      </w:pPr>
    </w:p>
    <w:p>
      <w:pPr>
        <w:ind w:left="900" w:right="2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60" w:firstLine="8"/>
        <w:spacing w:after="0" w:line="332"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2010</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 OFFICER</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April 4, 2010, as filed with the Securities and Exchange Commission on the date hereof (the “Report”), Donald E. Graham, Chief Executive Officer (principal executive officer) of the Company and Hal S. Jones, Senior Vice President-Finance (principal financial officer) of the Company, each hereby certifies, pursuant to 18 U.S.C. Section 1350, as adopted pursuant to Section 906 of the Sarbanes-Oxley Act of 2002, that:</w:t>
      </w:r>
    </w:p>
    <w:p>
      <w:pPr>
        <w:spacing w:after="0" w:line="143"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Roman"/>
      <w:start w:val="2"/>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32"/>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2019-12-10T03:51:06Z</dcterms:created>
  <dcterms:modified xsi:type="dcterms:W3CDTF">2019-12-10T03:51:06Z</dcterms:modified>
</cp:coreProperties>
</file>