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April 19, 2017</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Larry Spirgel</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Assistant Director</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Graham Holdings Company</w:t>
      </w:r>
    </w:p>
    <w:p>
      <w:pPr>
        <w:spacing w:after="0" w:line="28"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Form 10-K for the Fiscal Year Ended December 31, 2016</w:t>
      </w:r>
    </w:p>
    <w:p>
      <w:pPr>
        <w:spacing w:after="0" w:line="17"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Form 8-K</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Filed February 24, 2017</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 No. 001-06714</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Dear Mr. Spirgel:</w:t>
      </w:r>
    </w:p>
    <w:p>
      <w:pPr>
        <w:spacing w:after="0" w:line="220" w:lineRule="exact"/>
        <w:rPr>
          <w:sz w:val="24"/>
          <w:szCs w:val="24"/>
          <w:color w:val="auto"/>
        </w:rPr>
      </w:pPr>
    </w:p>
    <w:p>
      <w:pPr>
        <w:ind w:firstLine="648"/>
        <w:spacing w:after="0" w:line="250" w:lineRule="auto"/>
        <w:rPr>
          <w:sz w:val="20"/>
          <w:szCs w:val="20"/>
          <w:color w:val="auto"/>
        </w:rPr>
      </w:pPr>
      <w:r>
        <w:rPr>
          <w:rFonts w:ascii="Arial" w:cs="Arial" w:eastAsia="Arial" w:hAnsi="Arial"/>
          <w:sz w:val="22"/>
          <w:szCs w:val="22"/>
          <w:color w:val="auto"/>
        </w:rPr>
        <w:t>This letter responds to the comment from the staff (the “</w:t>
      </w:r>
      <w:r>
        <w:rPr>
          <w:rFonts w:ascii="Arial" w:cs="Arial" w:eastAsia="Arial" w:hAnsi="Arial"/>
          <w:sz w:val="22"/>
          <w:szCs w:val="22"/>
          <w:u w:val="single" w:color="auto"/>
          <w:color w:val="auto"/>
        </w:rPr>
        <w:t>Staff</w:t>
      </w:r>
      <w:r>
        <w:rPr>
          <w:rFonts w:ascii="Arial" w:cs="Arial" w:eastAsia="Arial" w:hAnsi="Arial"/>
          <w:sz w:val="22"/>
          <w:szCs w:val="22"/>
          <w:color w:val="auto"/>
        </w:rPr>
        <w:t>”) of the Division of Corporation Finance of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contained in the letter dated April 6, 2017 (the “</w:t>
      </w:r>
      <w:r>
        <w:rPr>
          <w:rFonts w:ascii="Arial" w:cs="Arial" w:eastAsia="Arial" w:hAnsi="Arial"/>
          <w:sz w:val="22"/>
          <w:szCs w:val="22"/>
          <w:u w:val="single" w:color="auto"/>
          <w:color w:val="auto"/>
        </w:rPr>
        <w:t>Comment Letter</w:t>
      </w:r>
      <w:r>
        <w:rPr>
          <w:rFonts w:ascii="Arial" w:cs="Arial" w:eastAsia="Arial" w:hAnsi="Arial"/>
          <w:sz w:val="22"/>
          <w:szCs w:val="22"/>
          <w:color w:val="auto"/>
        </w:rPr>
        <w:t>”) relating to the Annual Report on Form 10-K for the Fiscal Year Ended December 31, 2016 and the Current Report on Form 8-K filed on February 24, 2017 of Graham Holdings Company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8-K filed on February 24, 2017</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20" w:lineRule="exact"/>
        <w:rPr>
          <w:sz w:val="24"/>
          <w:szCs w:val="24"/>
          <w:color w:val="auto"/>
        </w:rPr>
      </w:pPr>
    </w:p>
    <w:p>
      <w:pPr>
        <w:ind w:left="660" w:right="140"/>
        <w:spacing w:after="0" w:line="315" w:lineRule="auto"/>
        <w:rPr>
          <w:sz w:val="20"/>
          <w:szCs w:val="20"/>
          <w:color w:val="auto"/>
        </w:rPr>
      </w:pPr>
      <w:r>
        <w:rPr>
          <w:rFonts w:ascii="Arial" w:cs="Arial" w:eastAsia="Arial" w:hAnsi="Arial"/>
          <w:sz w:val="19"/>
          <w:szCs w:val="19"/>
          <w:b w:val="1"/>
          <w:bCs w:val="1"/>
          <w:color w:val="auto"/>
        </w:rPr>
        <w:t>Please revise your reconciliation of the Non GAAP financial measure on page 13 to present the income tax effects related to Non-GAAP adjustments to arrive at adjusted income from continuing operations. See Question 102.11 of the updated Non-GAAP Compliance and Disclosure Interpretations issued on May 17, 2016</w:t>
      </w:r>
    </w:p>
    <w:p>
      <w:pPr>
        <w:spacing w:after="0" w:line="12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Company Response:</w:t>
      </w:r>
    </w:p>
    <w:p>
      <w:pPr>
        <w:spacing w:after="0" w:line="226" w:lineRule="exact"/>
        <w:rPr>
          <w:sz w:val="24"/>
          <w:szCs w:val="24"/>
          <w:color w:val="auto"/>
        </w:rPr>
      </w:pPr>
    </w:p>
    <w:p>
      <w:pPr>
        <w:ind w:right="20" w:firstLine="648"/>
        <w:spacing w:after="0" w:line="250" w:lineRule="auto"/>
        <w:rPr>
          <w:sz w:val="20"/>
          <w:szCs w:val="20"/>
          <w:color w:val="auto"/>
        </w:rPr>
      </w:pPr>
      <w:r>
        <w:rPr>
          <w:rFonts w:ascii="Arial" w:cs="Arial" w:eastAsia="Arial" w:hAnsi="Arial"/>
          <w:sz w:val="22"/>
          <w:szCs w:val="22"/>
          <w:color w:val="auto"/>
        </w:rPr>
        <w:t>The Company will revise the reconciliation of the Non-GAAP measure included in its First Quarter Earnings Release for 2017 and in future filings to present the income tax effects related to the Non-GAAP adjustments to arrive at adjusted income from operations. The Non-GAAP reconciliation for the twelve months ended December 31, 2016 is included in the table below to illustrate the revision:</w:t>
      </w:r>
    </w:p>
    <w:p>
      <w:pPr>
        <w:sectPr>
          <w:pgSz w:w="11900" w:h="16838" w:orient="portrait"/>
          <w:cols w:equalWidth="0" w:num="1">
            <w:col w:w="11360"/>
          </w:cols>
          <w:pgMar w:left="240" w:top="1388" w:right="299" w:bottom="1440" w:gutter="0" w:footer="0" w:header="0"/>
        </w:sectPr>
      </w:pPr>
    </w:p>
    <w:bookmarkStart w:id="1" w:name="page2"/>
    <w:bookmarkEnd w:id="1"/>
    <w:p>
      <w:pPr>
        <w:ind w:left="380"/>
        <w:spacing w:after="0"/>
        <w:rPr>
          <w:sz w:val="20"/>
          <w:szCs w:val="20"/>
          <w:color w:val="auto"/>
        </w:rPr>
      </w:pPr>
      <w:r>
        <w:rPr>
          <w:rFonts w:ascii="Arial" w:cs="Arial" w:eastAsia="Arial" w:hAnsi="Arial"/>
          <w:sz w:val="19"/>
          <w:szCs w:val="19"/>
          <w:b w:val="1"/>
          <w:bCs w:val="1"/>
          <w:color w:val="auto"/>
        </w:rPr>
        <w:t>The following table reconciles the non-GAAP financial measures to the most directly comparable GAAP measures:</w:t>
      </w:r>
    </w:p>
    <w:p>
      <w:pPr>
        <w:spacing w:after="0" w:line="6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5"/>
          </w:tcPr>
          <w:p>
            <w:pPr>
              <w:jc w:val="right"/>
              <w:ind w:right="981"/>
              <w:spacing w:after="0"/>
              <w:rPr>
                <w:sz w:val="20"/>
                <w:szCs w:val="20"/>
                <w:color w:val="auto"/>
              </w:rPr>
            </w:pPr>
            <w:r>
              <w:rPr>
                <w:rFonts w:ascii="Arial" w:cs="Arial" w:eastAsia="Arial" w:hAnsi="Arial"/>
                <w:sz w:val="20"/>
                <w:szCs w:val="20"/>
                <w:b w:val="1"/>
                <w:bCs w:val="1"/>
                <w:color w:val="auto"/>
              </w:rPr>
              <w:t>Twelve Months Ended</w:t>
            </w: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20"/>
                <w:szCs w:val="20"/>
                <w:b w:val="1"/>
                <w:bCs w:val="1"/>
                <w:color w:val="auto"/>
                <w:w w:val="86"/>
              </w:rPr>
              <w:t>December 31, 2016</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00" w:type="dxa"/>
            <w:vAlign w:val="bottom"/>
          </w:tcPr>
          <w:p>
            <w:pPr>
              <w:spacing w:after="0"/>
              <w:rPr>
                <w:sz w:val="19"/>
                <w:szCs w:val="19"/>
                <w:color w:val="auto"/>
              </w:rPr>
            </w:pPr>
          </w:p>
        </w:tc>
        <w:tc>
          <w:tcPr>
            <w:tcW w:w="128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auto"/>
                <w:w w:val="91"/>
              </w:rPr>
              <w:t>Income from</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41"/>
              <w:spacing w:after="0"/>
              <w:rPr>
                <w:sz w:val="20"/>
                <w:szCs w:val="20"/>
                <w:color w:val="auto"/>
              </w:rPr>
            </w:pPr>
            <w:r>
              <w:rPr>
                <w:rFonts w:ascii="Arial" w:cs="Arial" w:eastAsia="Arial" w:hAnsi="Arial"/>
                <w:sz w:val="20"/>
                <w:szCs w:val="20"/>
                <w:b w:val="1"/>
                <w:bCs w:val="1"/>
                <w:color w:val="auto"/>
                <w:w w:val="87"/>
              </w:rPr>
              <w:t>operations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6"/>
              </w:rPr>
              <w:t>before income</w:t>
            </w:r>
          </w:p>
        </w:tc>
        <w:tc>
          <w:tcPr>
            <w:tcW w:w="1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b w:val="1"/>
                <w:bCs w:val="1"/>
                <w:color w:val="auto"/>
                <w:w w:val="89"/>
              </w:rPr>
              <w:t>Provision for</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Arial" w:cs="Arial" w:eastAsia="Arial" w:hAnsi="Arial"/>
                <w:sz w:val="20"/>
                <w:szCs w:val="20"/>
                <w:color w:val="auto"/>
              </w:rPr>
              <w:t>(in thousands, except per share amounts)</w:t>
            </w:r>
          </w:p>
        </w:tc>
        <w:tc>
          <w:tcPr>
            <w:tcW w:w="160" w:type="dxa"/>
            <w:vAlign w:val="bottom"/>
          </w:tcPr>
          <w:p>
            <w:pPr>
              <w:spacing w:after="0"/>
              <w:rPr>
                <w:sz w:val="22"/>
                <w:szCs w:val="22"/>
                <w:color w:val="auto"/>
              </w:rPr>
            </w:pPr>
          </w:p>
        </w:tc>
        <w:tc>
          <w:tcPr>
            <w:tcW w:w="1120" w:type="dxa"/>
            <w:vAlign w:val="bottom"/>
          </w:tcPr>
          <w:p>
            <w:pPr>
              <w:jc w:val="center"/>
              <w:ind w:right="41"/>
              <w:spacing w:after="0"/>
              <w:rPr>
                <w:sz w:val="20"/>
                <w:szCs w:val="20"/>
                <w:color w:val="auto"/>
              </w:rPr>
            </w:pPr>
            <w:r>
              <w:rPr>
                <w:rFonts w:ascii="Arial" w:cs="Arial" w:eastAsia="Arial" w:hAnsi="Arial"/>
                <w:sz w:val="20"/>
                <w:szCs w:val="20"/>
                <w:b w:val="1"/>
                <w:bCs w:val="1"/>
                <w:color w:val="auto"/>
                <w:w w:val="82"/>
              </w:rPr>
              <w:t>taxes</w:t>
            </w:r>
          </w:p>
        </w:tc>
        <w:tc>
          <w:tcPr>
            <w:tcW w:w="160" w:type="dxa"/>
            <w:vAlign w:val="bottom"/>
          </w:tcPr>
          <w:p>
            <w:pPr>
              <w:spacing w:after="0"/>
              <w:rPr>
                <w:sz w:val="22"/>
                <w:szCs w:val="22"/>
                <w:color w:val="auto"/>
              </w:rPr>
            </w:pPr>
          </w:p>
        </w:tc>
        <w:tc>
          <w:tcPr>
            <w:tcW w:w="1260" w:type="dxa"/>
            <w:vAlign w:val="bottom"/>
          </w:tcPr>
          <w:p>
            <w:pPr>
              <w:jc w:val="right"/>
              <w:ind w:right="61"/>
              <w:spacing w:after="0"/>
              <w:rPr>
                <w:sz w:val="20"/>
                <w:szCs w:val="20"/>
                <w:color w:val="auto"/>
              </w:rPr>
            </w:pPr>
            <w:r>
              <w:rPr>
                <w:rFonts w:ascii="Arial" w:cs="Arial" w:eastAsia="Arial" w:hAnsi="Arial"/>
                <w:sz w:val="20"/>
                <w:szCs w:val="20"/>
                <w:b w:val="1"/>
                <w:bCs w:val="1"/>
                <w:color w:val="auto"/>
                <w:w w:val="85"/>
              </w:rPr>
              <w:t>income taxes</w:t>
            </w:r>
          </w:p>
        </w:tc>
        <w:tc>
          <w:tcPr>
            <w:tcW w:w="200" w:type="dxa"/>
            <w:vAlign w:val="bottom"/>
          </w:tcPr>
          <w:p>
            <w:pPr>
              <w:spacing w:after="0"/>
              <w:rPr>
                <w:sz w:val="22"/>
                <w:szCs w:val="22"/>
                <w:color w:val="auto"/>
              </w:rPr>
            </w:pPr>
          </w:p>
        </w:tc>
        <w:tc>
          <w:tcPr>
            <w:tcW w:w="1200" w:type="dxa"/>
            <w:vAlign w:val="bottom"/>
          </w:tcPr>
          <w:p>
            <w:pPr>
              <w:jc w:val="right"/>
              <w:ind w:right="121"/>
              <w:spacing w:after="0"/>
              <w:rPr>
                <w:sz w:val="20"/>
                <w:szCs w:val="20"/>
                <w:color w:val="auto"/>
              </w:rPr>
            </w:pPr>
            <w:r>
              <w:rPr>
                <w:rFonts w:ascii="Arial" w:cs="Arial" w:eastAsia="Arial" w:hAnsi="Arial"/>
                <w:sz w:val="20"/>
                <w:szCs w:val="20"/>
                <w:b w:val="1"/>
                <w:bCs w:val="1"/>
                <w:color w:val="auto"/>
                <w:w w:val="89"/>
              </w:rPr>
              <w:t>Net income</w:t>
            </w:r>
          </w:p>
        </w:tc>
        <w:tc>
          <w:tcPr>
            <w:tcW w:w="0" w:type="dxa"/>
            <w:vAlign w:val="bottom"/>
          </w:tcPr>
          <w:p>
            <w:pPr>
              <w:spacing w:after="0"/>
              <w:rPr>
                <w:sz w:val="1"/>
                <w:szCs w:val="1"/>
                <w:color w:val="auto"/>
              </w:rPr>
            </w:pPr>
          </w:p>
        </w:tc>
      </w:tr>
      <w:tr>
        <w:trPr>
          <w:trHeight w:val="23"/>
        </w:trPr>
        <w:tc>
          <w:tcPr>
            <w:tcW w:w="6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0" w:type="dxa"/>
            <w:vAlign w:val="bottom"/>
          </w:tcPr>
          <w:p>
            <w:pPr>
              <w:ind w:left="20"/>
              <w:spacing w:after="0"/>
              <w:rPr>
                <w:sz w:val="20"/>
                <w:szCs w:val="20"/>
                <w:color w:val="auto"/>
              </w:rPr>
            </w:pPr>
            <w:r>
              <w:rPr>
                <w:rFonts w:ascii="Arial" w:cs="Arial" w:eastAsia="Arial" w:hAnsi="Arial"/>
                <w:sz w:val="20"/>
                <w:szCs w:val="20"/>
                <w:b w:val="1"/>
                <w:bCs w:val="1"/>
                <w:color w:val="auto"/>
                <w:w w:val="90"/>
              </w:rPr>
              <w:t>Amounts Attributable to Graham Holdings Company Common Stockholders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As reported</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250,658</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81,200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169,458</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Attributable to noncontrolling interests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(868)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600" w:type="dxa"/>
            <w:vAlign w:val="bottom"/>
          </w:tcPr>
          <w:p>
            <w:pPr>
              <w:ind w:left="20"/>
              <w:spacing w:after="0"/>
              <w:rPr>
                <w:sz w:val="20"/>
                <w:szCs w:val="20"/>
                <w:color w:val="auto"/>
              </w:rPr>
            </w:pPr>
            <w:r>
              <w:rPr>
                <w:rFonts w:ascii="Arial" w:cs="Arial" w:eastAsia="Arial" w:hAnsi="Arial"/>
                <w:sz w:val="20"/>
                <w:szCs w:val="20"/>
                <w:color w:val="auto"/>
              </w:rPr>
              <w:t>Attributable to Graham Holdings Company common stockholders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168,590</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Adjustments: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Settlement gain related to bulk lump sum pension offering</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(17,993)</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(7,197)</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(10,796)</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Restructuring charges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11,852</w:t>
            </w:r>
          </w:p>
        </w:tc>
        <w:tc>
          <w:tcPr>
            <w:tcW w:w="16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4,148</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7,704</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Net gain from the sales of land and marketable securities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(32,193)</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(12,233)</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(19,960)</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Write-downs of cost method and equity method investments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37,592</w:t>
            </w:r>
          </w:p>
        </w:tc>
        <w:tc>
          <w:tcPr>
            <w:tcW w:w="16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13,533</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24,059</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20"/>
                <w:szCs w:val="20"/>
                <w:color w:val="auto"/>
                <w:w w:val="92"/>
              </w:rPr>
              <w:t>Net gains from the sale of businesses, an investment and the formation of a joint</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60"/>
              <w:spacing w:after="0"/>
              <w:rPr>
                <w:sz w:val="20"/>
                <w:szCs w:val="20"/>
                <w:color w:val="auto"/>
              </w:rPr>
            </w:pPr>
            <w:r>
              <w:rPr>
                <w:rFonts w:ascii="Arial" w:cs="Arial" w:eastAsia="Arial" w:hAnsi="Arial"/>
                <w:sz w:val="20"/>
                <w:szCs w:val="20"/>
                <w:color w:val="auto"/>
              </w:rPr>
              <w:t>venture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(22,163)</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(8,582)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(13,581)</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Foreign currency loss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39,890</w:t>
            </w:r>
          </w:p>
        </w:tc>
        <w:tc>
          <w:tcPr>
            <w:tcW w:w="16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14,360</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25,530</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Nonrecurring deferred tax benefit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8,286</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(8,286)</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Favorable out of period deferred tax adjustment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5,631</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(5,631)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600" w:type="dxa"/>
            <w:vAlign w:val="bottom"/>
          </w:tcPr>
          <w:p>
            <w:pPr>
              <w:ind w:left="20"/>
              <w:spacing w:after="0"/>
              <w:rPr>
                <w:sz w:val="20"/>
                <w:szCs w:val="20"/>
                <w:color w:val="auto"/>
              </w:rPr>
            </w:pPr>
            <w:r>
              <w:rPr>
                <w:rFonts w:ascii="Arial" w:cs="Arial" w:eastAsia="Arial" w:hAnsi="Arial"/>
                <w:sz w:val="20"/>
                <w:szCs w:val="20"/>
                <w:color w:val="auto"/>
              </w:rPr>
              <w:t>Adjusted (non-GAAP)</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167,629</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20"/>
                <w:szCs w:val="20"/>
                <w:b w:val="1"/>
                <w:bCs w:val="1"/>
                <w:color w:val="auto"/>
                <w:w w:val="92"/>
              </w:rPr>
              <w:t>Per Share Information Attributable to Graham Holdings Company Common</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360"/>
              <w:spacing w:after="0"/>
              <w:rPr>
                <w:sz w:val="20"/>
                <w:szCs w:val="20"/>
                <w:color w:val="auto"/>
              </w:rPr>
            </w:pPr>
            <w:r>
              <w:rPr>
                <w:rFonts w:ascii="Arial" w:cs="Arial" w:eastAsia="Arial" w:hAnsi="Arial"/>
                <w:sz w:val="20"/>
                <w:szCs w:val="20"/>
                <w:b w:val="1"/>
                <w:bCs w:val="1"/>
                <w:color w:val="auto"/>
              </w:rPr>
              <w:t>Stockholders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Diluted net income per common share, as reported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29.80</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Adjustments: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Settlement gain related to bulk lump sum pension offering</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(1.92)</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Restructuring charges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Net gain from the sales of land and marketable securities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(3.52)</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Write-downs of cost method and equity method investments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4.27</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Arial" w:cs="Arial" w:eastAsia="Arial" w:hAnsi="Arial"/>
                <w:sz w:val="20"/>
                <w:szCs w:val="20"/>
                <w:color w:val="auto"/>
                <w:w w:val="92"/>
              </w:rPr>
              <w:t>Net gains from the sale of businesses, an investment and the formation of a joint</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60"/>
              <w:spacing w:after="0"/>
              <w:rPr>
                <w:sz w:val="20"/>
                <w:szCs w:val="20"/>
                <w:color w:val="auto"/>
              </w:rPr>
            </w:pPr>
            <w:r>
              <w:rPr>
                <w:rFonts w:ascii="Arial" w:cs="Arial" w:eastAsia="Arial" w:hAnsi="Arial"/>
                <w:sz w:val="20"/>
                <w:szCs w:val="20"/>
                <w:color w:val="auto"/>
              </w:rPr>
              <w:t>venture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Foreign currency loss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4.51</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Nonrecurring deferred tax benefit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84"/>
        </w:trPr>
        <w:tc>
          <w:tcPr>
            <w:tcW w:w="6600" w:type="dxa"/>
            <w:vAlign w:val="bottom"/>
          </w:tcPr>
          <w:p>
            <w:pPr>
              <w:ind w:left="20"/>
              <w:spacing w:after="0"/>
              <w:rPr>
                <w:sz w:val="20"/>
                <w:szCs w:val="20"/>
                <w:color w:val="auto"/>
              </w:rPr>
            </w:pPr>
            <w:r>
              <w:rPr>
                <w:rFonts w:ascii="Arial" w:cs="Arial" w:eastAsia="Arial" w:hAnsi="Arial"/>
                <w:sz w:val="20"/>
                <w:szCs w:val="20"/>
                <w:color w:val="auto"/>
              </w:rPr>
              <w:t>Favorable out of period deferred tax adjustment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00" w:type="dxa"/>
            <w:vAlign w:val="bottom"/>
          </w:tcPr>
          <w:p>
            <w:pPr>
              <w:ind w:left="20"/>
              <w:spacing w:after="0"/>
              <w:rPr>
                <w:sz w:val="20"/>
                <w:szCs w:val="20"/>
                <w:color w:val="auto"/>
              </w:rPr>
            </w:pPr>
            <w:r>
              <w:rPr>
                <w:rFonts w:ascii="Arial" w:cs="Arial" w:eastAsia="Arial" w:hAnsi="Arial"/>
                <w:sz w:val="20"/>
                <w:szCs w:val="20"/>
                <w:color w:val="auto"/>
              </w:rPr>
              <w:t>Diluted net income per common share, adjusted (non-GAAP)</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29.66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adjusted diluted per share amounts may not compute due to rounding.</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 * * *</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filings, and (3) the Company may</w:t>
      </w:r>
    </w:p>
    <w:p>
      <w:pPr>
        <w:sectPr>
          <w:pgSz w:w="11900" w:h="16838" w:orient="portrait"/>
          <w:cols w:equalWidth="0" w:num="1">
            <w:col w:w="11120"/>
          </w:cols>
          <w:pgMar w:left="240" w:top="738" w:right="539"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22"/>
          <w:szCs w:val="22"/>
          <w:color w:val="auto"/>
        </w:rPr>
        <w:t>not assert Staff comments as a defense in any proceeding initiated by the Commission or any person under the Federal securities laws of the United States.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call me at (703) 345-6470 with any questions you may have with respect to the foregoing.</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Wallace R. Cooney</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Wallace R. Cooney</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Senior Vice President - Finance and Chief Financial Officer</w:t>
      </w:r>
    </w:p>
    <w:p>
      <w:pPr>
        <w:spacing w:after="0" w:line="200" w:lineRule="exact"/>
        <w:rPr>
          <w:sz w:val="20"/>
          <w:szCs w:val="20"/>
          <w:color w:val="auto"/>
        </w:rPr>
      </w:pPr>
    </w:p>
    <w:p>
      <w:pPr>
        <w:spacing w:after="0" w:line="218" w:lineRule="exact"/>
        <w:rPr>
          <w:sz w:val="20"/>
          <w:szCs w:val="20"/>
          <w:color w:val="auto"/>
        </w:rPr>
      </w:pPr>
    </w:p>
    <w:p>
      <w:pPr>
        <w:ind w:right="9660" w:firstLine="8"/>
        <w:spacing w:after="0" w:line="312"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Terry French Christie Wong Ivette Leon</w:t>
      </w:r>
    </w:p>
    <w:sectPr>
      <w:pgSz w:w="11900" w:h="16838" w:orient="portrait"/>
      <w:cols w:equalWidth="0" w:num="1">
        <w:col w:w="11100"/>
      </w:cols>
      <w:pgMar w:left="240" w:top="59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2019-12-05T08:23:38Z</dcterms:created>
  <dcterms:modified xsi:type="dcterms:W3CDTF">2019-12-05T08:23:38Z</dcterms:modified>
</cp:coreProperties>
</file>